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E4DC1B">
      <w:pPr>
        <w:spacing w:line="360" w:lineRule="auto"/>
        <w:jc w:val="center"/>
        <w:rPr>
          <w:rFonts w:hint="eastAsia"/>
        </w:rPr>
      </w:pPr>
      <w:r>
        <w:rPr>
          <w:rFonts w:hint="eastAsia"/>
        </w:rPr>
        <w:t>附件6.3现场勘查记录</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411"/>
        <w:gridCol w:w="3329"/>
        <w:gridCol w:w="147"/>
        <w:gridCol w:w="1606"/>
        <w:gridCol w:w="137"/>
        <w:gridCol w:w="2637"/>
      </w:tblGrid>
      <w:tr w14:paraId="6CE74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0" w:type="pct"/>
            <w:gridSpan w:val="2"/>
            <w:noWrap/>
            <w:vAlign w:val="center"/>
          </w:tcPr>
          <w:p w14:paraId="4B0AFAD6">
            <w:pPr>
              <w:pStyle w:val="22"/>
              <w:bidi w:val="0"/>
              <w:jc w:val="center"/>
              <w:rPr>
                <w:rFonts w:hint="default"/>
              </w:rPr>
            </w:pPr>
            <w:r>
              <w:rPr>
                <w:rFonts w:hint="eastAsia"/>
              </w:rPr>
              <w:t>企业名称</w:t>
            </w:r>
          </w:p>
        </w:tc>
        <w:tc>
          <w:tcPr>
            <w:tcW w:w="4229" w:type="pct"/>
            <w:gridSpan w:val="5"/>
            <w:noWrap/>
            <w:vAlign w:val="center"/>
          </w:tcPr>
          <w:p w14:paraId="1C32702E">
            <w:pPr>
              <w:pStyle w:val="22"/>
              <w:bidi w:val="0"/>
              <w:jc w:val="center"/>
              <w:rPr>
                <w:rFonts w:hint="eastAsia"/>
                <w:lang w:eastAsia="zh-CN"/>
              </w:rPr>
            </w:pPr>
            <w:r>
              <w:rPr>
                <w:rFonts w:hint="eastAsia"/>
                <w:lang w:eastAsia="zh-CN"/>
              </w:rPr>
              <w:t>勐海县海伦发展有限公司</w:t>
            </w:r>
          </w:p>
        </w:tc>
      </w:tr>
      <w:tr w14:paraId="7349C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0" w:type="pct"/>
            <w:gridSpan w:val="2"/>
            <w:noWrap/>
            <w:vAlign w:val="center"/>
          </w:tcPr>
          <w:p w14:paraId="45B8B39A">
            <w:pPr>
              <w:pStyle w:val="22"/>
              <w:bidi w:val="0"/>
              <w:jc w:val="center"/>
              <w:rPr>
                <w:rFonts w:hint="default"/>
              </w:rPr>
            </w:pPr>
            <w:r>
              <w:rPr>
                <w:rFonts w:hint="eastAsia"/>
              </w:rPr>
              <w:t>项目名称</w:t>
            </w:r>
          </w:p>
        </w:tc>
        <w:tc>
          <w:tcPr>
            <w:tcW w:w="4229" w:type="pct"/>
            <w:gridSpan w:val="5"/>
            <w:noWrap/>
            <w:vAlign w:val="center"/>
          </w:tcPr>
          <w:p w14:paraId="33D36B99">
            <w:pPr>
              <w:pStyle w:val="22"/>
              <w:bidi w:val="0"/>
              <w:jc w:val="center"/>
              <w:rPr>
                <w:rFonts w:hint="eastAsia"/>
                <w:lang w:eastAsia="zh-CN"/>
              </w:rPr>
            </w:pPr>
            <w:r>
              <w:rPr>
                <w:rFonts w:hint="eastAsia"/>
                <w:lang w:eastAsia="zh-CN"/>
              </w:rPr>
              <w:t>对勐海县海伦发展有限公司勐海曼袄加油站新建项目安全验收评价</w:t>
            </w:r>
          </w:p>
        </w:tc>
      </w:tr>
      <w:tr w14:paraId="1FF87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9" w:type="pct"/>
            <w:noWrap/>
            <w:vAlign w:val="center"/>
          </w:tcPr>
          <w:p w14:paraId="6BC82847">
            <w:pPr>
              <w:pStyle w:val="22"/>
              <w:bidi w:val="0"/>
              <w:jc w:val="center"/>
              <w:rPr>
                <w:rFonts w:hint="default"/>
              </w:rPr>
            </w:pPr>
            <w:r>
              <w:rPr>
                <w:rFonts w:hint="eastAsia"/>
              </w:rPr>
              <w:t>地址</w:t>
            </w:r>
          </w:p>
        </w:tc>
        <w:tc>
          <w:tcPr>
            <w:tcW w:w="2013" w:type="pct"/>
            <w:gridSpan w:val="2"/>
            <w:noWrap/>
            <w:vAlign w:val="center"/>
          </w:tcPr>
          <w:p w14:paraId="7EBA1B59">
            <w:pPr>
              <w:pStyle w:val="22"/>
              <w:bidi w:val="0"/>
              <w:jc w:val="center"/>
              <w:rPr>
                <w:rFonts w:hint="eastAsia"/>
                <w:lang w:eastAsia="zh-CN"/>
              </w:rPr>
            </w:pPr>
            <w:r>
              <w:rPr>
                <w:rFonts w:hint="eastAsia"/>
                <w:lang w:eastAsia="zh-CN"/>
              </w:rPr>
              <w:t>普洱市镇沅彝族哈尼族拉祜族自治县G215线按板段K61+680m处</w:t>
            </w:r>
          </w:p>
        </w:tc>
        <w:tc>
          <w:tcPr>
            <w:tcW w:w="1017" w:type="pct"/>
            <w:gridSpan w:val="3"/>
            <w:noWrap/>
            <w:vAlign w:val="center"/>
          </w:tcPr>
          <w:p w14:paraId="077E2043">
            <w:pPr>
              <w:pStyle w:val="22"/>
              <w:bidi w:val="0"/>
              <w:jc w:val="center"/>
              <w:rPr>
                <w:rFonts w:hint="default"/>
              </w:rPr>
            </w:pPr>
            <w:r>
              <w:rPr>
                <w:rFonts w:hint="eastAsia"/>
              </w:rPr>
              <w:t>勘查日期</w:t>
            </w:r>
          </w:p>
        </w:tc>
        <w:tc>
          <w:tcPr>
            <w:tcW w:w="1419" w:type="pct"/>
            <w:noWrap/>
            <w:vAlign w:val="center"/>
          </w:tcPr>
          <w:p w14:paraId="52B9948D">
            <w:pPr>
              <w:pStyle w:val="22"/>
              <w:bidi w:val="0"/>
              <w:jc w:val="center"/>
              <w:rPr>
                <w:rFonts w:hint="eastAsia"/>
                <w:lang w:eastAsia="zh-CN"/>
              </w:rPr>
            </w:pPr>
            <w:r>
              <w:rPr>
                <w:rFonts w:hint="eastAsia"/>
                <w:lang w:eastAsia="zh-CN"/>
              </w:rPr>
              <w:t>2026年3月29日</w:t>
            </w:r>
          </w:p>
        </w:tc>
      </w:tr>
      <w:tr w14:paraId="3226C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9" w:type="pct"/>
            <w:noWrap/>
            <w:vAlign w:val="center"/>
          </w:tcPr>
          <w:p w14:paraId="6CC172E0">
            <w:pPr>
              <w:pStyle w:val="22"/>
              <w:bidi w:val="0"/>
              <w:jc w:val="center"/>
              <w:rPr>
                <w:rFonts w:hint="default"/>
              </w:rPr>
            </w:pPr>
            <w:r>
              <w:rPr>
                <w:rFonts w:hint="eastAsia"/>
              </w:rPr>
              <w:t>现场调查情况</w:t>
            </w:r>
          </w:p>
        </w:tc>
        <w:tc>
          <w:tcPr>
            <w:tcW w:w="4450" w:type="pct"/>
            <w:gridSpan w:val="6"/>
            <w:noWrap/>
            <w:vAlign w:val="center"/>
          </w:tcPr>
          <w:p w14:paraId="6EB128AB">
            <w:pPr>
              <w:pStyle w:val="22"/>
              <w:bidi w:val="0"/>
              <w:rPr>
                <w:rFonts w:hint="default"/>
                <w:b/>
                <w:bCs/>
              </w:rPr>
            </w:pPr>
            <w:r>
              <w:rPr>
                <w:rFonts w:hint="eastAsia"/>
                <w:b/>
                <w:bCs/>
              </w:rPr>
              <w:t>1.地理位置周边环境情况</w:t>
            </w:r>
          </w:p>
          <w:p w14:paraId="692DCFE8">
            <w:pPr>
              <w:pStyle w:val="22"/>
              <w:bidi w:val="0"/>
              <w:rPr>
                <w:rFonts w:hint="eastAsia"/>
                <w:lang w:eastAsia="zh-CN"/>
              </w:rPr>
            </w:pPr>
            <w:r>
              <w:rPr>
                <w:rFonts w:hint="eastAsia"/>
                <w:lang w:eastAsia="zh-CN"/>
              </w:rPr>
              <w:t>勐海县海伦发展有限公司勐海曼袄加油站建设场址位于西双版纳傣族自治州勐海县勐海镇曼袄村民委员会曼板村民小组，勐海县位于云南省南部、西双版纳傣族自治州西部，地理坐标介于东经99°56′~100°41′，北纬21°28′~22°28′之间，东接景洪市，东北邻普洱市思茅区，西北靠澜沧拉祜族自治县，西部和南部与缅甸接壤。东西最大横距76.2km，南北相距114.50km，国境线长146.56km，总面积5368.09km2。</w:t>
            </w:r>
          </w:p>
          <w:p w14:paraId="2539AFD8">
            <w:pPr>
              <w:pStyle w:val="22"/>
              <w:bidi w:val="0"/>
              <w:jc w:val="left"/>
              <w:rPr>
                <w:rFonts w:hint="eastAsia"/>
                <w:lang w:eastAsia="zh-CN"/>
              </w:rPr>
            </w:pPr>
            <w:r>
              <w:rPr>
                <w:rFonts w:hint="eastAsia"/>
                <w:lang w:eastAsia="zh-CN"/>
              </w:rPr>
              <w:t>本项目工程占地面积为4666.69m</w:t>
            </w:r>
            <w:r>
              <w:rPr>
                <w:rFonts w:hint="eastAsia"/>
                <w:vertAlign w:val="superscript"/>
                <w:lang w:eastAsia="zh-CN"/>
              </w:rPr>
              <w:t>2</w:t>
            </w:r>
            <w:r>
              <w:rPr>
                <w:rFonts w:hint="eastAsia"/>
                <w:lang w:eastAsia="zh-CN"/>
              </w:rPr>
              <w:t>，其中：一期加油站用地3022.69m2，场地为新建（路边开挖面），地势较平坦、开阔。加油站坐北朝南布置，南面为格朗和公路，公路对面有架空通信线和鱼塘；西侧及北侧为林地；东侧为民房；东侧设置2—6m高挡土墙；南侧为出入口，西侧设置2—6m高毛石挡土墙，北侧设置2m高实体围墙，围墙距离山林地约16m；东侧设置2m高挡土墙；中心地理坐标为东经100°28'16.6984"，北纬21°57'15.7230”，加油站所在地地理位置优越，交通便利，区域位置见图2-1。</w:t>
            </w:r>
          </w:p>
          <w:p w14:paraId="0A69C837">
            <w:pPr>
              <w:pStyle w:val="22"/>
              <w:bidi w:val="0"/>
              <w:jc w:val="left"/>
              <w:rPr>
                <w:rFonts w:hint="default"/>
                <w:lang w:eastAsia="zh-CN"/>
              </w:rPr>
            </w:pPr>
            <w:r>
              <w:drawing>
                <wp:inline distT="0" distB="0" distL="114300" distR="114300">
                  <wp:extent cx="5758180" cy="2842260"/>
                  <wp:effectExtent l="0" t="0" r="2540" b="762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a:stretch>
                            <a:fillRect/>
                          </a:stretch>
                        </pic:blipFill>
                        <pic:spPr>
                          <a:xfrm>
                            <a:off x="0" y="0"/>
                            <a:ext cx="5758180" cy="2842260"/>
                          </a:xfrm>
                          <a:prstGeom prst="rect">
                            <a:avLst/>
                          </a:prstGeom>
                          <a:noFill/>
                          <a:ln>
                            <a:noFill/>
                          </a:ln>
                        </pic:spPr>
                      </pic:pic>
                    </a:graphicData>
                  </a:graphic>
                </wp:inline>
              </w:drawing>
            </w:r>
          </w:p>
          <w:p w14:paraId="25E81AED">
            <w:pPr>
              <w:pStyle w:val="22"/>
              <w:bidi w:val="0"/>
              <w:rPr>
                <w:rFonts w:hint="default"/>
                <w:b/>
                <w:bCs/>
              </w:rPr>
            </w:pPr>
            <w:r>
              <w:rPr>
                <w:rFonts w:hint="eastAsia"/>
                <w:b/>
                <w:bCs/>
              </w:rPr>
              <w:t>2.平面布置</w:t>
            </w:r>
          </w:p>
          <w:p w14:paraId="4BDE1F1F">
            <w:pPr>
              <w:pStyle w:val="22"/>
              <w:bidi w:val="0"/>
              <w:rPr>
                <w:rFonts w:hint="eastAsia"/>
                <w:lang w:val="en-US" w:eastAsia="zh-CN"/>
              </w:rPr>
            </w:pPr>
            <w:r>
              <w:rPr>
                <w:rFonts w:hint="eastAsia"/>
                <w:lang w:val="en-US" w:eastAsia="zh-CN"/>
              </w:rPr>
              <w:t>该项目总平面布置主要包括加油区、油罐区、卸油区、站房。</w:t>
            </w:r>
          </w:p>
          <w:p w14:paraId="1C29013F">
            <w:pPr>
              <w:pStyle w:val="22"/>
              <w:bidi w:val="0"/>
              <w:rPr>
                <w:rFonts w:hint="eastAsia"/>
                <w:lang w:val="en-US" w:eastAsia="zh-CN"/>
              </w:rPr>
            </w:pPr>
            <w:r>
              <w:rPr>
                <w:rFonts w:hint="eastAsia"/>
                <w:lang w:val="en-US" w:eastAsia="zh-CN"/>
              </w:rPr>
              <w:t>加油站坐北朝南布置。加油区设置在站区中部，油罐区设置在加油区行车道下，卸油区位于加油区（油罐区）南面，站房位于加油区（油罐区）北面。加油站在站区南面面向格朗和公路设置入口、出口，加油站西面除出、入口一侧敞开外其余几面均设有高约2m的挡墙和高约2m的栅栏与外界相隔。加油站的爆炸危险区域未超出站区和可用地界。</w:t>
            </w:r>
          </w:p>
          <w:p w14:paraId="08662C0D">
            <w:pPr>
              <w:pStyle w:val="22"/>
              <w:bidi w:val="0"/>
              <w:rPr>
                <w:rFonts w:hint="eastAsia"/>
                <w:lang w:val="en-US" w:eastAsia="zh-CN"/>
              </w:rPr>
            </w:pPr>
            <w:r>
              <w:rPr>
                <w:rFonts w:hint="eastAsia"/>
                <w:lang w:val="en-US" w:eastAsia="zh-CN"/>
              </w:rPr>
              <w:t>（1）油罐区</w:t>
            </w:r>
          </w:p>
          <w:p w14:paraId="495C2415">
            <w:pPr>
              <w:pStyle w:val="22"/>
              <w:bidi w:val="0"/>
              <w:rPr>
                <w:rFonts w:hint="eastAsia"/>
                <w:lang w:val="en-US" w:eastAsia="zh-CN"/>
              </w:rPr>
            </w:pPr>
            <w:r>
              <w:rPr>
                <w:rFonts w:hint="eastAsia"/>
                <w:lang w:val="en-US" w:eastAsia="zh-CN"/>
              </w:rPr>
              <w:t>油罐布置在加油区行车道下罐池内，罐池内埋地设置3DFF双层卧式储油罐4个，分别为1个0#柴油罐，2个92#汽油罐、1个95#汽油罐。每个油罐均设带有高液位报警功能的液位监测系统，双层油罐和双层管道设渗漏检测系统，每个油罐设置2个人孔操作井，人孔操作井采用专用井座和井盖，操作井内的油罐进油接合管、量油孔、通气管和潜油泵接合管设在人孔盖上。人孔盖上的通气管、卸油管、加油油气回收管、卸油油气回收管、潜油泵的出油管采用金属软管过渡连接。</w:t>
            </w:r>
          </w:p>
          <w:p w14:paraId="5E60B062">
            <w:pPr>
              <w:pStyle w:val="22"/>
              <w:bidi w:val="0"/>
              <w:rPr>
                <w:rFonts w:hint="eastAsia"/>
                <w:lang w:val="en-US" w:eastAsia="zh-CN"/>
              </w:rPr>
            </w:pPr>
            <w:r>
              <w:rPr>
                <w:rFonts w:hint="eastAsia"/>
                <w:lang w:val="en-US" w:eastAsia="zh-CN"/>
              </w:rPr>
              <w:t>油罐设置公称直径为50mm的通气管，汽油罐与柴油罐的通气管分开设置，3个油罐共用2根通气管，通气管沿罩棚立柱向上敷设（汽油通气管设置在后排入口侧加油岛罩棚立柱，柴油通气管设置在后排出口侧加油岛罩棚立柱），通气管管口高出罩棚顶2m，1根汽油通气管管口装设阻火器，另1根汽油通气管管口装设机械呼吸阀；柴油通气管管口装设阻火器，油罐区设置观测罐池内水位的水位观测井。</w:t>
            </w:r>
          </w:p>
          <w:p w14:paraId="7D62A109">
            <w:pPr>
              <w:pStyle w:val="22"/>
              <w:bidi w:val="0"/>
              <w:rPr>
                <w:rFonts w:hint="eastAsia"/>
                <w:lang w:val="en-US" w:eastAsia="zh-CN"/>
              </w:rPr>
            </w:pPr>
            <w:r>
              <w:rPr>
                <w:rFonts w:hint="eastAsia"/>
                <w:lang w:val="en-US" w:eastAsia="zh-CN"/>
              </w:rPr>
              <w:t>（2）卸油区</w:t>
            </w:r>
          </w:p>
          <w:p w14:paraId="7EF679D1">
            <w:pPr>
              <w:pStyle w:val="22"/>
              <w:bidi w:val="0"/>
              <w:rPr>
                <w:rFonts w:hint="eastAsia"/>
                <w:lang w:val="en-US" w:eastAsia="zh-CN"/>
              </w:rPr>
            </w:pPr>
            <w:r>
              <w:rPr>
                <w:rFonts w:hint="eastAsia"/>
                <w:lang w:val="en-US" w:eastAsia="zh-CN"/>
              </w:rPr>
              <w:t>在加油区（油罐区）南面设置密闭卸油点（密闭卸油点未超出用地范围），每个油罐各自设置卸油接口，接口上有明显的油品标识，卸油接口装设快速接头及密封盖。该项目卸油区设于卸油点北面，卸油区设置静电接地报警器1个和人体静电释放柱1个，在卸油区旁设置1座2m3消防沙池、消防器材箱1个和消防计量箱1个。卸油区四周设置环保水沟。</w:t>
            </w:r>
          </w:p>
          <w:p w14:paraId="47F7D18F">
            <w:pPr>
              <w:pStyle w:val="22"/>
              <w:bidi w:val="0"/>
              <w:rPr>
                <w:rFonts w:hint="eastAsia"/>
                <w:lang w:val="en-US" w:eastAsia="zh-CN"/>
              </w:rPr>
            </w:pPr>
            <w:r>
              <w:rPr>
                <w:rFonts w:hint="eastAsia"/>
                <w:lang w:val="en-US" w:eastAsia="zh-CN"/>
              </w:rPr>
              <w:t>该项目油罐的工艺管道采取埋地敷设，出油管双层复合管；卸油管道、卸油油气回收管道、加油油气回收管道、通气管等工艺管线采用输送流体用无缝钢管。</w:t>
            </w:r>
          </w:p>
          <w:p w14:paraId="7190EEFD">
            <w:pPr>
              <w:pStyle w:val="22"/>
              <w:bidi w:val="0"/>
              <w:rPr>
                <w:rFonts w:hint="eastAsia"/>
                <w:lang w:val="en-US" w:eastAsia="zh-CN"/>
              </w:rPr>
            </w:pPr>
            <w:r>
              <w:rPr>
                <w:rFonts w:hint="eastAsia"/>
                <w:lang w:val="en-US" w:eastAsia="zh-CN"/>
              </w:rPr>
              <w:t>（3）加油区</w:t>
            </w:r>
          </w:p>
          <w:p w14:paraId="5C5B6E95">
            <w:pPr>
              <w:pStyle w:val="22"/>
              <w:bidi w:val="0"/>
              <w:rPr>
                <w:rFonts w:hint="eastAsia"/>
                <w:lang w:val="en-US" w:eastAsia="zh-CN"/>
              </w:rPr>
            </w:pPr>
            <w:r>
              <w:rPr>
                <w:rFonts w:hint="eastAsia"/>
                <w:lang w:val="en-US" w:eastAsia="zh-CN"/>
              </w:rPr>
              <w:t>加油区设置于站区中部，加油区设置一座建筑面积为288m2（投影面积为576m2，建筑面积为投影面积的一半）的罩棚，罩棚下设4座加油岛，每座加油岛长4.3m、加油岛宽1.4m、加油岛高0.2m，每一座加油岛上设1台四枪加油机（（每一座加油岛长4.0m，宽1.4m、加油岛高0.20m），每一座加油岛上设1台四枪加油机（共设置0#枪4支、92#枪6支、95#枪6支），加油岛两端均设防撞杆。</w:t>
            </w:r>
          </w:p>
          <w:p w14:paraId="1A6A69AA">
            <w:pPr>
              <w:pStyle w:val="22"/>
              <w:bidi w:val="0"/>
              <w:rPr>
                <w:rFonts w:hint="eastAsia"/>
                <w:lang w:val="en-US" w:eastAsia="zh-CN"/>
              </w:rPr>
            </w:pPr>
            <w:r>
              <w:rPr>
                <w:rFonts w:hint="eastAsia"/>
                <w:lang w:val="en-US" w:eastAsia="zh-CN"/>
              </w:rPr>
              <w:t>罩棚采用钢筋混凝土结构形式，耐火等级为二级，罩棚支柱为单排两柱式钢筋混凝土支柱。罩棚内行车地面至罩棚钢网架净空高度为7.0m，罩棚支柱边缘距岛端部距离为0.8m。加油区四周设置环保水沟。</w:t>
            </w:r>
          </w:p>
          <w:p w14:paraId="6011820C">
            <w:pPr>
              <w:pStyle w:val="22"/>
              <w:bidi w:val="0"/>
              <w:rPr>
                <w:rFonts w:hint="eastAsia"/>
                <w:lang w:val="en-US" w:eastAsia="zh-CN"/>
              </w:rPr>
            </w:pPr>
            <w:r>
              <w:rPr>
                <w:rFonts w:hint="eastAsia"/>
                <w:lang w:val="en-US" w:eastAsia="zh-CN"/>
              </w:rPr>
              <w:t>（4）站房</w:t>
            </w:r>
          </w:p>
          <w:p w14:paraId="3784B31D">
            <w:pPr>
              <w:pStyle w:val="22"/>
              <w:bidi w:val="0"/>
              <w:rPr>
                <w:rFonts w:hint="eastAsia"/>
                <w:lang w:val="en-US" w:eastAsia="zh-CN"/>
              </w:rPr>
            </w:pPr>
            <w:r>
              <w:rPr>
                <w:rFonts w:hint="eastAsia"/>
                <w:lang w:val="en-US" w:eastAsia="zh-CN"/>
              </w:rPr>
              <w:t>站房设置在加油区（油罐区）北面，站房耐火等级不低于二级，站房为2层建筑物，采用框架结构，建筑面积358.16m2（站房面积超过300m2，但根据站内设施到站房的距离可知，该站房的未位于作业区内），站房1层设置卫生间、机柜间、站长室、便利店、发电机房、配电室、储藏室、楼梯间，二楼设置员工值班室。</w:t>
            </w:r>
          </w:p>
          <w:p w14:paraId="5797D635">
            <w:pPr>
              <w:pStyle w:val="22"/>
              <w:bidi w:val="0"/>
              <w:rPr>
                <w:rFonts w:hint="eastAsia"/>
                <w:lang w:val="en-US" w:eastAsia="zh-CN"/>
              </w:rPr>
            </w:pPr>
            <w:r>
              <w:rPr>
                <w:rFonts w:hint="eastAsia"/>
                <w:lang w:val="en-US" w:eastAsia="zh-CN"/>
              </w:rPr>
              <w:t>（5）变压器</w:t>
            </w:r>
          </w:p>
          <w:p w14:paraId="11C05AED">
            <w:pPr>
              <w:pStyle w:val="22"/>
              <w:bidi w:val="0"/>
              <w:rPr>
                <w:rFonts w:hint="eastAsia"/>
                <w:lang w:val="en-US" w:eastAsia="zh-CN"/>
              </w:rPr>
            </w:pPr>
            <w:r>
              <w:rPr>
                <w:rFonts w:hint="eastAsia"/>
                <w:lang w:val="en-US" w:eastAsia="zh-CN"/>
              </w:rPr>
              <w:t>在站区北面二期预留用地的西北面设置10KV变压器。</w:t>
            </w:r>
          </w:p>
          <w:p w14:paraId="13733B25">
            <w:pPr>
              <w:pStyle w:val="22"/>
              <w:bidi w:val="0"/>
              <w:rPr>
                <w:rFonts w:hint="eastAsia"/>
                <w:lang w:val="en-US" w:eastAsia="zh-CN"/>
              </w:rPr>
            </w:pPr>
            <w:r>
              <w:rPr>
                <w:rFonts w:hint="eastAsia"/>
                <w:lang w:val="en-US" w:eastAsia="zh-CN"/>
              </w:rPr>
              <w:t>（6）二期用地</w:t>
            </w:r>
          </w:p>
          <w:p w14:paraId="7A150672">
            <w:pPr>
              <w:pStyle w:val="22"/>
              <w:bidi w:val="0"/>
              <w:rPr>
                <w:rFonts w:hint="eastAsia"/>
                <w:lang w:val="en-US" w:eastAsia="zh-CN"/>
              </w:rPr>
            </w:pPr>
            <w:r>
              <w:rPr>
                <w:rFonts w:hint="eastAsia"/>
                <w:lang w:val="en-US" w:eastAsia="zh-CN"/>
              </w:rPr>
              <w:t>站区北面为二期用地，二期用地不在评价范围，但二期用地上建设的10KV变压器在评价范围内。</w:t>
            </w:r>
          </w:p>
          <w:p w14:paraId="2D571817">
            <w:pPr>
              <w:pStyle w:val="22"/>
              <w:bidi w:val="0"/>
              <w:rPr>
                <w:rFonts w:hint="eastAsia"/>
                <w:lang w:val="en-US" w:eastAsia="zh-CN"/>
              </w:rPr>
            </w:pPr>
            <w:r>
              <w:rPr>
                <w:rFonts w:hint="eastAsia"/>
                <w:lang w:val="en-US" w:eastAsia="zh-CN"/>
              </w:rPr>
              <w:t>（7）站内道路及进出口</w:t>
            </w:r>
          </w:p>
          <w:p w14:paraId="3B0C6163">
            <w:pPr>
              <w:pStyle w:val="22"/>
              <w:bidi w:val="0"/>
              <w:rPr>
                <w:rFonts w:hint="eastAsia"/>
                <w:lang w:val="en-US" w:eastAsia="zh-CN"/>
              </w:rPr>
            </w:pPr>
            <w:r>
              <w:rPr>
                <w:rFonts w:hint="eastAsia"/>
                <w:lang w:val="en-US" w:eastAsia="zh-CN"/>
              </w:rPr>
              <w:t>加油区设置2条单车道和1条双车道，其中内、外侧单车道宽均为5m，中间双车道宽10.5m。加油站在站区西面面向格朗和公路设置出、入口，入口宽度均为21.0m。站内转弯半径R≧9m，道路纵坡≤8%，能够满足消防车辆通行。</w:t>
            </w:r>
          </w:p>
          <w:p w14:paraId="678FA886">
            <w:pPr>
              <w:pStyle w:val="22"/>
              <w:bidi w:val="0"/>
              <w:rPr>
                <w:rFonts w:hint="eastAsia"/>
                <w:lang w:val="en-US" w:eastAsia="zh-CN"/>
              </w:rPr>
            </w:pPr>
            <w:r>
              <w:rPr>
                <w:rFonts w:hint="eastAsia"/>
                <w:lang w:val="en-US" w:eastAsia="zh-CN"/>
              </w:rPr>
              <w:t>（8）竖向布置</w:t>
            </w:r>
          </w:p>
          <w:p w14:paraId="00D099D4">
            <w:pPr>
              <w:pStyle w:val="22"/>
              <w:bidi w:val="0"/>
              <w:rPr>
                <w:rFonts w:hint="eastAsia"/>
                <w:lang w:val="en-US" w:eastAsia="zh-CN"/>
              </w:rPr>
            </w:pPr>
            <w:r>
              <w:rPr>
                <w:rFonts w:hint="eastAsia"/>
                <w:lang w:val="en-US" w:eastAsia="zh-CN"/>
              </w:rPr>
              <w:t>为保证场地雨水的顺利排出，将排水坡设置成坡向南面站外公路（站内标高为1192，站外公路标高为1190），加油区地坪设最小为0.50%的坡度坡向站外。</w:t>
            </w:r>
          </w:p>
          <w:p w14:paraId="31A8960C">
            <w:pPr>
              <w:pStyle w:val="22"/>
              <w:bidi w:val="0"/>
              <w:rPr>
                <w:rFonts w:hint="eastAsia"/>
                <w:lang w:val="en-US" w:eastAsia="zh-CN"/>
              </w:rPr>
            </w:pPr>
            <w:r>
              <w:rPr>
                <w:rFonts w:hint="eastAsia"/>
                <w:lang w:val="en-US" w:eastAsia="zh-CN"/>
              </w:rPr>
              <w:t>（9）其他设施</w:t>
            </w:r>
          </w:p>
          <w:p w14:paraId="49C12E31">
            <w:pPr>
              <w:pStyle w:val="22"/>
              <w:bidi w:val="0"/>
              <w:rPr>
                <w:rFonts w:hint="eastAsia"/>
                <w:lang w:val="en-US" w:eastAsia="zh-CN"/>
              </w:rPr>
            </w:pPr>
            <w:r>
              <w:rPr>
                <w:rFonts w:hint="eastAsia"/>
                <w:lang w:val="en-US" w:eastAsia="zh-CN"/>
              </w:rPr>
              <w:t>1）该项目在南面绿化带内设有具备沉沙、油水分离、排水功能的隔油池1座。</w:t>
            </w:r>
          </w:p>
          <w:p w14:paraId="7DFC2428">
            <w:pPr>
              <w:pStyle w:val="22"/>
              <w:bidi w:val="0"/>
              <w:rPr>
                <w:rFonts w:hint="eastAsia"/>
                <w:lang w:val="en-US" w:eastAsia="zh-CN"/>
              </w:rPr>
            </w:pPr>
            <w:r>
              <w:rPr>
                <w:rFonts w:hint="eastAsia"/>
                <w:lang w:val="en-US" w:eastAsia="zh-CN"/>
              </w:rPr>
              <w:t>2）加油站在站区北面预留二期用地，已在报告1.2安全评价对象和范围中明确不在评价范围。</w:t>
            </w:r>
          </w:p>
          <w:p w14:paraId="3209D246">
            <w:pPr>
              <w:pStyle w:val="22"/>
              <w:bidi w:val="0"/>
              <w:rPr>
                <w:rFonts w:hint="eastAsia" w:eastAsia="宋体"/>
                <w:b/>
                <w:bCs/>
                <w:lang w:eastAsia="zh-CN"/>
              </w:rPr>
            </w:pPr>
            <w:r>
              <w:rPr>
                <w:rFonts w:hint="eastAsia"/>
                <w:b/>
                <w:bCs/>
              </w:rPr>
              <w:t>3.主要生产</w:t>
            </w:r>
            <w:r>
              <w:rPr>
                <w:rFonts w:hint="eastAsia"/>
                <w:b/>
                <w:bCs/>
                <w:lang w:val="en-US" w:eastAsia="zh-CN"/>
              </w:rPr>
              <w:t>设备</w:t>
            </w:r>
          </w:p>
          <w:p w14:paraId="2DEFC8CE">
            <w:pPr>
              <w:pStyle w:val="22"/>
              <w:bidi w:val="0"/>
              <w:rPr>
                <w:rFonts w:hint="eastAsia"/>
                <w:lang w:val="en-US" w:eastAsia="zh-CN"/>
              </w:rPr>
            </w:pPr>
            <w:r>
              <w:rPr>
                <w:rFonts w:hint="eastAsia"/>
                <w:lang w:val="en-US" w:eastAsia="zh-CN"/>
              </w:rPr>
              <w:t>加油站油罐总容积为140m3，柴油容积折半后油罐总容积为115m³，设置4个卧式埋地FF双层油罐（FF双层卧式储罐4个，其中50m30#柴油储罐1个、30m392#汽油储罐2个、30m395#汽油罐1个），罩棚下设置4台4枪加油机；</w:t>
            </w:r>
          </w:p>
          <w:p w14:paraId="08E700A3">
            <w:pPr>
              <w:pStyle w:val="22"/>
              <w:bidi w:val="0"/>
              <w:rPr>
                <w:rFonts w:hint="default"/>
                <w:b/>
                <w:bCs/>
                <w:lang w:val="en-US"/>
              </w:rPr>
            </w:pPr>
            <w:r>
              <w:rPr>
                <w:rFonts w:hint="eastAsia"/>
                <w:b/>
                <w:bCs/>
                <w:lang w:val="en-US" w:eastAsia="zh-CN"/>
              </w:rPr>
              <w:t>4.工艺流程：</w:t>
            </w:r>
          </w:p>
          <w:p w14:paraId="58047823">
            <w:pPr>
              <w:pStyle w:val="22"/>
              <w:bidi w:val="0"/>
              <w:rPr>
                <w:rFonts w:hint="eastAsia"/>
                <w:lang w:val="en-US" w:eastAsia="zh-CN"/>
              </w:rPr>
            </w:pPr>
            <w:r>
              <w:rPr>
                <w:rFonts w:hint="eastAsia"/>
                <w:lang w:val="en-US" w:eastAsia="zh-CN"/>
              </w:rPr>
              <w:t>1）汽油卸油、加油工艺流程</w:t>
            </w:r>
          </w:p>
          <w:p w14:paraId="1CD46DC9">
            <w:pPr>
              <w:pStyle w:val="22"/>
              <w:bidi w:val="0"/>
              <w:rPr>
                <w:rFonts w:hint="eastAsia"/>
                <w:lang w:val="en-US" w:eastAsia="zh-CN"/>
              </w:rPr>
            </w:pPr>
            <w:r>
              <w:rPr>
                <w:rFonts w:hint="eastAsia"/>
                <w:lang w:val="en-US" w:eastAsia="zh-CN"/>
              </w:rPr>
              <w:t>本项目汽油卸油采用密闭卸油方式，加油采用潜油泵加油工艺，卸油与加油过程设置了油气回收系统。工艺流程为：油品经油罐车运输至加油站，在卸车点采用密闭卸油方式将油品卸入埋地储油罐；常温常压条件下，油品在储油罐内以液体形式存在；加油时，通过装设在埋地油罐上的潜油泵将油罐内的油品送至加油机，加油机再通过自封式加油枪注入用户汽车油箱。</w:t>
            </w:r>
          </w:p>
          <w:p w14:paraId="6D2A5BE5">
            <w:pPr>
              <w:pStyle w:val="22"/>
              <w:bidi w:val="0"/>
              <w:rPr>
                <w:rFonts w:hint="eastAsia"/>
                <w:lang w:val="en-US" w:eastAsia="zh-CN"/>
              </w:rPr>
            </w:pPr>
            <w:r>
              <w:rPr>
                <w:rFonts w:hint="eastAsia"/>
                <w:lang w:val="en-US" w:eastAsia="zh-CN"/>
              </w:rPr>
              <w:t>卸油时埋地油罐因注入汽油而排出的油气，由油气回收管收集回油罐车中，由油罐车带回油库。加油时车辆油箱因注入汽油而向外排的油气，由加油枪前端油气回收管通过加油机内真空泵抽吸，经油气回收管送回油罐中暂存。</w:t>
            </w:r>
          </w:p>
          <w:p w14:paraId="1408922E">
            <w:pPr>
              <w:pStyle w:val="22"/>
              <w:bidi w:val="0"/>
              <w:rPr>
                <w:rFonts w:hint="eastAsia"/>
                <w:lang w:val="en-US" w:eastAsia="zh-CN"/>
              </w:rPr>
            </w:pPr>
            <w:r>
              <w:rPr>
                <w:rFonts w:hint="eastAsia"/>
                <w:lang w:val="en-US" w:eastAsia="zh-CN"/>
              </w:rPr>
              <w:t>2）柴油卸油、加油工艺流程</w:t>
            </w:r>
          </w:p>
          <w:p w14:paraId="145A9317">
            <w:pPr>
              <w:pStyle w:val="22"/>
              <w:bidi w:val="0"/>
              <w:rPr>
                <w:rFonts w:hint="eastAsia"/>
                <w:lang w:val="en-US" w:eastAsia="zh-CN"/>
              </w:rPr>
            </w:pPr>
            <w:r>
              <w:rPr>
                <w:rFonts w:hint="eastAsia"/>
                <w:lang w:val="en-US" w:eastAsia="zh-CN"/>
              </w:rPr>
              <w:t>柴油经油罐车运输至加油站，在卸车点采用密闭卸油方式将柴油卸入埋地储油罐。</w:t>
            </w:r>
          </w:p>
          <w:p w14:paraId="1C095BA0">
            <w:pPr>
              <w:pStyle w:val="22"/>
              <w:bidi w:val="0"/>
              <w:rPr>
                <w:rFonts w:hint="eastAsia"/>
                <w:lang w:val="en-US" w:eastAsia="zh-CN"/>
              </w:rPr>
            </w:pPr>
            <w:r>
              <w:rPr>
                <w:rFonts w:hint="eastAsia"/>
                <w:lang w:val="en-US" w:eastAsia="zh-CN"/>
              </w:rPr>
              <w:t>加油时，通过装设在埋地油罐上的潜油泵，将油罐内的油品经出油管道送至加油机，加油机再通过自封式加油枪注入用户汽车油箱。</w:t>
            </w:r>
          </w:p>
          <w:p w14:paraId="32A14E19">
            <w:pPr>
              <w:pStyle w:val="22"/>
              <w:bidi w:val="0"/>
              <w:rPr>
                <w:rFonts w:hint="eastAsia"/>
                <w:lang w:val="en-US" w:eastAsia="zh-CN"/>
              </w:rPr>
            </w:pPr>
            <w:r>
              <w:rPr>
                <w:rFonts w:hint="eastAsia"/>
                <w:lang w:val="en-US" w:eastAsia="zh-CN"/>
              </w:rPr>
              <w:t>因柴油常温常压下气相分压较低，不设置油气回收。</w:t>
            </w:r>
          </w:p>
          <w:p w14:paraId="22D92D71">
            <w:pPr>
              <w:pStyle w:val="22"/>
              <w:bidi w:val="0"/>
              <w:rPr>
                <w:rFonts w:hint="default"/>
                <w:b/>
                <w:bCs/>
              </w:rPr>
            </w:pPr>
            <w:r>
              <w:rPr>
                <w:rFonts w:hint="eastAsia"/>
                <w:b/>
                <w:bCs/>
                <w:lang w:val="en-US" w:eastAsia="zh-CN"/>
              </w:rPr>
              <w:t>5</w:t>
            </w:r>
            <w:r>
              <w:rPr>
                <w:rFonts w:hint="eastAsia"/>
                <w:b/>
                <w:bCs/>
              </w:rPr>
              <w:t>.安全管理情况</w:t>
            </w:r>
          </w:p>
          <w:p w14:paraId="1DD8B19A">
            <w:pPr>
              <w:pStyle w:val="22"/>
              <w:bidi w:val="0"/>
              <w:rPr>
                <w:rFonts w:hint="default"/>
              </w:rPr>
            </w:pPr>
            <w:r>
              <w:rPr>
                <w:rFonts w:hint="default"/>
              </w:rPr>
              <w:t>根据国家相关要求，勐海县海伦发展有限公司勐海曼袄加油站的职责主要有：</w:t>
            </w:r>
          </w:p>
          <w:p w14:paraId="51EF80AE">
            <w:pPr>
              <w:pStyle w:val="22"/>
              <w:bidi w:val="0"/>
              <w:rPr>
                <w:rFonts w:hint="default"/>
              </w:rPr>
            </w:pPr>
            <w:r>
              <w:rPr>
                <w:rFonts w:hint="default"/>
              </w:rPr>
              <w:t>加油站主要负责人（站长职责）、安全管理人员安全职责、加油员岗位安全职责、计量员岗位安全职责、卸油员岗位安全职责等。</w:t>
            </w:r>
          </w:p>
          <w:p w14:paraId="076ABBD5">
            <w:pPr>
              <w:pStyle w:val="22"/>
              <w:bidi w:val="0"/>
              <w:rPr>
                <w:rFonts w:hint="default" w:eastAsia="宋体"/>
                <w:b/>
                <w:bCs/>
                <w:lang w:val="en-US" w:eastAsia="zh-CN"/>
              </w:rPr>
            </w:pPr>
            <w:bookmarkStart w:id="0" w:name="_GoBack"/>
            <w:bookmarkEnd w:id="0"/>
            <w:r>
              <w:rPr>
                <w:rFonts w:hint="eastAsia"/>
                <w:b/>
                <w:bCs/>
                <w:lang w:val="en-US" w:eastAsia="zh-CN"/>
              </w:rPr>
              <w:t>6.劳动定员</w:t>
            </w:r>
          </w:p>
          <w:p w14:paraId="2B66B8DC">
            <w:pPr>
              <w:pStyle w:val="22"/>
              <w:bidi w:val="0"/>
              <w:rPr>
                <w:rFonts w:hint="default"/>
              </w:rPr>
            </w:pPr>
            <w:r>
              <w:rPr>
                <w:rFonts w:hint="default"/>
              </w:rPr>
              <w:t>勐海县海伦发展有限公司勐海曼袄加油站新建项目定员3人，其中站长1人，安全管理人员1名，员工1人。</w:t>
            </w:r>
          </w:p>
          <w:p w14:paraId="0CF0DA18">
            <w:pPr>
              <w:pStyle w:val="22"/>
              <w:bidi w:val="0"/>
              <w:rPr>
                <w:rFonts w:hint="default"/>
              </w:rPr>
            </w:pPr>
            <w:r>
              <w:rPr>
                <w:rFonts w:hint="default"/>
              </w:rPr>
              <w:t>根据市场需求及操作情况，该项目生产年操作时间为</w:t>
            </w:r>
            <w:r>
              <w:rPr>
                <w:rFonts w:hint="eastAsia"/>
                <w:lang w:val="en-US" w:eastAsia="zh-CN"/>
              </w:rPr>
              <w:t>365</w:t>
            </w:r>
            <w:r>
              <w:rPr>
                <w:rFonts w:hint="default"/>
              </w:rPr>
              <w:t>天</w:t>
            </w:r>
            <w:r>
              <w:rPr>
                <w:rFonts w:hint="eastAsia"/>
              </w:rPr>
              <w:t>，</w:t>
            </w:r>
            <w:r>
              <w:rPr>
                <w:rFonts w:hint="default"/>
              </w:rPr>
              <w:t>为</w:t>
            </w:r>
            <w:r>
              <w:rPr>
                <w:rFonts w:hint="eastAsia"/>
                <w:lang w:val="en-US" w:eastAsia="zh-CN"/>
              </w:rPr>
              <w:t>全年性</w:t>
            </w:r>
            <w:r>
              <w:rPr>
                <w:rFonts w:hint="default"/>
              </w:rPr>
              <w:t>生产，</w:t>
            </w:r>
            <w:r>
              <w:rPr>
                <w:rFonts w:hint="eastAsia"/>
                <w:lang w:val="en-US" w:eastAsia="zh-CN"/>
              </w:rPr>
              <w:t>加油工作</w:t>
            </w:r>
            <w:r>
              <w:rPr>
                <w:rFonts w:hint="eastAsia"/>
              </w:rPr>
              <w:t>为白班制度，每天工作</w:t>
            </w:r>
            <w:r>
              <w:rPr>
                <w:rFonts w:hint="eastAsia"/>
                <w:lang w:val="en-US" w:eastAsia="zh-CN"/>
              </w:rPr>
              <w:t>16</w:t>
            </w:r>
            <w:r>
              <w:rPr>
                <w:rFonts w:hint="eastAsia"/>
              </w:rPr>
              <w:t>h</w:t>
            </w:r>
            <w:r>
              <w:rPr>
                <w:rFonts w:hint="default"/>
              </w:rPr>
              <w:t>，人员定员</w:t>
            </w:r>
            <w:r>
              <w:rPr>
                <w:rFonts w:hint="eastAsia"/>
              </w:rPr>
              <w:t>3</w:t>
            </w:r>
            <w:r>
              <w:rPr>
                <w:rFonts w:hint="eastAsia"/>
                <w:lang w:eastAsia="zh-CN"/>
              </w:rPr>
              <w:t>—</w:t>
            </w:r>
            <w:r>
              <w:rPr>
                <w:rFonts w:hint="eastAsia"/>
                <w:lang w:val="en-US" w:eastAsia="zh-CN"/>
              </w:rPr>
              <w:t>5</w:t>
            </w:r>
            <w:r>
              <w:rPr>
                <w:rFonts w:hint="eastAsia"/>
              </w:rPr>
              <w:t>人。</w:t>
            </w:r>
          </w:p>
          <w:p w14:paraId="5876534D">
            <w:pPr>
              <w:pStyle w:val="22"/>
              <w:bidi w:val="0"/>
              <w:rPr>
                <w:rFonts w:hint="default"/>
              </w:rPr>
            </w:pPr>
            <w:r>
              <w:rPr>
                <w:rFonts w:hint="eastAsia"/>
              </w:rPr>
              <w:t>人员来源拟根据不同岗位和学历要求，向社会公开招聘。</w:t>
            </w:r>
            <w:r>
              <w:rPr>
                <w:rFonts w:hint="default"/>
              </w:rPr>
              <w:t>根据《危险化学品安全管理条例》的规定</w:t>
            </w:r>
            <w:r>
              <w:rPr>
                <w:rFonts w:hint="eastAsia"/>
              </w:rPr>
              <w:t>，</w:t>
            </w:r>
            <w:r>
              <w:rPr>
                <w:rFonts w:hint="default"/>
              </w:rPr>
              <w:t>主要负责人和安全管理人员需取得安全培训合格证，作业人员需经安全教育培训合格，特种作业人员需持证上岗。</w:t>
            </w:r>
          </w:p>
          <w:p w14:paraId="32068545">
            <w:pPr>
              <w:pStyle w:val="22"/>
              <w:bidi w:val="0"/>
              <w:rPr>
                <w:rFonts w:hint="default"/>
              </w:rPr>
            </w:pPr>
            <w:r>
              <w:rPr>
                <w:rFonts w:hint="eastAsia"/>
              </w:rPr>
              <w:t>本项目实行</w:t>
            </w:r>
            <w:r>
              <w:rPr>
                <w:rFonts w:hint="eastAsia"/>
                <w:lang w:val="en-US" w:eastAsia="zh-CN"/>
              </w:rPr>
              <w:t>站长</w:t>
            </w:r>
            <w:r>
              <w:rPr>
                <w:rFonts w:hint="eastAsia"/>
              </w:rPr>
              <w:t>负责制，拟设置安全员负责日常安全管理工作。</w:t>
            </w:r>
          </w:p>
          <w:p w14:paraId="20B5C063">
            <w:pPr>
              <w:pStyle w:val="22"/>
              <w:bidi w:val="0"/>
              <w:rPr>
                <w:rFonts w:hint="default"/>
              </w:rPr>
            </w:pPr>
          </w:p>
          <w:p w14:paraId="1E4D315A">
            <w:pPr>
              <w:pStyle w:val="22"/>
              <w:bidi w:val="0"/>
              <w:rPr>
                <w:rFonts w:hint="default"/>
              </w:rPr>
            </w:pPr>
          </w:p>
        </w:tc>
      </w:tr>
      <w:tr w14:paraId="4FFCE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9" w:type="pct"/>
            <w:noWrap/>
            <w:vAlign w:val="center"/>
          </w:tcPr>
          <w:p w14:paraId="2929A345">
            <w:pPr>
              <w:pStyle w:val="22"/>
              <w:bidi w:val="0"/>
              <w:rPr>
                <w:rFonts w:hint="default"/>
              </w:rPr>
            </w:pPr>
            <w:r>
              <w:rPr>
                <w:rFonts w:hint="eastAsia"/>
              </w:rPr>
              <w:t>现场勘察人员（签字）</w:t>
            </w:r>
          </w:p>
        </w:tc>
        <w:tc>
          <w:tcPr>
            <w:tcW w:w="2092" w:type="pct"/>
            <w:gridSpan w:val="3"/>
            <w:noWrap/>
            <w:vAlign w:val="center"/>
          </w:tcPr>
          <w:p w14:paraId="0A32261E">
            <w:pPr>
              <w:pStyle w:val="22"/>
              <w:bidi w:val="0"/>
              <w:rPr>
                <w:rFonts w:hint="default"/>
              </w:rPr>
            </w:pPr>
          </w:p>
        </w:tc>
        <w:tc>
          <w:tcPr>
            <w:tcW w:w="864" w:type="pct"/>
            <w:noWrap/>
            <w:vAlign w:val="center"/>
          </w:tcPr>
          <w:p w14:paraId="17D8F274">
            <w:pPr>
              <w:pStyle w:val="22"/>
              <w:bidi w:val="0"/>
              <w:rPr>
                <w:rFonts w:hint="default"/>
              </w:rPr>
            </w:pPr>
            <w:r>
              <w:rPr>
                <w:rFonts w:hint="eastAsia"/>
              </w:rPr>
              <w:t>企业陪同</w:t>
            </w:r>
          </w:p>
          <w:p w14:paraId="37BA6BEE">
            <w:pPr>
              <w:pStyle w:val="22"/>
              <w:bidi w:val="0"/>
              <w:rPr>
                <w:rFonts w:hint="default"/>
              </w:rPr>
            </w:pPr>
            <w:r>
              <w:rPr>
                <w:rFonts w:hint="eastAsia"/>
              </w:rPr>
              <w:t>人员（签字）</w:t>
            </w:r>
          </w:p>
        </w:tc>
        <w:tc>
          <w:tcPr>
            <w:tcW w:w="1493" w:type="pct"/>
            <w:gridSpan w:val="2"/>
            <w:noWrap/>
            <w:vAlign w:val="center"/>
          </w:tcPr>
          <w:p w14:paraId="44BB34B7">
            <w:pPr>
              <w:pStyle w:val="22"/>
              <w:bidi w:val="0"/>
              <w:rPr>
                <w:rFonts w:hint="default"/>
              </w:rPr>
            </w:pPr>
          </w:p>
        </w:tc>
      </w:tr>
    </w:tbl>
    <w:p w14:paraId="23F478BD"/>
    <w:p w14:paraId="4318D984"/>
    <w:p w14:paraId="4CC7A024">
      <w:pPr>
        <w:spacing w:line="360" w:lineRule="auto"/>
        <w:jc w:val="center"/>
        <w:rPr>
          <w:rFonts w:hint="eastAsia" w:eastAsia="宋体"/>
          <w:lang w:eastAsia="zh-CN"/>
        </w:rPr>
      </w:pPr>
    </w:p>
    <w:sectPr>
      <w:pgSz w:w="11906" w:h="16838"/>
      <w:pgMar w:top="1417" w:right="1417" w:bottom="1134" w:left="1417" w:header="851" w:footer="992" w:gutter="0"/>
      <w:cols w:space="720" w:num="1"/>
      <w:docGrid w:type="lines" w:linePitch="395" w:charSpace="0"/>
    </w:sectPr>
  </w:body>
</w:document>
</file>

<file path=word/customizations.xml><?xml version="1.0" encoding="utf-8"?>
<wne:tcg xmlns:r="http://schemas.openxmlformats.org/officeDocument/2006/relationships" xmlns:wne="http://schemas.microsoft.com/office/word/2006/wordml">
  <wne:keymaps>
    <wne:keymap wne:kcmPrimary="0434">
      <wne:acd wne:acdName="acd0"/>
    </wne:keymap>
  </wne:keymaps>
  <wne:acds>
    <wne:acd wne:argValue="AQAAAAA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2010609030101010101"/>
    <w:charset w:val="86"/>
    <w:family w:val="modern"/>
    <w:pitch w:val="default"/>
    <w:sig w:usb0="00000001" w:usb1="080E0000" w:usb2="00000010" w:usb3="00000000" w:csb0="00040000" w:csb1="00000000"/>
  </w:font>
  <w:font w:name="Arial Unicode MS">
    <w:panose1 w:val="020B0604020202020204"/>
    <w:charset w:val="86"/>
    <w:family w:val="roman"/>
    <w:pitch w:val="default"/>
    <w:sig w:usb0="FFFFFFFF" w:usb1="E9FFFFFF" w:usb2="0000003F" w:usb3="00000000" w:csb0="603F01FF" w:csb1="FFFF0000"/>
  </w:font>
  <w:font w:name="仿宋_GB2312">
    <w:altName w:val="仿宋"/>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3CE79E"/>
    <w:multiLevelType w:val="multilevel"/>
    <w:tmpl w:val="5A3CE79E"/>
    <w:lvl w:ilvl="0" w:tentative="0">
      <w:start w:val="1"/>
      <w:numFmt w:val="chineseCountingThousand"/>
      <w:suff w:val="nothing"/>
      <w:lvlText w:val="第%1条"/>
      <w:lvlJc w:val="left"/>
      <w:pPr>
        <w:ind w:left="0" w:firstLine="0"/>
      </w:pPr>
      <w:rPr>
        <w:rFonts w:hint="eastAsia"/>
        <w:b/>
        <w:i w:val="0"/>
        <w:lang w:val="en-US"/>
      </w:rPr>
    </w:lvl>
    <w:lvl w:ilvl="1" w:tentative="0">
      <w:start w:val="1"/>
      <w:numFmt w:val="koreanDigital2"/>
      <w:suff w:val="nothing"/>
      <w:lvlText w:val="(%2)"/>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8"/>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jYjI1YjVhOGIwNDc3M2Y2MjM2YmMwNmFmZDVjMjMifQ=="/>
  </w:docVars>
  <w:rsids>
    <w:rsidRoot w:val="00172A27"/>
    <w:rsid w:val="001B4500"/>
    <w:rsid w:val="00595B75"/>
    <w:rsid w:val="0105543F"/>
    <w:rsid w:val="014B2008"/>
    <w:rsid w:val="014D570A"/>
    <w:rsid w:val="01594C78"/>
    <w:rsid w:val="01993F71"/>
    <w:rsid w:val="02037C0E"/>
    <w:rsid w:val="02BE6659"/>
    <w:rsid w:val="02D834F8"/>
    <w:rsid w:val="02E11043"/>
    <w:rsid w:val="034B06A4"/>
    <w:rsid w:val="03C508D1"/>
    <w:rsid w:val="044735E6"/>
    <w:rsid w:val="04AC1C3D"/>
    <w:rsid w:val="059F15CC"/>
    <w:rsid w:val="06745328"/>
    <w:rsid w:val="068E7D80"/>
    <w:rsid w:val="091D761E"/>
    <w:rsid w:val="092E4C97"/>
    <w:rsid w:val="096A2FB2"/>
    <w:rsid w:val="0A2158F2"/>
    <w:rsid w:val="0B1B5BC9"/>
    <w:rsid w:val="0B224DC6"/>
    <w:rsid w:val="0B446484"/>
    <w:rsid w:val="0BB06036"/>
    <w:rsid w:val="0C571FC8"/>
    <w:rsid w:val="0CA6778D"/>
    <w:rsid w:val="0D032FA3"/>
    <w:rsid w:val="0D221A83"/>
    <w:rsid w:val="0DF362E7"/>
    <w:rsid w:val="0EF237E9"/>
    <w:rsid w:val="0F5B220F"/>
    <w:rsid w:val="0FCE4517"/>
    <w:rsid w:val="104A74B7"/>
    <w:rsid w:val="1080259C"/>
    <w:rsid w:val="1093747E"/>
    <w:rsid w:val="10CA4890"/>
    <w:rsid w:val="10D35526"/>
    <w:rsid w:val="136B099F"/>
    <w:rsid w:val="13A85F63"/>
    <w:rsid w:val="14217D55"/>
    <w:rsid w:val="14712086"/>
    <w:rsid w:val="159D03A2"/>
    <w:rsid w:val="16C07118"/>
    <w:rsid w:val="170F54D2"/>
    <w:rsid w:val="176C2263"/>
    <w:rsid w:val="178C5205"/>
    <w:rsid w:val="17AF732B"/>
    <w:rsid w:val="17DC657E"/>
    <w:rsid w:val="17FB7BAD"/>
    <w:rsid w:val="19712731"/>
    <w:rsid w:val="1D931043"/>
    <w:rsid w:val="1DAE7469"/>
    <w:rsid w:val="1DCE7738"/>
    <w:rsid w:val="1ED10F42"/>
    <w:rsid w:val="1F0003E8"/>
    <w:rsid w:val="1F500519"/>
    <w:rsid w:val="202A3C5E"/>
    <w:rsid w:val="20A323CF"/>
    <w:rsid w:val="212B0175"/>
    <w:rsid w:val="21637A76"/>
    <w:rsid w:val="21CB1923"/>
    <w:rsid w:val="22115652"/>
    <w:rsid w:val="22253F4A"/>
    <w:rsid w:val="22B90BE6"/>
    <w:rsid w:val="22BB2768"/>
    <w:rsid w:val="23AF6CA6"/>
    <w:rsid w:val="23DC6D57"/>
    <w:rsid w:val="24766178"/>
    <w:rsid w:val="24E72B0F"/>
    <w:rsid w:val="25133240"/>
    <w:rsid w:val="26AC2250"/>
    <w:rsid w:val="26E7104B"/>
    <w:rsid w:val="27077D4F"/>
    <w:rsid w:val="27843A77"/>
    <w:rsid w:val="27E72CCB"/>
    <w:rsid w:val="286217DD"/>
    <w:rsid w:val="28EF7234"/>
    <w:rsid w:val="29477B64"/>
    <w:rsid w:val="2A57598E"/>
    <w:rsid w:val="2A66707C"/>
    <w:rsid w:val="2B2C58F8"/>
    <w:rsid w:val="2B9F50F5"/>
    <w:rsid w:val="2BED6411"/>
    <w:rsid w:val="2D236344"/>
    <w:rsid w:val="2D292129"/>
    <w:rsid w:val="2E420BDD"/>
    <w:rsid w:val="2EC97611"/>
    <w:rsid w:val="2ECD4CCD"/>
    <w:rsid w:val="2ECF4DC6"/>
    <w:rsid w:val="2F0223A9"/>
    <w:rsid w:val="2FAA5117"/>
    <w:rsid w:val="30365FE9"/>
    <w:rsid w:val="3104403C"/>
    <w:rsid w:val="31405355"/>
    <w:rsid w:val="31485B7C"/>
    <w:rsid w:val="31CB3203"/>
    <w:rsid w:val="31F6396D"/>
    <w:rsid w:val="33863760"/>
    <w:rsid w:val="34DB31D6"/>
    <w:rsid w:val="353622D9"/>
    <w:rsid w:val="369E5310"/>
    <w:rsid w:val="36CA3C50"/>
    <w:rsid w:val="36DE2127"/>
    <w:rsid w:val="375676F4"/>
    <w:rsid w:val="378A1E7F"/>
    <w:rsid w:val="378F3B94"/>
    <w:rsid w:val="381B0630"/>
    <w:rsid w:val="38DA61E7"/>
    <w:rsid w:val="39A87FAC"/>
    <w:rsid w:val="3A1D517E"/>
    <w:rsid w:val="3B6F2F29"/>
    <w:rsid w:val="3B86109C"/>
    <w:rsid w:val="3E5B40B6"/>
    <w:rsid w:val="3EE96B8C"/>
    <w:rsid w:val="3F733927"/>
    <w:rsid w:val="3F9760C2"/>
    <w:rsid w:val="40112E1F"/>
    <w:rsid w:val="40122F48"/>
    <w:rsid w:val="402E33AE"/>
    <w:rsid w:val="409F252E"/>
    <w:rsid w:val="40BB42DE"/>
    <w:rsid w:val="40C920DA"/>
    <w:rsid w:val="40D2200F"/>
    <w:rsid w:val="41185906"/>
    <w:rsid w:val="41186EC6"/>
    <w:rsid w:val="41FE2E7A"/>
    <w:rsid w:val="43787F53"/>
    <w:rsid w:val="438B545B"/>
    <w:rsid w:val="439C3FE2"/>
    <w:rsid w:val="43E36985"/>
    <w:rsid w:val="44977A4B"/>
    <w:rsid w:val="461D76D3"/>
    <w:rsid w:val="46787962"/>
    <w:rsid w:val="47BD4229"/>
    <w:rsid w:val="482E69CF"/>
    <w:rsid w:val="49B23994"/>
    <w:rsid w:val="49DB4682"/>
    <w:rsid w:val="49E042FD"/>
    <w:rsid w:val="4B2C0DE0"/>
    <w:rsid w:val="4CA5415A"/>
    <w:rsid w:val="4D9D55E6"/>
    <w:rsid w:val="4E361A5D"/>
    <w:rsid w:val="4E3744D0"/>
    <w:rsid w:val="4ECB635C"/>
    <w:rsid w:val="4FE228C2"/>
    <w:rsid w:val="4FFB05AB"/>
    <w:rsid w:val="517C6FDF"/>
    <w:rsid w:val="51975AD5"/>
    <w:rsid w:val="51FF47F3"/>
    <w:rsid w:val="528F43E6"/>
    <w:rsid w:val="52C433D5"/>
    <w:rsid w:val="535A2CFF"/>
    <w:rsid w:val="53655697"/>
    <w:rsid w:val="53D76F99"/>
    <w:rsid w:val="53DF63ED"/>
    <w:rsid w:val="54211D64"/>
    <w:rsid w:val="549177E1"/>
    <w:rsid w:val="54E23534"/>
    <w:rsid w:val="54F95183"/>
    <w:rsid w:val="56E07DC1"/>
    <w:rsid w:val="57B42020"/>
    <w:rsid w:val="582B5445"/>
    <w:rsid w:val="5915553D"/>
    <w:rsid w:val="5A080A5E"/>
    <w:rsid w:val="5BB53E8C"/>
    <w:rsid w:val="5C6147F6"/>
    <w:rsid w:val="5CDF3492"/>
    <w:rsid w:val="5E8030C9"/>
    <w:rsid w:val="5E935BDD"/>
    <w:rsid w:val="5E9E2983"/>
    <w:rsid w:val="5F6B2EC3"/>
    <w:rsid w:val="5F9C0729"/>
    <w:rsid w:val="5FD256AA"/>
    <w:rsid w:val="60025EFD"/>
    <w:rsid w:val="61662253"/>
    <w:rsid w:val="62387ACD"/>
    <w:rsid w:val="629C4EAB"/>
    <w:rsid w:val="63586FE3"/>
    <w:rsid w:val="635D23A2"/>
    <w:rsid w:val="63837671"/>
    <w:rsid w:val="64A4278B"/>
    <w:rsid w:val="65AC52D1"/>
    <w:rsid w:val="66A47583"/>
    <w:rsid w:val="684C0913"/>
    <w:rsid w:val="68526301"/>
    <w:rsid w:val="686D002E"/>
    <w:rsid w:val="69506C3A"/>
    <w:rsid w:val="6A7144F7"/>
    <w:rsid w:val="6A7E31AA"/>
    <w:rsid w:val="6F962447"/>
    <w:rsid w:val="6FD52F1E"/>
    <w:rsid w:val="70D130F0"/>
    <w:rsid w:val="71BF2631"/>
    <w:rsid w:val="72432859"/>
    <w:rsid w:val="72A6047B"/>
    <w:rsid w:val="731E6082"/>
    <w:rsid w:val="74551437"/>
    <w:rsid w:val="74770955"/>
    <w:rsid w:val="74A92269"/>
    <w:rsid w:val="74B317A4"/>
    <w:rsid w:val="751E5B49"/>
    <w:rsid w:val="753E6179"/>
    <w:rsid w:val="7691013C"/>
    <w:rsid w:val="7721660F"/>
    <w:rsid w:val="78D554EA"/>
    <w:rsid w:val="79A13683"/>
    <w:rsid w:val="79AB595D"/>
    <w:rsid w:val="7AC641BE"/>
    <w:rsid w:val="7AD91C29"/>
    <w:rsid w:val="7B7E3315"/>
    <w:rsid w:val="7BD4528D"/>
    <w:rsid w:val="7BF40584"/>
    <w:rsid w:val="7C005E28"/>
    <w:rsid w:val="7C7E1953"/>
    <w:rsid w:val="7D1E0B0B"/>
    <w:rsid w:val="7E68345C"/>
    <w:rsid w:val="7E745C16"/>
    <w:rsid w:val="7E8571C4"/>
    <w:rsid w:val="7EA54025"/>
    <w:rsid w:val="7F133C2B"/>
    <w:rsid w:val="7FBE44E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480" w:lineRule="exact"/>
      <w:jc w:val="both"/>
    </w:pPr>
    <w:rPr>
      <w:rFonts w:ascii="Times New Roman" w:hAnsi="Times New Roman"/>
      <w:kern w:val="2"/>
      <w:sz w:val="28"/>
      <w:szCs w:val="24"/>
      <w:lang w:val="en-US" w:eastAsia="zh-CN" w:bidi="ar-SA"/>
    </w:rPr>
  </w:style>
  <w:style w:type="paragraph" w:styleId="4">
    <w:name w:val="heading 1"/>
    <w:basedOn w:val="1"/>
    <w:next w:val="1"/>
    <w:link w:val="20"/>
    <w:qFormat/>
    <w:uiPriority w:val="0"/>
    <w:pPr>
      <w:keepNext/>
      <w:keepLines/>
      <w:adjustRightInd w:val="0"/>
      <w:snapToGrid w:val="0"/>
      <w:spacing w:before="220" w:line="360" w:lineRule="auto"/>
      <w:jc w:val="center"/>
      <w:outlineLvl w:val="0"/>
    </w:pPr>
    <w:rPr>
      <w:rFonts w:ascii="黑体" w:hAnsi="黑体" w:eastAsia="黑体"/>
      <w:kern w:val="44"/>
      <w:sz w:val="32"/>
      <w:szCs w:val="44"/>
    </w:rPr>
  </w:style>
  <w:style w:type="paragraph" w:styleId="5">
    <w:name w:val="heading 2"/>
    <w:basedOn w:val="1"/>
    <w:next w:val="1"/>
    <w:link w:val="21"/>
    <w:qFormat/>
    <w:uiPriority w:val="0"/>
    <w:pPr>
      <w:keepNext/>
      <w:keepLines/>
      <w:spacing w:beforeAutospacing="0" w:afterLines="0" w:afterAutospacing="0" w:line="500" w:lineRule="exact"/>
      <w:ind w:firstLine="0" w:firstLineChars="0"/>
      <w:outlineLvl w:val="1"/>
    </w:pPr>
    <w:rPr>
      <w:rFonts w:ascii="Arial" w:hAnsi="Arial" w:eastAsia="宋体"/>
      <w:b/>
      <w:snapToGrid w:val="0"/>
      <w:kern w:val="10"/>
      <w:sz w:val="32"/>
      <w:szCs w:val="30"/>
    </w:rPr>
  </w:style>
  <w:style w:type="paragraph" w:styleId="6">
    <w:name w:val="heading 3"/>
    <w:basedOn w:val="1"/>
    <w:next w:val="1"/>
    <w:link w:val="23"/>
    <w:qFormat/>
    <w:uiPriority w:val="0"/>
    <w:pPr>
      <w:keepNext/>
      <w:keepLines/>
      <w:adjustRightInd w:val="0"/>
      <w:snapToGrid w:val="0"/>
      <w:spacing w:line="500" w:lineRule="exact"/>
      <w:ind w:firstLine="0" w:firstLineChars="0"/>
      <w:outlineLvl w:val="2"/>
    </w:pPr>
    <w:rPr>
      <w:rFonts w:ascii="黑体" w:hAnsi="黑体" w:eastAsia="宋体"/>
      <w:b/>
      <w:kern w:val="0"/>
      <w:sz w:val="28"/>
      <w:szCs w:val="32"/>
    </w:rPr>
  </w:style>
  <w:style w:type="paragraph" w:styleId="7">
    <w:name w:val="heading 4"/>
    <w:basedOn w:val="1"/>
    <w:next w:val="1"/>
    <w:link w:val="24"/>
    <w:qFormat/>
    <w:uiPriority w:val="0"/>
    <w:pPr>
      <w:keepNext/>
      <w:adjustRightInd w:val="0"/>
      <w:snapToGrid w:val="0"/>
      <w:spacing w:line="500" w:lineRule="exact"/>
      <w:jc w:val="left"/>
      <w:outlineLvl w:val="3"/>
    </w:pPr>
    <w:rPr>
      <w:rFonts w:ascii="楷体_GB2312" w:hAnsi="楷体_GB2312" w:eastAsia="宋体"/>
      <w:b/>
      <w:bCs/>
      <w:sz w:val="28"/>
      <w:szCs w:val="28"/>
    </w:rPr>
  </w:style>
  <w:style w:type="paragraph" w:styleId="8">
    <w:name w:val="heading 5"/>
    <w:basedOn w:val="1"/>
    <w:next w:val="1"/>
    <w:qFormat/>
    <w:uiPriority w:val="0"/>
    <w:pPr>
      <w:keepNext/>
      <w:keepLines/>
      <w:numPr>
        <w:ilvl w:val="4"/>
        <w:numId w:val="1"/>
      </w:numPr>
      <w:spacing w:before="280" w:beforeLines="0" w:beforeAutospacing="0" w:after="290" w:afterLines="0" w:afterAutospacing="0" w:line="372" w:lineRule="auto"/>
      <w:outlineLvl w:val="4"/>
    </w:pPr>
    <w:rPr>
      <w:b/>
      <w:sz w:val="28"/>
    </w:rPr>
  </w:style>
  <w:style w:type="paragraph" w:styleId="9">
    <w:name w:val="heading 6"/>
    <w:basedOn w:val="1"/>
    <w:next w:val="1"/>
    <w:qFormat/>
    <w:uiPriority w:val="0"/>
    <w:pPr>
      <w:keepNext/>
      <w:keepLines/>
      <w:numPr>
        <w:ilvl w:val="5"/>
        <w:numId w:val="1"/>
      </w:numPr>
      <w:spacing w:before="240" w:beforeLines="0" w:beforeAutospacing="0" w:after="64" w:afterLines="0" w:afterAutospacing="0" w:line="317" w:lineRule="auto"/>
      <w:outlineLvl w:val="5"/>
    </w:pPr>
    <w:rPr>
      <w:rFonts w:ascii="Arial" w:hAnsi="Arial" w:eastAsia="黑体"/>
      <w:b/>
      <w:sz w:val="24"/>
    </w:rPr>
  </w:style>
  <w:style w:type="paragraph" w:styleId="10">
    <w:name w:val="heading 7"/>
    <w:basedOn w:val="1"/>
    <w:next w:val="1"/>
    <w:qFormat/>
    <w:uiPriority w:val="0"/>
    <w:pPr>
      <w:keepNext/>
      <w:keepLines/>
      <w:numPr>
        <w:ilvl w:val="6"/>
        <w:numId w:val="1"/>
      </w:numPr>
      <w:spacing w:before="240" w:beforeLines="0" w:beforeAutospacing="0" w:after="64" w:afterLines="0" w:afterAutospacing="0" w:line="317" w:lineRule="auto"/>
      <w:outlineLvl w:val="6"/>
    </w:pPr>
    <w:rPr>
      <w:b/>
      <w:sz w:val="24"/>
    </w:rPr>
  </w:style>
  <w:style w:type="paragraph" w:styleId="11">
    <w:name w:val="heading 8"/>
    <w:basedOn w:val="1"/>
    <w:next w:val="1"/>
    <w:qFormat/>
    <w:uiPriority w:val="0"/>
    <w:pPr>
      <w:keepNext/>
      <w:keepLines/>
      <w:numPr>
        <w:ilvl w:val="7"/>
        <w:numId w:val="1"/>
      </w:numPr>
      <w:spacing w:before="240" w:beforeLines="0" w:beforeAutospacing="0" w:after="64" w:afterLines="0" w:afterAutospacing="0" w:line="317" w:lineRule="auto"/>
      <w:outlineLvl w:val="7"/>
    </w:pPr>
    <w:rPr>
      <w:rFonts w:ascii="Arial" w:hAnsi="Arial" w:eastAsia="黑体"/>
      <w:sz w:val="24"/>
    </w:rPr>
  </w:style>
  <w:style w:type="paragraph" w:styleId="12">
    <w:name w:val="heading 9"/>
    <w:basedOn w:val="1"/>
    <w:next w:val="1"/>
    <w:qFormat/>
    <w:uiPriority w:val="0"/>
    <w:pPr>
      <w:keepNext/>
      <w:keepLines/>
      <w:numPr>
        <w:ilvl w:val="8"/>
        <w:numId w:val="1"/>
      </w:numPr>
      <w:spacing w:before="240" w:beforeLines="0" w:beforeAutospacing="0" w:after="64" w:afterLines="0" w:afterAutospacing="0" w:line="317" w:lineRule="auto"/>
      <w:outlineLvl w:val="8"/>
    </w:pPr>
    <w:rPr>
      <w:rFonts w:ascii="Arial" w:hAnsi="Arial" w:eastAsia="黑体"/>
      <w:sz w:val="21"/>
    </w:rPr>
  </w:style>
  <w:style w:type="character" w:default="1" w:styleId="19">
    <w:name w:val="Default Paragraph Font"/>
    <w:semiHidden/>
    <w:qFormat/>
    <w:uiPriority w:val="0"/>
    <w:rPr>
      <w:szCs w:val="24"/>
    </w:rPr>
  </w:style>
  <w:style w:type="table" w:default="1" w:styleId="17">
    <w:name w:val="Normal Table"/>
    <w:semiHidden/>
    <w:qFormat/>
    <w:uiPriority w:val="0"/>
    <w:tblPr>
      <w:tblStyle w:val="17"/>
      <w:tblCellMar>
        <w:top w:w="0" w:type="dxa"/>
        <w:left w:w="108" w:type="dxa"/>
        <w:bottom w:w="0" w:type="dxa"/>
        <w:right w:w="108" w:type="dxa"/>
      </w:tblCellMar>
    </w:tblPr>
  </w:style>
  <w:style w:type="paragraph" w:styleId="2">
    <w:name w:val="Body Text First Indent"/>
    <w:basedOn w:val="3"/>
    <w:unhideWhenUsed/>
    <w:qFormat/>
    <w:uiPriority w:val="99"/>
    <w:pPr>
      <w:snapToGrid w:val="0"/>
      <w:spacing w:after="120" w:line="360" w:lineRule="auto"/>
      <w:ind w:firstLine="420" w:firstLineChars="100"/>
      <w:jc w:val="both"/>
    </w:pPr>
    <w:rPr>
      <w:sz w:val="28"/>
      <w:szCs w:val="21"/>
    </w:rPr>
  </w:style>
  <w:style w:type="paragraph" w:styleId="3">
    <w:name w:val="Body Text"/>
    <w:basedOn w:val="1"/>
    <w:semiHidden/>
    <w:qFormat/>
    <w:uiPriority w:val="0"/>
    <w:pPr>
      <w:jc w:val="center"/>
    </w:pPr>
    <w:rPr>
      <w:sz w:val="21"/>
    </w:rPr>
  </w:style>
  <w:style w:type="paragraph" w:styleId="13">
    <w:name w:val="Date"/>
    <w:basedOn w:val="1"/>
    <w:next w:val="1"/>
    <w:qFormat/>
    <w:uiPriority w:val="0"/>
    <w:rPr>
      <w:rFonts w:ascii="宋体" w:hAnsi="宋体" w:eastAsia="宋体"/>
      <w:sz w:val="28"/>
      <w:szCs w:val="20"/>
    </w:rPr>
  </w:style>
  <w:style w:type="paragraph" w:styleId="14">
    <w:name w:val="Body Text Indent 2"/>
    <w:basedOn w:val="1"/>
    <w:qFormat/>
    <w:uiPriority w:val="0"/>
    <w:pPr>
      <w:adjustRightInd w:val="0"/>
      <w:snapToGrid w:val="0"/>
      <w:spacing w:line="600" w:lineRule="atLeast"/>
      <w:ind w:firstLine="560" w:firstLineChars="200"/>
    </w:pPr>
    <w:rPr>
      <w:rFonts w:ascii="Calibri" w:hAnsi="Calibri" w:eastAsia="宋体"/>
      <w:snapToGrid w:val="0"/>
      <w:kern w:val="0"/>
      <w:sz w:val="28"/>
    </w:rPr>
  </w:style>
  <w:style w:type="paragraph" w:styleId="15">
    <w:name w:val="footer"/>
    <w:basedOn w:val="1"/>
    <w:link w:val="25"/>
    <w:uiPriority w:val="0"/>
    <w:pPr>
      <w:tabs>
        <w:tab w:val="center" w:pos="4153"/>
        <w:tab w:val="right" w:pos="8306"/>
      </w:tabs>
      <w:spacing w:line="240" w:lineRule="atLeast"/>
      <w:jc w:val="left"/>
    </w:pPr>
    <w:rPr>
      <w:sz w:val="18"/>
      <w:szCs w:val="18"/>
    </w:rPr>
  </w:style>
  <w:style w:type="paragraph" w:styleId="16">
    <w:name w:val="header"/>
    <w:basedOn w:val="1"/>
    <w:link w:val="26"/>
    <w:uiPriority w:val="0"/>
    <w:pPr>
      <w:pBdr>
        <w:bottom w:val="single" w:color="auto" w:sz="6" w:space="1"/>
      </w:pBdr>
      <w:tabs>
        <w:tab w:val="center" w:pos="4153"/>
        <w:tab w:val="right" w:pos="8306"/>
      </w:tabs>
      <w:spacing w:line="240" w:lineRule="atLeast"/>
      <w:jc w:val="center"/>
    </w:pPr>
    <w:rPr>
      <w:sz w:val="18"/>
      <w:szCs w:val="18"/>
    </w:rPr>
  </w:style>
  <w:style w:type="table" w:styleId="18">
    <w:name w:val="Table Grid"/>
    <w:basedOn w:val="1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20">
    <w:name w:val="标题 1 字符"/>
    <w:link w:val="4"/>
    <w:qFormat/>
    <w:uiPriority w:val="0"/>
    <w:rPr>
      <w:rFonts w:ascii="黑体" w:hAnsi="黑体" w:eastAsia="黑体" w:cs="Times New Roman"/>
      <w:kern w:val="44"/>
      <w:sz w:val="32"/>
      <w:szCs w:val="44"/>
    </w:rPr>
  </w:style>
  <w:style w:type="character" w:customStyle="1" w:styleId="21">
    <w:name w:val="标题 2 字符"/>
    <w:link w:val="5"/>
    <w:qFormat/>
    <w:uiPriority w:val="0"/>
    <w:rPr>
      <w:rFonts w:ascii="Arial" w:hAnsi="Arial" w:eastAsia="宋体" w:cs="Arial Unicode MS"/>
      <w:b/>
      <w:snapToGrid w:val="0"/>
      <w:kern w:val="10"/>
      <w:sz w:val="32"/>
      <w:szCs w:val="30"/>
      <w:lang w:val="en-US" w:eastAsia="zh-CN" w:bidi="ar-SA"/>
    </w:rPr>
  </w:style>
  <w:style w:type="paragraph" w:customStyle="1" w:styleId="22">
    <w:name w:val="表内格式"/>
    <w:basedOn w:val="1"/>
    <w:qFormat/>
    <w:uiPriority w:val="0"/>
    <w:pPr>
      <w:adjustRightInd w:val="0"/>
      <w:spacing w:line="0" w:lineRule="atLeast"/>
      <w:ind w:firstLine="0" w:firstLineChars="0"/>
    </w:pPr>
    <w:rPr>
      <w:rFonts w:hint="eastAsia" w:eastAsia="宋体" w:cs="Times New Roman"/>
      <w:sz w:val="21"/>
      <w:szCs w:val="21"/>
    </w:rPr>
  </w:style>
  <w:style w:type="character" w:customStyle="1" w:styleId="23">
    <w:name w:val="标题 3 字符"/>
    <w:link w:val="6"/>
    <w:qFormat/>
    <w:uiPriority w:val="0"/>
    <w:rPr>
      <w:rFonts w:ascii="Times New Roman" w:hAnsi="Times New Roman" w:eastAsia="仿宋_GB2312"/>
      <w:b/>
      <w:bCs/>
      <w:snapToGrid w:val="0"/>
      <w:color w:val="000000"/>
      <w:kern w:val="10"/>
      <w:sz w:val="28"/>
      <w:szCs w:val="32"/>
    </w:rPr>
  </w:style>
  <w:style w:type="character" w:customStyle="1" w:styleId="24">
    <w:name w:val="标题 4 字符"/>
    <w:link w:val="7"/>
    <w:qFormat/>
    <w:uiPriority w:val="0"/>
    <w:rPr>
      <w:rFonts w:ascii="楷体_GB2312" w:hAnsi="楷体_GB2312" w:eastAsia="黑体"/>
      <w:b/>
      <w:bCs/>
      <w:sz w:val="28"/>
      <w:szCs w:val="28"/>
    </w:rPr>
  </w:style>
  <w:style w:type="character" w:customStyle="1" w:styleId="25">
    <w:name w:val="页脚 字符"/>
    <w:link w:val="15"/>
    <w:uiPriority w:val="0"/>
    <w:rPr>
      <w:rFonts w:ascii="Times New Roman" w:hAnsi="Times New Roman"/>
      <w:kern w:val="2"/>
      <w:sz w:val="18"/>
      <w:szCs w:val="18"/>
    </w:rPr>
  </w:style>
  <w:style w:type="character" w:customStyle="1" w:styleId="26">
    <w:name w:val="页眉 字符"/>
    <w:link w:val="16"/>
    <w:uiPriority w:val="0"/>
    <w:rPr>
      <w:rFonts w:ascii="Times New Roman" w:hAnsi="Times New Roman"/>
      <w:kern w:val="2"/>
      <w:sz w:val="18"/>
      <w:szCs w:val="18"/>
    </w:rPr>
  </w:style>
  <w:style w:type="character" w:customStyle="1" w:styleId="27">
    <w:name w:val="标题4 Char"/>
    <w:link w:val="28"/>
    <w:qFormat/>
    <w:locked/>
    <w:uiPriority w:val="0"/>
    <w:rPr>
      <w:rFonts w:ascii="黑体" w:hAnsi="黑体" w:eastAsia="黑体" w:cs="Times New Roman"/>
      <w:bCs/>
      <w:snapToGrid w:val="0"/>
      <w:kern w:val="0"/>
      <w:sz w:val="28"/>
      <w:szCs w:val="28"/>
      <w:lang w:val="zh-CN"/>
    </w:rPr>
  </w:style>
  <w:style w:type="paragraph" w:customStyle="1" w:styleId="28">
    <w:name w:val="标题4"/>
    <w:basedOn w:val="7"/>
    <w:link w:val="27"/>
    <w:qFormat/>
    <w:uiPriority w:val="0"/>
    <w:pPr>
      <w:keepNext w:val="0"/>
      <w:spacing w:line="500" w:lineRule="exact"/>
      <w:jc w:val="left"/>
    </w:pPr>
    <w:rPr>
      <w:rFonts w:ascii="黑体" w:hAnsi="黑体" w:eastAsia="宋体" w:cs="Times New Roman"/>
      <w:snapToGrid w:val="0"/>
      <w:kern w:val="0"/>
      <w:lang w:val="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3</Pages>
  <Words>9</Words>
  <Characters>11</Characters>
  <Lines>1</Lines>
  <Paragraphs>1</Paragraphs>
  <TotalTime>1</TotalTime>
  <ScaleCrop>false</ScaleCrop>
  <LinksUpToDate>false</LinksUpToDate>
  <CharactersWithSpaces>11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袁志伟</cp:lastModifiedBy>
  <dcterms:modified xsi:type="dcterms:W3CDTF">2026-05-10T04:32:38Z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0C4AF11051544DCA8890C51AB828453D_13</vt:lpwstr>
  </property>
  <property fmtid="{D5CDD505-2E9C-101B-9397-08002B2CF9AE}" pid="4" name="KSOTemplateDocerSaveRecord">
    <vt:lpwstr>eyJoZGlkIjoiNjZkMTA3MDM2NmE5NTc1ODM3YTg0YmU3M2Q4MTA4MDEiLCJ1c2VySWQiOiI2NDM4MTI2NzYifQ==</vt:lpwstr>
  </property>
</Properties>
</file>