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922E6" w14:textId="77777777" w:rsidR="009219A0" w:rsidRDefault="009219A0">
      <w:pPr>
        <w:adjustRightInd/>
        <w:spacing w:before="120" w:after="120" w:line="240" w:lineRule="auto"/>
        <w:ind w:firstLineChars="0" w:firstLine="0"/>
        <w:rPr>
          <w:rFonts w:ascii="仿宋" w:eastAsia="仿宋" w:hAnsi="仿宋" w:hint="eastAsia"/>
          <w:b/>
          <w:bCs/>
          <w:color w:val="auto"/>
          <w:sz w:val="32"/>
          <w:szCs w:val="32"/>
        </w:rPr>
      </w:pPr>
      <w:bookmarkStart w:id="0" w:name="_Toc470680245"/>
      <w:bookmarkStart w:id="1" w:name="_Toc472410475"/>
      <w:bookmarkStart w:id="2" w:name="_Toc470774281"/>
      <w:bookmarkStart w:id="3" w:name="_Toc470781558"/>
      <w:bookmarkStart w:id="4" w:name="_Toc470860339"/>
      <w:bookmarkStart w:id="5" w:name="_Toc484089655"/>
      <w:bookmarkStart w:id="6" w:name="_Toc470696738"/>
      <w:bookmarkStart w:id="7" w:name="_Toc486522024"/>
      <w:bookmarkStart w:id="8" w:name="_Toc469761000"/>
      <w:bookmarkStart w:id="9" w:name="_Toc485397562"/>
      <w:bookmarkStart w:id="10" w:name="_Toc470694897"/>
    </w:p>
    <w:p w14:paraId="444CB5E2" w14:textId="77777777" w:rsidR="009219A0" w:rsidRDefault="009219A0">
      <w:pPr>
        <w:pStyle w:val="Default1"/>
        <w:rPr>
          <w:rFonts w:hint="default"/>
        </w:rPr>
      </w:pPr>
    </w:p>
    <w:p w14:paraId="4DEA8142" w14:textId="77777777" w:rsidR="009219A0" w:rsidRDefault="00000000">
      <w:pPr>
        <w:adjustRightInd/>
        <w:spacing w:before="120" w:after="120" w:line="240" w:lineRule="auto"/>
        <w:ind w:firstLineChars="0" w:firstLine="0"/>
        <w:jc w:val="center"/>
        <w:rPr>
          <w:rFonts w:ascii="华文中宋" w:eastAsia="华文中宋" w:hAnsi="华文中宋" w:cs="黑体" w:hint="eastAsia"/>
          <w:bCs/>
          <w:caps/>
          <w:color w:val="auto"/>
          <w:sz w:val="44"/>
          <w:szCs w:val="44"/>
        </w:rPr>
      </w:pPr>
      <w:r>
        <w:rPr>
          <w:rFonts w:ascii="华文中宋" w:eastAsia="华文中宋" w:hAnsi="华文中宋" w:cs="黑体" w:hint="eastAsia"/>
          <w:bCs/>
          <w:caps/>
          <w:color w:val="auto"/>
          <w:sz w:val="44"/>
          <w:szCs w:val="44"/>
        </w:rPr>
        <w:t>个旧</w:t>
      </w:r>
      <w:proofErr w:type="gramStart"/>
      <w:r>
        <w:rPr>
          <w:rFonts w:ascii="华文中宋" w:eastAsia="华文中宋" w:hAnsi="华文中宋" w:cs="黑体" w:hint="eastAsia"/>
          <w:bCs/>
          <w:caps/>
          <w:color w:val="auto"/>
          <w:sz w:val="44"/>
          <w:szCs w:val="44"/>
        </w:rPr>
        <w:t>市创源科技</w:t>
      </w:r>
      <w:proofErr w:type="gramEnd"/>
      <w:r>
        <w:rPr>
          <w:rFonts w:ascii="华文中宋" w:eastAsia="华文中宋" w:hAnsi="华文中宋" w:cs="黑体" w:hint="eastAsia"/>
          <w:bCs/>
          <w:caps/>
          <w:color w:val="auto"/>
          <w:sz w:val="44"/>
          <w:szCs w:val="44"/>
        </w:rPr>
        <w:t>有限公司</w:t>
      </w:r>
    </w:p>
    <w:p w14:paraId="386D98DE" w14:textId="77777777" w:rsidR="009219A0" w:rsidRDefault="00000000">
      <w:pPr>
        <w:adjustRightInd/>
        <w:spacing w:before="120" w:after="120" w:line="240" w:lineRule="auto"/>
        <w:ind w:firstLineChars="0" w:firstLine="0"/>
        <w:jc w:val="center"/>
        <w:rPr>
          <w:rFonts w:ascii="华文中宋" w:eastAsia="华文中宋" w:hAnsi="华文中宋" w:cs="黑体" w:hint="eastAsia"/>
          <w:bCs/>
          <w:caps/>
          <w:color w:val="auto"/>
          <w:sz w:val="48"/>
          <w:szCs w:val="48"/>
        </w:rPr>
      </w:pPr>
      <w:r>
        <w:rPr>
          <w:rFonts w:ascii="华文中宋" w:eastAsia="华文中宋" w:hAnsi="华文中宋" w:cs="黑体" w:hint="eastAsia"/>
          <w:bCs/>
          <w:caps/>
          <w:color w:val="auto"/>
          <w:sz w:val="48"/>
          <w:szCs w:val="48"/>
        </w:rPr>
        <w:t>新建实验与研究开发中心及实验基地工程</w:t>
      </w:r>
    </w:p>
    <w:p w14:paraId="5F8E58F5" w14:textId="77777777" w:rsidR="009219A0" w:rsidRDefault="00000000">
      <w:pPr>
        <w:adjustRightInd/>
        <w:spacing w:before="120" w:after="120" w:line="240" w:lineRule="auto"/>
        <w:ind w:firstLineChars="0" w:firstLine="0"/>
        <w:jc w:val="center"/>
        <w:rPr>
          <w:rFonts w:ascii="华文中宋" w:eastAsia="华文中宋" w:hAnsi="华文中宋" w:cs="黑体" w:hint="eastAsia"/>
          <w:bCs/>
          <w:caps/>
          <w:color w:val="auto"/>
          <w:sz w:val="48"/>
          <w:szCs w:val="48"/>
        </w:rPr>
      </w:pPr>
      <w:r>
        <w:rPr>
          <w:rFonts w:ascii="华文中宋" w:eastAsia="华文中宋" w:hAnsi="华文中宋" w:cs="黑体" w:hint="eastAsia"/>
          <w:bCs/>
          <w:caps/>
          <w:color w:val="auto"/>
          <w:sz w:val="48"/>
          <w:szCs w:val="48"/>
        </w:rPr>
        <w:t>建设项目</w:t>
      </w:r>
    </w:p>
    <w:p w14:paraId="72F7A6D0" w14:textId="77777777" w:rsidR="009219A0" w:rsidRDefault="00000000">
      <w:pPr>
        <w:ind w:firstLineChars="0" w:firstLine="0"/>
        <w:jc w:val="center"/>
        <w:rPr>
          <w:rFonts w:ascii="华文中宋" w:eastAsia="华文中宋" w:hAnsi="华文中宋" w:hint="eastAsia"/>
          <w:color w:val="auto"/>
          <w:sz w:val="52"/>
          <w:szCs w:val="52"/>
        </w:rPr>
      </w:pPr>
      <w:r>
        <w:rPr>
          <w:rFonts w:ascii="华文中宋" w:eastAsia="华文中宋" w:hAnsi="华文中宋" w:hint="eastAsia"/>
          <w:color w:val="auto"/>
          <w:sz w:val="52"/>
          <w:szCs w:val="52"/>
        </w:rPr>
        <w:t>安全验收评价报告</w:t>
      </w:r>
    </w:p>
    <w:p w14:paraId="21C7646A" w14:textId="77777777" w:rsidR="009219A0" w:rsidRDefault="009219A0">
      <w:pPr>
        <w:adjustRightInd/>
        <w:snapToGrid/>
        <w:spacing w:after="120" w:line="240" w:lineRule="auto"/>
        <w:ind w:firstLineChars="0" w:firstLine="0"/>
        <w:rPr>
          <w:rFonts w:ascii="仿宋" w:eastAsia="仿宋" w:hAnsi="仿宋" w:hint="eastAsia"/>
          <w:b/>
          <w:bCs/>
          <w:color w:val="auto"/>
          <w:sz w:val="32"/>
          <w:szCs w:val="32"/>
        </w:rPr>
      </w:pPr>
    </w:p>
    <w:p w14:paraId="7963EAE1" w14:textId="77777777" w:rsidR="009219A0" w:rsidRDefault="009219A0">
      <w:pPr>
        <w:adjustRightInd/>
        <w:snapToGrid/>
        <w:spacing w:after="120" w:line="240" w:lineRule="auto"/>
        <w:ind w:firstLineChars="0" w:firstLine="0"/>
        <w:rPr>
          <w:rFonts w:ascii="仿宋" w:eastAsia="仿宋" w:hAnsi="仿宋" w:hint="eastAsia"/>
          <w:b/>
          <w:bCs/>
          <w:color w:val="auto"/>
          <w:sz w:val="32"/>
          <w:szCs w:val="32"/>
        </w:rPr>
      </w:pPr>
    </w:p>
    <w:p w14:paraId="0936B8AC" w14:textId="77777777" w:rsidR="009219A0" w:rsidRDefault="00000000">
      <w:pPr>
        <w:adjustRightInd/>
        <w:snapToGrid/>
        <w:ind w:firstLineChars="400" w:firstLine="1280"/>
        <w:rPr>
          <w:rFonts w:ascii="仿宋" w:eastAsia="仿宋" w:hAnsi="仿宋" w:hint="eastAsia"/>
          <w:color w:val="auto"/>
          <w:kern w:val="0"/>
          <w:sz w:val="32"/>
          <w:szCs w:val="32"/>
        </w:rPr>
      </w:pPr>
      <w:r>
        <w:rPr>
          <w:rFonts w:ascii="仿宋" w:eastAsia="仿宋" w:hAnsi="仿宋" w:hint="eastAsia"/>
          <w:color w:val="auto"/>
          <w:kern w:val="0"/>
          <w:sz w:val="32"/>
          <w:szCs w:val="32"/>
        </w:rPr>
        <w:t>建设单位：个旧</w:t>
      </w:r>
      <w:proofErr w:type="gramStart"/>
      <w:r>
        <w:rPr>
          <w:rFonts w:ascii="仿宋" w:eastAsia="仿宋" w:hAnsi="仿宋" w:hint="eastAsia"/>
          <w:color w:val="auto"/>
          <w:kern w:val="0"/>
          <w:sz w:val="32"/>
          <w:szCs w:val="32"/>
        </w:rPr>
        <w:t>市创源科技</w:t>
      </w:r>
      <w:proofErr w:type="gramEnd"/>
      <w:r>
        <w:rPr>
          <w:rFonts w:ascii="仿宋" w:eastAsia="仿宋" w:hAnsi="仿宋" w:hint="eastAsia"/>
          <w:color w:val="auto"/>
          <w:kern w:val="0"/>
          <w:sz w:val="32"/>
          <w:szCs w:val="32"/>
        </w:rPr>
        <w:t>有限公司</w:t>
      </w:r>
    </w:p>
    <w:p w14:paraId="13574693" w14:textId="77777777" w:rsidR="009219A0" w:rsidRDefault="00000000">
      <w:pPr>
        <w:adjustRightInd/>
        <w:snapToGrid/>
        <w:ind w:firstLineChars="400" w:firstLine="1280"/>
        <w:rPr>
          <w:rFonts w:ascii="仿宋" w:eastAsia="仿宋" w:hAnsi="仿宋" w:hint="eastAsia"/>
          <w:color w:val="auto"/>
          <w:kern w:val="0"/>
          <w:sz w:val="32"/>
          <w:szCs w:val="32"/>
        </w:rPr>
      </w:pPr>
      <w:r>
        <w:rPr>
          <w:rFonts w:ascii="仿宋" w:eastAsia="仿宋" w:hAnsi="仿宋" w:hint="eastAsia"/>
          <w:color w:val="auto"/>
          <w:kern w:val="0"/>
          <w:sz w:val="32"/>
          <w:szCs w:val="32"/>
        </w:rPr>
        <w:t>建设单位法定代表人：林祥</w:t>
      </w:r>
    </w:p>
    <w:p w14:paraId="163B2FB3" w14:textId="77777777" w:rsidR="009219A0" w:rsidRDefault="00000000">
      <w:pPr>
        <w:adjustRightInd/>
        <w:snapToGrid/>
        <w:ind w:firstLineChars="400" w:firstLine="1280"/>
        <w:rPr>
          <w:rFonts w:ascii="仿宋" w:eastAsia="仿宋" w:hAnsi="仿宋" w:hint="eastAsia"/>
          <w:color w:val="auto"/>
          <w:kern w:val="0"/>
          <w:sz w:val="32"/>
          <w:szCs w:val="32"/>
        </w:rPr>
      </w:pPr>
      <w:r>
        <w:rPr>
          <w:rFonts w:ascii="仿宋" w:eastAsia="仿宋" w:hAnsi="仿宋" w:hint="eastAsia"/>
          <w:color w:val="auto"/>
          <w:kern w:val="0"/>
          <w:sz w:val="32"/>
          <w:szCs w:val="32"/>
        </w:rPr>
        <w:t>建设项目单位：个旧</w:t>
      </w:r>
      <w:proofErr w:type="gramStart"/>
      <w:r>
        <w:rPr>
          <w:rFonts w:ascii="仿宋" w:eastAsia="仿宋" w:hAnsi="仿宋" w:hint="eastAsia"/>
          <w:color w:val="auto"/>
          <w:kern w:val="0"/>
          <w:sz w:val="32"/>
          <w:szCs w:val="32"/>
        </w:rPr>
        <w:t>市创源科技</w:t>
      </w:r>
      <w:proofErr w:type="gramEnd"/>
      <w:r>
        <w:rPr>
          <w:rFonts w:ascii="仿宋" w:eastAsia="仿宋" w:hAnsi="仿宋" w:hint="eastAsia"/>
          <w:color w:val="auto"/>
          <w:kern w:val="0"/>
          <w:sz w:val="32"/>
          <w:szCs w:val="32"/>
        </w:rPr>
        <w:t>有限公司</w:t>
      </w:r>
    </w:p>
    <w:p w14:paraId="77A1A5A3" w14:textId="77777777" w:rsidR="009219A0" w:rsidRDefault="00000000">
      <w:pPr>
        <w:adjustRightInd/>
        <w:snapToGrid/>
        <w:ind w:firstLineChars="400" w:firstLine="1280"/>
        <w:rPr>
          <w:rFonts w:ascii="仿宋" w:eastAsia="仿宋" w:hAnsi="仿宋" w:hint="eastAsia"/>
          <w:color w:val="auto"/>
          <w:kern w:val="0"/>
          <w:sz w:val="32"/>
          <w:szCs w:val="32"/>
        </w:rPr>
      </w:pPr>
      <w:r>
        <w:rPr>
          <w:rFonts w:ascii="仿宋" w:eastAsia="仿宋" w:hAnsi="仿宋" w:hint="eastAsia"/>
          <w:color w:val="auto"/>
          <w:kern w:val="0"/>
          <w:sz w:val="32"/>
          <w:szCs w:val="32"/>
        </w:rPr>
        <w:t>建设项目单位主要负责人：林祥</w:t>
      </w:r>
    </w:p>
    <w:p w14:paraId="0F5C6696" w14:textId="77777777" w:rsidR="009219A0" w:rsidRDefault="00000000">
      <w:pPr>
        <w:adjustRightInd/>
        <w:snapToGrid/>
        <w:ind w:firstLineChars="400" w:firstLine="1280"/>
        <w:rPr>
          <w:rFonts w:ascii="仿宋" w:eastAsia="仿宋" w:hAnsi="仿宋" w:hint="eastAsia"/>
          <w:color w:val="auto"/>
          <w:kern w:val="0"/>
          <w:sz w:val="32"/>
          <w:szCs w:val="32"/>
        </w:rPr>
      </w:pPr>
      <w:r>
        <w:rPr>
          <w:rFonts w:ascii="仿宋" w:eastAsia="仿宋" w:hAnsi="仿宋" w:hint="eastAsia"/>
          <w:color w:val="auto"/>
          <w:kern w:val="0"/>
          <w:sz w:val="32"/>
          <w:szCs w:val="32"/>
        </w:rPr>
        <w:t>建设项目单位联系人：李福祥</w:t>
      </w:r>
    </w:p>
    <w:p w14:paraId="66D85272" w14:textId="77777777" w:rsidR="009219A0" w:rsidRDefault="00000000">
      <w:pPr>
        <w:adjustRightInd/>
        <w:snapToGrid/>
        <w:ind w:firstLineChars="400" w:firstLine="1280"/>
        <w:rPr>
          <w:rFonts w:ascii="宋体" w:hAnsi="宋体" w:hint="eastAsia"/>
          <w:b/>
          <w:color w:val="auto"/>
          <w:kern w:val="0"/>
          <w:sz w:val="32"/>
          <w:szCs w:val="32"/>
        </w:rPr>
      </w:pPr>
      <w:r>
        <w:rPr>
          <w:rFonts w:ascii="仿宋" w:eastAsia="仿宋" w:hAnsi="仿宋" w:hint="eastAsia"/>
          <w:color w:val="auto"/>
          <w:kern w:val="0"/>
          <w:sz w:val="32"/>
          <w:szCs w:val="32"/>
        </w:rPr>
        <w:t>建设项目单位联系电话：</w:t>
      </w:r>
      <w:r>
        <w:rPr>
          <w:rFonts w:ascii="仿宋" w:eastAsia="仿宋" w:hAnsi="仿宋"/>
          <w:color w:val="auto"/>
          <w:kern w:val="0"/>
          <w:sz w:val="32"/>
          <w:szCs w:val="32"/>
        </w:rPr>
        <w:t>13769370461</w:t>
      </w:r>
    </w:p>
    <w:p w14:paraId="13DFC3F9" w14:textId="77777777" w:rsidR="009219A0" w:rsidRDefault="009219A0">
      <w:pPr>
        <w:adjustRightInd/>
        <w:spacing w:before="120" w:after="120" w:line="240" w:lineRule="auto"/>
        <w:ind w:firstLineChars="0" w:firstLine="0"/>
        <w:rPr>
          <w:rFonts w:ascii="仿宋" w:eastAsia="仿宋" w:hAnsi="仿宋" w:hint="eastAsia"/>
          <w:bCs/>
          <w:caps/>
          <w:color w:val="auto"/>
          <w:sz w:val="32"/>
          <w:szCs w:val="32"/>
        </w:rPr>
      </w:pPr>
    </w:p>
    <w:p w14:paraId="0A6DD1CC" w14:textId="77777777" w:rsidR="009219A0" w:rsidRDefault="009219A0">
      <w:pPr>
        <w:ind w:firstLineChars="0" w:firstLine="0"/>
        <w:rPr>
          <w:rFonts w:ascii="仿宋" w:eastAsia="仿宋" w:hAnsi="仿宋" w:hint="eastAsia"/>
          <w:b/>
          <w:color w:val="auto"/>
          <w:sz w:val="32"/>
          <w:szCs w:val="32"/>
        </w:rPr>
      </w:pPr>
    </w:p>
    <w:p w14:paraId="32162446" w14:textId="77777777" w:rsidR="009219A0" w:rsidRDefault="00000000">
      <w:pPr>
        <w:ind w:firstLineChars="0" w:firstLine="0"/>
        <w:jc w:val="center"/>
        <w:rPr>
          <w:rFonts w:ascii="仿宋" w:eastAsia="仿宋" w:hAnsi="仿宋" w:hint="eastAsia"/>
          <w:color w:val="auto"/>
          <w:sz w:val="32"/>
          <w:szCs w:val="32"/>
        </w:rPr>
      </w:pPr>
      <w:r>
        <w:rPr>
          <w:rFonts w:ascii="仿宋" w:eastAsia="仿宋" w:hAnsi="仿宋" w:hint="eastAsia"/>
          <w:color w:val="auto"/>
          <w:sz w:val="32"/>
          <w:szCs w:val="32"/>
        </w:rPr>
        <w:t>个旧</w:t>
      </w:r>
      <w:proofErr w:type="gramStart"/>
      <w:r>
        <w:rPr>
          <w:rFonts w:ascii="仿宋" w:eastAsia="仿宋" w:hAnsi="仿宋" w:hint="eastAsia"/>
          <w:color w:val="auto"/>
          <w:sz w:val="32"/>
          <w:szCs w:val="32"/>
        </w:rPr>
        <w:t>市创源科技</w:t>
      </w:r>
      <w:proofErr w:type="gramEnd"/>
      <w:r>
        <w:rPr>
          <w:rFonts w:ascii="仿宋" w:eastAsia="仿宋" w:hAnsi="仿宋" w:hint="eastAsia"/>
          <w:color w:val="auto"/>
          <w:sz w:val="32"/>
          <w:szCs w:val="32"/>
        </w:rPr>
        <w:t>有限公司</w:t>
      </w:r>
    </w:p>
    <w:p w14:paraId="167A6EDE" w14:textId="77777777" w:rsidR="009219A0" w:rsidRDefault="00000000">
      <w:pPr>
        <w:ind w:firstLine="640"/>
        <w:jc w:val="center"/>
        <w:rPr>
          <w:rFonts w:ascii="仿宋" w:eastAsia="仿宋" w:hAnsi="仿宋" w:hint="eastAsia"/>
          <w:color w:val="auto"/>
          <w:sz w:val="32"/>
          <w:szCs w:val="32"/>
        </w:rPr>
      </w:pPr>
      <w:r>
        <w:rPr>
          <w:rFonts w:ascii="仿宋" w:eastAsia="仿宋" w:hAnsi="仿宋"/>
          <w:color w:val="auto"/>
          <w:sz w:val="32"/>
          <w:szCs w:val="32"/>
        </w:rPr>
        <w:t>二〇二</w:t>
      </w:r>
      <w:r>
        <w:rPr>
          <w:rFonts w:ascii="仿宋" w:eastAsia="仿宋" w:hAnsi="仿宋" w:hint="eastAsia"/>
          <w:color w:val="auto"/>
          <w:sz w:val="32"/>
          <w:szCs w:val="32"/>
        </w:rPr>
        <w:t>五</w:t>
      </w:r>
      <w:r>
        <w:rPr>
          <w:rFonts w:ascii="仿宋" w:eastAsia="仿宋" w:hAnsi="仿宋"/>
          <w:color w:val="auto"/>
          <w:sz w:val="32"/>
          <w:szCs w:val="32"/>
        </w:rPr>
        <w:t>年</w:t>
      </w:r>
      <w:r>
        <w:rPr>
          <w:rFonts w:ascii="仿宋" w:eastAsia="仿宋" w:hAnsi="仿宋" w:hint="eastAsia"/>
          <w:color w:val="auto"/>
          <w:sz w:val="32"/>
          <w:szCs w:val="32"/>
        </w:rPr>
        <w:t>十</w:t>
      </w:r>
      <w:r>
        <w:rPr>
          <w:rFonts w:ascii="仿宋" w:eastAsia="仿宋" w:hAnsi="仿宋"/>
          <w:color w:val="auto"/>
          <w:sz w:val="32"/>
          <w:szCs w:val="32"/>
        </w:rPr>
        <w:t>月</w:t>
      </w:r>
    </w:p>
    <w:p w14:paraId="71FC0187" w14:textId="77777777" w:rsidR="009219A0" w:rsidRDefault="009219A0">
      <w:pPr>
        <w:pStyle w:val="Default1"/>
        <w:rPr>
          <w:rFonts w:ascii="仿宋" w:eastAsia="仿宋" w:hAnsi="仿宋"/>
          <w:sz w:val="32"/>
          <w:szCs w:val="32"/>
        </w:rPr>
      </w:pPr>
    </w:p>
    <w:p w14:paraId="6BD391CD" w14:textId="77777777" w:rsidR="009219A0" w:rsidRDefault="009219A0">
      <w:pPr>
        <w:pStyle w:val="Default1"/>
        <w:rPr>
          <w:rFonts w:ascii="仿宋" w:eastAsia="仿宋" w:hAnsi="仿宋"/>
          <w:sz w:val="32"/>
          <w:szCs w:val="32"/>
        </w:rPr>
      </w:pPr>
    </w:p>
    <w:p w14:paraId="2E8D45C2" w14:textId="77777777" w:rsidR="009219A0" w:rsidRDefault="009219A0">
      <w:pPr>
        <w:pStyle w:val="Default1"/>
        <w:rPr>
          <w:rFonts w:hint="default"/>
          <w:color w:val="auto"/>
        </w:rPr>
      </w:pPr>
    </w:p>
    <w:p w14:paraId="7CB9E6AF" w14:textId="77777777" w:rsidR="009219A0" w:rsidRDefault="009219A0">
      <w:pPr>
        <w:ind w:firstLineChars="0" w:firstLine="0"/>
        <w:jc w:val="center"/>
        <w:rPr>
          <w:rFonts w:ascii="仿宋" w:eastAsia="仿宋" w:hAnsi="仿宋" w:hint="eastAsia"/>
          <w:bCs/>
          <w:snapToGrid w:val="0"/>
          <w:color w:val="auto"/>
          <w:kern w:val="0"/>
          <w:szCs w:val="28"/>
        </w:rPr>
        <w:sectPr w:rsidR="009219A0">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588" w:left="1418" w:header="851" w:footer="992" w:gutter="0"/>
          <w:pgNumType w:start="1"/>
          <w:cols w:space="0"/>
          <w:docGrid w:linePitch="381"/>
        </w:sectPr>
      </w:pPr>
    </w:p>
    <w:p w14:paraId="02D3C528" w14:textId="77777777" w:rsidR="009219A0" w:rsidRDefault="009219A0">
      <w:pPr>
        <w:pStyle w:val="Default1"/>
        <w:rPr>
          <w:rFonts w:ascii="仿宋" w:eastAsia="仿宋" w:hAnsi="仿宋"/>
          <w:color w:val="auto"/>
          <w:sz w:val="32"/>
          <w:szCs w:val="32"/>
        </w:rPr>
      </w:pPr>
    </w:p>
    <w:p w14:paraId="113F537F" w14:textId="77777777" w:rsidR="009219A0" w:rsidRDefault="00000000">
      <w:pPr>
        <w:ind w:firstLineChars="0" w:firstLine="0"/>
        <w:jc w:val="center"/>
        <w:rPr>
          <w:rFonts w:ascii="华文中宋" w:eastAsia="华文中宋" w:hAnsi="华文中宋" w:cs="华文中宋" w:hint="eastAsia"/>
          <w:color w:val="auto"/>
          <w:sz w:val="44"/>
          <w:szCs w:val="44"/>
        </w:rPr>
      </w:pPr>
      <w:r>
        <w:rPr>
          <w:rFonts w:ascii="华文中宋" w:eastAsia="华文中宋" w:hAnsi="华文中宋" w:cs="华文中宋" w:hint="eastAsia"/>
          <w:color w:val="auto"/>
          <w:sz w:val="44"/>
          <w:szCs w:val="44"/>
        </w:rPr>
        <w:t>个旧</w:t>
      </w:r>
      <w:proofErr w:type="gramStart"/>
      <w:r>
        <w:rPr>
          <w:rFonts w:ascii="华文中宋" w:eastAsia="华文中宋" w:hAnsi="华文中宋" w:cs="华文中宋" w:hint="eastAsia"/>
          <w:color w:val="auto"/>
          <w:sz w:val="44"/>
          <w:szCs w:val="44"/>
        </w:rPr>
        <w:t>市创源科技</w:t>
      </w:r>
      <w:proofErr w:type="gramEnd"/>
      <w:r>
        <w:rPr>
          <w:rFonts w:ascii="华文中宋" w:eastAsia="华文中宋" w:hAnsi="华文中宋" w:cs="华文中宋" w:hint="eastAsia"/>
          <w:color w:val="auto"/>
          <w:sz w:val="44"/>
          <w:szCs w:val="44"/>
        </w:rPr>
        <w:t>有限公司</w:t>
      </w:r>
    </w:p>
    <w:p w14:paraId="4572D8F3" w14:textId="77777777" w:rsidR="009219A0" w:rsidRDefault="00000000">
      <w:pPr>
        <w:ind w:firstLineChars="0" w:firstLine="0"/>
        <w:jc w:val="center"/>
        <w:rPr>
          <w:rFonts w:ascii="华文中宋" w:eastAsia="华文中宋" w:hAnsi="华文中宋" w:cs="华文中宋" w:hint="eastAsia"/>
          <w:color w:val="auto"/>
          <w:sz w:val="48"/>
          <w:szCs w:val="48"/>
        </w:rPr>
      </w:pPr>
      <w:r>
        <w:rPr>
          <w:rFonts w:ascii="华文中宋" w:eastAsia="华文中宋" w:hAnsi="华文中宋" w:cs="华文中宋" w:hint="eastAsia"/>
          <w:color w:val="auto"/>
          <w:sz w:val="48"/>
          <w:szCs w:val="48"/>
        </w:rPr>
        <w:t>新建实验与研究开发中心及实验基地工程</w:t>
      </w:r>
    </w:p>
    <w:p w14:paraId="61F9BA64" w14:textId="77777777" w:rsidR="009219A0" w:rsidRDefault="00000000">
      <w:pPr>
        <w:ind w:firstLineChars="0" w:firstLine="0"/>
        <w:jc w:val="center"/>
        <w:rPr>
          <w:rFonts w:ascii="华文中宋" w:eastAsia="华文中宋" w:hAnsi="华文中宋" w:cs="华文中宋" w:hint="eastAsia"/>
          <w:color w:val="auto"/>
          <w:sz w:val="52"/>
          <w:szCs w:val="52"/>
        </w:rPr>
      </w:pPr>
      <w:r>
        <w:rPr>
          <w:rFonts w:ascii="华文中宋" w:eastAsia="华文中宋" w:hAnsi="华文中宋" w:cs="华文中宋" w:hint="eastAsia"/>
          <w:color w:val="auto"/>
          <w:sz w:val="48"/>
          <w:szCs w:val="48"/>
        </w:rPr>
        <w:t>建设项目</w:t>
      </w:r>
    </w:p>
    <w:p w14:paraId="44707F8B" w14:textId="77777777" w:rsidR="009219A0" w:rsidRDefault="00000000">
      <w:pPr>
        <w:ind w:firstLineChars="0" w:firstLine="0"/>
        <w:jc w:val="center"/>
        <w:rPr>
          <w:rFonts w:ascii="华文中宋" w:eastAsia="华文中宋" w:hAnsi="华文中宋" w:cs="华文中宋" w:hint="eastAsia"/>
          <w:color w:val="auto"/>
          <w:sz w:val="52"/>
          <w:szCs w:val="52"/>
        </w:rPr>
      </w:pPr>
      <w:r>
        <w:rPr>
          <w:rFonts w:ascii="华文中宋" w:eastAsia="华文中宋" w:hAnsi="华文中宋" w:cs="华文中宋" w:hint="eastAsia"/>
          <w:color w:val="auto"/>
          <w:sz w:val="52"/>
          <w:szCs w:val="52"/>
        </w:rPr>
        <w:t>安全验收评价报告</w:t>
      </w:r>
    </w:p>
    <w:p w14:paraId="2AD9E2F2" w14:textId="77777777" w:rsidR="009219A0" w:rsidRDefault="009219A0">
      <w:pPr>
        <w:pStyle w:val="Default1"/>
        <w:rPr>
          <w:rFonts w:ascii="仿宋" w:eastAsia="仿宋" w:hAnsi="仿宋"/>
          <w:sz w:val="32"/>
          <w:szCs w:val="32"/>
        </w:rPr>
      </w:pPr>
    </w:p>
    <w:p w14:paraId="03E42387" w14:textId="77777777" w:rsidR="009219A0" w:rsidRDefault="009219A0">
      <w:pPr>
        <w:pStyle w:val="Default1"/>
        <w:rPr>
          <w:rFonts w:ascii="仿宋" w:eastAsia="仿宋" w:hAnsi="仿宋"/>
          <w:sz w:val="32"/>
          <w:szCs w:val="32"/>
        </w:rPr>
      </w:pPr>
    </w:p>
    <w:p w14:paraId="62339BB4" w14:textId="77777777" w:rsidR="009219A0" w:rsidRDefault="00000000">
      <w:pPr>
        <w:ind w:leftChars="200" w:left="560" w:firstLineChars="400" w:firstLine="1280"/>
        <w:rPr>
          <w:rFonts w:ascii="仿宋" w:eastAsia="仿宋" w:hAnsi="仿宋" w:cs="仿宋" w:hint="eastAsia"/>
          <w:bCs/>
          <w:color w:val="auto"/>
          <w:sz w:val="32"/>
          <w:szCs w:val="32"/>
        </w:rPr>
      </w:pPr>
      <w:r>
        <w:rPr>
          <w:rFonts w:ascii="仿宋" w:eastAsia="仿宋" w:hAnsi="仿宋" w:cs="仿宋" w:hint="eastAsia"/>
          <w:bCs/>
          <w:color w:val="auto"/>
          <w:sz w:val="32"/>
          <w:szCs w:val="32"/>
        </w:rPr>
        <w:t>评价机构名称：昭通市</w:t>
      </w:r>
      <w:proofErr w:type="gramStart"/>
      <w:r>
        <w:rPr>
          <w:rFonts w:ascii="仿宋" w:eastAsia="仿宋" w:hAnsi="仿宋" w:cs="仿宋" w:hint="eastAsia"/>
          <w:bCs/>
          <w:color w:val="auto"/>
          <w:sz w:val="32"/>
          <w:szCs w:val="32"/>
        </w:rPr>
        <w:t>鼎安科技</w:t>
      </w:r>
      <w:proofErr w:type="gramEnd"/>
      <w:r>
        <w:rPr>
          <w:rFonts w:ascii="仿宋" w:eastAsia="仿宋" w:hAnsi="仿宋" w:cs="仿宋" w:hint="eastAsia"/>
          <w:bCs/>
          <w:color w:val="auto"/>
          <w:sz w:val="32"/>
          <w:szCs w:val="32"/>
        </w:rPr>
        <w:t>有限公司</w:t>
      </w:r>
    </w:p>
    <w:p w14:paraId="70E921ED" w14:textId="77777777" w:rsidR="009219A0" w:rsidRDefault="00000000">
      <w:pPr>
        <w:ind w:leftChars="200" w:left="560" w:firstLineChars="400" w:firstLine="1280"/>
        <w:rPr>
          <w:rFonts w:ascii="仿宋" w:eastAsia="仿宋" w:hAnsi="仿宋" w:cs="仿宋" w:hint="eastAsia"/>
          <w:bCs/>
          <w:color w:val="auto"/>
          <w:sz w:val="32"/>
          <w:szCs w:val="32"/>
        </w:rPr>
      </w:pPr>
      <w:r>
        <w:rPr>
          <w:rFonts w:ascii="仿宋" w:eastAsia="仿宋" w:hAnsi="仿宋" w:cs="仿宋" w:hint="eastAsia"/>
          <w:bCs/>
          <w:color w:val="auto"/>
          <w:sz w:val="32"/>
          <w:szCs w:val="32"/>
        </w:rPr>
        <w:t>资质证书编号：APJ-（云）-005</w:t>
      </w:r>
    </w:p>
    <w:p w14:paraId="3AC783A0" w14:textId="77777777" w:rsidR="009219A0" w:rsidRDefault="00000000">
      <w:pPr>
        <w:ind w:leftChars="200" w:left="560" w:firstLineChars="400" w:firstLine="1280"/>
        <w:rPr>
          <w:rFonts w:ascii="仿宋" w:eastAsia="仿宋" w:hAnsi="仿宋" w:cs="仿宋" w:hint="eastAsia"/>
          <w:bCs/>
          <w:color w:val="auto"/>
          <w:sz w:val="32"/>
          <w:szCs w:val="32"/>
        </w:rPr>
      </w:pPr>
      <w:r>
        <w:rPr>
          <w:rFonts w:ascii="仿宋" w:eastAsia="仿宋" w:hAnsi="仿宋" w:cs="仿宋" w:hint="eastAsia"/>
          <w:bCs/>
          <w:color w:val="auto"/>
          <w:sz w:val="32"/>
          <w:szCs w:val="32"/>
        </w:rPr>
        <w:t>法定代表人：毛卫旭</w:t>
      </w:r>
    </w:p>
    <w:p w14:paraId="131154CA" w14:textId="77777777" w:rsidR="009219A0" w:rsidRDefault="00000000">
      <w:pPr>
        <w:ind w:leftChars="200" w:left="560" w:firstLineChars="400" w:firstLine="1280"/>
        <w:rPr>
          <w:rFonts w:ascii="仿宋" w:eastAsia="仿宋" w:hAnsi="仿宋" w:cs="仿宋" w:hint="eastAsia"/>
          <w:bCs/>
          <w:color w:val="auto"/>
          <w:sz w:val="32"/>
          <w:szCs w:val="32"/>
        </w:rPr>
      </w:pPr>
      <w:r>
        <w:rPr>
          <w:rFonts w:ascii="仿宋" w:eastAsia="仿宋" w:hAnsi="仿宋" w:cs="仿宋" w:hint="eastAsia"/>
          <w:bCs/>
          <w:color w:val="auto"/>
          <w:sz w:val="32"/>
          <w:szCs w:val="32"/>
        </w:rPr>
        <w:t>项目负责人：杨庆国</w:t>
      </w:r>
    </w:p>
    <w:p w14:paraId="1AEE7DAF" w14:textId="77777777" w:rsidR="009219A0" w:rsidRDefault="00000000">
      <w:pPr>
        <w:ind w:leftChars="200" w:left="560" w:firstLineChars="400" w:firstLine="1280"/>
        <w:rPr>
          <w:rFonts w:ascii="仿宋" w:eastAsia="仿宋" w:hAnsi="仿宋" w:cs="仿宋" w:hint="eastAsia"/>
          <w:bCs/>
          <w:color w:val="auto"/>
          <w:sz w:val="32"/>
          <w:szCs w:val="32"/>
        </w:rPr>
      </w:pPr>
      <w:r>
        <w:rPr>
          <w:rFonts w:ascii="仿宋" w:eastAsia="仿宋" w:hAnsi="仿宋" w:cs="仿宋" w:hint="eastAsia"/>
          <w:bCs/>
          <w:color w:val="auto"/>
          <w:sz w:val="32"/>
          <w:szCs w:val="32"/>
        </w:rPr>
        <w:t>技术负责人：</w:t>
      </w:r>
      <w:proofErr w:type="gramStart"/>
      <w:r>
        <w:rPr>
          <w:rFonts w:ascii="仿宋" w:eastAsia="仿宋" w:hAnsi="仿宋" w:cs="仿宋" w:hint="eastAsia"/>
          <w:bCs/>
          <w:color w:val="auto"/>
          <w:sz w:val="32"/>
          <w:szCs w:val="32"/>
        </w:rPr>
        <w:t>饶旭军</w:t>
      </w:r>
      <w:proofErr w:type="gramEnd"/>
    </w:p>
    <w:p w14:paraId="4A58742C" w14:textId="77777777" w:rsidR="009219A0" w:rsidRDefault="00000000">
      <w:pPr>
        <w:ind w:leftChars="200" w:left="560" w:firstLineChars="400" w:firstLine="1280"/>
        <w:rPr>
          <w:rFonts w:ascii="仿宋" w:eastAsia="仿宋" w:hAnsi="仿宋" w:cs="仿宋" w:hint="eastAsia"/>
          <w:bCs/>
          <w:color w:val="auto"/>
          <w:sz w:val="32"/>
          <w:szCs w:val="32"/>
        </w:rPr>
      </w:pPr>
      <w:r>
        <w:rPr>
          <w:rFonts w:ascii="仿宋" w:eastAsia="仿宋" w:hAnsi="仿宋" w:cs="仿宋"/>
          <w:bCs/>
          <w:color w:val="auto"/>
          <w:sz w:val="32"/>
          <w:szCs w:val="32"/>
        </w:rPr>
        <w:t>过程控制负责人：</w:t>
      </w:r>
      <w:r>
        <w:rPr>
          <w:rFonts w:ascii="仿宋" w:eastAsia="仿宋" w:hAnsi="仿宋" w:cs="仿宋" w:hint="eastAsia"/>
          <w:bCs/>
          <w:color w:val="auto"/>
          <w:sz w:val="32"/>
          <w:szCs w:val="32"/>
        </w:rPr>
        <w:t>李晓达</w:t>
      </w:r>
    </w:p>
    <w:p w14:paraId="3E6D8E68" w14:textId="77777777" w:rsidR="009219A0" w:rsidRDefault="00000000">
      <w:pPr>
        <w:ind w:leftChars="200" w:left="560" w:firstLineChars="400" w:firstLine="1280"/>
        <w:rPr>
          <w:rFonts w:ascii="宋体" w:hAnsi="宋体" w:cs="仿宋" w:hint="eastAsia"/>
          <w:b/>
          <w:bCs/>
          <w:color w:val="auto"/>
          <w:sz w:val="32"/>
          <w:szCs w:val="32"/>
        </w:rPr>
      </w:pPr>
      <w:r>
        <w:rPr>
          <w:rFonts w:ascii="仿宋" w:eastAsia="仿宋" w:hAnsi="仿宋" w:cs="仿宋" w:hint="eastAsia"/>
          <w:bCs/>
          <w:color w:val="auto"/>
          <w:sz w:val="32"/>
          <w:szCs w:val="32"/>
        </w:rPr>
        <w:t>评价机构联系电话：0870-3170896</w:t>
      </w:r>
    </w:p>
    <w:p w14:paraId="0BFCFE22" w14:textId="77777777" w:rsidR="009219A0" w:rsidRDefault="009219A0">
      <w:pPr>
        <w:adjustRightInd/>
        <w:spacing w:before="120" w:after="120" w:line="240" w:lineRule="auto"/>
        <w:ind w:firstLineChars="0" w:firstLine="0"/>
        <w:jc w:val="center"/>
        <w:rPr>
          <w:rFonts w:ascii="仿宋" w:eastAsia="仿宋" w:hAnsi="仿宋" w:cs="宋体" w:hint="eastAsia"/>
          <w:b/>
          <w:bCs/>
          <w:caps/>
          <w:color w:val="auto"/>
          <w:sz w:val="32"/>
          <w:szCs w:val="32"/>
        </w:rPr>
      </w:pPr>
    </w:p>
    <w:p w14:paraId="03AE035F" w14:textId="77777777" w:rsidR="009219A0" w:rsidRDefault="009219A0">
      <w:pPr>
        <w:adjustRightInd/>
        <w:spacing w:before="120" w:after="120" w:line="240" w:lineRule="auto"/>
        <w:ind w:firstLineChars="0" w:firstLine="0"/>
        <w:jc w:val="center"/>
        <w:rPr>
          <w:rFonts w:ascii="仿宋" w:eastAsia="仿宋" w:hAnsi="仿宋" w:cs="宋体" w:hint="eastAsia"/>
          <w:b/>
          <w:bCs/>
          <w:caps/>
          <w:color w:val="auto"/>
          <w:sz w:val="32"/>
          <w:szCs w:val="32"/>
        </w:rPr>
      </w:pPr>
    </w:p>
    <w:p w14:paraId="45C3FCA6" w14:textId="77777777" w:rsidR="009219A0" w:rsidRDefault="00000000">
      <w:pPr>
        <w:spacing w:line="240" w:lineRule="auto"/>
        <w:ind w:firstLineChars="0" w:firstLine="0"/>
        <w:jc w:val="center"/>
        <w:rPr>
          <w:rFonts w:ascii="仿宋" w:eastAsia="仿宋" w:hAnsi="仿宋" w:cs="宋体" w:hint="eastAsia"/>
          <w:color w:val="auto"/>
          <w:sz w:val="32"/>
          <w:szCs w:val="32"/>
        </w:rPr>
      </w:pPr>
      <w:r>
        <w:rPr>
          <w:rFonts w:ascii="仿宋" w:eastAsia="仿宋" w:hAnsi="仿宋" w:cs="宋体" w:hint="eastAsia"/>
          <w:color w:val="auto"/>
          <w:sz w:val="32"/>
          <w:szCs w:val="32"/>
        </w:rPr>
        <w:t>昭通市</w:t>
      </w:r>
      <w:proofErr w:type="gramStart"/>
      <w:r>
        <w:rPr>
          <w:rFonts w:ascii="仿宋" w:eastAsia="仿宋" w:hAnsi="仿宋" w:cs="宋体" w:hint="eastAsia"/>
          <w:color w:val="auto"/>
          <w:sz w:val="32"/>
          <w:szCs w:val="32"/>
        </w:rPr>
        <w:t>鼎安科技</w:t>
      </w:r>
      <w:proofErr w:type="gramEnd"/>
      <w:r>
        <w:rPr>
          <w:rFonts w:ascii="仿宋" w:eastAsia="仿宋" w:hAnsi="仿宋" w:cs="宋体" w:hint="eastAsia"/>
          <w:color w:val="auto"/>
          <w:sz w:val="32"/>
          <w:szCs w:val="32"/>
        </w:rPr>
        <w:t>有限公司</w:t>
      </w:r>
    </w:p>
    <w:p w14:paraId="0AC03B6F" w14:textId="77777777" w:rsidR="009219A0" w:rsidRDefault="00000000">
      <w:pPr>
        <w:ind w:firstLine="640"/>
        <w:jc w:val="center"/>
        <w:rPr>
          <w:rFonts w:ascii="仿宋" w:eastAsia="仿宋" w:hAnsi="仿宋" w:hint="eastAsia"/>
          <w:color w:val="auto"/>
          <w:sz w:val="32"/>
          <w:szCs w:val="32"/>
        </w:rPr>
      </w:pPr>
      <w:r>
        <w:rPr>
          <w:rFonts w:ascii="仿宋" w:eastAsia="仿宋" w:hAnsi="仿宋"/>
          <w:color w:val="auto"/>
          <w:sz w:val="32"/>
          <w:szCs w:val="32"/>
        </w:rPr>
        <w:t>二〇二</w:t>
      </w:r>
      <w:r>
        <w:rPr>
          <w:rFonts w:ascii="仿宋" w:eastAsia="仿宋" w:hAnsi="仿宋" w:hint="eastAsia"/>
          <w:color w:val="auto"/>
          <w:sz w:val="32"/>
          <w:szCs w:val="32"/>
        </w:rPr>
        <w:t>五</w:t>
      </w:r>
      <w:r>
        <w:rPr>
          <w:rFonts w:ascii="仿宋" w:eastAsia="仿宋" w:hAnsi="仿宋"/>
          <w:color w:val="auto"/>
          <w:sz w:val="32"/>
          <w:szCs w:val="32"/>
        </w:rPr>
        <w:t>年</w:t>
      </w:r>
      <w:r>
        <w:rPr>
          <w:rFonts w:ascii="仿宋" w:eastAsia="仿宋" w:hAnsi="仿宋" w:hint="eastAsia"/>
          <w:color w:val="auto"/>
          <w:sz w:val="32"/>
          <w:szCs w:val="32"/>
        </w:rPr>
        <w:t>十月</w:t>
      </w:r>
    </w:p>
    <w:p w14:paraId="0BB4BD9C" w14:textId="77777777" w:rsidR="009219A0" w:rsidRDefault="00000000">
      <w:pPr>
        <w:pStyle w:val="Default1"/>
        <w:rPr>
          <w:rFonts w:hint="default"/>
        </w:rPr>
      </w:pPr>
      <w:r>
        <w:br w:type="page"/>
      </w:r>
    </w:p>
    <w:p w14:paraId="2FDACA90" w14:textId="77777777" w:rsidR="009219A0" w:rsidRDefault="00000000">
      <w:pPr>
        <w:ind w:firstLine="560"/>
        <w:jc w:val="center"/>
        <w:rPr>
          <w:rFonts w:ascii="宋体" w:hAnsi="宋体" w:hint="eastAsia"/>
          <w:b/>
          <w:color w:val="auto"/>
          <w:sz w:val="30"/>
          <w:szCs w:val="30"/>
        </w:rPr>
      </w:pPr>
      <w:r>
        <w:rPr>
          <w:noProof/>
        </w:rPr>
        <w:lastRenderedPageBreak/>
        <w:drawing>
          <wp:inline distT="0" distB="0" distL="0" distR="0" wp14:anchorId="7B51F28A" wp14:editId="11D29005">
            <wp:extent cx="5399405" cy="7559675"/>
            <wp:effectExtent l="0" t="0" r="0" b="3175"/>
            <wp:docPr id="1809815537" name="图片 1"/>
            <wp:cNvGraphicFramePr/>
            <a:graphic xmlns:a="http://schemas.openxmlformats.org/drawingml/2006/main">
              <a:graphicData uri="http://schemas.openxmlformats.org/drawingml/2006/picture">
                <pic:pic xmlns:pic="http://schemas.openxmlformats.org/drawingml/2006/picture">
                  <pic:nvPicPr>
                    <pic:cNvPr id="1809815537" name="图片 1"/>
                    <pic:cNvPicPr/>
                  </pic:nvPicPr>
                  <pic:blipFill>
                    <a:blip r:embed="rId14"/>
                    <a:srcRect l="1207"/>
                    <a:stretch>
                      <a:fillRect/>
                    </a:stretch>
                  </pic:blipFill>
                  <pic:spPr>
                    <a:xfrm>
                      <a:off x="0" y="0"/>
                      <a:ext cx="5400000" cy="7560000"/>
                    </a:xfrm>
                    <a:prstGeom prst="rect">
                      <a:avLst/>
                    </a:prstGeom>
                    <a:ln>
                      <a:noFill/>
                    </a:ln>
                  </pic:spPr>
                </pic:pic>
              </a:graphicData>
            </a:graphic>
          </wp:inline>
        </w:drawing>
      </w:r>
    </w:p>
    <w:p w14:paraId="7799B553" w14:textId="77777777" w:rsidR="009219A0" w:rsidRDefault="00000000">
      <w:pPr>
        <w:ind w:firstLine="560"/>
        <w:jc w:val="center"/>
        <w:rPr>
          <w:rFonts w:ascii="宋体" w:hAnsi="宋体" w:hint="eastAsia"/>
          <w:b/>
          <w:color w:val="auto"/>
          <w:sz w:val="30"/>
          <w:szCs w:val="30"/>
        </w:rPr>
      </w:pPr>
      <w:r>
        <w:rPr>
          <w:noProof/>
        </w:rPr>
        <w:lastRenderedPageBreak/>
        <w:drawing>
          <wp:inline distT="0" distB="0" distL="0" distR="0" wp14:anchorId="55EBDB45" wp14:editId="5447BC88">
            <wp:extent cx="5399405" cy="7559675"/>
            <wp:effectExtent l="0" t="0" r="0" b="3175"/>
            <wp:docPr id="1122354121" name="图片 1"/>
            <wp:cNvGraphicFramePr/>
            <a:graphic xmlns:a="http://schemas.openxmlformats.org/drawingml/2006/main">
              <a:graphicData uri="http://schemas.openxmlformats.org/drawingml/2006/picture">
                <pic:pic xmlns:pic="http://schemas.openxmlformats.org/drawingml/2006/picture">
                  <pic:nvPicPr>
                    <pic:cNvPr id="1122354121" name="图片 1"/>
                    <pic:cNvPicPr/>
                  </pic:nvPicPr>
                  <pic:blipFill>
                    <a:blip r:embed="rId15"/>
                    <a:stretch>
                      <a:fillRect/>
                    </a:stretch>
                  </pic:blipFill>
                  <pic:spPr>
                    <a:xfrm>
                      <a:off x="0" y="0"/>
                      <a:ext cx="5400000" cy="7560000"/>
                    </a:xfrm>
                    <a:prstGeom prst="rect">
                      <a:avLst/>
                    </a:prstGeom>
                  </pic:spPr>
                </pic:pic>
              </a:graphicData>
            </a:graphic>
          </wp:inline>
        </w:drawing>
      </w:r>
    </w:p>
    <w:p w14:paraId="5ECE2823" w14:textId="77777777" w:rsidR="009219A0" w:rsidRDefault="009219A0">
      <w:pPr>
        <w:pStyle w:val="Default1"/>
        <w:rPr>
          <w:rFonts w:hint="default"/>
          <w:color w:val="auto"/>
        </w:rPr>
        <w:sectPr w:rsidR="009219A0">
          <w:headerReference w:type="default" r:id="rId16"/>
          <w:footerReference w:type="default" r:id="rId17"/>
          <w:pgSz w:w="11906" w:h="16838"/>
          <w:pgMar w:top="1418" w:right="1418" w:bottom="1588" w:left="1418" w:header="851" w:footer="992" w:gutter="0"/>
          <w:pgNumType w:start="1"/>
          <w:cols w:space="0"/>
          <w:docGrid w:linePitch="381"/>
        </w:sectPr>
      </w:pPr>
    </w:p>
    <w:p w14:paraId="25E6B1A4" w14:textId="77777777" w:rsidR="009219A0" w:rsidRDefault="00000000">
      <w:pPr>
        <w:spacing w:line="240" w:lineRule="auto"/>
        <w:ind w:firstLineChars="0" w:firstLine="0"/>
        <w:jc w:val="center"/>
        <w:rPr>
          <w:rFonts w:ascii="宋体" w:hAnsi="宋体" w:cs="宋体" w:hint="eastAsia"/>
          <w:b/>
          <w:color w:val="auto"/>
          <w:sz w:val="44"/>
          <w:szCs w:val="44"/>
          <w:lang w:val="zh-CN"/>
        </w:rPr>
      </w:pPr>
      <w:r>
        <w:rPr>
          <w:rFonts w:ascii="宋体" w:hAnsi="宋体" w:cs="宋体"/>
          <w:b/>
          <w:color w:val="auto"/>
          <w:sz w:val="44"/>
          <w:szCs w:val="44"/>
          <w:lang w:val="zh-CN"/>
        </w:rPr>
        <w:lastRenderedPageBreak/>
        <w:t>现场照片</w:t>
      </w:r>
    </w:p>
    <w:p w14:paraId="1E399BC6" w14:textId="77777777" w:rsidR="009219A0" w:rsidRDefault="00000000">
      <w:pPr>
        <w:pStyle w:val="aff1"/>
        <w:topLinePunct/>
        <w:spacing w:line="240" w:lineRule="auto"/>
        <w:ind w:firstLineChars="0" w:firstLine="0"/>
        <w:jc w:val="center"/>
        <w:rPr>
          <w:rFonts w:ascii="宋体" w:hAnsi="宋体" w:hint="eastAsia"/>
          <w:color w:val="auto"/>
          <w:sz w:val="28"/>
        </w:rPr>
      </w:pPr>
      <w:r>
        <w:rPr>
          <w:rFonts w:ascii="宋体" w:hAnsi="宋体"/>
          <w:noProof/>
          <w:color w:val="auto"/>
          <w:sz w:val="28"/>
        </w:rPr>
        <w:drawing>
          <wp:inline distT="0" distB="0" distL="0" distR="0" wp14:anchorId="5F189EC5" wp14:editId="4E8FE4F3">
            <wp:extent cx="5399405" cy="3779520"/>
            <wp:effectExtent l="0" t="0" r="0" b="0"/>
            <wp:docPr id="18" name="图片 18" descr="D:\WeChat Files\wxid_6ow1b1a1k1yn22\FileStorage\Temp\3a088e9bc4de20e5cf00399f3f1c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WeChat Files\wxid_6ow1b1a1k1yn22\FileStorage\Temp\3a088e9bc4de20e5cf00399f3f1c09c.jpg"/>
                    <pic:cNvPicPr>
                      <a:picLocks noChangeAspect="1" noChangeArrowheads="1"/>
                    </pic:cNvPicPr>
                  </pic:nvPicPr>
                  <pic:blipFill>
                    <a:blip r:embed="rId18" cstate="print">
                      <a:extLst>
                        <a:ext uri="{28A0092B-C50C-407E-A947-70E740481C1C}">
                          <a14:useLocalDpi xmlns:a14="http://schemas.microsoft.com/office/drawing/2010/main" val="0"/>
                        </a:ext>
                      </a:extLst>
                    </a:blip>
                    <a:srcRect l="7616" r="11258" b="8168"/>
                    <a:stretch>
                      <a:fillRect/>
                    </a:stretch>
                  </pic:blipFill>
                  <pic:spPr>
                    <a:xfrm>
                      <a:off x="0" y="0"/>
                      <a:ext cx="5400000" cy="3780000"/>
                    </a:xfrm>
                    <a:prstGeom prst="rect">
                      <a:avLst/>
                    </a:prstGeom>
                    <a:noFill/>
                    <a:ln>
                      <a:noFill/>
                    </a:ln>
                  </pic:spPr>
                </pic:pic>
              </a:graphicData>
            </a:graphic>
          </wp:inline>
        </w:drawing>
      </w:r>
    </w:p>
    <w:p w14:paraId="2319C170" w14:textId="77777777" w:rsidR="009219A0" w:rsidRDefault="00000000">
      <w:pPr>
        <w:spacing w:line="240" w:lineRule="auto"/>
        <w:ind w:firstLineChars="0" w:firstLine="0"/>
        <w:jc w:val="center"/>
        <w:rPr>
          <w:rFonts w:ascii="宋体" w:hAnsi="宋体" w:hint="eastAsia"/>
          <w:color w:val="auto"/>
        </w:rPr>
      </w:pPr>
      <w:r>
        <w:rPr>
          <w:rFonts w:ascii="宋体" w:hAnsi="宋体" w:hint="eastAsia"/>
          <w:color w:val="auto"/>
        </w:rPr>
        <w:t>图1  评价人员现场照片（从左至右：业主陪同人、杨庆国（项目负责人）、姚继鸿（报告编制人））</w:t>
      </w:r>
    </w:p>
    <w:p w14:paraId="2E1EBC9B" w14:textId="77777777" w:rsidR="009219A0" w:rsidRDefault="00000000">
      <w:pPr>
        <w:pStyle w:val="aff1"/>
        <w:topLinePunct/>
        <w:ind w:firstLineChars="71" w:firstLine="199"/>
        <w:jc w:val="center"/>
        <w:rPr>
          <w:rFonts w:ascii="宋体" w:hAnsi="宋体" w:hint="eastAsia"/>
          <w:color w:val="auto"/>
          <w:sz w:val="28"/>
        </w:rPr>
      </w:pPr>
      <w:r>
        <w:rPr>
          <w:rFonts w:ascii="宋体" w:hAnsi="宋体"/>
          <w:noProof/>
          <w:color w:val="auto"/>
          <w:sz w:val="28"/>
        </w:rPr>
        <w:drawing>
          <wp:inline distT="0" distB="0" distL="0" distR="0" wp14:anchorId="014F2203" wp14:editId="53D87780">
            <wp:extent cx="5399405" cy="3779520"/>
            <wp:effectExtent l="0" t="0" r="0" b="0"/>
            <wp:docPr id="21" name="图片 21" descr="D:\WeChat Files\wxid_6ow1b1a1k1yn22\FileStorage\Temp\0db5373af168665ef94db953234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WeChat Files\wxid_6ow1b1a1k1yn22\FileStorage\Temp\0db5373af168665ef94db95323432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14:paraId="6C3654C2" w14:textId="77777777" w:rsidR="009219A0" w:rsidRDefault="00000000">
      <w:pPr>
        <w:ind w:firstLineChars="0" w:firstLine="0"/>
        <w:jc w:val="center"/>
        <w:rPr>
          <w:rFonts w:ascii="宋体" w:hAnsi="宋体" w:hint="eastAsia"/>
          <w:color w:val="auto"/>
        </w:rPr>
      </w:pPr>
      <w:r>
        <w:rPr>
          <w:rFonts w:ascii="宋体" w:hAnsi="宋体"/>
          <w:color w:val="auto"/>
        </w:rPr>
        <w:t>图</w:t>
      </w:r>
      <w:r>
        <w:rPr>
          <w:rFonts w:ascii="宋体" w:hAnsi="宋体" w:hint="eastAsia"/>
          <w:color w:val="auto"/>
        </w:rPr>
        <w:t>2  中试车间入口</w:t>
      </w:r>
    </w:p>
    <w:p w14:paraId="7B5E7721" w14:textId="77777777" w:rsidR="009219A0" w:rsidRDefault="00000000">
      <w:pPr>
        <w:pStyle w:val="aff1"/>
        <w:topLinePunct/>
        <w:ind w:firstLineChars="71" w:firstLine="199"/>
        <w:jc w:val="center"/>
        <w:rPr>
          <w:rFonts w:ascii="宋体" w:hAnsi="宋体" w:hint="eastAsia"/>
          <w:color w:val="auto"/>
          <w:sz w:val="28"/>
        </w:rPr>
      </w:pPr>
      <w:r>
        <w:rPr>
          <w:rFonts w:ascii="宋体" w:hAnsi="宋体"/>
          <w:noProof/>
          <w:color w:val="auto"/>
          <w:sz w:val="28"/>
        </w:rPr>
        <w:lastRenderedPageBreak/>
        <w:drawing>
          <wp:inline distT="0" distB="0" distL="0" distR="0" wp14:anchorId="326D3C00" wp14:editId="23A38A6B">
            <wp:extent cx="5399405" cy="3779520"/>
            <wp:effectExtent l="0" t="0" r="0" b="0"/>
            <wp:docPr id="22" name="图片 22" descr="D:\WeChat Files\wxid_6ow1b1a1k1yn22\FileStorage\Temp\4f025c263a33eb87da9d6e553188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WeChat Files\wxid_6ow1b1a1k1yn22\FileStorage\Temp\4f025c263a33eb87da9d6e55318812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14:paraId="720D397A" w14:textId="77777777" w:rsidR="009219A0" w:rsidRDefault="00000000">
      <w:pPr>
        <w:ind w:firstLineChars="0" w:firstLine="0"/>
        <w:jc w:val="center"/>
        <w:rPr>
          <w:rFonts w:ascii="宋体" w:hAnsi="宋体" w:hint="eastAsia"/>
          <w:color w:val="auto"/>
        </w:rPr>
      </w:pPr>
      <w:r>
        <w:rPr>
          <w:rFonts w:ascii="宋体" w:hAnsi="宋体"/>
          <w:color w:val="auto"/>
        </w:rPr>
        <w:t>图</w:t>
      </w:r>
      <w:r>
        <w:rPr>
          <w:rFonts w:ascii="宋体" w:hAnsi="宋体" w:hint="eastAsia"/>
          <w:color w:val="auto"/>
        </w:rPr>
        <w:t>3  入口处回车场</w:t>
      </w:r>
    </w:p>
    <w:p w14:paraId="0062ED58" w14:textId="77777777" w:rsidR="009219A0" w:rsidRDefault="00000000">
      <w:pPr>
        <w:pStyle w:val="aff1"/>
        <w:tabs>
          <w:tab w:val="center" w:pos="4885"/>
          <w:tab w:val="left" w:pos="8041"/>
        </w:tabs>
        <w:topLinePunct/>
        <w:ind w:firstLineChars="71" w:firstLine="199"/>
        <w:jc w:val="center"/>
        <w:rPr>
          <w:rFonts w:ascii="宋体" w:hAnsi="宋体" w:hint="eastAsia"/>
          <w:color w:val="auto"/>
          <w:sz w:val="28"/>
        </w:rPr>
      </w:pPr>
      <w:r>
        <w:rPr>
          <w:rFonts w:ascii="宋体" w:hAnsi="宋体"/>
          <w:noProof/>
          <w:color w:val="auto"/>
          <w:sz w:val="28"/>
        </w:rPr>
        <w:drawing>
          <wp:inline distT="0" distB="0" distL="0" distR="0" wp14:anchorId="5401EA1C" wp14:editId="687F19B3">
            <wp:extent cx="5399405" cy="3779520"/>
            <wp:effectExtent l="0" t="0" r="0" b="0"/>
            <wp:docPr id="23" name="图片 23" descr="D:\WeChat Files\wxid_6ow1b1a1k1yn22\FileStorage\Temp\661f8803793d098febfd29ab2bb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WeChat Files\wxid_6ow1b1a1k1yn22\FileStorage\Temp\661f8803793d098febfd29ab2bb73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14:paraId="6E37EB5C" w14:textId="77777777" w:rsidR="009219A0" w:rsidRDefault="00000000">
      <w:pPr>
        <w:ind w:firstLineChars="0" w:firstLine="0"/>
        <w:jc w:val="center"/>
        <w:rPr>
          <w:rFonts w:ascii="宋体" w:hAnsi="宋体" w:hint="eastAsia"/>
          <w:color w:val="auto"/>
        </w:rPr>
      </w:pPr>
      <w:r>
        <w:rPr>
          <w:rFonts w:ascii="宋体" w:hAnsi="宋体"/>
          <w:color w:val="auto"/>
        </w:rPr>
        <w:t>图</w:t>
      </w:r>
      <w:r>
        <w:rPr>
          <w:rFonts w:ascii="宋体" w:hAnsi="宋体" w:hint="eastAsia"/>
          <w:color w:val="auto"/>
        </w:rPr>
        <w:t>4  中试车间原料堆场</w:t>
      </w:r>
    </w:p>
    <w:p w14:paraId="724D1092" w14:textId="77777777" w:rsidR="009219A0" w:rsidRDefault="00000000">
      <w:pPr>
        <w:pStyle w:val="aff1"/>
        <w:tabs>
          <w:tab w:val="center" w:pos="4885"/>
          <w:tab w:val="left" w:pos="8041"/>
        </w:tabs>
        <w:topLinePunct/>
        <w:ind w:firstLineChars="71" w:firstLine="199"/>
        <w:jc w:val="center"/>
        <w:rPr>
          <w:rFonts w:ascii="宋体" w:hAnsi="宋体" w:hint="eastAsia"/>
          <w:color w:val="auto"/>
          <w:sz w:val="28"/>
        </w:rPr>
      </w:pPr>
      <w:r>
        <w:rPr>
          <w:rFonts w:ascii="宋体" w:hAnsi="宋体"/>
          <w:noProof/>
          <w:color w:val="auto"/>
          <w:sz w:val="28"/>
        </w:rPr>
        <w:lastRenderedPageBreak/>
        <w:drawing>
          <wp:inline distT="0" distB="0" distL="0" distR="0" wp14:anchorId="6F09C696" wp14:editId="65144B2C">
            <wp:extent cx="5399405" cy="3779520"/>
            <wp:effectExtent l="0" t="0" r="0" b="0"/>
            <wp:docPr id="24" name="图片 24" descr="D:\WeChat Files\wxid_6ow1b1a1k1yn22\FileStorage\Temp\d7c61adf213a82a348a4a070a689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WeChat Files\wxid_6ow1b1a1k1yn22\FileStorage\Temp\d7c61adf213a82a348a4a070a68939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14:paraId="1181ABB3" w14:textId="77777777" w:rsidR="009219A0" w:rsidRDefault="00000000">
      <w:pPr>
        <w:ind w:firstLineChars="0" w:firstLine="0"/>
        <w:jc w:val="center"/>
        <w:rPr>
          <w:rFonts w:ascii="宋体" w:hAnsi="宋体" w:hint="eastAsia"/>
          <w:color w:val="auto"/>
        </w:rPr>
      </w:pPr>
      <w:r>
        <w:rPr>
          <w:rFonts w:ascii="宋体" w:hAnsi="宋体"/>
          <w:color w:val="auto"/>
        </w:rPr>
        <w:t>图</w:t>
      </w:r>
      <w:r>
        <w:rPr>
          <w:rFonts w:ascii="宋体" w:hAnsi="宋体" w:hint="eastAsia"/>
          <w:color w:val="auto"/>
        </w:rPr>
        <w:t>5  循环罐</w:t>
      </w:r>
    </w:p>
    <w:p w14:paraId="36A4B2D7" w14:textId="77777777" w:rsidR="009219A0" w:rsidRDefault="00000000">
      <w:pPr>
        <w:pStyle w:val="af6"/>
        <w:jc w:val="center"/>
        <w:rPr>
          <w:rFonts w:hint="eastAsia"/>
        </w:rPr>
      </w:pPr>
      <w:r>
        <w:rPr>
          <w:noProof/>
        </w:rPr>
        <w:drawing>
          <wp:inline distT="0" distB="0" distL="0" distR="0" wp14:anchorId="5694B95D" wp14:editId="22981195">
            <wp:extent cx="5399405" cy="3779520"/>
            <wp:effectExtent l="0" t="0" r="0" b="0"/>
            <wp:docPr id="25" name="图片 25" descr="D:\WeChat Files\wxid_6ow1b1a1k1yn22\FileStorage\Temp\dd196e268b2257835af539ab6d9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WeChat Files\wxid_6ow1b1a1k1yn22\FileStorage\Temp\dd196e268b2257835af539ab6d9de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14:paraId="676DC083" w14:textId="77777777" w:rsidR="009219A0" w:rsidRDefault="00000000">
      <w:pPr>
        <w:ind w:firstLineChars="0" w:firstLine="0"/>
        <w:jc w:val="center"/>
        <w:rPr>
          <w:rFonts w:ascii="宋体" w:hAnsi="宋体" w:hint="eastAsia"/>
          <w:color w:val="auto"/>
        </w:rPr>
      </w:pPr>
      <w:r>
        <w:rPr>
          <w:rFonts w:ascii="宋体" w:hAnsi="宋体"/>
          <w:color w:val="auto"/>
        </w:rPr>
        <w:t>图</w:t>
      </w:r>
      <w:r>
        <w:rPr>
          <w:rFonts w:ascii="宋体" w:hAnsi="宋体" w:hint="eastAsia"/>
          <w:color w:val="auto"/>
        </w:rPr>
        <w:t>6  空气储罐</w:t>
      </w:r>
    </w:p>
    <w:p w14:paraId="787F5CB2" w14:textId="77777777" w:rsidR="009219A0" w:rsidRDefault="00000000">
      <w:pPr>
        <w:pStyle w:val="af6"/>
        <w:jc w:val="center"/>
        <w:rPr>
          <w:rFonts w:hint="eastAsia"/>
        </w:rPr>
      </w:pPr>
      <w:r>
        <w:rPr>
          <w:noProof/>
        </w:rPr>
        <w:lastRenderedPageBreak/>
        <w:drawing>
          <wp:inline distT="0" distB="0" distL="0" distR="0" wp14:anchorId="3EE75114" wp14:editId="4B1E3ED6">
            <wp:extent cx="5399405" cy="3779520"/>
            <wp:effectExtent l="0" t="0" r="0" b="0"/>
            <wp:docPr id="26" name="图片 26" descr="D:\WeChat Files\wxid_6ow1b1a1k1yn22\FileStorage\Temp\76049f94fccb978dbccf8cfbf206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WeChat Files\wxid_6ow1b1a1k1yn22\FileStorage\Temp\76049f94fccb978dbccf8cfbf20644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14:paraId="49140336" w14:textId="77777777" w:rsidR="009219A0" w:rsidRDefault="00000000">
      <w:pPr>
        <w:ind w:firstLineChars="0" w:firstLine="0"/>
        <w:jc w:val="center"/>
        <w:rPr>
          <w:rFonts w:ascii="宋体" w:hAnsi="宋体" w:hint="eastAsia"/>
          <w:color w:val="auto"/>
        </w:rPr>
      </w:pPr>
      <w:r>
        <w:rPr>
          <w:rFonts w:ascii="宋体" w:hAnsi="宋体"/>
          <w:color w:val="auto"/>
        </w:rPr>
        <w:t>图</w:t>
      </w:r>
      <w:r>
        <w:rPr>
          <w:rFonts w:ascii="宋体" w:hAnsi="宋体" w:hint="eastAsia"/>
          <w:color w:val="auto"/>
        </w:rPr>
        <w:t>7  盐酸储罐</w:t>
      </w:r>
    </w:p>
    <w:p w14:paraId="1FCC13D9" w14:textId="77777777" w:rsidR="009219A0" w:rsidRDefault="00000000">
      <w:pPr>
        <w:pStyle w:val="af6"/>
        <w:jc w:val="center"/>
        <w:rPr>
          <w:rFonts w:hint="eastAsia"/>
        </w:rPr>
      </w:pPr>
      <w:r>
        <w:rPr>
          <w:noProof/>
        </w:rPr>
        <w:drawing>
          <wp:inline distT="0" distB="0" distL="0" distR="0" wp14:anchorId="625D7806" wp14:editId="36D267AE">
            <wp:extent cx="5399405" cy="3779520"/>
            <wp:effectExtent l="0" t="0" r="0" b="0"/>
            <wp:docPr id="27" name="图片 27" descr="D:\WeChat Files\wxid_6ow1b1a1k1yn22\FileStorage\Temp\acdce76f127f2af72e9d19755cff8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WeChat Files\wxid_6ow1b1a1k1yn22\FileStorage\Temp\acdce76f127f2af72e9d19755cff8c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14:paraId="73222E84" w14:textId="77777777" w:rsidR="009219A0" w:rsidRDefault="00000000">
      <w:pPr>
        <w:ind w:firstLineChars="0" w:firstLine="0"/>
        <w:jc w:val="center"/>
        <w:rPr>
          <w:rFonts w:ascii="宋体" w:hAnsi="宋体" w:hint="eastAsia"/>
          <w:color w:val="auto"/>
        </w:rPr>
      </w:pPr>
      <w:r>
        <w:rPr>
          <w:rFonts w:ascii="宋体" w:hAnsi="宋体"/>
          <w:color w:val="auto"/>
        </w:rPr>
        <w:t>图</w:t>
      </w:r>
      <w:r>
        <w:rPr>
          <w:rFonts w:ascii="宋体" w:hAnsi="宋体" w:hint="eastAsia"/>
          <w:color w:val="auto"/>
        </w:rPr>
        <w:t>8  圆盘给料机</w:t>
      </w:r>
    </w:p>
    <w:p w14:paraId="015F711F" w14:textId="77777777" w:rsidR="009219A0" w:rsidRDefault="00000000">
      <w:pPr>
        <w:pStyle w:val="Default1"/>
        <w:jc w:val="center"/>
        <w:rPr>
          <w:rFonts w:hint="default"/>
        </w:rPr>
      </w:pPr>
      <w:r>
        <w:rPr>
          <w:noProof/>
        </w:rPr>
        <w:lastRenderedPageBreak/>
        <w:drawing>
          <wp:inline distT="0" distB="0" distL="0" distR="0" wp14:anchorId="40E04E76" wp14:editId="782ECCF2">
            <wp:extent cx="5399405" cy="3779520"/>
            <wp:effectExtent l="0" t="0" r="0" b="0"/>
            <wp:docPr id="48" name="图片 48" descr="D:\WeChat Files\wxid_6ow1b1a1k1yn22\FileStorage\Temp\b0bbe9eb596d8a7f84439e924c7c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WeChat Files\wxid_6ow1b1a1k1yn22\FileStorage\Temp\b0bbe9eb596d8a7f84439e924c7c42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14:paraId="45836CC8" w14:textId="77777777" w:rsidR="009219A0" w:rsidRDefault="00000000">
      <w:pPr>
        <w:ind w:firstLineChars="0" w:firstLine="0"/>
        <w:jc w:val="center"/>
        <w:rPr>
          <w:rFonts w:ascii="宋体" w:hAnsi="宋体" w:hint="eastAsia"/>
          <w:color w:val="auto"/>
        </w:rPr>
      </w:pPr>
      <w:r>
        <w:rPr>
          <w:rFonts w:ascii="宋体" w:hAnsi="宋体"/>
          <w:color w:val="auto"/>
        </w:rPr>
        <w:t>图9 真空过滤机急停按钮</w:t>
      </w:r>
    </w:p>
    <w:p w14:paraId="5DF1092D" w14:textId="77777777" w:rsidR="009219A0" w:rsidRDefault="00000000">
      <w:pPr>
        <w:pStyle w:val="Default1"/>
        <w:jc w:val="center"/>
        <w:rPr>
          <w:rFonts w:hint="default"/>
        </w:rPr>
      </w:pPr>
      <w:r>
        <w:rPr>
          <w:noProof/>
        </w:rPr>
        <w:drawing>
          <wp:inline distT="0" distB="0" distL="0" distR="0" wp14:anchorId="36795614" wp14:editId="67E801F9">
            <wp:extent cx="5399405" cy="3779520"/>
            <wp:effectExtent l="0" t="0" r="0" b="0"/>
            <wp:docPr id="49" name="图片 49" descr="D:\WeChat Files\wxid_6ow1b1a1k1yn22\FileStorage\Temp\5dc7906e3e4c8a8f70526a23a913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WeChat Files\wxid_6ow1b1a1k1yn22\FileStorage\Temp\5dc7906e3e4c8a8f70526a23a913d8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14:paraId="02F9E475" w14:textId="77777777" w:rsidR="009219A0" w:rsidRDefault="00000000">
      <w:pPr>
        <w:ind w:firstLineChars="0" w:firstLine="0"/>
        <w:jc w:val="center"/>
        <w:rPr>
          <w:rFonts w:ascii="宋体" w:hAnsi="宋体" w:hint="eastAsia"/>
        </w:rPr>
      </w:pPr>
      <w:r>
        <w:rPr>
          <w:rFonts w:ascii="宋体" w:hAnsi="宋体"/>
          <w:color w:val="auto"/>
        </w:rPr>
        <w:t>图10 中试车间有毒气体检测探头</w:t>
      </w:r>
    </w:p>
    <w:p w14:paraId="47BE1F91" w14:textId="77777777" w:rsidR="009219A0" w:rsidRDefault="00000000">
      <w:pPr>
        <w:pStyle w:val="Default1"/>
        <w:jc w:val="center"/>
        <w:rPr>
          <w:rFonts w:hint="default"/>
        </w:rPr>
      </w:pPr>
      <w:r>
        <w:rPr>
          <w:noProof/>
        </w:rPr>
        <w:lastRenderedPageBreak/>
        <w:drawing>
          <wp:inline distT="0" distB="0" distL="0" distR="0" wp14:anchorId="4AA09CF3" wp14:editId="0EB1FAE9">
            <wp:extent cx="5399405" cy="3779520"/>
            <wp:effectExtent l="0" t="0" r="0" b="0"/>
            <wp:docPr id="44" name="图片 44" descr="D:\WeChat Files\wxid_6ow1b1a1k1yn22\FileStorage\Temp\11e4c22cf7db2ecbfd0f385431b0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WeChat Files\wxid_6ow1b1a1k1yn22\FileStorage\Temp\11e4c22cf7db2ecbfd0f385431b0af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14:paraId="63CDC6F5" w14:textId="77777777" w:rsidR="009219A0" w:rsidRDefault="00000000">
      <w:pPr>
        <w:ind w:firstLineChars="0" w:firstLine="0"/>
        <w:jc w:val="center"/>
        <w:rPr>
          <w:rFonts w:ascii="宋体" w:hAnsi="宋体" w:hint="eastAsia"/>
        </w:rPr>
      </w:pPr>
      <w:r>
        <w:rPr>
          <w:rFonts w:ascii="宋体" w:hAnsi="宋体"/>
          <w:color w:val="auto"/>
        </w:rPr>
        <w:t>图</w:t>
      </w:r>
      <w:r>
        <w:rPr>
          <w:rFonts w:ascii="宋体" w:hAnsi="宋体" w:hint="eastAsia"/>
          <w:color w:val="auto"/>
        </w:rPr>
        <w:t>11</w:t>
      </w:r>
      <w:r>
        <w:rPr>
          <w:rFonts w:ascii="宋体" w:hAnsi="宋体"/>
          <w:color w:val="auto"/>
        </w:rPr>
        <w:t xml:space="preserve"> 配电室</w:t>
      </w:r>
    </w:p>
    <w:p w14:paraId="68568835" w14:textId="77777777" w:rsidR="009219A0" w:rsidRDefault="00000000">
      <w:pPr>
        <w:pStyle w:val="af6"/>
        <w:jc w:val="center"/>
        <w:rPr>
          <w:rFonts w:hint="eastAsia"/>
        </w:rPr>
      </w:pPr>
      <w:r>
        <w:rPr>
          <w:noProof/>
        </w:rPr>
        <w:drawing>
          <wp:inline distT="0" distB="0" distL="0" distR="0" wp14:anchorId="5CF36DF2" wp14:editId="01CDCAB0">
            <wp:extent cx="5399405" cy="3779520"/>
            <wp:effectExtent l="0" t="0" r="0" b="0"/>
            <wp:docPr id="28" name="图片 28" descr="D:\WeChat Files\wxid_6ow1b1a1k1yn22\FileStorage\Temp\4ce03e652c5f647c175e6f03d730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WeChat Files\wxid_6ow1b1a1k1yn22\FileStorage\Temp\4ce03e652c5f647c175e6f03d730ce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14:paraId="5AB445F9" w14:textId="77777777" w:rsidR="009219A0" w:rsidRDefault="00000000">
      <w:pPr>
        <w:ind w:firstLineChars="0" w:firstLine="0"/>
        <w:jc w:val="center"/>
        <w:rPr>
          <w:rFonts w:ascii="宋体" w:hAnsi="宋体" w:hint="eastAsia"/>
          <w:color w:val="auto"/>
        </w:rPr>
      </w:pPr>
      <w:r>
        <w:rPr>
          <w:rFonts w:ascii="宋体" w:hAnsi="宋体"/>
          <w:color w:val="auto"/>
        </w:rPr>
        <w:t>图</w:t>
      </w:r>
      <w:r>
        <w:rPr>
          <w:rFonts w:ascii="宋体" w:hAnsi="宋体" w:hint="eastAsia"/>
          <w:color w:val="auto"/>
        </w:rPr>
        <w:t>12  研发中心</w:t>
      </w:r>
    </w:p>
    <w:p w14:paraId="50ED50CD" w14:textId="77777777" w:rsidR="009219A0" w:rsidRDefault="00000000">
      <w:pPr>
        <w:pStyle w:val="af6"/>
        <w:jc w:val="center"/>
        <w:rPr>
          <w:rFonts w:hint="eastAsia"/>
        </w:rPr>
      </w:pPr>
      <w:r>
        <w:rPr>
          <w:noProof/>
        </w:rPr>
        <w:lastRenderedPageBreak/>
        <w:drawing>
          <wp:inline distT="0" distB="0" distL="0" distR="0" wp14:anchorId="4EE57962" wp14:editId="546E8E54">
            <wp:extent cx="5399405" cy="3779520"/>
            <wp:effectExtent l="0" t="0" r="0" b="0"/>
            <wp:docPr id="37" name="图片 37" descr="D:\WeChat Files\wxid_6ow1b1a1k1yn22\FileStorage\Temp\4f241fdfebeb2f7d10a738609628b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WeChat Files\wxid_6ow1b1a1k1yn22\FileStorage\Temp\4f241fdfebeb2f7d10a738609628bf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14:paraId="3B419F2A" w14:textId="77777777" w:rsidR="009219A0" w:rsidRDefault="00000000">
      <w:pPr>
        <w:ind w:firstLineChars="0" w:firstLine="0"/>
        <w:jc w:val="center"/>
        <w:rPr>
          <w:rFonts w:ascii="宋体" w:hAnsi="宋体" w:hint="eastAsia"/>
          <w:color w:val="auto"/>
        </w:rPr>
      </w:pPr>
      <w:r>
        <w:rPr>
          <w:rFonts w:ascii="宋体" w:hAnsi="宋体"/>
          <w:color w:val="auto"/>
        </w:rPr>
        <w:t>图</w:t>
      </w:r>
      <w:r>
        <w:rPr>
          <w:rFonts w:ascii="宋体" w:hAnsi="宋体" w:hint="eastAsia"/>
          <w:color w:val="auto"/>
        </w:rPr>
        <w:t>13  实验室内部</w:t>
      </w:r>
    </w:p>
    <w:p w14:paraId="5F83EE2A" w14:textId="77777777" w:rsidR="009219A0" w:rsidRDefault="00000000">
      <w:pPr>
        <w:pStyle w:val="af6"/>
        <w:jc w:val="center"/>
        <w:rPr>
          <w:rFonts w:hint="eastAsia"/>
        </w:rPr>
      </w:pPr>
      <w:r>
        <w:rPr>
          <w:noProof/>
        </w:rPr>
        <w:drawing>
          <wp:inline distT="0" distB="0" distL="0" distR="0" wp14:anchorId="3057024F" wp14:editId="150069B8">
            <wp:extent cx="5399405" cy="3779520"/>
            <wp:effectExtent l="0" t="0" r="0" b="0"/>
            <wp:docPr id="45" name="图片 45" descr="D:\WeChat Files\wxid_6ow1b1a1k1yn22\FileStorage\Temp\209064927192df74fe6d8153d34c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WeChat Files\wxid_6ow1b1a1k1yn22\FileStorage\Temp\209064927192df74fe6d8153d34ce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14:paraId="6354AE47" w14:textId="77777777" w:rsidR="009219A0" w:rsidRDefault="00000000">
      <w:pPr>
        <w:pStyle w:val="Default1"/>
        <w:jc w:val="center"/>
        <w:rPr>
          <w:rFonts w:ascii="宋体" w:hAnsi="宋体"/>
          <w:sz w:val="28"/>
          <w:szCs w:val="28"/>
        </w:rPr>
      </w:pPr>
      <w:r>
        <w:rPr>
          <w:rFonts w:ascii="宋体" w:hAnsi="宋体"/>
          <w:noProof/>
          <w:sz w:val="28"/>
          <w:szCs w:val="28"/>
        </w:rPr>
        <w:lastRenderedPageBreak/>
        <w:drawing>
          <wp:inline distT="0" distB="0" distL="0" distR="0" wp14:anchorId="4BE4633A" wp14:editId="13BF886E">
            <wp:extent cx="5399405" cy="3779520"/>
            <wp:effectExtent l="0" t="0" r="0" b="0"/>
            <wp:docPr id="46" name="图片 46" descr="D:\WeChat Files\wxid_6ow1b1a1k1yn22\FileStorage\Temp\f8fe4c7fc9855aa06a13fc7a2746e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WeChat Files\wxid_6ow1b1a1k1yn22\FileStorage\Temp\f8fe4c7fc9855aa06a13fc7a2746e1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14:paraId="42AEBEA6" w14:textId="77777777" w:rsidR="009219A0" w:rsidRDefault="00000000">
      <w:pPr>
        <w:pStyle w:val="Default1"/>
        <w:jc w:val="center"/>
        <w:rPr>
          <w:rFonts w:ascii="宋体" w:hAnsi="宋体"/>
          <w:sz w:val="28"/>
          <w:szCs w:val="28"/>
        </w:rPr>
      </w:pPr>
      <w:r>
        <w:rPr>
          <w:rFonts w:ascii="宋体" w:hAnsi="宋体"/>
          <w:sz w:val="28"/>
          <w:szCs w:val="28"/>
        </w:rPr>
        <w:t>图14 实验室管理制度</w:t>
      </w:r>
    </w:p>
    <w:p w14:paraId="44D4AC83" w14:textId="77777777" w:rsidR="009219A0" w:rsidRDefault="00000000">
      <w:pPr>
        <w:pStyle w:val="af6"/>
        <w:jc w:val="center"/>
        <w:rPr>
          <w:rFonts w:hint="eastAsia"/>
        </w:rPr>
      </w:pPr>
      <w:r>
        <w:rPr>
          <w:noProof/>
        </w:rPr>
        <w:drawing>
          <wp:inline distT="0" distB="0" distL="0" distR="0" wp14:anchorId="35E1AE11" wp14:editId="2DDF8E4E">
            <wp:extent cx="5399405" cy="3779520"/>
            <wp:effectExtent l="0" t="0" r="0" b="0"/>
            <wp:docPr id="47" name="图片 47" descr="D:\WeChat Files\wxid_6ow1b1a1k1yn22\FileStorage\Temp\915817be1736334620f0b4e85f92f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WeChat Files\wxid_6ow1b1a1k1yn22\FileStorage\Temp\915817be1736334620f0b4e85f92f5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14:paraId="2DEAFF00" w14:textId="77777777" w:rsidR="009219A0" w:rsidRDefault="00000000">
      <w:pPr>
        <w:pStyle w:val="Default1"/>
        <w:jc w:val="center"/>
        <w:rPr>
          <w:rFonts w:ascii="宋体" w:hAnsi="宋体"/>
          <w:szCs w:val="24"/>
        </w:rPr>
      </w:pPr>
      <w:r>
        <w:rPr>
          <w:rFonts w:ascii="宋体" w:hAnsi="宋体"/>
          <w:sz w:val="28"/>
          <w:szCs w:val="28"/>
        </w:rPr>
        <w:t>图15 实验室有毒气体检测探头及总电闸</w:t>
      </w:r>
      <w:r w:rsidRPr="00D75DAE">
        <w:rPr>
          <w:rFonts w:ascii="宋体" w:hAnsi="宋体"/>
          <w:color w:val="auto"/>
          <w:sz w:val="28"/>
          <w:szCs w:val="28"/>
        </w:rPr>
        <w:t>（非防爆型）</w:t>
      </w:r>
    </w:p>
    <w:p w14:paraId="2B455B93" w14:textId="77777777" w:rsidR="009219A0" w:rsidRDefault="009219A0">
      <w:pPr>
        <w:pStyle w:val="Default1"/>
        <w:rPr>
          <w:rFonts w:hint="default"/>
          <w:color w:val="auto"/>
        </w:rPr>
        <w:sectPr w:rsidR="009219A0">
          <w:headerReference w:type="default" r:id="rId34"/>
          <w:footerReference w:type="default" r:id="rId35"/>
          <w:pgSz w:w="11906" w:h="16838"/>
          <w:pgMar w:top="1418" w:right="1418" w:bottom="1588" w:left="1418" w:header="851" w:footer="992" w:gutter="0"/>
          <w:pgNumType w:start="1"/>
          <w:cols w:space="0"/>
          <w:docGrid w:linePitch="381"/>
        </w:sectPr>
      </w:pPr>
    </w:p>
    <w:p w14:paraId="1ED6CF33" w14:textId="77777777" w:rsidR="009219A0" w:rsidRDefault="00000000">
      <w:pPr>
        <w:ind w:firstLineChars="0" w:firstLine="0"/>
        <w:jc w:val="center"/>
        <w:rPr>
          <w:rFonts w:ascii="宋体" w:hAnsi="宋体" w:cs="宋体" w:hint="eastAsia"/>
          <w:b/>
          <w:color w:val="auto"/>
          <w:sz w:val="44"/>
          <w:szCs w:val="44"/>
          <w:lang w:val="zh-CN"/>
        </w:rPr>
      </w:pPr>
      <w:r>
        <w:rPr>
          <w:rFonts w:ascii="宋体" w:hAnsi="宋体" w:cs="宋体" w:hint="eastAsia"/>
          <w:b/>
          <w:color w:val="auto"/>
          <w:sz w:val="44"/>
          <w:szCs w:val="44"/>
          <w:lang w:val="zh-CN"/>
        </w:rPr>
        <w:lastRenderedPageBreak/>
        <w:t>前言</w:t>
      </w:r>
      <w:bookmarkEnd w:id="0"/>
      <w:bookmarkEnd w:id="1"/>
      <w:bookmarkEnd w:id="2"/>
      <w:bookmarkEnd w:id="3"/>
      <w:bookmarkEnd w:id="4"/>
      <w:bookmarkEnd w:id="5"/>
      <w:bookmarkEnd w:id="6"/>
      <w:bookmarkEnd w:id="7"/>
      <w:bookmarkEnd w:id="8"/>
      <w:bookmarkEnd w:id="9"/>
      <w:bookmarkEnd w:id="10"/>
    </w:p>
    <w:p w14:paraId="31D7A53B" w14:textId="77777777" w:rsidR="009219A0" w:rsidRDefault="00000000">
      <w:pPr>
        <w:topLinePunct/>
        <w:ind w:firstLine="560"/>
        <w:rPr>
          <w:rFonts w:ascii="宋体" w:hAnsi="宋体" w:hint="eastAsia"/>
          <w:color w:val="auto"/>
          <w:szCs w:val="20"/>
        </w:rPr>
      </w:pPr>
      <w:r>
        <w:rPr>
          <w:rFonts w:ascii="宋体" w:hAnsi="宋体" w:hint="eastAsia"/>
          <w:color w:val="auto"/>
          <w:szCs w:val="20"/>
        </w:rPr>
        <w:t>随着我国法制化的日趋健全和完善，安全生产监督管理体系也逐步向科学化、规范化、制度化发展，安全评价作为现代先进安全生产管理模式的主要内容之一越来越受到重视。“安全第一、预防为主、综合治理”是我们党和国家始终不渝的安全生产方针。安全评价不仅能有效地提高企业和生产设备的本质安全程度，而且可以为各级应急管理部门的决策和监督检查提供有力的技术支撑。</w:t>
      </w:r>
    </w:p>
    <w:p w14:paraId="38EA89C6" w14:textId="77777777" w:rsidR="009219A0" w:rsidRDefault="00000000">
      <w:pPr>
        <w:topLinePunct/>
        <w:ind w:firstLine="560"/>
        <w:rPr>
          <w:color w:val="auto"/>
        </w:rPr>
      </w:pPr>
      <w:r>
        <w:rPr>
          <w:rFonts w:hint="eastAsia"/>
          <w:color w:val="auto"/>
        </w:rPr>
        <w:t>根据《中华人民共和国安全生产法（</w:t>
      </w:r>
      <w:r>
        <w:rPr>
          <w:rFonts w:hint="eastAsia"/>
          <w:color w:val="auto"/>
        </w:rPr>
        <w:t>2021</w:t>
      </w:r>
      <w:r>
        <w:rPr>
          <w:rFonts w:hint="eastAsia"/>
          <w:color w:val="auto"/>
        </w:rPr>
        <w:t>年修订）》（中华人民共和国主席令第八十八号修订后公布，</w:t>
      </w:r>
      <w:r>
        <w:rPr>
          <w:rFonts w:hint="eastAsia"/>
          <w:color w:val="auto"/>
        </w:rPr>
        <w:t>2021</w:t>
      </w:r>
      <w:r>
        <w:rPr>
          <w:rFonts w:hint="eastAsia"/>
          <w:color w:val="auto"/>
        </w:rPr>
        <w:t>年</w:t>
      </w:r>
      <w:r>
        <w:rPr>
          <w:rFonts w:hint="eastAsia"/>
          <w:color w:val="auto"/>
        </w:rPr>
        <w:t>9</w:t>
      </w:r>
      <w:r>
        <w:rPr>
          <w:rFonts w:hint="eastAsia"/>
          <w:color w:val="auto"/>
        </w:rPr>
        <w:t>月</w:t>
      </w:r>
      <w:r>
        <w:rPr>
          <w:rFonts w:hint="eastAsia"/>
          <w:color w:val="auto"/>
        </w:rPr>
        <w:t>1</w:t>
      </w:r>
      <w:r>
        <w:rPr>
          <w:rFonts w:hint="eastAsia"/>
          <w:color w:val="auto"/>
        </w:rPr>
        <w:t>日施行）、《建设项目安全设施“三同时”监督管理办法》（国家安全生产监督管理总局令第</w:t>
      </w:r>
      <w:r>
        <w:rPr>
          <w:rFonts w:hint="eastAsia"/>
          <w:color w:val="auto"/>
        </w:rPr>
        <w:t>36</w:t>
      </w:r>
      <w:r>
        <w:rPr>
          <w:rFonts w:hint="eastAsia"/>
          <w:color w:val="auto"/>
        </w:rPr>
        <w:t>号</w:t>
      </w:r>
      <w:r>
        <w:rPr>
          <w:rFonts w:hint="eastAsia"/>
          <w:color w:val="auto"/>
        </w:rPr>
        <w:t>[77</w:t>
      </w:r>
      <w:r>
        <w:rPr>
          <w:rFonts w:hint="eastAsia"/>
          <w:color w:val="auto"/>
        </w:rPr>
        <w:t>号令修订</w:t>
      </w:r>
      <w:r>
        <w:rPr>
          <w:rFonts w:hint="eastAsia"/>
          <w:color w:val="auto"/>
        </w:rPr>
        <w:t>]</w:t>
      </w:r>
      <w:r>
        <w:rPr>
          <w:rFonts w:hint="eastAsia"/>
          <w:color w:val="auto"/>
        </w:rPr>
        <w:t>），</w:t>
      </w:r>
      <w:r>
        <w:rPr>
          <w:rFonts w:hint="eastAsia"/>
          <w:color w:val="auto"/>
        </w:rPr>
        <w:t xml:space="preserve"> </w:t>
      </w:r>
      <w:r>
        <w:rPr>
          <w:rFonts w:hint="eastAsia"/>
          <w:color w:val="auto"/>
        </w:rPr>
        <w:t>“第二十三条建设项目竣工投入生产或者使用前，生产经营单位应当组织对安全设施进行竣工验收，并形成书面报告备查。安全设施竣工验收合格后，方可投入生产和使用。”</w:t>
      </w:r>
    </w:p>
    <w:p w14:paraId="18B43365" w14:textId="77777777" w:rsidR="009219A0" w:rsidRDefault="00000000">
      <w:pPr>
        <w:topLinePunct/>
        <w:ind w:firstLine="560"/>
        <w:rPr>
          <w:color w:val="auto"/>
        </w:rPr>
      </w:pPr>
      <w:r>
        <w:rPr>
          <w:rFonts w:hint="eastAsia"/>
          <w:color w:val="auto"/>
        </w:rPr>
        <w:t>在接受个旧</w:t>
      </w:r>
      <w:proofErr w:type="gramStart"/>
      <w:r>
        <w:rPr>
          <w:rFonts w:hint="eastAsia"/>
          <w:color w:val="auto"/>
        </w:rPr>
        <w:t>市创源科技</w:t>
      </w:r>
      <w:proofErr w:type="gramEnd"/>
      <w:r>
        <w:rPr>
          <w:rFonts w:hint="eastAsia"/>
          <w:color w:val="auto"/>
        </w:rPr>
        <w:t>有限公司新建实验与研究开发中心及实验基地工程建设项目安全验收评价工作的委托之后，昭通市</w:t>
      </w:r>
      <w:proofErr w:type="gramStart"/>
      <w:r>
        <w:rPr>
          <w:rFonts w:hint="eastAsia"/>
          <w:color w:val="auto"/>
        </w:rPr>
        <w:t>鼎安科技</w:t>
      </w:r>
      <w:proofErr w:type="gramEnd"/>
      <w:r>
        <w:rPr>
          <w:rFonts w:hint="eastAsia"/>
          <w:color w:val="auto"/>
        </w:rPr>
        <w:t>有限公司立即组成相关专业的安全技术人员和技术专家参加的安全评价组，投入该项目的安全验收评价工作。现场调查主要工作内容包括现场踏勘、资料收集、项目隐患查找、与企业进行项目意见交换等。本次提交的评价报告由昭通市</w:t>
      </w:r>
      <w:proofErr w:type="gramStart"/>
      <w:r>
        <w:rPr>
          <w:rFonts w:hint="eastAsia"/>
          <w:color w:val="auto"/>
        </w:rPr>
        <w:t>鼎安科技</w:t>
      </w:r>
      <w:proofErr w:type="gramEnd"/>
      <w:r>
        <w:rPr>
          <w:rFonts w:hint="eastAsia"/>
          <w:color w:val="auto"/>
        </w:rPr>
        <w:t>有限公司安全评价组完成。</w:t>
      </w:r>
    </w:p>
    <w:p w14:paraId="54246196" w14:textId="77777777" w:rsidR="009219A0" w:rsidRDefault="00000000">
      <w:pPr>
        <w:topLinePunct/>
        <w:ind w:firstLine="560"/>
        <w:rPr>
          <w:color w:val="auto"/>
        </w:rPr>
        <w:sectPr w:rsidR="009219A0">
          <w:headerReference w:type="default" r:id="rId36"/>
          <w:footerReference w:type="default" r:id="rId37"/>
          <w:pgSz w:w="11906" w:h="16838"/>
          <w:pgMar w:top="1418" w:right="1418" w:bottom="1588" w:left="1418" w:header="851" w:footer="992" w:gutter="0"/>
          <w:pgNumType w:start="1"/>
          <w:cols w:space="0"/>
          <w:docGrid w:linePitch="381"/>
        </w:sectPr>
      </w:pPr>
      <w:r>
        <w:rPr>
          <w:rFonts w:hint="eastAsia"/>
          <w:color w:val="auto"/>
        </w:rPr>
        <w:t>在评价报告编写过程中，得到了个旧市应急管理局和个旧</w:t>
      </w:r>
      <w:proofErr w:type="gramStart"/>
      <w:r>
        <w:rPr>
          <w:rFonts w:hint="eastAsia"/>
          <w:color w:val="auto"/>
        </w:rPr>
        <w:t>市创源科技</w:t>
      </w:r>
      <w:proofErr w:type="gramEnd"/>
      <w:r>
        <w:rPr>
          <w:rFonts w:hint="eastAsia"/>
          <w:color w:val="auto"/>
        </w:rPr>
        <w:t>有限公司相关领导和技术人员的大力支持，同时引用了一些专家学者的研究成果和技术资料，在此</w:t>
      </w:r>
      <w:proofErr w:type="gramStart"/>
      <w:r>
        <w:rPr>
          <w:rFonts w:hint="eastAsia"/>
          <w:color w:val="auto"/>
        </w:rPr>
        <w:t>一</w:t>
      </w:r>
      <w:proofErr w:type="gramEnd"/>
      <w:r>
        <w:rPr>
          <w:rFonts w:hint="eastAsia"/>
          <w:color w:val="auto"/>
        </w:rPr>
        <w:t>并表示感谢。</w:t>
      </w:r>
    </w:p>
    <w:p w14:paraId="12C0A4AA" w14:textId="77777777" w:rsidR="009219A0" w:rsidRDefault="00000000">
      <w:pPr>
        <w:ind w:firstLineChars="0" w:firstLine="0"/>
        <w:jc w:val="center"/>
        <w:rPr>
          <w:rFonts w:ascii="宋体" w:hAnsi="宋体" w:cs="宋体" w:hint="eastAsia"/>
          <w:b/>
          <w:color w:val="auto"/>
          <w:sz w:val="44"/>
          <w:szCs w:val="44"/>
          <w:lang w:val="zh-CN"/>
        </w:rPr>
      </w:pPr>
      <w:r>
        <w:rPr>
          <w:rFonts w:ascii="宋体" w:hAnsi="宋体" w:cs="宋体" w:hint="eastAsia"/>
          <w:b/>
          <w:color w:val="auto"/>
          <w:sz w:val="44"/>
          <w:szCs w:val="44"/>
          <w:lang w:val="zh-CN"/>
        </w:rPr>
        <w:lastRenderedPageBreak/>
        <w:t>目  录</w:t>
      </w:r>
      <w:bookmarkStart w:id="11" w:name="_Toc23076_WPSOffice_Type2"/>
    </w:p>
    <w:p w14:paraId="0379DA30" w14:textId="728B2C77" w:rsidR="009219A0" w:rsidRDefault="00000000">
      <w:pPr>
        <w:pStyle w:val="TOC1"/>
        <w:tabs>
          <w:tab w:val="left" w:pos="840"/>
          <w:tab w:val="right" w:leader="dot" w:pos="9060"/>
        </w:tabs>
        <w:rPr>
          <w:rFonts w:asciiTheme="minorEastAsia" w:eastAsiaTheme="minorEastAsia" w:hAnsiTheme="minorEastAsia" w:cstheme="minorBidi" w:hint="eastAsia"/>
          <w:b w:val="0"/>
          <w:bCs w:val="0"/>
          <w:caps w:val="0"/>
          <w:color w:val="auto"/>
          <w:szCs w:val="28"/>
          <w14:ligatures w14:val="standardContextual"/>
        </w:rPr>
      </w:pPr>
      <w:r>
        <w:rPr>
          <w:bCs w:val="0"/>
          <w:caps w:val="0"/>
          <w:szCs w:val="28"/>
        </w:rPr>
        <w:fldChar w:fldCharType="begin"/>
      </w:r>
      <w:r>
        <w:rPr>
          <w:bCs w:val="0"/>
          <w:caps w:val="0"/>
          <w:szCs w:val="28"/>
        </w:rPr>
        <w:instrText xml:space="preserve"> TOC \o "1-3" \h \z \u </w:instrText>
      </w:r>
      <w:r>
        <w:rPr>
          <w:bCs w:val="0"/>
          <w:caps w:val="0"/>
          <w:szCs w:val="28"/>
        </w:rPr>
        <w:fldChar w:fldCharType="separate"/>
      </w:r>
      <w:hyperlink w:anchor="_Toc211950393" w:history="1">
        <w:r>
          <w:rPr>
            <w:rStyle w:val="afe"/>
            <w:rFonts w:asciiTheme="minorEastAsia" w:eastAsiaTheme="minorEastAsia" w:hAnsiTheme="minorEastAsia" w:hint="eastAsia"/>
            <w:b w:val="0"/>
            <w:bCs w:val="0"/>
            <w:szCs w:val="28"/>
          </w:rPr>
          <w:t>1</w:t>
        </w:r>
        <w:r>
          <w:rPr>
            <w:rFonts w:asciiTheme="minorEastAsia" w:eastAsiaTheme="minorEastAsia" w:hAnsiTheme="minorEastAsia" w:cstheme="minorBidi" w:hint="eastAsia"/>
            <w:b w:val="0"/>
            <w:bCs w:val="0"/>
            <w:caps w:val="0"/>
            <w:color w:val="auto"/>
            <w:szCs w:val="28"/>
            <w14:ligatures w14:val="standardContextual"/>
          </w:rPr>
          <w:tab/>
        </w:r>
        <w:r>
          <w:rPr>
            <w:rStyle w:val="afe"/>
            <w:rFonts w:asciiTheme="minorEastAsia" w:eastAsiaTheme="minorEastAsia" w:hAnsiTheme="minorEastAsia" w:hint="eastAsia"/>
            <w:b w:val="0"/>
            <w:bCs w:val="0"/>
            <w:szCs w:val="28"/>
          </w:rPr>
          <w:t>安全评价工作经过</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_Toc211950393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1</w:t>
        </w:r>
        <w:r>
          <w:rPr>
            <w:rFonts w:asciiTheme="minorEastAsia" w:eastAsiaTheme="minorEastAsia" w:hAnsiTheme="minorEastAsia" w:hint="eastAsia"/>
            <w:b w:val="0"/>
            <w:bCs w:val="0"/>
            <w:szCs w:val="28"/>
          </w:rPr>
          <w:fldChar w:fldCharType="end"/>
        </w:r>
      </w:hyperlink>
    </w:p>
    <w:p w14:paraId="74B42166" w14:textId="7F05599A"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394" w:history="1">
        <w:r>
          <w:rPr>
            <w:rStyle w:val="afe"/>
            <w:rFonts w:asciiTheme="minorEastAsia" w:eastAsiaTheme="minorEastAsia" w:hAnsiTheme="minorEastAsia" w:hint="eastAsia"/>
            <w:szCs w:val="28"/>
          </w:rPr>
          <w:t>1.1 评价目的</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_Toc211950394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w:t>
        </w:r>
        <w:r>
          <w:rPr>
            <w:rFonts w:asciiTheme="minorEastAsia" w:eastAsiaTheme="minorEastAsia" w:hAnsiTheme="minorEastAsia" w:hint="eastAsia"/>
            <w:szCs w:val="28"/>
          </w:rPr>
          <w:fldChar w:fldCharType="end"/>
        </w:r>
      </w:hyperlink>
    </w:p>
    <w:p w14:paraId="3D724E93" w14:textId="66726F88"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395" w:history="1">
        <w:r>
          <w:rPr>
            <w:rStyle w:val="afe"/>
            <w:rFonts w:asciiTheme="minorEastAsia" w:eastAsiaTheme="minorEastAsia" w:hAnsiTheme="minorEastAsia" w:hint="eastAsia"/>
            <w:szCs w:val="28"/>
          </w:rPr>
          <w:t>1.2 前期准备</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_Toc211950395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2</w:t>
        </w:r>
        <w:r>
          <w:rPr>
            <w:rFonts w:asciiTheme="minorEastAsia" w:eastAsiaTheme="minorEastAsia" w:hAnsiTheme="minorEastAsia" w:hint="eastAsia"/>
            <w:szCs w:val="28"/>
          </w:rPr>
          <w:fldChar w:fldCharType="end"/>
        </w:r>
      </w:hyperlink>
    </w:p>
    <w:p w14:paraId="653D3571" w14:textId="274B7849"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396" w:history="1">
        <w:r>
          <w:rPr>
            <w:rStyle w:val="afe"/>
            <w:rFonts w:asciiTheme="minorEastAsia" w:eastAsiaTheme="minorEastAsia" w:hAnsiTheme="minorEastAsia" w:hint="eastAsia"/>
            <w:szCs w:val="28"/>
          </w:rPr>
          <w:t>1.3 评价对象及范围</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_Toc211950396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2</w:t>
        </w:r>
        <w:r>
          <w:rPr>
            <w:rFonts w:asciiTheme="minorEastAsia" w:eastAsiaTheme="minorEastAsia" w:hAnsiTheme="minorEastAsia" w:hint="eastAsia"/>
            <w:szCs w:val="28"/>
          </w:rPr>
          <w:fldChar w:fldCharType="end"/>
        </w:r>
      </w:hyperlink>
    </w:p>
    <w:p w14:paraId="78381A4C" w14:textId="1246EF9C"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397" w:history="1">
        <w:r>
          <w:rPr>
            <w:rStyle w:val="afe"/>
            <w:rFonts w:asciiTheme="minorEastAsia" w:eastAsiaTheme="minorEastAsia" w:hAnsiTheme="minorEastAsia" w:hint="eastAsia"/>
            <w:szCs w:val="28"/>
          </w:rPr>
          <w:t>1.4 评价程序</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_Toc211950397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2</w:t>
        </w:r>
        <w:r>
          <w:rPr>
            <w:rFonts w:asciiTheme="minorEastAsia" w:eastAsiaTheme="minorEastAsia" w:hAnsiTheme="minorEastAsia" w:hint="eastAsia"/>
            <w:szCs w:val="28"/>
          </w:rPr>
          <w:fldChar w:fldCharType="end"/>
        </w:r>
      </w:hyperlink>
    </w:p>
    <w:p w14:paraId="1B55C52E" w14:textId="5B58CDD4"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398" w:history="1">
        <w:r>
          <w:rPr>
            <w:rStyle w:val="afe"/>
            <w:rFonts w:asciiTheme="minorEastAsia" w:eastAsiaTheme="minorEastAsia" w:hAnsiTheme="minorEastAsia" w:hint="eastAsia"/>
            <w:szCs w:val="28"/>
          </w:rPr>
          <w:t>1.5 评价原则</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_Toc211950398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w:t>
        </w:r>
        <w:r>
          <w:rPr>
            <w:rFonts w:asciiTheme="minorEastAsia" w:eastAsiaTheme="minorEastAsia" w:hAnsiTheme="minorEastAsia" w:hint="eastAsia"/>
            <w:szCs w:val="28"/>
          </w:rPr>
          <w:fldChar w:fldCharType="end"/>
        </w:r>
      </w:hyperlink>
    </w:p>
    <w:p w14:paraId="447A3B05" w14:textId="5781005B"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399" w:history="1">
        <w:r>
          <w:rPr>
            <w:rStyle w:val="afe"/>
            <w:rFonts w:asciiTheme="minorEastAsia" w:eastAsiaTheme="minorEastAsia" w:hAnsiTheme="minorEastAsia" w:hint="eastAsia"/>
            <w:szCs w:val="28"/>
          </w:rPr>
          <w:t>1.6 评价基准日</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_Toc211950399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w:t>
        </w:r>
        <w:r>
          <w:rPr>
            <w:rFonts w:asciiTheme="minorEastAsia" w:eastAsiaTheme="minorEastAsia" w:hAnsiTheme="minorEastAsia" w:hint="eastAsia"/>
            <w:szCs w:val="28"/>
          </w:rPr>
          <w:fldChar w:fldCharType="end"/>
        </w:r>
      </w:hyperlink>
    </w:p>
    <w:p w14:paraId="20370955" w14:textId="54820996" w:rsidR="009219A0" w:rsidRDefault="00000000">
      <w:pPr>
        <w:pStyle w:val="TOC1"/>
        <w:tabs>
          <w:tab w:val="left" w:pos="840"/>
          <w:tab w:val="right" w:leader="dot" w:pos="9060"/>
        </w:tabs>
        <w:rPr>
          <w:rFonts w:asciiTheme="minorEastAsia" w:eastAsiaTheme="minorEastAsia" w:hAnsiTheme="minorEastAsia" w:cstheme="minorBidi" w:hint="eastAsia"/>
          <w:b w:val="0"/>
          <w:bCs w:val="0"/>
          <w:caps w:val="0"/>
          <w:color w:val="auto"/>
          <w:szCs w:val="28"/>
          <w14:ligatures w14:val="standardContextual"/>
        </w:rPr>
      </w:pPr>
      <w:hyperlink w:anchor="_Toc211950400" w:history="1">
        <w:r>
          <w:rPr>
            <w:rStyle w:val="afe"/>
            <w:rFonts w:asciiTheme="minorEastAsia" w:eastAsiaTheme="minorEastAsia" w:hAnsiTheme="minorEastAsia" w:hint="eastAsia"/>
            <w:b w:val="0"/>
            <w:bCs w:val="0"/>
            <w:szCs w:val="28"/>
          </w:rPr>
          <w:t>2</w:t>
        </w:r>
        <w:r>
          <w:rPr>
            <w:rFonts w:asciiTheme="minorEastAsia" w:eastAsiaTheme="minorEastAsia" w:hAnsiTheme="minorEastAsia" w:cstheme="minorBidi" w:hint="eastAsia"/>
            <w:b w:val="0"/>
            <w:bCs w:val="0"/>
            <w:caps w:val="0"/>
            <w:color w:val="auto"/>
            <w:szCs w:val="28"/>
            <w14:ligatures w14:val="standardContextual"/>
          </w:rPr>
          <w:tab/>
        </w:r>
        <w:r>
          <w:rPr>
            <w:rStyle w:val="afe"/>
            <w:rFonts w:asciiTheme="minorEastAsia" w:eastAsiaTheme="minorEastAsia" w:hAnsiTheme="minorEastAsia" w:hint="eastAsia"/>
            <w:b w:val="0"/>
            <w:bCs w:val="0"/>
            <w:szCs w:val="28"/>
          </w:rPr>
          <w:t>建设项目概况</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_Toc211950400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5</w:t>
        </w:r>
        <w:r>
          <w:rPr>
            <w:rFonts w:asciiTheme="minorEastAsia" w:eastAsiaTheme="minorEastAsia" w:hAnsiTheme="minorEastAsia" w:hint="eastAsia"/>
            <w:b w:val="0"/>
            <w:bCs w:val="0"/>
            <w:szCs w:val="28"/>
          </w:rPr>
          <w:fldChar w:fldCharType="end"/>
        </w:r>
      </w:hyperlink>
    </w:p>
    <w:p w14:paraId="7A6DC589" w14:textId="48FC8E57"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01" w:history="1">
        <w:r>
          <w:rPr>
            <w:rStyle w:val="afe"/>
            <w:rFonts w:asciiTheme="minorEastAsia" w:eastAsiaTheme="minorEastAsia" w:hAnsiTheme="minorEastAsia" w:hint="eastAsia"/>
            <w:szCs w:val="28"/>
          </w:rPr>
          <w:t>2.1 建设单位概况</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_Toc211950401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5</w:t>
        </w:r>
        <w:r>
          <w:rPr>
            <w:rFonts w:asciiTheme="minorEastAsia" w:eastAsiaTheme="minorEastAsia" w:hAnsiTheme="minorEastAsia" w:hint="eastAsia"/>
            <w:szCs w:val="28"/>
          </w:rPr>
          <w:fldChar w:fldCharType="end"/>
        </w:r>
      </w:hyperlink>
    </w:p>
    <w:p w14:paraId="604019CB" w14:textId="027B0385"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02" w:history="1">
        <w:r>
          <w:rPr>
            <w:rStyle w:val="afe"/>
            <w:rFonts w:asciiTheme="minorEastAsia" w:eastAsiaTheme="minorEastAsia" w:hAnsiTheme="minorEastAsia" w:hint="eastAsia"/>
            <w:szCs w:val="28"/>
          </w:rPr>
          <w:t>2.2 建设项目概况</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_Toc211950402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5</w:t>
        </w:r>
        <w:r>
          <w:rPr>
            <w:rFonts w:asciiTheme="minorEastAsia" w:eastAsiaTheme="minorEastAsia" w:hAnsiTheme="minorEastAsia" w:hint="eastAsia"/>
            <w:szCs w:val="28"/>
          </w:rPr>
          <w:fldChar w:fldCharType="end"/>
        </w:r>
      </w:hyperlink>
    </w:p>
    <w:p w14:paraId="162A78DC" w14:textId="4C4B315B"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03" w:history="1">
        <w:r>
          <w:rPr>
            <w:rStyle w:val="afe"/>
            <w:rFonts w:asciiTheme="minorEastAsia" w:eastAsiaTheme="minorEastAsia" w:hAnsiTheme="minorEastAsia" w:hint="eastAsia"/>
            <w:szCs w:val="28"/>
          </w:rPr>
          <w:t>2.2.1 项目建设概况</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_Toc211950403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5</w:t>
        </w:r>
        <w:r>
          <w:rPr>
            <w:rFonts w:asciiTheme="minorEastAsia" w:eastAsiaTheme="minorEastAsia" w:hAnsiTheme="minorEastAsia" w:hint="eastAsia"/>
            <w:szCs w:val="28"/>
          </w:rPr>
          <w:fldChar w:fldCharType="end"/>
        </w:r>
      </w:hyperlink>
    </w:p>
    <w:p w14:paraId="766B49EA" w14:textId="5A393C10"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04" w:history="1">
        <w:r>
          <w:rPr>
            <w:rStyle w:val="afe"/>
            <w:rFonts w:asciiTheme="minorEastAsia" w:eastAsiaTheme="minorEastAsia" w:hAnsiTheme="minorEastAsia" w:hint="eastAsia"/>
            <w:szCs w:val="28"/>
          </w:rPr>
          <w:t>2.2.2 项目性质及建设内容</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_Toc211950404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w:t>
        </w:r>
        <w:r>
          <w:rPr>
            <w:rFonts w:asciiTheme="minorEastAsia" w:eastAsiaTheme="minorEastAsia" w:hAnsiTheme="minorEastAsia" w:hint="eastAsia"/>
            <w:szCs w:val="28"/>
          </w:rPr>
          <w:fldChar w:fldCharType="end"/>
        </w:r>
      </w:hyperlink>
    </w:p>
    <w:p w14:paraId="0CFF867B" w14:textId="120EB745"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05" w:history="1">
        <w:r>
          <w:rPr>
            <w:rStyle w:val="afe"/>
            <w:rFonts w:asciiTheme="minorEastAsia" w:eastAsiaTheme="minorEastAsia" w:hAnsiTheme="minorEastAsia" w:hint="eastAsia"/>
            <w:szCs w:val="28"/>
          </w:rPr>
          <w:t>2.2.3 实验规模</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_Toc211950405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w:t>
        </w:r>
        <w:r>
          <w:rPr>
            <w:rFonts w:asciiTheme="minorEastAsia" w:eastAsiaTheme="minorEastAsia" w:hAnsiTheme="minorEastAsia" w:hint="eastAsia"/>
            <w:szCs w:val="28"/>
          </w:rPr>
          <w:fldChar w:fldCharType="end"/>
        </w:r>
      </w:hyperlink>
    </w:p>
    <w:p w14:paraId="41D6C286" w14:textId="73A4A025"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06" w:history="1">
        <w:r>
          <w:rPr>
            <w:rStyle w:val="afe"/>
            <w:rFonts w:asciiTheme="minorEastAsia" w:eastAsiaTheme="minorEastAsia" w:hAnsiTheme="minorEastAsia" w:hint="eastAsia"/>
            <w:szCs w:val="28"/>
          </w:rPr>
          <w:t>2.2.4 项目建设涉及单位简介</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_Toc211950406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w:t>
        </w:r>
        <w:r>
          <w:rPr>
            <w:rFonts w:asciiTheme="minorEastAsia" w:eastAsiaTheme="minorEastAsia" w:hAnsiTheme="minorEastAsia" w:hint="eastAsia"/>
            <w:szCs w:val="28"/>
          </w:rPr>
          <w:fldChar w:fldCharType="end"/>
        </w:r>
      </w:hyperlink>
    </w:p>
    <w:p w14:paraId="66F15E1A" w14:textId="6722337B"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07" w:history="1">
        <w:r>
          <w:rPr>
            <w:rStyle w:val="afe"/>
            <w:rFonts w:asciiTheme="minorEastAsia" w:eastAsiaTheme="minorEastAsia" w:hAnsiTheme="minorEastAsia" w:hint="eastAsia"/>
            <w:szCs w:val="28"/>
          </w:rPr>
          <w:t>2.2.5 建设项目选址及周边环境情况</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_Toc211950407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8</w:t>
        </w:r>
        <w:r>
          <w:rPr>
            <w:rFonts w:asciiTheme="minorEastAsia" w:eastAsiaTheme="minorEastAsia" w:hAnsiTheme="minorEastAsia" w:hint="eastAsia"/>
            <w:szCs w:val="28"/>
          </w:rPr>
          <w:fldChar w:fldCharType="end"/>
        </w:r>
      </w:hyperlink>
    </w:p>
    <w:p w14:paraId="54B3F9F7" w14:textId="636999EC"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08" w:history="1">
        <w:r>
          <w:rPr>
            <w:rStyle w:val="afe"/>
            <w:rFonts w:asciiTheme="minorEastAsia" w:eastAsiaTheme="minorEastAsia" w:hAnsiTheme="minorEastAsia" w:hint="eastAsia"/>
            <w:szCs w:val="28"/>
          </w:rPr>
          <w:t>2.2.6 自然条件</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_Toc211950408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11</w:t>
        </w:r>
        <w:r>
          <w:rPr>
            <w:rFonts w:asciiTheme="minorEastAsia" w:eastAsiaTheme="minorEastAsia" w:hAnsiTheme="minorEastAsia" w:hint="eastAsia"/>
            <w:szCs w:val="28"/>
          </w:rPr>
          <w:fldChar w:fldCharType="end"/>
        </w:r>
      </w:hyperlink>
    </w:p>
    <w:p w14:paraId="17894F80" w14:textId="53C51A7D"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09" w:history="1">
        <w:r>
          <w:rPr>
            <w:rStyle w:val="afe"/>
            <w:rFonts w:asciiTheme="minorEastAsia" w:eastAsiaTheme="minorEastAsia" w:hAnsiTheme="minorEastAsia" w:hint="eastAsia"/>
            <w:szCs w:val="28"/>
          </w:rPr>
          <w:t>2.2.7 平面布置</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_Toc211950409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12</w:t>
        </w:r>
        <w:r>
          <w:rPr>
            <w:rFonts w:asciiTheme="minorEastAsia" w:eastAsiaTheme="minorEastAsia" w:hAnsiTheme="minorEastAsia" w:hint="eastAsia"/>
            <w:szCs w:val="28"/>
          </w:rPr>
          <w:fldChar w:fldCharType="end"/>
        </w:r>
      </w:hyperlink>
    </w:p>
    <w:p w14:paraId="09BBA204" w14:textId="5780FE53" w:rsidR="009219A0" w:rsidRDefault="00000000">
      <w:pPr>
        <w:pStyle w:val="TOC3"/>
        <w:tabs>
          <w:tab w:val="left" w:pos="2520"/>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10" w:history="1">
        <w:r>
          <w:rPr>
            <w:rStyle w:val="afe"/>
            <w:rFonts w:asciiTheme="minorEastAsia" w:eastAsiaTheme="minorEastAsia" w:hAnsiTheme="minorEastAsia" w:hint="eastAsia"/>
            <w:szCs w:val="28"/>
          </w:rPr>
          <w:t>2.2.8</w:t>
        </w:r>
        <w:r>
          <w:rPr>
            <w:rFonts w:asciiTheme="minorEastAsia" w:eastAsiaTheme="minorEastAsia" w:hAnsiTheme="minorEastAsia" w:cstheme="minorBidi" w:hint="eastAsia"/>
            <w:color w:val="auto"/>
            <w:szCs w:val="28"/>
            <w14:ligatures w14:val="standardContextual"/>
          </w:rPr>
          <w:tab/>
        </w:r>
        <w:r>
          <w:rPr>
            <w:rStyle w:val="afe"/>
            <w:rFonts w:asciiTheme="minorEastAsia" w:eastAsiaTheme="minorEastAsia" w:hAnsiTheme="minorEastAsia" w:hint="eastAsia"/>
            <w:szCs w:val="28"/>
          </w:rPr>
          <w:t>主要原辅料用量、储存量及主要成分</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_Toc211950410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13</w:t>
        </w:r>
        <w:r>
          <w:rPr>
            <w:rFonts w:asciiTheme="minorEastAsia" w:eastAsiaTheme="minorEastAsia" w:hAnsiTheme="minorEastAsia" w:hint="eastAsia"/>
            <w:szCs w:val="28"/>
          </w:rPr>
          <w:fldChar w:fldCharType="end"/>
        </w:r>
      </w:hyperlink>
    </w:p>
    <w:p w14:paraId="7E4335FC" w14:textId="264DB1B7"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11" w:history="1">
        <w:r>
          <w:rPr>
            <w:rStyle w:val="afe"/>
            <w:rFonts w:asciiTheme="minorEastAsia" w:eastAsiaTheme="minorEastAsia" w:hAnsiTheme="minorEastAsia" w:hint="eastAsia"/>
            <w:szCs w:val="28"/>
          </w:rPr>
          <w:t>2.2.9 工艺流程</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_Toc211950411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14</w:t>
        </w:r>
        <w:r>
          <w:rPr>
            <w:rFonts w:asciiTheme="minorEastAsia" w:eastAsiaTheme="minorEastAsia" w:hAnsiTheme="minorEastAsia" w:hint="eastAsia"/>
            <w:szCs w:val="28"/>
          </w:rPr>
          <w:fldChar w:fldCharType="end"/>
        </w:r>
      </w:hyperlink>
    </w:p>
    <w:p w14:paraId="737B1023" w14:textId="6CC950A1"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12" w:history="1">
        <w:r>
          <w:rPr>
            <w:rStyle w:val="afe"/>
            <w:rFonts w:asciiTheme="minorEastAsia" w:eastAsiaTheme="minorEastAsia" w:hAnsiTheme="minorEastAsia" w:hint="eastAsia"/>
            <w:szCs w:val="28"/>
          </w:rPr>
          <w:t>2.2.10 主要设备、设施</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_Toc211950412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24</w:t>
        </w:r>
        <w:r>
          <w:rPr>
            <w:rFonts w:asciiTheme="minorEastAsia" w:eastAsiaTheme="minorEastAsia" w:hAnsiTheme="minorEastAsia" w:hint="eastAsia"/>
            <w:szCs w:val="28"/>
          </w:rPr>
          <w:fldChar w:fldCharType="end"/>
        </w:r>
      </w:hyperlink>
    </w:p>
    <w:p w14:paraId="5326F7D7" w14:textId="30B553D1"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13" w:history="1">
        <w:r>
          <w:rPr>
            <w:rStyle w:val="afe"/>
            <w:rFonts w:asciiTheme="minorEastAsia" w:eastAsiaTheme="minorEastAsia" w:hAnsiTheme="minorEastAsia" w:hint="eastAsia"/>
            <w:szCs w:val="28"/>
          </w:rPr>
          <w:t>2.2.11 主要建构筑物</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_Toc211950413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26</w:t>
        </w:r>
        <w:r>
          <w:rPr>
            <w:rFonts w:asciiTheme="minorEastAsia" w:eastAsiaTheme="minorEastAsia" w:hAnsiTheme="minorEastAsia" w:hint="eastAsia"/>
            <w:szCs w:val="28"/>
          </w:rPr>
          <w:fldChar w:fldCharType="end"/>
        </w:r>
      </w:hyperlink>
    </w:p>
    <w:p w14:paraId="18FEC6F4" w14:textId="0ED05953"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14" w:history="1">
        <w:r>
          <w:rPr>
            <w:rStyle w:val="afe"/>
            <w:rFonts w:asciiTheme="minorEastAsia" w:eastAsiaTheme="minorEastAsia" w:hAnsiTheme="minorEastAsia" w:hint="eastAsia"/>
            <w:szCs w:val="28"/>
          </w:rPr>
          <w:t>2.2.12 项目涉及的主要原辅材料和产品</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_Toc211950414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27</w:t>
        </w:r>
        <w:r>
          <w:rPr>
            <w:rFonts w:asciiTheme="minorEastAsia" w:eastAsiaTheme="minorEastAsia" w:hAnsiTheme="minorEastAsia" w:hint="eastAsia"/>
            <w:szCs w:val="28"/>
          </w:rPr>
          <w:fldChar w:fldCharType="end"/>
        </w:r>
      </w:hyperlink>
    </w:p>
    <w:p w14:paraId="01233BF0" w14:textId="0BBA6806"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15" w:history="1">
        <w:r>
          <w:rPr>
            <w:rStyle w:val="afe"/>
            <w:rFonts w:asciiTheme="minorEastAsia" w:eastAsiaTheme="minorEastAsia" w:hAnsiTheme="minorEastAsia" w:hint="eastAsia"/>
            <w:szCs w:val="28"/>
          </w:rPr>
          <w:t>2.2.13 公用工程及辅助设施</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_Toc211950415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27</w:t>
        </w:r>
        <w:r>
          <w:rPr>
            <w:rFonts w:asciiTheme="minorEastAsia" w:eastAsiaTheme="minorEastAsia" w:hAnsiTheme="minorEastAsia" w:hint="eastAsia"/>
            <w:szCs w:val="28"/>
          </w:rPr>
          <w:fldChar w:fldCharType="end"/>
        </w:r>
      </w:hyperlink>
    </w:p>
    <w:p w14:paraId="3FBF09A1" w14:textId="5DCE1446"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16" w:history="1">
        <w:r>
          <w:rPr>
            <w:rStyle w:val="afe"/>
            <w:rFonts w:asciiTheme="minorEastAsia" w:eastAsiaTheme="minorEastAsia" w:hAnsiTheme="minorEastAsia" w:hint="eastAsia"/>
            <w:szCs w:val="28"/>
          </w:rPr>
          <w:t>2.3 项目安全投资</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_Toc211950416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29</w:t>
        </w:r>
        <w:r>
          <w:rPr>
            <w:rFonts w:asciiTheme="minorEastAsia" w:eastAsiaTheme="minorEastAsia" w:hAnsiTheme="minorEastAsia" w:hint="eastAsia"/>
            <w:szCs w:val="28"/>
          </w:rPr>
          <w:fldChar w:fldCharType="end"/>
        </w:r>
      </w:hyperlink>
    </w:p>
    <w:p w14:paraId="1EE13C1C" w14:textId="2357DD5C"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17" w:history="1">
        <w:r>
          <w:rPr>
            <w:rStyle w:val="afe"/>
            <w:rFonts w:asciiTheme="minorEastAsia" w:eastAsiaTheme="minorEastAsia" w:hAnsiTheme="minorEastAsia" w:hint="eastAsia"/>
            <w:szCs w:val="28"/>
          </w:rPr>
          <w:t>2.4 爆炸区域划分情况及电气设备设置情况</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_Toc211950417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30</w:t>
        </w:r>
        <w:r>
          <w:rPr>
            <w:rFonts w:asciiTheme="minorEastAsia" w:eastAsiaTheme="minorEastAsia" w:hAnsiTheme="minorEastAsia" w:hint="eastAsia"/>
            <w:szCs w:val="28"/>
          </w:rPr>
          <w:fldChar w:fldCharType="end"/>
        </w:r>
      </w:hyperlink>
    </w:p>
    <w:p w14:paraId="41CBBC36" w14:textId="63C9154F"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18" w:history="1">
        <w:r>
          <w:rPr>
            <w:rStyle w:val="afe"/>
            <w:rFonts w:asciiTheme="minorEastAsia" w:eastAsiaTheme="minorEastAsia" w:hAnsiTheme="minorEastAsia" w:hint="eastAsia"/>
            <w:szCs w:val="28"/>
          </w:rPr>
          <w:t>2.5 安全生产管理情况</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_Toc211950418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31</w:t>
        </w:r>
        <w:r>
          <w:rPr>
            <w:rFonts w:asciiTheme="minorEastAsia" w:eastAsiaTheme="minorEastAsia" w:hAnsiTheme="minorEastAsia" w:hint="eastAsia"/>
            <w:szCs w:val="28"/>
          </w:rPr>
          <w:fldChar w:fldCharType="end"/>
        </w:r>
      </w:hyperlink>
    </w:p>
    <w:p w14:paraId="40004CBE" w14:textId="1AD1B0CD"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19" w:history="1">
        <w:r>
          <w:rPr>
            <w:rStyle w:val="afe"/>
            <w:rFonts w:asciiTheme="minorEastAsia" w:eastAsiaTheme="minorEastAsia" w:hAnsiTheme="minorEastAsia" w:hint="eastAsia"/>
            <w:szCs w:val="28"/>
          </w:rPr>
          <w:t>2.5.1 安全管理机构及职责</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_Toc211950419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31</w:t>
        </w:r>
        <w:r>
          <w:rPr>
            <w:rFonts w:asciiTheme="minorEastAsia" w:eastAsiaTheme="minorEastAsia" w:hAnsiTheme="minorEastAsia" w:hint="eastAsia"/>
            <w:szCs w:val="28"/>
          </w:rPr>
          <w:fldChar w:fldCharType="end"/>
        </w:r>
      </w:hyperlink>
    </w:p>
    <w:p w14:paraId="668CE8CB" w14:textId="1A410162"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20" w:history="1">
        <w:r>
          <w:rPr>
            <w:rStyle w:val="afe"/>
            <w:rFonts w:asciiTheme="minorEastAsia" w:eastAsiaTheme="minorEastAsia" w:hAnsiTheme="minorEastAsia" w:hint="eastAsia"/>
            <w:szCs w:val="28"/>
          </w:rPr>
          <w:t>2.5.2 安全管理制度</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_Toc211950420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31</w:t>
        </w:r>
        <w:r>
          <w:rPr>
            <w:rFonts w:asciiTheme="minorEastAsia" w:eastAsiaTheme="minorEastAsia" w:hAnsiTheme="minorEastAsia" w:hint="eastAsia"/>
            <w:szCs w:val="28"/>
          </w:rPr>
          <w:fldChar w:fldCharType="end"/>
        </w:r>
      </w:hyperlink>
    </w:p>
    <w:p w14:paraId="46CB906F" w14:textId="5EB50E59"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21" w:history="1">
        <w:r>
          <w:rPr>
            <w:rStyle w:val="afe"/>
            <w:rFonts w:asciiTheme="minorEastAsia" w:eastAsiaTheme="minorEastAsia" w:hAnsiTheme="minorEastAsia" w:hint="eastAsia"/>
            <w:szCs w:val="28"/>
          </w:rPr>
          <w:t>2.5.3 人员教育培训情况</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_Toc211950421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34</w:t>
        </w:r>
        <w:r>
          <w:rPr>
            <w:rFonts w:asciiTheme="minorEastAsia" w:eastAsiaTheme="minorEastAsia" w:hAnsiTheme="minorEastAsia" w:hint="eastAsia"/>
            <w:szCs w:val="28"/>
          </w:rPr>
          <w:fldChar w:fldCharType="end"/>
        </w:r>
      </w:hyperlink>
    </w:p>
    <w:p w14:paraId="0A70C041" w14:textId="5508E00C"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22" w:history="1">
        <w:r>
          <w:rPr>
            <w:rStyle w:val="afe"/>
            <w:rFonts w:asciiTheme="minorEastAsia" w:eastAsiaTheme="minorEastAsia" w:hAnsiTheme="minorEastAsia" w:hint="eastAsia"/>
            <w:szCs w:val="28"/>
          </w:rPr>
          <w:t>2.5.4 事故应急救援预案</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_Toc211950422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34</w:t>
        </w:r>
        <w:r>
          <w:rPr>
            <w:rFonts w:asciiTheme="minorEastAsia" w:eastAsiaTheme="minorEastAsia" w:hAnsiTheme="minorEastAsia" w:hint="eastAsia"/>
            <w:szCs w:val="28"/>
          </w:rPr>
          <w:fldChar w:fldCharType="end"/>
        </w:r>
      </w:hyperlink>
    </w:p>
    <w:p w14:paraId="228C2D7F" w14:textId="0C37B1A7"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23" w:history="1">
        <w:r>
          <w:rPr>
            <w:rStyle w:val="afe"/>
            <w:rFonts w:asciiTheme="minorEastAsia" w:eastAsiaTheme="minorEastAsia" w:hAnsiTheme="minorEastAsia" w:hint="eastAsia"/>
            <w:szCs w:val="28"/>
          </w:rPr>
          <w:t>2.5.5 工伤保险购买情况及劳动防护用品发放情况</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_Toc211950423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35</w:t>
        </w:r>
        <w:r>
          <w:rPr>
            <w:rFonts w:asciiTheme="minorEastAsia" w:eastAsiaTheme="minorEastAsia" w:hAnsiTheme="minorEastAsia" w:hint="eastAsia"/>
            <w:szCs w:val="28"/>
          </w:rPr>
          <w:fldChar w:fldCharType="end"/>
        </w:r>
      </w:hyperlink>
    </w:p>
    <w:p w14:paraId="76BA173B" w14:textId="56B59D82"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24" w:history="1">
        <w:r>
          <w:rPr>
            <w:rStyle w:val="afe"/>
            <w:rFonts w:asciiTheme="minorEastAsia" w:eastAsiaTheme="minorEastAsia" w:hAnsiTheme="minorEastAsia" w:hint="eastAsia"/>
            <w:szCs w:val="28"/>
          </w:rPr>
          <w:t>2.6 安全设施设置情况</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_Toc211950424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35</w:t>
        </w:r>
        <w:r>
          <w:rPr>
            <w:rFonts w:asciiTheme="minorEastAsia" w:eastAsiaTheme="minorEastAsia" w:hAnsiTheme="minorEastAsia" w:hint="eastAsia"/>
            <w:szCs w:val="28"/>
          </w:rPr>
          <w:fldChar w:fldCharType="end"/>
        </w:r>
      </w:hyperlink>
    </w:p>
    <w:p w14:paraId="5C1A382E" w14:textId="0FF5F7F4"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25" w:history="1">
        <w:r>
          <w:rPr>
            <w:rStyle w:val="afe"/>
            <w:rFonts w:asciiTheme="minorEastAsia" w:eastAsiaTheme="minorEastAsia" w:hAnsiTheme="minorEastAsia" w:hint="eastAsia"/>
            <w:szCs w:val="28"/>
          </w:rPr>
          <w:t>2.6.1 预防和控制事故设施</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_Toc211950425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35</w:t>
        </w:r>
        <w:r>
          <w:rPr>
            <w:rFonts w:asciiTheme="minorEastAsia" w:eastAsiaTheme="minorEastAsia" w:hAnsiTheme="minorEastAsia" w:hint="eastAsia"/>
            <w:szCs w:val="28"/>
          </w:rPr>
          <w:fldChar w:fldCharType="end"/>
        </w:r>
      </w:hyperlink>
    </w:p>
    <w:p w14:paraId="74EA1F63" w14:textId="35242C96"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26" w:history="1">
        <w:r>
          <w:rPr>
            <w:rStyle w:val="afe"/>
            <w:rFonts w:asciiTheme="minorEastAsia" w:eastAsiaTheme="minorEastAsia" w:hAnsiTheme="minorEastAsia" w:hint="eastAsia"/>
            <w:szCs w:val="28"/>
          </w:rPr>
          <w:t>2.6.2减少与消除事故影响设施</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_Toc211950426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36</w:t>
        </w:r>
        <w:r>
          <w:rPr>
            <w:rFonts w:asciiTheme="minorEastAsia" w:eastAsiaTheme="minorEastAsia" w:hAnsiTheme="minorEastAsia" w:hint="eastAsia"/>
            <w:szCs w:val="28"/>
          </w:rPr>
          <w:fldChar w:fldCharType="end"/>
        </w:r>
      </w:hyperlink>
    </w:p>
    <w:p w14:paraId="54C321A2" w14:textId="785D9222"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27" w:history="1">
        <w:r>
          <w:rPr>
            <w:rStyle w:val="afe"/>
            <w:rFonts w:asciiTheme="minorEastAsia" w:eastAsiaTheme="minorEastAsia" w:hAnsiTheme="minorEastAsia" w:hint="eastAsia"/>
            <w:szCs w:val="28"/>
          </w:rPr>
          <w:t>2.6.4 主要安全设施</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_Toc211950427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36</w:t>
        </w:r>
        <w:r>
          <w:rPr>
            <w:rFonts w:asciiTheme="minorEastAsia" w:eastAsiaTheme="minorEastAsia" w:hAnsiTheme="minorEastAsia" w:hint="eastAsia"/>
            <w:szCs w:val="28"/>
          </w:rPr>
          <w:fldChar w:fldCharType="end"/>
        </w:r>
      </w:hyperlink>
    </w:p>
    <w:p w14:paraId="5CEE29AD" w14:textId="22A948CE"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28" w:history="1">
        <w:r>
          <w:rPr>
            <w:rStyle w:val="afe"/>
            <w:rFonts w:asciiTheme="minorEastAsia" w:eastAsiaTheme="minorEastAsia" w:hAnsiTheme="minorEastAsia" w:hint="eastAsia"/>
            <w:szCs w:val="28"/>
          </w:rPr>
          <w:t>2.7 工程施工及其质量情况</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_Toc211950428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37</w:t>
        </w:r>
        <w:r>
          <w:rPr>
            <w:rFonts w:asciiTheme="minorEastAsia" w:eastAsiaTheme="minorEastAsia" w:hAnsiTheme="minorEastAsia" w:hint="eastAsia"/>
            <w:szCs w:val="28"/>
          </w:rPr>
          <w:fldChar w:fldCharType="end"/>
        </w:r>
      </w:hyperlink>
    </w:p>
    <w:p w14:paraId="37C1CC48" w14:textId="5AAD409B"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29" w:history="1">
        <w:r>
          <w:rPr>
            <w:rStyle w:val="afe"/>
            <w:rFonts w:asciiTheme="minorEastAsia" w:eastAsiaTheme="minorEastAsia" w:hAnsiTheme="minorEastAsia" w:hint="eastAsia"/>
            <w:szCs w:val="28"/>
          </w:rPr>
          <w:t>2.7.1 设计变更情况</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_Toc211950429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37</w:t>
        </w:r>
        <w:r>
          <w:rPr>
            <w:rFonts w:asciiTheme="minorEastAsia" w:eastAsiaTheme="minorEastAsia" w:hAnsiTheme="minorEastAsia" w:hint="eastAsia"/>
            <w:szCs w:val="28"/>
          </w:rPr>
          <w:fldChar w:fldCharType="end"/>
        </w:r>
      </w:hyperlink>
    </w:p>
    <w:p w14:paraId="20C6B85B" w14:textId="2BBDAF5E"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30" w:history="1">
        <w:r>
          <w:rPr>
            <w:rStyle w:val="afe"/>
            <w:rFonts w:asciiTheme="minorEastAsia" w:eastAsiaTheme="minorEastAsia" w:hAnsiTheme="minorEastAsia" w:hint="eastAsia"/>
            <w:szCs w:val="28"/>
          </w:rPr>
          <w:t>2.7.2 工程施工及质量情况</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_Toc211950430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38</w:t>
        </w:r>
        <w:r>
          <w:rPr>
            <w:rFonts w:asciiTheme="minorEastAsia" w:eastAsiaTheme="minorEastAsia" w:hAnsiTheme="minorEastAsia" w:hint="eastAsia"/>
            <w:szCs w:val="28"/>
          </w:rPr>
          <w:fldChar w:fldCharType="end"/>
        </w:r>
      </w:hyperlink>
    </w:p>
    <w:p w14:paraId="029B3881" w14:textId="63F373F9" w:rsidR="009219A0" w:rsidRDefault="00000000">
      <w:pPr>
        <w:pStyle w:val="TOC1"/>
        <w:tabs>
          <w:tab w:val="left" w:pos="840"/>
          <w:tab w:val="right" w:leader="dot" w:pos="9060"/>
        </w:tabs>
        <w:rPr>
          <w:rFonts w:asciiTheme="minorEastAsia" w:eastAsiaTheme="minorEastAsia" w:hAnsiTheme="minorEastAsia" w:cstheme="minorBidi" w:hint="eastAsia"/>
          <w:b w:val="0"/>
          <w:bCs w:val="0"/>
          <w:caps w:val="0"/>
          <w:color w:val="auto"/>
          <w:szCs w:val="28"/>
          <w14:ligatures w14:val="standardContextual"/>
        </w:rPr>
      </w:pPr>
      <w:hyperlink w:anchor="_Toc211950431" w:history="1">
        <w:r>
          <w:rPr>
            <w:rStyle w:val="afe"/>
            <w:rFonts w:asciiTheme="minorEastAsia" w:eastAsiaTheme="minorEastAsia" w:hAnsiTheme="minorEastAsia" w:hint="eastAsia"/>
            <w:b w:val="0"/>
            <w:bCs w:val="0"/>
            <w:szCs w:val="28"/>
          </w:rPr>
          <w:t>3</w:t>
        </w:r>
        <w:r>
          <w:rPr>
            <w:rFonts w:asciiTheme="minorEastAsia" w:eastAsiaTheme="minorEastAsia" w:hAnsiTheme="minorEastAsia" w:cstheme="minorBidi" w:hint="eastAsia"/>
            <w:b w:val="0"/>
            <w:bCs w:val="0"/>
            <w:caps w:val="0"/>
            <w:color w:val="auto"/>
            <w:szCs w:val="28"/>
            <w14:ligatures w14:val="standardContextual"/>
          </w:rPr>
          <w:tab/>
        </w:r>
        <w:r>
          <w:rPr>
            <w:rStyle w:val="afe"/>
            <w:rFonts w:asciiTheme="minorEastAsia" w:eastAsiaTheme="minorEastAsia" w:hAnsiTheme="minorEastAsia" w:hint="eastAsia"/>
            <w:b w:val="0"/>
            <w:bCs w:val="0"/>
            <w:szCs w:val="28"/>
          </w:rPr>
          <w:t>危险、有害因素辨识结果及依据说明</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_Toc211950431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39</w:t>
        </w:r>
        <w:r>
          <w:rPr>
            <w:rFonts w:asciiTheme="minorEastAsia" w:eastAsiaTheme="minorEastAsia" w:hAnsiTheme="minorEastAsia" w:hint="eastAsia"/>
            <w:b w:val="0"/>
            <w:bCs w:val="0"/>
            <w:szCs w:val="28"/>
          </w:rPr>
          <w:fldChar w:fldCharType="end"/>
        </w:r>
      </w:hyperlink>
    </w:p>
    <w:p w14:paraId="17D35E3E" w14:textId="72EFD2E3"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32" w:history="1">
        <w:r>
          <w:rPr>
            <w:rStyle w:val="afe"/>
            <w:rFonts w:asciiTheme="minorEastAsia" w:eastAsiaTheme="minorEastAsia" w:hAnsiTheme="minorEastAsia" w:hint="eastAsia"/>
            <w:szCs w:val="28"/>
          </w:rPr>
          <w:t>3.1 辨识与分析的目的</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_Toc211950432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39</w:t>
        </w:r>
        <w:r>
          <w:rPr>
            <w:rFonts w:asciiTheme="minorEastAsia" w:eastAsiaTheme="minorEastAsia" w:hAnsiTheme="minorEastAsia" w:hint="eastAsia"/>
            <w:szCs w:val="28"/>
          </w:rPr>
          <w:fldChar w:fldCharType="end"/>
        </w:r>
      </w:hyperlink>
    </w:p>
    <w:p w14:paraId="22D33EE7" w14:textId="71569A36"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33" w:history="1">
        <w:r>
          <w:rPr>
            <w:rStyle w:val="afe"/>
            <w:rFonts w:asciiTheme="minorEastAsia" w:eastAsiaTheme="minorEastAsia" w:hAnsiTheme="minorEastAsia" w:hint="eastAsia"/>
            <w:szCs w:val="28"/>
          </w:rPr>
          <w:t>3.2 危险有害因素辨识主要依据</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_Toc211950433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39</w:t>
        </w:r>
        <w:r>
          <w:rPr>
            <w:rFonts w:asciiTheme="minorEastAsia" w:eastAsiaTheme="minorEastAsia" w:hAnsiTheme="minorEastAsia" w:hint="eastAsia"/>
            <w:szCs w:val="28"/>
          </w:rPr>
          <w:fldChar w:fldCharType="end"/>
        </w:r>
      </w:hyperlink>
    </w:p>
    <w:p w14:paraId="1D20EE40" w14:textId="6447222D"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34" w:history="1">
        <w:r>
          <w:rPr>
            <w:rStyle w:val="afe"/>
            <w:rFonts w:asciiTheme="minorEastAsia" w:eastAsiaTheme="minorEastAsia" w:hAnsiTheme="minorEastAsia" w:hint="eastAsia"/>
            <w:szCs w:val="28"/>
          </w:rPr>
          <w:t>3.3 危险、有害因素产生的原因</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_Toc211950434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41</w:t>
        </w:r>
        <w:r>
          <w:rPr>
            <w:rFonts w:asciiTheme="minorEastAsia" w:eastAsiaTheme="minorEastAsia" w:hAnsiTheme="minorEastAsia" w:hint="eastAsia"/>
            <w:szCs w:val="28"/>
          </w:rPr>
          <w:fldChar w:fldCharType="end"/>
        </w:r>
      </w:hyperlink>
    </w:p>
    <w:p w14:paraId="1360C7EC" w14:textId="781A8894"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35" w:history="1">
        <w:r>
          <w:rPr>
            <w:rStyle w:val="afe"/>
            <w:rFonts w:asciiTheme="minorEastAsia" w:eastAsiaTheme="minorEastAsia" w:hAnsiTheme="minorEastAsia" w:hint="eastAsia"/>
            <w:szCs w:val="28"/>
          </w:rPr>
          <w:t>3.3.1 运行失控与设备故障</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_Toc211950435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41</w:t>
        </w:r>
        <w:r>
          <w:rPr>
            <w:rFonts w:asciiTheme="minorEastAsia" w:eastAsiaTheme="minorEastAsia" w:hAnsiTheme="minorEastAsia" w:hint="eastAsia"/>
            <w:szCs w:val="28"/>
          </w:rPr>
          <w:fldChar w:fldCharType="end"/>
        </w:r>
      </w:hyperlink>
    </w:p>
    <w:p w14:paraId="02E264D5" w14:textId="0C346DA3"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36" w:history="1">
        <w:r>
          <w:rPr>
            <w:rStyle w:val="afe"/>
            <w:rFonts w:asciiTheme="minorEastAsia" w:eastAsiaTheme="minorEastAsia" w:hAnsiTheme="minorEastAsia" w:hint="eastAsia"/>
            <w:szCs w:val="28"/>
          </w:rPr>
          <w:t>3.3.2 人员失误</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_Toc211950436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41</w:t>
        </w:r>
        <w:r>
          <w:rPr>
            <w:rFonts w:asciiTheme="minorEastAsia" w:eastAsiaTheme="minorEastAsia" w:hAnsiTheme="minorEastAsia" w:hint="eastAsia"/>
            <w:szCs w:val="28"/>
          </w:rPr>
          <w:fldChar w:fldCharType="end"/>
        </w:r>
      </w:hyperlink>
    </w:p>
    <w:p w14:paraId="4242E66B" w14:textId="1970912C"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37" w:history="1">
        <w:r>
          <w:rPr>
            <w:rStyle w:val="afe"/>
            <w:rFonts w:asciiTheme="minorEastAsia" w:eastAsiaTheme="minorEastAsia" w:hAnsiTheme="minorEastAsia" w:hint="eastAsia"/>
            <w:szCs w:val="28"/>
          </w:rPr>
          <w:t>3.3.3 管理缺陷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_Toc211950437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41</w:t>
        </w:r>
        <w:r>
          <w:rPr>
            <w:rFonts w:asciiTheme="minorEastAsia" w:eastAsiaTheme="minorEastAsia" w:hAnsiTheme="minorEastAsia" w:hint="eastAsia"/>
            <w:szCs w:val="28"/>
          </w:rPr>
          <w:fldChar w:fldCharType="end"/>
        </w:r>
      </w:hyperlink>
    </w:p>
    <w:p w14:paraId="1B8E62B4" w14:textId="11137FA8"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38" w:history="1">
        <w:r>
          <w:rPr>
            <w:rStyle w:val="afe"/>
            <w:rFonts w:asciiTheme="minorEastAsia" w:eastAsiaTheme="minorEastAsia" w:hAnsiTheme="minorEastAsia" w:hint="eastAsia"/>
            <w:szCs w:val="28"/>
          </w:rPr>
          <w:t>3.3.4 环境因素</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_Toc211950438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41</w:t>
        </w:r>
        <w:r>
          <w:rPr>
            <w:rFonts w:asciiTheme="minorEastAsia" w:eastAsiaTheme="minorEastAsia" w:hAnsiTheme="minorEastAsia" w:hint="eastAsia"/>
            <w:szCs w:val="28"/>
          </w:rPr>
          <w:fldChar w:fldCharType="end"/>
        </w:r>
      </w:hyperlink>
    </w:p>
    <w:p w14:paraId="406D56FA" w14:textId="249C0AC1"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39" w:history="1">
        <w:r>
          <w:rPr>
            <w:rStyle w:val="afe"/>
            <w:rFonts w:asciiTheme="minorEastAsia" w:eastAsiaTheme="minorEastAsia" w:hAnsiTheme="minorEastAsia" w:hint="eastAsia"/>
            <w:szCs w:val="28"/>
          </w:rPr>
          <w:t>3.4 危险、有害物质辨识</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_Toc211950439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42</w:t>
        </w:r>
        <w:r>
          <w:rPr>
            <w:rFonts w:asciiTheme="minorEastAsia" w:eastAsiaTheme="minorEastAsia" w:hAnsiTheme="minorEastAsia" w:hint="eastAsia"/>
            <w:szCs w:val="28"/>
          </w:rPr>
          <w:fldChar w:fldCharType="end"/>
        </w:r>
      </w:hyperlink>
    </w:p>
    <w:p w14:paraId="3DAE8884" w14:textId="12AD4265"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40" w:history="1">
        <w:r>
          <w:rPr>
            <w:rStyle w:val="afe"/>
            <w:rFonts w:asciiTheme="minorEastAsia" w:eastAsiaTheme="minorEastAsia" w:hAnsiTheme="minorEastAsia" w:hint="eastAsia"/>
            <w:szCs w:val="28"/>
          </w:rPr>
          <w:t>3.4.1 主要危险物质辨识</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_Toc211950440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42</w:t>
        </w:r>
        <w:r>
          <w:rPr>
            <w:rFonts w:asciiTheme="minorEastAsia" w:eastAsiaTheme="minorEastAsia" w:hAnsiTheme="minorEastAsia" w:hint="eastAsia"/>
            <w:szCs w:val="28"/>
          </w:rPr>
          <w:fldChar w:fldCharType="end"/>
        </w:r>
      </w:hyperlink>
    </w:p>
    <w:p w14:paraId="6BB805AB" w14:textId="6A93D250"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41" w:history="1">
        <w:r>
          <w:rPr>
            <w:rStyle w:val="afe"/>
            <w:rFonts w:asciiTheme="minorEastAsia" w:eastAsiaTheme="minorEastAsia" w:hAnsiTheme="minorEastAsia" w:hint="eastAsia"/>
            <w:szCs w:val="28"/>
          </w:rPr>
          <w:t>3.4.2 主要危险、有害物质危险性分析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_Toc211950441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42</w:t>
        </w:r>
        <w:r>
          <w:rPr>
            <w:rFonts w:asciiTheme="minorEastAsia" w:eastAsiaTheme="minorEastAsia" w:hAnsiTheme="minorEastAsia" w:hint="eastAsia"/>
            <w:szCs w:val="28"/>
          </w:rPr>
          <w:fldChar w:fldCharType="end"/>
        </w:r>
      </w:hyperlink>
    </w:p>
    <w:p w14:paraId="0DBE6989" w14:textId="247FC826"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42" w:history="1">
        <w:r>
          <w:rPr>
            <w:rStyle w:val="afe"/>
            <w:rFonts w:asciiTheme="minorEastAsia" w:eastAsiaTheme="minorEastAsia" w:hAnsiTheme="minorEastAsia" w:hint="eastAsia"/>
            <w:szCs w:val="28"/>
          </w:rPr>
          <w:t>3.5 危险、有害因素辨识</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_Toc211950442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43</w:t>
        </w:r>
        <w:r>
          <w:rPr>
            <w:rFonts w:asciiTheme="minorEastAsia" w:eastAsiaTheme="minorEastAsia" w:hAnsiTheme="minorEastAsia" w:hint="eastAsia"/>
            <w:szCs w:val="28"/>
          </w:rPr>
          <w:fldChar w:fldCharType="end"/>
        </w:r>
      </w:hyperlink>
    </w:p>
    <w:p w14:paraId="5CE35C59" w14:textId="640AE5F4"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43" w:history="1">
        <w:r>
          <w:rPr>
            <w:rStyle w:val="afe"/>
            <w:rFonts w:asciiTheme="minorEastAsia" w:eastAsiaTheme="minorEastAsia" w:hAnsiTheme="minorEastAsia" w:hint="eastAsia"/>
            <w:szCs w:val="28"/>
          </w:rPr>
          <w:t>3.5.1 作业过程危险、有害因素分析结果</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_Toc211950443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43</w:t>
        </w:r>
        <w:r>
          <w:rPr>
            <w:rFonts w:asciiTheme="minorEastAsia" w:eastAsiaTheme="minorEastAsia" w:hAnsiTheme="minorEastAsia" w:hint="eastAsia"/>
            <w:szCs w:val="28"/>
          </w:rPr>
          <w:fldChar w:fldCharType="end"/>
        </w:r>
      </w:hyperlink>
    </w:p>
    <w:p w14:paraId="195AA949" w14:textId="4813C553"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44" w:history="1">
        <w:r>
          <w:rPr>
            <w:rStyle w:val="afe"/>
            <w:rFonts w:asciiTheme="minorEastAsia" w:eastAsiaTheme="minorEastAsia" w:hAnsiTheme="minorEastAsia" w:hint="eastAsia"/>
            <w:szCs w:val="28"/>
          </w:rPr>
          <w:t>3.5.2 危险、有害因素分布情况</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_Toc211950444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43</w:t>
        </w:r>
        <w:r>
          <w:rPr>
            <w:rFonts w:asciiTheme="minorEastAsia" w:eastAsiaTheme="minorEastAsia" w:hAnsiTheme="minorEastAsia" w:hint="eastAsia"/>
            <w:szCs w:val="28"/>
          </w:rPr>
          <w:fldChar w:fldCharType="end"/>
        </w:r>
      </w:hyperlink>
    </w:p>
    <w:p w14:paraId="461D1F06" w14:textId="5F9F2EE6"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45" w:history="1">
        <w:r>
          <w:rPr>
            <w:rStyle w:val="afe"/>
            <w:rFonts w:asciiTheme="minorEastAsia" w:eastAsiaTheme="minorEastAsia" w:hAnsiTheme="minorEastAsia" w:hint="eastAsia"/>
            <w:szCs w:val="28"/>
          </w:rPr>
          <w:t>3.6 危险化学品重大危险源辨识</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_Toc211950445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44</w:t>
        </w:r>
        <w:r>
          <w:rPr>
            <w:rFonts w:asciiTheme="minorEastAsia" w:eastAsiaTheme="minorEastAsia" w:hAnsiTheme="minorEastAsia" w:hint="eastAsia"/>
            <w:szCs w:val="28"/>
          </w:rPr>
          <w:fldChar w:fldCharType="end"/>
        </w:r>
      </w:hyperlink>
    </w:p>
    <w:p w14:paraId="663C0A49" w14:textId="70DB2A77"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46" w:history="1">
        <w:r>
          <w:rPr>
            <w:rStyle w:val="afe"/>
            <w:rFonts w:asciiTheme="minorEastAsia" w:eastAsiaTheme="minorEastAsia" w:hAnsiTheme="minorEastAsia" w:hint="eastAsia"/>
            <w:szCs w:val="28"/>
          </w:rPr>
          <w:t>3.7 剧毒化学品、易制毒品化学品、监控化学品、易制爆危险化学品以及重点监管危险化学品辨识结果</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_Toc211950446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44</w:t>
        </w:r>
        <w:r>
          <w:rPr>
            <w:rFonts w:asciiTheme="minorEastAsia" w:eastAsiaTheme="minorEastAsia" w:hAnsiTheme="minorEastAsia" w:hint="eastAsia"/>
            <w:szCs w:val="28"/>
          </w:rPr>
          <w:fldChar w:fldCharType="end"/>
        </w:r>
      </w:hyperlink>
    </w:p>
    <w:p w14:paraId="28637BF2" w14:textId="49554B73"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47" w:history="1">
        <w:r>
          <w:rPr>
            <w:rStyle w:val="afe"/>
            <w:rFonts w:asciiTheme="minorEastAsia" w:eastAsiaTheme="minorEastAsia" w:hAnsiTheme="minorEastAsia" w:hint="eastAsia"/>
            <w:szCs w:val="28"/>
          </w:rPr>
          <w:t>3.8淘汰落后危险化学品安全生产工艺技术设备辨识结果</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_Toc211950447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44</w:t>
        </w:r>
        <w:r>
          <w:rPr>
            <w:rFonts w:asciiTheme="minorEastAsia" w:eastAsiaTheme="minorEastAsia" w:hAnsiTheme="minorEastAsia" w:hint="eastAsia"/>
            <w:szCs w:val="28"/>
          </w:rPr>
          <w:fldChar w:fldCharType="end"/>
        </w:r>
      </w:hyperlink>
    </w:p>
    <w:p w14:paraId="0B96BC33" w14:textId="6E759855" w:rsidR="009219A0" w:rsidRDefault="00000000">
      <w:pPr>
        <w:pStyle w:val="TOC1"/>
        <w:tabs>
          <w:tab w:val="left" w:pos="840"/>
          <w:tab w:val="right" w:leader="dot" w:pos="9060"/>
        </w:tabs>
        <w:rPr>
          <w:rFonts w:asciiTheme="minorEastAsia" w:eastAsiaTheme="minorEastAsia" w:hAnsiTheme="minorEastAsia" w:cstheme="minorBidi" w:hint="eastAsia"/>
          <w:b w:val="0"/>
          <w:bCs w:val="0"/>
          <w:caps w:val="0"/>
          <w:color w:val="auto"/>
          <w:szCs w:val="28"/>
          <w14:ligatures w14:val="standardContextual"/>
        </w:rPr>
      </w:pPr>
      <w:hyperlink w:anchor="_Toc211950448" w:history="1">
        <w:r>
          <w:rPr>
            <w:rStyle w:val="afe"/>
            <w:rFonts w:asciiTheme="minorEastAsia" w:eastAsiaTheme="minorEastAsia" w:hAnsiTheme="minorEastAsia" w:hint="eastAsia"/>
            <w:b w:val="0"/>
            <w:bCs w:val="0"/>
            <w:szCs w:val="28"/>
          </w:rPr>
          <w:t>4</w:t>
        </w:r>
        <w:r>
          <w:rPr>
            <w:rFonts w:asciiTheme="minorEastAsia" w:eastAsiaTheme="minorEastAsia" w:hAnsiTheme="minorEastAsia" w:cstheme="minorBidi" w:hint="eastAsia"/>
            <w:b w:val="0"/>
            <w:bCs w:val="0"/>
            <w:caps w:val="0"/>
            <w:color w:val="auto"/>
            <w:szCs w:val="28"/>
            <w14:ligatures w14:val="standardContextual"/>
          </w:rPr>
          <w:tab/>
        </w:r>
        <w:r>
          <w:rPr>
            <w:rStyle w:val="afe"/>
            <w:rFonts w:asciiTheme="minorEastAsia" w:eastAsiaTheme="minorEastAsia" w:hAnsiTheme="minorEastAsia" w:hint="eastAsia"/>
            <w:b w:val="0"/>
            <w:bCs w:val="0"/>
            <w:szCs w:val="28"/>
          </w:rPr>
          <w:t>评价单元划分及评价方法选择</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_Toc211950448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46</w:t>
        </w:r>
        <w:r>
          <w:rPr>
            <w:rFonts w:asciiTheme="minorEastAsia" w:eastAsiaTheme="minorEastAsia" w:hAnsiTheme="minorEastAsia" w:hint="eastAsia"/>
            <w:b w:val="0"/>
            <w:bCs w:val="0"/>
            <w:szCs w:val="28"/>
          </w:rPr>
          <w:fldChar w:fldCharType="end"/>
        </w:r>
      </w:hyperlink>
    </w:p>
    <w:p w14:paraId="30BE965E" w14:textId="396E5384"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49" w:history="1">
        <w:r>
          <w:rPr>
            <w:rStyle w:val="afe"/>
            <w:rFonts w:asciiTheme="minorEastAsia" w:eastAsiaTheme="minorEastAsia" w:hAnsiTheme="minorEastAsia" w:hint="eastAsia"/>
            <w:szCs w:val="28"/>
          </w:rPr>
          <w:t>4.1 评价单元的划分</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_Toc211950449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46</w:t>
        </w:r>
        <w:r>
          <w:rPr>
            <w:rFonts w:asciiTheme="minorEastAsia" w:eastAsiaTheme="minorEastAsia" w:hAnsiTheme="minorEastAsia" w:hint="eastAsia"/>
            <w:szCs w:val="28"/>
          </w:rPr>
          <w:fldChar w:fldCharType="end"/>
        </w:r>
      </w:hyperlink>
    </w:p>
    <w:p w14:paraId="1A9B6393" w14:textId="45E60483"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50" w:history="1">
        <w:r>
          <w:rPr>
            <w:rStyle w:val="afe"/>
            <w:rFonts w:asciiTheme="minorEastAsia" w:eastAsiaTheme="minorEastAsia" w:hAnsiTheme="minorEastAsia" w:hint="eastAsia"/>
            <w:szCs w:val="28"/>
          </w:rPr>
          <w:t>4.1.1 评价单元的划分原则</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_Toc211950450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46</w:t>
        </w:r>
        <w:r>
          <w:rPr>
            <w:rFonts w:asciiTheme="minorEastAsia" w:eastAsiaTheme="minorEastAsia" w:hAnsiTheme="minorEastAsia" w:hint="eastAsia"/>
            <w:szCs w:val="28"/>
          </w:rPr>
          <w:fldChar w:fldCharType="end"/>
        </w:r>
      </w:hyperlink>
    </w:p>
    <w:p w14:paraId="5647C68F" w14:textId="7814F0FB"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51" w:history="1">
        <w:r>
          <w:rPr>
            <w:rStyle w:val="afe"/>
            <w:rFonts w:asciiTheme="minorEastAsia" w:eastAsiaTheme="minorEastAsia" w:hAnsiTheme="minorEastAsia" w:hint="eastAsia"/>
            <w:szCs w:val="28"/>
          </w:rPr>
          <w:t>4.1.2 评价单元划分方法</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_Toc211950451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46</w:t>
        </w:r>
        <w:r>
          <w:rPr>
            <w:rFonts w:asciiTheme="minorEastAsia" w:eastAsiaTheme="minorEastAsia" w:hAnsiTheme="minorEastAsia" w:hint="eastAsia"/>
            <w:szCs w:val="28"/>
          </w:rPr>
          <w:fldChar w:fldCharType="end"/>
        </w:r>
      </w:hyperlink>
    </w:p>
    <w:p w14:paraId="1A9932B8" w14:textId="4D5EC16F"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52" w:history="1">
        <w:r>
          <w:rPr>
            <w:rStyle w:val="afe"/>
            <w:rFonts w:asciiTheme="minorEastAsia" w:eastAsiaTheme="minorEastAsia" w:hAnsiTheme="minorEastAsia" w:hint="eastAsia"/>
            <w:szCs w:val="28"/>
          </w:rPr>
          <w:t>4.1.2 评价单元划分结果</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_Toc211950452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46</w:t>
        </w:r>
        <w:r>
          <w:rPr>
            <w:rFonts w:asciiTheme="minorEastAsia" w:eastAsiaTheme="minorEastAsia" w:hAnsiTheme="minorEastAsia" w:hint="eastAsia"/>
            <w:szCs w:val="28"/>
          </w:rPr>
          <w:fldChar w:fldCharType="end"/>
        </w:r>
      </w:hyperlink>
    </w:p>
    <w:p w14:paraId="023B7D5C" w14:textId="076FD94E"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53" w:history="1">
        <w:r>
          <w:rPr>
            <w:rStyle w:val="afe"/>
            <w:rFonts w:asciiTheme="minorEastAsia" w:eastAsiaTheme="minorEastAsia" w:hAnsiTheme="minorEastAsia" w:hint="eastAsia"/>
            <w:szCs w:val="28"/>
          </w:rPr>
          <w:t>4.2 评价方法的选择</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_Toc211950453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47</w:t>
        </w:r>
        <w:r>
          <w:rPr>
            <w:rFonts w:asciiTheme="minorEastAsia" w:eastAsiaTheme="minorEastAsia" w:hAnsiTheme="minorEastAsia" w:hint="eastAsia"/>
            <w:szCs w:val="28"/>
          </w:rPr>
          <w:fldChar w:fldCharType="end"/>
        </w:r>
      </w:hyperlink>
    </w:p>
    <w:p w14:paraId="3F44F4F5" w14:textId="63642DDC"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54" w:history="1">
        <w:r>
          <w:rPr>
            <w:rStyle w:val="afe"/>
            <w:rFonts w:asciiTheme="minorEastAsia" w:eastAsiaTheme="minorEastAsia" w:hAnsiTheme="minorEastAsia" w:hint="eastAsia"/>
            <w:szCs w:val="28"/>
          </w:rPr>
          <w:t>4.3 评价方法简介</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_Toc211950454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47</w:t>
        </w:r>
        <w:r>
          <w:rPr>
            <w:rFonts w:asciiTheme="minorEastAsia" w:eastAsiaTheme="minorEastAsia" w:hAnsiTheme="minorEastAsia" w:hint="eastAsia"/>
            <w:szCs w:val="28"/>
          </w:rPr>
          <w:fldChar w:fldCharType="end"/>
        </w:r>
      </w:hyperlink>
    </w:p>
    <w:p w14:paraId="5376403C" w14:textId="5EAEB338" w:rsidR="009219A0" w:rsidRDefault="00000000">
      <w:pPr>
        <w:pStyle w:val="TOC1"/>
        <w:tabs>
          <w:tab w:val="left" w:pos="840"/>
          <w:tab w:val="right" w:leader="dot" w:pos="9060"/>
        </w:tabs>
        <w:rPr>
          <w:rFonts w:asciiTheme="minorEastAsia" w:eastAsiaTheme="minorEastAsia" w:hAnsiTheme="minorEastAsia" w:cstheme="minorBidi" w:hint="eastAsia"/>
          <w:b w:val="0"/>
          <w:bCs w:val="0"/>
          <w:caps w:val="0"/>
          <w:color w:val="auto"/>
          <w:szCs w:val="28"/>
          <w14:ligatures w14:val="standardContextual"/>
        </w:rPr>
      </w:pPr>
      <w:hyperlink w:anchor="_Toc211950455" w:history="1">
        <w:r>
          <w:rPr>
            <w:rStyle w:val="afe"/>
            <w:rFonts w:asciiTheme="minorEastAsia" w:eastAsiaTheme="minorEastAsia" w:hAnsiTheme="minorEastAsia" w:hint="eastAsia"/>
            <w:b w:val="0"/>
            <w:bCs w:val="0"/>
            <w:szCs w:val="28"/>
          </w:rPr>
          <w:t>5</w:t>
        </w:r>
        <w:r>
          <w:rPr>
            <w:rFonts w:asciiTheme="minorEastAsia" w:eastAsiaTheme="minorEastAsia" w:hAnsiTheme="minorEastAsia" w:cstheme="minorBidi" w:hint="eastAsia"/>
            <w:b w:val="0"/>
            <w:bCs w:val="0"/>
            <w:caps w:val="0"/>
            <w:color w:val="auto"/>
            <w:szCs w:val="28"/>
            <w14:ligatures w14:val="standardContextual"/>
          </w:rPr>
          <w:tab/>
        </w:r>
        <w:r>
          <w:rPr>
            <w:rStyle w:val="afe"/>
            <w:rFonts w:asciiTheme="minorEastAsia" w:eastAsiaTheme="minorEastAsia" w:hAnsiTheme="minorEastAsia" w:hint="eastAsia"/>
            <w:b w:val="0"/>
            <w:bCs w:val="0"/>
            <w:szCs w:val="28"/>
          </w:rPr>
          <w:t>“三同时”符合性评价结果</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_Toc211950455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48</w:t>
        </w:r>
        <w:r>
          <w:rPr>
            <w:rFonts w:asciiTheme="minorEastAsia" w:eastAsiaTheme="minorEastAsia" w:hAnsiTheme="minorEastAsia" w:hint="eastAsia"/>
            <w:b w:val="0"/>
            <w:bCs w:val="0"/>
            <w:szCs w:val="28"/>
          </w:rPr>
          <w:fldChar w:fldCharType="end"/>
        </w:r>
      </w:hyperlink>
    </w:p>
    <w:p w14:paraId="7A8B177C" w14:textId="799E333B"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56" w:history="1">
        <w:r>
          <w:rPr>
            <w:rStyle w:val="afe"/>
            <w:rFonts w:asciiTheme="minorEastAsia" w:eastAsiaTheme="minorEastAsia" w:hAnsiTheme="minorEastAsia" w:hint="eastAsia"/>
            <w:szCs w:val="28"/>
          </w:rPr>
          <w:t>5.1 建设项目安全设施“三同时”符合性分析评价结果</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_Toc211950456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48</w:t>
        </w:r>
        <w:r>
          <w:rPr>
            <w:rFonts w:asciiTheme="minorEastAsia" w:eastAsiaTheme="minorEastAsia" w:hAnsiTheme="minorEastAsia" w:hint="eastAsia"/>
            <w:szCs w:val="28"/>
          </w:rPr>
          <w:fldChar w:fldCharType="end"/>
        </w:r>
      </w:hyperlink>
    </w:p>
    <w:p w14:paraId="4510DA25" w14:textId="05AD6709"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57" w:history="1">
        <w:r>
          <w:rPr>
            <w:rStyle w:val="afe"/>
            <w:rFonts w:asciiTheme="minorEastAsia" w:eastAsiaTheme="minorEastAsia" w:hAnsiTheme="minorEastAsia" w:hint="eastAsia"/>
            <w:szCs w:val="28"/>
          </w:rPr>
          <w:t>5.2 安全对策措施落实情况分析评价结果</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_Toc211950457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48</w:t>
        </w:r>
        <w:r>
          <w:rPr>
            <w:rFonts w:asciiTheme="minorEastAsia" w:eastAsiaTheme="minorEastAsia" w:hAnsiTheme="minorEastAsia" w:hint="eastAsia"/>
            <w:szCs w:val="28"/>
          </w:rPr>
          <w:fldChar w:fldCharType="end"/>
        </w:r>
      </w:hyperlink>
    </w:p>
    <w:p w14:paraId="328D9F13" w14:textId="5798D36E" w:rsidR="009219A0" w:rsidRDefault="00000000">
      <w:pPr>
        <w:pStyle w:val="TOC1"/>
        <w:tabs>
          <w:tab w:val="right" w:leader="dot" w:pos="9060"/>
        </w:tabs>
        <w:rPr>
          <w:rFonts w:asciiTheme="minorEastAsia" w:eastAsiaTheme="minorEastAsia" w:hAnsiTheme="minorEastAsia" w:cstheme="minorBidi" w:hint="eastAsia"/>
          <w:b w:val="0"/>
          <w:bCs w:val="0"/>
          <w:caps w:val="0"/>
          <w:color w:val="auto"/>
          <w:szCs w:val="28"/>
          <w14:ligatures w14:val="standardContextual"/>
        </w:rPr>
      </w:pPr>
      <w:hyperlink w:anchor="_Toc211950458" w:history="1">
        <w:r>
          <w:rPr>
            <w:rStyle w:val="afe"/>
            <w:rFonts w:asciiTheme="minorEastAsia" w:eastAsiaTheme="minorEastAsia" w:hAnsiTheme="minorEastAsia" w:hint="eastAsia"/>
            <w:b w:val="0"/>
            <w:bCs w:val="0"/>
            <w:szCs w:val="28"/>
          </w:rPr>
          <w:t>6  安全条件和安全生产条件分析评价结果</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_Toc211950458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49</w:t>
        </w:r>
        <w:r>
          <w:rPr>
            <w:rFonts w:asciiTheme="minorEastAsia" w:eastAsiaTheme="minorEastAsia" w:hAnsiTheme="minorEastAsia" w:hint="eastAsia"/>
            <w:b w:val="0"/>
            <w:bCs w:val="0"/>
            <w:szCs w:val="28"/>
          </w:rPr>
          <w:fldChar w:fldCharType="end"/>
        </w:r>
      </w:hyperlink>
    </w:p>
    <w:p w14:paraId="7E1C6960" w14:textId="57D9EEC6"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59" w:history="1">
        <w:r>
          <w:rPr>
            <w:rStyle w:val="afe"/>
            <w:rFonts w:asciiTheme="minorEastAsia" w:eastAsiaTheme="minorEastAsia" w:hAnsiTheme="minorEastAsia" w:hint="eastAsia"/>
            <w:szCs w:val="28"/>
          </w:rPr>
          <w:t>6.1 厂址和总平面布置单元评价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_Toc211950459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49</w:t>
        </w:r>
        <w:r>
          <w:rPr>
            <w:rFonts w:asciiTheme="minorEastAsia" w:eastAsiaTheme="minorEastAsia" w:hAnsiTheme="minorEastAsia" w:hint="eastAsia"/>
            <w:szCs w:val="28"/>
          </w:rPr>
          <w:fldChar w:fldCharType="end"/>
        </w:r>
      </w:hyperlink>
    </w:p>
    <w:p w14:paraId="23038109" w14:textId="39662F2A"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60" w:history="1">
        <w:r>
          <w:rPr>
            <w:rStyle w:val="afe"/>
            <w:rFonts w:asciiTheme="minorEastAsia" w:eastAsiaTheme="minorEastAsia" w:hAnsiTheme="minorEastAsia" w:hint="eastAsia"/>
            <w:szCs w:val="28"/>
          </w:rPr>
          <w:t>6.1.1 厂址和总平面布置单元评价结果</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_Toc211950460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49</w:t>
        </w:r>
        <w:r>
          <w:rPr>
            <w:rFonts w:asciiTheme="minorEastAsia" w:eastAsiaTheme="minorEastAsia" w:hAnsiTheme="minorEastAsia" w:hint="eastAsia"/>
            <w:szCs w:val="28"/>
          </w:rPr>
          <w:fldChar w:fldCharType="end"/>
        </w:r>
      </w:hyperlink>
    </w:p>
    <w:p w14:paraId="587A052B" w14:textId="57FE7075"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61" w:history="1">
        <w:r>
          <w:rPr>
            <w:rStyle w:val="afe"/>
            <w:rFonts w:asciiTheme="minorEastAsia" w:eastAsiaTheme="minorEastAsia" w:hAnsiTheme="minorEastAsia" w:hint="eastAsia"/>
            <w:szCs w:val="28"/>
          </w:rPr>
          <w:t>6.1.2 厂内建构筑物与周边建筑物距离检查评价结果</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_Toc211950461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49</w:t>
        </w:r>
        <w:r>
          <w:rPr>
            <w:rFonts w:asciiTheme="minorEastAsia" w:eastAsiaTheme="minorEastAsia" w:hAnsiTheme="minorEastAsia" w:hint="eastAsia"/>
            <w:szCs w:val="28"/>
          </w:rPr>
          <w:fldChar w:fldCharType="end"/>
        </w:r>
      </w:hyperlink>
    </w:p>
    <w:p w14:paraId="5C2526B9" w14:textId="76F4ADD6"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62" w:history="1">
        <w:r>
          <w:rPr>
            <w:rStyle w:val="afe"/>
            <w:rFonts w:asciiTheme="minorEastAsia" w:eastAsiaTheme="minorEastAsia" w:hAnsiTheme="minorEastAsia" w:hint="eastAsia"/>
            <w:szCs w:val="28"/>
          </w:rPr>
          <w:t>6.1.3 项目所在地的自然条件对项目生产的影响分析评价结果</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_Toc211950462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49</w:t>
        </w:r>
        <w:r>
          <w:rPr>
            <w:rFonts w:asciiTheme="minorEastAsia" w:eastAsiaTheme="minorEastAsia" w:hAnsiTheme="minorEastAsia" w:hint="eastAsia"/>
            <w:szCs w:val="28"/>
          </w:rPr>
          <w:fldChar w:fldCharType="end"/>
        </w:r>
      </w:hyperlink>
    </w:p>
    <w:p w14:paraId="184B7AD3" w14:textId="46DA03DF"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63" w:history="1">
        <w:r>
          <w:rPr>
            <w:rStyle w:val="afe"/>
            <w:rFonts w:asciiTheme="minorEastAsia" w:eastAsiaTheme="minorEastAsia" w:hAnsiTheme="minorEastAsia" w:hint="eastAsia"/>
            <w:szCs w:val="28"/>
          </w:rPr>
          <w:t>6.2 生产工艺及设备设施单元评价结果</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_Toc211950463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49</w:t>
        </w:r>
        <w:r>
          <w:rPr>
            <w:rFonts w:asciiTheme="minorEastAsia" w:eastAsiaTheme="minorEastAsia" w:hAnsiTheme="minorEastAsia" w:hint="eastAsia"/>
            <w:szCs w:val="28"/>
          </w:rPr>
          <w:fldChar w:fldCharType="end"/>
        </w:r>
      </w:hyperlink>
    </w:p>
    <w:p w14:paraId="22B3AE8C" w14:textId="2C941F11"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64" w:history="1">
        <w:r>
          <w:rPr>
            <w:rStyle w:val="afe"/>
            <w:rFonts w:asciiTheme="minorEastAsia" w:eastAsiaTheme="minorEastAsia" w:hAnsiTheme="minorEastAsia" w:hint="eastAsia"/>
            <w:szCs w:val="28"/>
          </w:rPr>
          <w:t>6.3 公用工程及辅助设施单元评价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_Toc211950464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50</w:t>
        </w:r>
        <w:r>
          <w:rPr>
            <w:rFonts w:asciiTheme="minorEastAsia" w:eastAsiaTheme="minorEastAsia" w:hAnsiTheme="minorEastAsia" w:hint="eastAsia"/>
            <w:szCs w:val="28"/>
          </w:rPr>
          <w:fldChar w:fldCharType="end"/>
        </w:r>
      </w:hyperlink>
    </w:p>
    <w:p w14:paraId="623BE5AF" w14:textId="31415AEF"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65" w:history="1">
        <w:r>
          <w:rPr>
            <w:rStyle w:val="afe"/>
            <w:rFonts w:asciiTheme="minorEastAsia" w:eastAsiaTheme="minorEastAsia" w:hAnsiTheme="minorEastAsia" w:hint="eastAsia"/>
            <w:szCs w:val="28"/>
          </w:rPr>
          <w:t>6.3.1 供配电系统安全评价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_Toc211950465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50</w:t>
        </w:r>
        <w:r>
          <w:rPr>
            <w:rFonts w:asciiTheme="minorEastAsia" w:eastAsiaTheme="minorEastAsia" w:hAnsiTheme="minorEastAsia" w:hint="eastAsia"/>
            <w:szCs w:val="28"/>
          </w:rPr>
          <w:fldChar w:fldCharType="end"/>
        </w:r>
      </w:hyperlink>
    </w:p>
    <w:p w14:paraId="2EE74696" w14:textId="4433F590"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66" w:history="1">
        <w:r>
          <w:rPr>
            <w:rStyle w:val="afe"/>
            <w:rFonts w:asciiTheme="minorEastAsia" w:eastAsiaTheme="minorEastAsia" w:hAnsiTheme="minorEastAsia" w:hint="eastAsia"/>
            <w:szCs w:val="28"/>
          </w:rPr>
          <w:t>6.3.2 消防系统安全评价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_Toc211950466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50</w:t>
        </w:r>
        <w:r>
          <w:rPr>
            <w:rFonts w:asciiTheme="minorEastAsia" w:eastAsiaTheme="minorEastAsia" w:hAnsiTheme="minorEastAsia" w:hint="eastAsia"/>
            <w:szCs w:val="28"/>
          </w:rPr>
          <w:fldChar w:fldCharType="end"/>
        </w:r>
      </w:hyperlink>
    </w:p>
    <w:p w14:paraId="798BC46D" w14:textId="46AEDBAD"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67" w:history="1">
        <w:r>
          <w:rPr>
            <w:rStyle w:val="afe"/>
            <w:rFonts w:asciiTheme="minorEastAsia" w:eastAsiaTheme="minorEastAsia" w:hAnsiTheme="minorEastAsia" w:hint="eastAsia"/>
            <w:szCs w:val="28"/>
          </w:rPr>
          <w:t>6.4 安全管理及应急救援单元结果</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_Toc211950467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50</w:t>
        </w:r>
        <w:r>
          <w:rPr>
            <w:rFonts w:asciiTheme="minorEastAsia" w:eastAsiaTheme="minorEastAsia" w:hAnsiTheme="minorEastAsia" w:hint="eastAsia"/>
            <w:szCs w:val="28"/>
          </w:rPr>
          <w:fldChar w:fldCharType="end"/>
        </w:r>
      </w:hyperlink>
    </w:p>
    <w:p w14:paraId="01FB84EF" w14:textId="35B9B130"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68" w:history="1">
        <w:r>
          <w:rPr>
            <w:rStyle w:val="afe"/>
            <w:rFonts w:asciiTheme="minorEastAsia" w:eastAsiaTheme="minorEastAsia" w:hAnsiTheme="minorEastAsia" w:hint="eastAsia"/>
            <w:szCs w:val="28"/>
          </w:rPr>
          <w:t>6.5 重大安全隐患判定符合性分析结果</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_Toc211950468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50</w:t>
        </w:r>
        <w:r>
          <w:rPr>
            <w:rFonts w:asciiTheme="minorEastAsia" w:eastAsiaTheme="minorEastAsia" w:hAnsiTheme="minorEastAsia" w:hint="eastAsia"/>
            <w:szCs w:val="28"/>
          </w:rPr>
          <w:fldChar w:fldCharType="end"/>
        </w:r>
      </w:hyperlink>
    </w:p>
    <w:p w14:paraId="292777B4" w14:textId="3F5DDA45" w:rsidR="009219A0" w:rsidRDefault="00000000">
      <w:pPr>
        <w:pStyle w:val="TOC1"/>
        <w:tabs>
          <w:tab w:val="right" w:leader="dot" w:pos="9060"/>
        </w:tabs>
        <w:rPr>
          <w:rFonts w:asciiTheme="minorEastAsia" w:eastAsiaTheme="minorEastAsia" w:hAnsiTheme="minorEastAsia" w:cstheme="minorBidi" w:hint="eastAsia"/>
          <w:b w:val="0"/>
          <w:bCs w:val="0"/>
          <w:caps w:val="0"/>
          <w:color w:val="auto"/>
          <w:szCs w:val="28"/>
          <w14:ligatures w14:val="standardContextual"/>
        </w:rPr>
      </w:pPr>
      <w:hyperlink w:anchor="_Toc211950469" w:history="1">
        <w:r>
          <w:rPr>
            <w:rStyle w:val="afe"/>
            <w:rFonts w:asciiTheme="minorEastAsia" w:eastAsiaTheme="minorEastAsia" w:hAnsiTheme="minorEastAsia" w:hint="eastAsia"/>
            <w:b w:val="0"/>
            <w:bCs w:val="0"/>
            <w:szCs w:val="28"/>
          </w:rPr>
          <w:t>7  存在问题及整改措施</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_Toc211950469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51</w:t>
        </w:r>
        <w:r>
          <w:rPr>
            <w:rFonts w:asciiTheme="minorEastAsia" w:eastAsiaTheme="minorEastAsia" w:hAnsiTheme="minorEastAsia" w:hint="eastAsia"/>
            <w:b w:val="0"/>
            <w:bCs w:val="0"/>
            <w:szCs w:val="28"/>
          </w:rPr>
          <w:fldChar w:fldCharType="end"/>
        </w:r>
      </w:hyperlink>
    </w:p>
    <w:p w14:paraId="6A27F4AE" w14:textId="123368EB"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70" w:history="1">
        <w:r>
          <w:rPr>
            <w:rStyle w:val="afe"/>
            <w:rFonts w:asciiTheme="minorEastAsia" w:eastAsiaTheme="minorEastAsia" w:hAnsiTheme="minorEastAsia" w:hint="eastAsia"/>
            <w:szCs w:val="28"/>
          </w:rPr>
          <w:t>7.1 存在的问题</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_Toc211950470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51</w:t>
        </w:r>
        <w:r>
          <w:rPr>
            <w:rFonts w:asciiTheme="minorEastAsia" w:eastAsiaTheme="minorEastAsia" w:hAnsiTheme="minorEastAsia" w:hint="eastAsia"/>
            <w:szCs w:val="28"/>
          </w:rPr>
          <w:fldChar w:fldCharType="end"/>
        </w:r>
      </w:hyperlink>
    </w:p>
    <w:p w14:paraId="19E2A236" w14:textId="6CDAF2FF"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71" w:history="1">
        <w:r>
          <w:rPr>
            <w:rStyle w:val="afe"/>
            <w:rFonts w:asciiTheme="minorEastAsia" w:eastAsiaTheme="minorEastAsia" w:hAnsiTheme="minorEastAsia" w:hint="eastAsia"/>
            <w:szCs w:val="28"/>
          </w:rPr>
          <w:t>7.2 整改情况</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_Toc211950471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51</w:t>
        </w:r>
        <w:r>
          <w:rPr>
            <w:rFonts w:asciiTheme="minorEastAsia" w:eastAsiaTheme="minorEastAsia" w:hAnsiTheme="minorEastAsia" w:hint="eastAsia"/>
            <w:szCs w:val="28"/>
          </w:rPr>
          <w:fldChar w:fldCharType="end"/>
        </w:r>
      </w:hyperlink>
    </w:p>
    <w:p w14:paraId="2675B3C8" w14:textId="3DA074FE" w:rsidR="009219A0" w:rsidRDefault="00000000">
      <w:pPr>
        <w:pStyle w:val="TOC1"/>
        <w:tabs>
          <w:tab w:val="right" w:leader="dot" w:pos="9060"/>
        </w:tabs>
        <w:rPr>
          <w:rFonts w:asciiTheme="minorEastAsia" w:eastAsiaTheme="minorEastAsia" w:hAnsiTheme="minorEastAsia" w:cstheme="minorBidi" w:hint="eastAsia"/>
          <w:b w:val="0"/>
          <w:bCs w:val="0"/>
          <w:caps w:val="0"/>
          <w:color w:val="auto"/>
          <w:szCs w:val="28"/>
          <w14:ligatures w14:val="standardContextual"/>
        </w:rPr>
      </w:pPr>
      <w:hyperlink w:anchor="_Toc211950472" w:history="1">
        <w:r>
          <w:rPr>
            <w:rStyle w:val="afe"/>
            <w:rFonts w:asciiTheme="minorEastAsia" w:eastAsiaTheme="minorEastAsia" w:hAnsiTheme="minorEastAsia" w:hint="eastAsia"/>
            <w:b w:val="0"/>
            <w:bCs w:val="0"/>
            <w:szCs w:val="28"/>
          </w:rPr>
          <w:t>8  安全对策措施及建议</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_Toc211950472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52</w:t>
        </w:r>
        <w:r>
          <w:rPr>
            <w:rFonts w:asciiTheme="minorEastAsia" w:eastAsiaTheme="minorEastAsia" w:hAnsiTheme="minorEastAsia" w:hint="eastAsia"/>
            <w:b w:val="0"/>
            <w:bCs w:val="0"/>
            <w:szCs w:val="28"/>
          </w:rPr>
          <w:fldChar w:fldCharType="end"/>
        </w:r>
      </w:hyperlink>
    </w:p>
    <w:p w14:paraId="0C7EC20C" w14:textId="70A0580F"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73" w:history="1">
        <w:r>
          <w:rPr>
            <w:rStyle w:val="afe"/>
            <w:rFonts w:asciiTheme="minorEastAsia" w:eastAsiaTheme="minorEastAsia" w:hAnsiTheme="minorEastAsia" w:hint="eastAsia"/>
            <w:szCs w:val="28"/>
          </w:rPr>
          <w:t>8.1 针对本项目主要危险有害因素提出的安全措施及建议</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_Toc211950473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52</w:t>
        </w:r>
        <w:r>
          <w:rPr>
            <w:rFonts w:asciiTheme="minorEastAsia" w:eastAsiaTheme="minorEastAsia" w:hAnsiTheme="minorEastAsia" w:hint="eastAsia"/>
            <w:szCs w:val="28"/>
          </w:rPr>
          <w:fldChar w:fldCharType="end"/>
        </w:r>
      </w:hyperlink>
    </w:p>
    <w:p w14:paraId="75E6F749" w14:textId="256BE6F1"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74" w:history="1">
        <w:r>
          <w:rPr>
            <w:rStyle w:val="afe"/>
            <w:rFonts w:asciiTheme="minorEastAsia" w:eastAsiaTheme="minorEastAsia" w:hAnsiTheme="minorEastAsia" w:hint="eastAsia"/>
            <w:szCs w:val="28"/>
          </w:rPr>
          <w:t>8.1.1 安全生产条件对策措施及建议</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_Toc211950474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52</w:t>
        </w:r>
        <w:r>
          <w:rPr>
            <w:rFonts w:asciiTheme="minorEastAsia" w:eastAsiaTheme="minorEastAsia" w:hAnsiTheme="minorEastAsia" w:hint="eastAsia"/>
            <w:szCs w:val="28"/>
          </w:rPr>
          <w:fldChar w:fldCharType="end"/>
        </w:r>
      </w:hyperlink>
    </w:p>
    <w:p w14:paraId="38A99CD0" w14:textId="6437C8F5"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75" w:history="1">
        <w:r>
          <w:rPr>
            <w:rStyle w:val="afe"/>
            <w:rFonts w:asciiTheme="minorEastAsia" w:eastAsiaTheme="minorEastAsia" w:hAnsiTheme="minorEastAsia" w:hint="eastAsia"/>
            <w:szCs w:val="28"/>
          </w:rPr>
          <w:t>8.1.2 安全管理对策措施及建议</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_Toc211950475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54</w:t>
        </w:r>
        <w:r>
          <w:rPr>
            <w:rFonts w:asciiTheme="minorEastAsia" w:eastAsiaTheme="minorEastAsia" w:hAnsiTheme="minorEastAsia" w:hint="eastAsia"/>
            <w:szCs w:val="28"/>
          </w:rPr>
          <w:fldChar w:fldCharType="end"/>
        </w:r>
      </w:hyperlink>
    </w:p>
    <w:p w14:paraId="5DF1A39D" w14:textId="6F80D6F0"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76" w:history="1">
        <w:r>
          <w:rPr>
            <w:rStyle w:val="afe"/>
            <w:rFonts w:asciiTheme="minorEastAsia" w:eastAsiaTheme="minorEastAsia" w:hAnsiTheme="minorEastAsia" w:hint="eastAsia"/>
            <w:szCs w:val="28"/>
          </w:rPr>
          <w:t>8.1.3 应急救援对策措施及建议</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_Toc211950476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55</w:t>
        </w:r>
        <w:r>
          <w:rPr>
            <w:rFonts w:asciiTheme="minorEastAsia" w:eastAsiaTheme="minorEastAsia" w:hAnsiTheme="minorEastAsia" w:hint="eastAsia"/>
            <w:szCs w:val="28"/>
          </w:rPr>
          <w:fldChar w:fldCharType="end"/>
        </w:r>
      </w:hyperlink>
    </w:p>
    <w:p w14:paraId="1A1EA5E3" w14:textId="12FDC2F1"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77" w:history="1">
        <w:r>
          <w:rPr>
            <w:rStyle w:val="afe"/>
            <w:rFonts w:asciiTheme="minorEastAsia" w:eastAsiaTheme="minorEastAsia" w:hAnsiTheme="minorEastAsia" w:hint="eastAsia"/>
            <w:szCs w:val="28"/>
          </w:rPr>
          <w:t>8.1.4 其他方面</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_Toc211950477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57</w:t>
        </w:r>
        <w:r>
          <w:rPr>
            <w:rFonts w:asciiTheme="minorEastAsia" w:eastAsiaTheme="minorEastAsia" w:hAnsiTheme="minorEastAsia" w:hint="eastAsia"/>
            <w:szCs w:val="28"/>
          </w:rPr>
          <w:fldChar w:fldCharType="end"/>
        </w:r>
      </w:hyperlink>
    </w:p>
    <w:p w14:paraId="24CEC5DD" w14:textId="390DCB50" w:rsidR="009219A0" w:rsidRDefault="00000000">
      <w:pPr>
        <w:pStyle w:val="TOC1"/>
        <w:tabs>
          <w:tab w:val="right" w:leader="dot" w:pos="9060"/>
        </w:tabs>
        <w:rPr>
          <w:rFonts w:asciiTheme="minorEastAsia" w:eastAsiaTheme="minorEastAsia" w:hAnsiTheme="minorEastAsia" w:cstheme="minorBidi" w:hint="eastAsia"/>
          <w:b w:val="0"/>
          <w:bCs w:val="0"/>
          <w:caps w:val="0"/>
          <w:color w:val="auto"/>
          <w:szCs w:val="28"/>
          <w14:ligatures w14:val="standardContextual"/>
        </w:rPr>
      </w:pPr>
      <w:hyperlink w:anchor="_Toc211950478" w:history="1">
        <w:r>
          <w:rPr>
            <w:rStyle w:val="afe"/>
            <w:rFonts w:asciiTheme="minorEastAsia" w:eastAsiaTheme="minorEastAsia" w:hAnsiTheme="minorEastAsia" w:hint="eastAsia"/>
            <w:b w:val="0"/>
            <w:bCs w:val="0"/>
            <w:szCs w:val="28"/>
          </w:rPr>
          <w:t>9  安全评价结论</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_Toc211950478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59</w:t>
        </w:r>
        <w:r>
          <w:rPr>
            <w:rFonts w:asciiTheme="minorEastAsia" w:eastAsiaTheme="minorEastAsia" w:hAnsiTheme="minorEastAsia" w:hint="eastAsia"/>
            <w:b w:val="0"/>
            <w:bCs w:val="0"/>
            <w:szCs w:val="28"/>
          </w:rPr>
          <w:fldChar w:fldCharType="end"/>
        </w:r>
      </w:hyperlink>
    </w:p>
    <w:p w14:paraId="2B89854E" w14:textId="10EF04A3" w:rsidR="009219A0" w:rsidRDefault="00000000">
      <w:pPr>
        <w:pStyle w:val="TOC1"/>
        <w:tabs>
          <w:tab w:val="right" w:leader="dot" w:pos="9060"/>
        </w:tabs>
        <w:rPr>
          <w:rFonts w:asciiTheme="minorEastAsia" w:eastAsiaTheme="minorEastAsia" w:hAnsiTheme="minorEastAsia" w:cstheme="minorBidi" w:hint="eastAsia"/>
          <w:b w:val="0"/>
          <w:bCs w:val="0"/>
          <w:caps w:val="0"/>
          <w:color w:val="auto"/>
          <w:szCs w:val="28"/>
          <w14:ligatures w14:val="standardContextual"/>
        </w:rPr>
      </w:pPr>
      <w:hyperlink w:anchor="_Toc211950479" w:history="1">
        <w:r>
          <w:rPr>
            <w:rStyle w:val="afe"/>
            <w:rFonts w:asciiTheme="minorEastAsia" w:eastAsiaTheme="minorEastAsia" w:hAnsiTheme="minorEastAsia" w:hint="eastAsia"/>
            <w:b w:val="0"/>
            <w:bCs w:val="0"/>
            <w:szCs w:val="28"/>
          </w:rPr>
          <w:t>10  与建设单位交换意见</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_Toc211950479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61</w:t>
        </w:r>
        <w:r>
          <w:rPr>
            <w:rFonts w:asciiTheme="minorEastAsia" w:eastAsiaTheme="minorEastAsia" w:hAnsiTheme="minorEastAsia" w:hint="eastAsia"/>
            <w:b w:val="0"/>
            <w:bCs w:val="0"/>
            <w:szCs w:val="28"/>
          </w:rPr>
          <w:fldChar w:fldCharType="end"/>
        </w:r>
      </w:hyperlink>
    </w:p>
    <w:p w14:paraId="55CBC8E4" w14:textId="3BAE11AF" w:rsidR="009219A0" w:rsidRDefault="00000000">
      <w:pPr>
        <w:pStyle w:val="TOC1"/>
        <w:tabs>
          <w:tab w:val="right" w:leader="dot" w:pos="9060"/>
        </w:tabs>
        <w:rPr>
          <w:rFonts w:asciiTheme="minorEastAsia" w:eastAsiaTheme="minorEastAsia" w:hAnsiTheme="minorEastAsia" w:cstheme="minorBidi" w:hint="eastAsia"/>
          <w:b w:val="0"/>
          <w:bCs w:val="0"/>
          <w:caps w:val="0"/>
          <w:color w:val="auto"/>
          <w:szCs w:val="28"/>
          <w14:ligatures w14:val="standardContextual"/>
        </w:rPr>
      </w:pPr>
      <w:hyperlink w:anchor="_Toc211950480" w:history="1">
        <w:r>
          <w:rPr>
            <w:rStyle w:val="afe"/>
            <w:rFonts w:asciiTheme="minorEastAsia" w:eastAsiaTheme="minorEastAsia" w:hAnsiTheme="minorEastAsia" w:hint="eastAsia"/>
            <w:b w:val="0"/>
            <w:bCs w:val="0"/>
            <w:szCs w:val="28"/>
          </w:rPr>
          <w:t>附件1  建设项目相关图纸</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_Toc211950480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62</w:t>
        </w:r>
        <w:r>
          <w:rPr>
            <w:rFonts w:asciiTheme="minorEastAsia" w:eastAsiaTheme="minorEastAsia" w:hAnsiTheme="minorEastAsia" w:hint="eastAsia"/>
            <w:b w:val="0"/>
            <w:bCs w:val="0"/>
            <w:szCs w:val="28"/>
          </w:rPr>
          <w:fldChar w:fldCharType="end"/>
        </w:r>
      </w:hyperlink>
    </w:p>
    <w:p w14:paraId="05E6BE94" w14:textId="518CDD5C"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81" w:history="1">
        <w:r>
          <w:rPr>
            <w:rStyle w:val="afe"/>
            <w:rFonts w:asciiTheme="minorEastAsia" w:eastAsiaTheme="minorEastAsia" w:hAnsiTheme="minorEastAsia" w:hint="eastAsia"/>
            <w:szCs w:val="28"/>
          </w:rPr>
          <w:t>1.1 图纸</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_Toc211950481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62</w:t>
        </w:r>
        <w:r>
          <w:rPr>
            <w:rFonts w:asciiTheme="minorEastAsia" w:eastAsiaTheme="minorEastAsia" w:hAnsiTheme="minorEastAsia" w:hint="eastAsia"/>
            <w:szCs w:val="28"/>
          </w:rPr>
          <w:fldChar w:fldCharType="end"/>
        </w:r>
      </w:hyperlink>
    </w:p>
    <w:p w14:paraId="0029EEE3" w14:textId="55420F46" w:rsidR="009219A0" w:rsidRDefault="00000000">
      <w:pPr>
        <w:pStyle w:val="TOC1"/>
        <w:tabs>
          <w:tab w:val="right" w:leader="dot" w:pos="9060"/>
        </w:tabs>
        <w:rPr>
          <w:rFonts w:asciiTheme="minorEastAsia" w:eastAsiaTheme="minorEastAsia" w:hAnsiTheme="minorEastAsia" w:cstheme="minorBidi" w:hint="eastAsia"/>
          <w:b w:val="0"/>
          <w:bCs w:val="0"/>
          <w:caps w:val="0"/>
          <w:color w:val="auto"/>
          <w:szCs w:val="28"/>
          <w14:ligatures w14:val="standardContextual"/>
        </w:rPr>
      </w:pPr>
      <w:hyperlink w:anchor="_Toc211950482" w:history="1">
        <w:r>
          <w:rPr>
            <w:rStyle w:val="afe"/>
            <w:rFonts w:asciiTheme="minorEastAsia" w:eastAsiaTheme="minorEastAsia" w:hAnsiTheme="minorEastAsia" w:hint="eastAsia"/>
            <w:b w:val="0"/>
            <w:bCs w:val="0"/>
            <w:szCs w:val="28"/>
          </w:rPr>
          <w:t>附件2  危险和有害因素分析</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_Toc211950482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63</w:t>
        </w:r>
        <w:r>
          <w:rPr>
            <w:rFonts w:asciiTheme="minorEastAsia" w:eastAsiaTheme="minorEastAsia" w:hAnsiTheme="minorEastAsia" w:hint="eastAsia"/>
            <w:b w:val="0"/>
            <w:bCs w:val="0"/>
            <w:szCs w:val="28"/>
          </w:rPr>
          <w:fldChar w:fldCharType="end"/>
        </w:r>
      </w:hyperlink>
    </w:p>
    <w:p w14:paraId="63BE3A01" w14:textId="5149E0C8"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83" w:history="1">
        <w:r>
          <w:rPr>
            <w:rStyle w:val="afe"/>
            <w:rFonts w:asciiTheme="minorEastAsia" w:eastAsiaTheme="minorEastAsia" w:hAnsiTheme="minorEastAsia" w:hint="eastAsia"/>
            <w:szCs w:val="28"/>
          </w:rPr>
          <w:t>2.1 主要危险、有害物质的理化特性</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_Toc211950483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63</w:t>
        </w:r>
        <w:r>
          <w:rPr>
            <w:rFonts w:asciiTheme="minorEastAsia" w:eastAsiaTheme="minorEastAsia" w:hAnsiTheme="minorEastAsia" w:hint="eastAsia"/>
            <w:szCs w:val="28"/>
          </w:rPr>
          <w:fldChar w:fldCharType="end"/>
        </w:r>
      </w:hyperlink>
    </w:p>
    <w:p w14:paraId="13C41368" w14:textId="509A368F"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84" w:history="1">
        <w:r>
          <w:rPr>
            <w:rStyle w:val="afe"/>
            <w:rFonts w:asciiTheme="minorEastAsia" w:eastAsiaTheme="minorEastAsia" w:hAnsiTheme="minorEastAsia" w:hint="eastAsia"/>
            <w:szCs w:val="28"/>
          </w:rPr>
          <w:t>2.2 危险产生的原因</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_Toc211950484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66</w:t>
        </w:r>
        <w:r>
          <w:rPr>
            <w:rFonts w:asciiTheme="minorEastAsia" w:eastAsiaTheme="minorEastAsia" w:hAnsiTheme="minorEastAsia" w:hint="eastAsia"/>
            <w:szCs w:val="28"/>
          </w:rPr>
          <w:fldChar w:fldCharType="end"/>
        </w:r>
      </w:hyperlink>
    </w:p>
    <w:p w14:paraId="642932E1" w14:textId="7D5A02AD"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85" w:history="1">
        <w:r>
          <w:rPr>
            <w:rStyle w:val="afe"/>
            <w:rFonts w:asciiTheme="minorEastAsia" w:eastAsiaTheme="minorEastAsia" w:hAnsiTheme="minorEastAsia" w:hint="eastAsia"/>
            <w:szCs w:val="28"/>
          </w:rPr>
          <w:t>2.2.1 运行失控与设备故障</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_Toc211950485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66</w:t>
        </w:r>
        <w:r>
          <w:rPr>
            <w:rFonts w:asciiTheme="minorEastAsia" w:eastAsiaTheme="minorEastAsia" w:hAnsiTheme="minorEastAsia" w:hint="eastAsia"/>
            <w:szCs w:val="28"/>
          </w:rPr>
          <w:fldChar w:fldCharType="end"/>
        </w:r>
      </w:hyperlink>
    </w:p>
    <w:p w14:paraId="1B91C120" w14:textId="1C33134C"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86" w:history="1">
        <w:r>
          <w:rPr>
            <w:rStyle w:val="afe"/>
            <w:rFonts w:asciiTheme="minorEastAsia" w:eastAsiaTheme="minorEastAsia" w:hAnsiTheme="minorEastAsia" w:hint="eastAsia"/>
            <w:szCs w:val="28"/>
          </w:rPr>
          <w:t>2.2.2 人员失误</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_Toc211950486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66</w:t>
        </w:r>
        <w:r>
          <w:rPr>
            <w:rFonts w:asciiTheme="minorEastAsia" w:eastAsiaTheme="minorEastAsia" w:hAnsiTheme="minorEastAsia" w:hint="eastAsia"/>
            <w:szCs w:val="28"/>
          </w:rPr>
          <w:fldChar w:fldCharType="end"/>
        </w:r>
      </w:hyperlink>
    </w:p>
    <w:p w14:paraId="41AAA4DE" w14:textId="0F0A7043"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87" w:history="1">
        <w:r>
          <w:rPr>
            <w:rStyle w:val="afe"/>
            <w:rFonts w:asciiTheme="minorEastAsia" w:eastAsiaTheme="minorEastAsia" w:hAnsiTheme="minorEastAsia" w:hint="eastAsia"/>
            <w:szCs w:val="28"/>
          </w:rPr>
          <w:t>2.2.3 管理缺陷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_Toc211950487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66</w:t>
        </w:r>
        <w:r>
          <w:rPr>
            <w:rFonts w:asciiTheme="minorEastAsia" w:eastAsiaTheme="minorEastAsia" w:hAnsiTheme="minorEastAsia" w:hint="eastAsia"/>
            <w:szCs w:val="28"/>
          </w:rPr>
          <w:fldChar w:fldCharType="end"/>
        </w:r>
      </w:hyperlink>
    </w:p>
    <w:p w14:paraId="4A83B3FC" w14:textId="64A41083"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88" w:history="1">
        <w:r>
          <w:rPr>
            <w:rStyle w:val="afe"/>
            <w:rFonts w:asciiTheme="minorEastAsia" w:eastAsiaTheme="minorEastAsia" w:hAnsiTheme="minorEastAsia" w:hint="eastAsia"/>
            <w:szCs w:val="28"/>
          </w:rPr>
          <w:t>2.3运行过程中主要危险有害因素分析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_Toc211950488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66</w:t>
        </w:r>
        <w:r>
          <w:rPr>
            <w:rFonts w:asciiTheme="minorEastAsia" w:eastAsiaTheme="minorEastAsia" w:hAnsiTheme="minorEastAsia" w:hint="eastAsia"/>
            <w:szCs w:val="28"/>
          </w:rPr>
          <w:fldChar w:fldCharType="end"/>
        </w:r>
      </w:hyperlink>
    </w:p>
    <w:p w14:paraId="399CB47F" w14:textId="5FDA6974"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89" w:history="1">
        <w:r>
          <w:rPr>
            <w:rStyle w:val="afe"/>
            <w:rFonts w:asciiTheme="minorEastAsia" w:eastAsiaTheme="minorEastAsia" w:hAnsiTheme="minorEastAsia" w:hint="eastAsia"/>
            <w:szCs w:val="28"/>
          </w:rPr>
          <w:t>2.3.1 泄漏危险性分析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_Toc211950489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66</w:t>
        </w:r>
        <w:r>
          <w:rPr>
            <w:rFonts w:asciiTheme="minorEastAsia" w:eastAsiaTheme="minorEastAsia" w:hAnsiTheme="minorEastAsia" w:hint="eastAsia"/>
            <w:szCs w:val="28"/>
          </w:rPr>
          <w:fldChar w:fldCharType="end"/>
        </w:r>
      </w:hyperlink>
    </w:p>
    <w:p w14:paraId="4BC53FD5" w14:textId="4F5DDBE7" w:rsidR="009219A0" w:rsidRDefault="00000000">
      <w:pPr>
        <w:pStyle w:val="TOC3"/>
        <w:tabs>
          <w:tab w:val="left" w:pos="2520"/>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90" w:history="1">
        <w:r>
          <w:rPr>
            <w:rStyle w:val="afe"/>
            <w:rFonts w:asciiTheme="minorEastAsia" w:eastAsiaTheme="minorEastAsia" w:hAnsiTheme="minorEastAsia" w:hint="eastAsia"/>
            <w:szCs w:val="28"/>
          </w:rPr>
          <w:t>2.3.2</w:t>
        </w:r>
        <w:r>
          <w:rPr>
            <w:rFonts w:asciiTheme="minorEastAsia" w:eastAsiaTheme="minorEastAsia" w:hAnsiTheme="minorEastAsia" w:cstheme="minorBidi" w:hint="eastAsia"/>
            <w:color w:val="auto"/>
            <w:szCs w:val="28"/>
            <w14:ligatures w14:val="standardContextual"/>
          </w:rPr>
          <w:tab/>
        </w:r>
        <w:r>
          <w:rPr>
            <w:rStyle w:val="afe"/>
            <w:rFonts w:asciiTheme="minorEastAsia" w:eastAsiaTheme="minorEastAsia" w:hAnsiTheme="minorEastAsia" w:hint="eastAsia"/>
            <w:szCs w:val="28"/>
          </w:rPr>
          <w:t>火灾危险性分析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_Toc211950490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67</w:t>
        </w:r>
        <w:r>
          <w:rPr>
            <w:rFonts w:asciiTheme="minorEastAsia" w:eastAsiaTheme="minorEastAsia" w:hAnsiTheme="minorEastAsia" w:hint="eastAsia"/>
            <w:szCs w:val="28"/>
          </w:rPr>
          <w:fldChar w:fldCharType="end"/>
        </w:r>
      </w:hyperlink>
    </w:p>
    <w:p w14:paraId="692EA418" w14:textId="0583A865"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91" w:history="1">
        <w:r>
          <w:rPr>
            <w:rStyle w:val="afe"/>
            <w:rFonts w:asciiTheme="minorEastAsia" w:eastAsiaTheme="minorEastAsia" w:hAnsiTheme="minorEastAsia" w:hint="eastAsia"/>
            <w:szCs w:val="28"/>
          </w:rPr>
          <w:t>2.3.3 机械伤害危险性分析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_Toc211950491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69</w:t>
        </w:r>
        <w:r>
          <w:rPr>
            <w:rFonts w:asciiTheme="minorEastAsia" w:eastAsiaTheme="minorEastAsia" w:hAnsiTheme="minorEastAsia" w:hint="eastAsia"/>
            <w:szCs w:val="28"/>
          </w:rPr>
          <w:fldChar w:fldCharType="end"/>
        </w:r>
      </w:hyperlink>
    </w:p>
    <w:p w14:paraId="3D5A2521" w14:textId="78070A83"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92" w:history="1">
        <w:r>
          <w:rPr>
            <w:rStyle w:val="afe"/>
            <w:rFonts w:asciiTheme="minorEastAsia" w:eastAsiaTheme="minorEastAsia" w:hAnsiTheme="minorEastAsia" w:hint="eastAsia"/>
            <w:szCs w:val="28"/>
          </w:rPr>
          <w:t>2.3.4 灼烫危险性分析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_Toc211950492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70</w:t>
        </w:r>
        <w:r>
          <w:rPr>
            <w:rFonts w:asciiTheme="minorEastAsia" w:eastAsiaTheme="minorEastAsia" w:hAnsiTheme="minorEastAsia" w:hint="eastAsia"/>
            <w:szCs w:val="28"/>
          </w:rPr>
          <w:fldChar w:fldCharType="end"/>
        </w:r>
      </w:hyperlink>
    </w:p>
    <w:p w14:paraId="464F38DB" w14:textId="3081BAC6"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93" w:history="1">
        <w:r>
          <w:rPr>
            <w:rStyle w:val="afe"/>
            <w:rFonts w:asciiTheme="minorEastAsia" w:eastAsiaTheme="minorEastAsia" w:hAnsiTheme="minorEastAsia" w:hint="eastAsia"/>
            <w:szCs w:val="28"/>
          </w:rPr>
          <w:t>2.3.5 触电危险性分析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_Toc211950493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70</w:t>
        </w:r>
        <w:r>
          <w:rPr>
            <w:rFonts w:asciiTheme="minorEastAsia" w:eastAsiaTheme="minorEastAsia" w:hAnsiTheme="minorEastAsia" w:hint="eastAsia"/>
            <w:szCs w:val="28"/>
          </w:rPr>
          <w:fldChar w:fldCharType="end"/>
        </w:r>
      </w:hyperlink>
    </w:p>
    <w:p w14:paraId="6845098A" w14:textId="6B56D46F"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94" w:history="1">
        <w:r>
          <w:rPr>
            <w:rStyle w:val="afe"/>
            <w:rFonts w:asciiTheme="minorEastAsia" w:eastAsiaTheme="minorEastAsia" w:hAnsiTheme="minorEastAsia" w:hint="eastAsia"/>
            <w:szCs w:val="28"/>
          </w:rPr>
          <w:t>2.3.6 车辆伤害危险性分析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_Toc211950494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71</w:t>
        </w:r>
        <w:r>
          <w:rPr>
            <w:rFonts w:asciiTheme="minorEastAsia" w:eastAsiaTheme="minorEastAsia" w:hAnsiTheme="minorEastAsia" w:hint="eastAsia"/>
            <w:szCs w:val="28"/>
          </w:rPr>
          <w:fldChar w:fldCharType="end"/>
        </w:r>
      </w:hyperlink>
    </w:p>
    <w:p w14:paraId="3B8BE71F" w14:textId="679326F2"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95" w:history="1">
        <w:r>
          <w:rPr>
            <w:rStyle w:val="afe"/>
            <w:rFonts w:asciiTheme="minorEastAsia" w:eastAsiaTheme="minorEastAsia" w:hAnsiTheme="minorEastAsia" w:hint="eastAsia"/>
            <w:szCs w:val="28"/>
          </w:rPr>
          <w:t>2.3.7 起重伤害危险性分析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_Toc211950495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72</w:t>
        </w:r>
        <w:r>
          <w:rPr>
            <w:rFonts w:asciiTheme="minorEastAsia" w:eastAsiaTheme="minorEastAsia" w:hAnsiTheme="minorEastAsia" w:hint="eastAsia"/>
            <w:szCs w:val="28"/>
          </w:rPr>
          <w:fldChar w:fldCharType="end"/>
        </w:r>
      </w:hyperlink>
    </w:p>
    <w:p w14:paraId="012E7100" w14:textId="1772CAF1"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96" w:history="1">
        <w:r>
          <w:rPr>
            <w:rStyle w:val="afe"/>
            <w:rFonts w:asciiTheme="minorEastAsia" w:eastAsiaTheme="minorEastAsia" w:hAnsiTheme="minorEastAsia" w:hint="eastAsia"/>
            <w:szCs w:val="28"/>
          </w:rPr>
          <w:t>2.3.8 中毒窒息危险性分析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_Toc211950496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73</w:t>
        </w:r>
        <w:r>
          <w:rPr>
            <w:rFonts w:asciiTheme="minorEastAsia" w:eastAsiaTheme="minorEastAsia" w:hAnsiTheme="minorEastAsia" w:hint="eastAsia"/>
            <w:szCs w:val="28"/>
          </w:rPr>
          <w:fldChar w:fldCharType="end"/>
        </w:r>
      </w:hyperlink>
    </w:p>
    <w:p w14:paraId="6DB1AD37" w14:textId="1A03DA5B"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97" w:history="1">
        <w:r>
          <w:rPr>
            <w:rStyle w:val="afe"/>
            <w:rFonts w:asciiTheme="minorEastAsia" w:eastAsiaTheme="minorEastAsia" w:hAnsiTheme="minorEastAsia" w:hint="eastAsia"/>
            <w:szCs w:val="28"/>
          </w:rPr>
          <w:t>2.3.9 雷电、静电危害危险性分析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_Toc211950497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74</w:t>
        </w:r>
        <w:r>
          <w:rPr>
            <w:rFonts w:asciiTheme="minorEastAsia" w:eastAsiaTheme="minorEastAsia" w:hAnsiTheme="minorEastAsia" w:hint="eastAsia"/>
            <w:szCs w:val="28"/>
          </w:rPr>
          <w:fldChar w:fldCharType="end"/>
        </w:r>
      </w:hyperlink>
    </w:p>
    <w:p w14:paraId="544F1B3B" w14:textId="473B03C5"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498" w:history="1">
        <w:r>
          <w:rPr>
            <w:rStyle w:val="afe"/>
            <w:rFonts w:asciiTheme="minorEastAsia" w:eastAsiaTheme="minorEastAsia" w:hAnsiTheme="minorEastAsia" w:hint="eastAsia"/>
            <w:szCs w:val="28"/>
          </w:rPr>
          <w:t>2.3.9 噪声危险性分析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_Toc211950498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75</w:t>
        </w:r>
        <w:r>
          <w:rPr>
            <w:rFonts w:asciiTheme="minorEastAsia" w:eastAsiaTheme="minorEastAsia" w:hAnsiTheme="minorEastAsia" w:hint="eastAsia"/>
            <w:szCs w:val="28"/>
          </w:rPr>
          <w:fldChar w:fldCharType="end"/>
        </w:r>
      </w:hyperlink>
    </w:p>
    <w:p w14:paraId="79D47C60" w14:textId="7EB44A9F"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499" w:history="1">
        <w:r>
          <w:rPr>
            <w:rStyle w:val="afe"/>
            <w:rFonts w:asciiTheme="minorEastAsia" w:eastAsiaTheme="minorEastAsia" w:hAnsiTheme="minorEastAsia" w:hint="eastAsia"/>
            <w:szCs w:val="28"/>
          </w:rPr>
          <w:t>2.4公用工程及辅助设施危险、有害因素分析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_Toc211950499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75</w:t>
        </w:r>
        <w:r>
          <w:rPr>
            <w:rFonts w:asciiTheme="minorEastAsia" w:eastAsiaTheme="minorEastAsia" w:hAnsiTheme="minorEastAsia" w:hint="eastAsia"/>
            <w:szCs w:val="28"/>
          </w:rPr>
          <w:fldChar w:fldCharType="end"/>
        </w:r>
      </w:hyperlink>
    </w:p>
    <w:p w14:paraId="67B455D3" w14:textId="3CB84399"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00" w:history="1">
        <w:r>
          <w:rPr>
            <w:rStyle w:val="afe"/>
            <w:rFonts w:asciiTheme="minorEastAsia" w:eastAsiaTheme="minorEastAsia" w:hAnsiTheme="minorEastAsia" w:hint="eastAsia"/>
            <w:szCs w:val="28"/>
          </w:rPr>
          <w:t>2.4.1 供配电系统危险性分析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_Toc211950500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75</w:t>
        </w:r>
        <w:r>
          <w:rPr>
            <w:rFonts w:asciiTheme="minorEastAsia" w:eastAsiaTheme="minorEastAsia" w:hAnsiTheme="minorEastAsia" w:hint="eastAsia"/>
            <w:szCs w:val="28"/>
          </w:rPr>
          <w:fldChar w:fldCharType="end"/>
        </w:r>
      </w:hyperlink>
    </w:p>
    <w:p w14:paraId="0C4D6FAC" w14:textId="76D5E8EA"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01" w:history="1">
        <w:r>
          <w:rPr>
            <w:rStyle w:val="afe"/>
            <w:rFonts w:asciiTheme="minorEastAsia" w:eastAsiaTheme="minorEastAsia" w:hAnsiTheme="minorEastAsia" w:hint="eastAsia"/>
            <w:szCs w:val="28"/>
          </w:rPr>
          <w:t>2.4.2 给排水系统危险性分析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_Toc211950501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77</w:t>
        </w:r>
        <w:r>
          <w:rPr>
            <w:rFonts w:asciiTheme="minorEastAsia" w:eastAsiaTheme="minorEastAsia" w:hAnsiTheme="minorEastAsia" w:hint="eastAsia"/>
            <w:szCs w:val="28"/>
          </w:rPr>
          <w:fldChar w:fldCharType="end"/>
        </w:r>
      </w:hyperlink>
    </w:p>
    <w:p w14:paraId="11C1E22B" w14:textId="71ADCE87"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02" w:history="1">
        <w:r>
          <w:rPr>
            <w:rStyle w:val="afe"/>
            <w:rFonts w:asciiTheme="minorEastAsia" w:eastAsiaTheme="minorEastAsia" w:hAnsiTheme="minorEastAsia" w:hint="eastAsia"/>
            <w:szCs w:val="28"/>
          </w:rPr>
          <w:t>2.4.3 特殊作业过程危险性分析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_Toc211950502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78</w:t>
        </w:r>
        <w:r>
          <w:rPr>
            <w:rFonts w:asciiTheme="minorEastAsia" w:eastAsiaTheme="minorEastAsia" w:hAnsiTheme="minorEastAsia" w:hint="eastAsia"/>
            <w:szCs w:val="28"/>
          </w:rPr>
          <w:fldChar w:fldCharType="end"/>
        </w:r>
      </w:hyperlink>
    </w:p>
    <w:p w14:paraId="560E4670" w14:textId="2A438687"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03" w:history="1">
        <w:r>
          <w:rPr>
            <w:rStyle w:val="afe"/>
            <w:rFonts w:asciiTheme="minorEastAsia" w:eastAsiaTheme="minorEastAsia" w:hAnsiTheme="minorEastAsia" w:hint="eastAsia"/>
            <w:szCs w:val="28"/>
          </w:rPr>
          <w:t>2.5危险有害因素分布情况</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_Toc211950503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78</w:t>
        </w:r>
        <w:r>
          <w:rPr>
            <w:rFonts w:asciiTheme="minorEastAsia" w:eastAsiaTheme="minorEastAsia" w:hAnsiTheme="minorEastAsia" w:hint="eastAsia"/>
            <w:szCs w:val="28"/>
          </w:rPr>
          <w:fldChar w:fldCharType="end"/>
        </w:r>
      </w:hyperlink>
    </w:p>
    <w:p w14:paraId="7CB12714" w14:textId="6087DC02"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04" w:history="1">
        <w:r>
          <w:rPr>
            <w:rStyle w:val="afe"/>
            <w:rFonts w:asciiTheme="minorEastAsia" w:eastAsiaTheme="minorEastAsia" w:hAnsiTheme="minorEastAsia" w:hint="eastAsia"/>
            <w:szCs w:val="28"/>
          </w:rPr>
          <w:t>2.6自然条件危险、有害因素分析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_Toc211950504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79</w:t>
        </w:r>
        <w:r>
          <w:rPr>
            <w:rFonts w:asciiTheme="minorEastAsia" w:eastAsiaTheme="minorEastAsia" w:hAnsiTheme="minorEastAsia" w:hint="eastAsia"/>
            <w:szCs w:val="28"/>
          </w:rPr>
          <w:fldChar w:fldCharType="end"/>
        </w:r>
      </w:hyperlink>
    </w:p>
    <w:p w14:paraId="333515CA" w14:textId="1F6E4D4C"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05" w:history="1">
        <w:r>
          <w:rPr>
            <w:rStyle w:val="afe"/>
            <w:rFonts w:asciiTheme="minorEastAsia" w:eastAsiaTheme="minorEastAsia" w:hAnsiTheme="minorEastAsia" w:hint="eastAsia"/>
            <w:szCs w:val="28"/>
          </w:rPr>
          <w:t>2.6.1地质条件危险、有害因素分析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_Toc211950505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79</w:t>
        </w:r>
        <w:r>
          <w:rPr>
            <w:rFonts w:asciiTheme="minorEastAsia" w:eastAsiaTheme="minorEastAsia" w:hAnsiTheme="minorEastAsia" w:hint="eastAsia"/>
            <w:szCs w:val="28"/>
          </w:rPr>
          <w:fldChar w:fldCharType="end"/>
        </w:r>
      </w:hyperlink>
    </w:p>
    <w:p w14:paraId="1691B30A" w14:textId="185FCEA1"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06" w:history="1">
        <w:r>
          <w:rPr>
            <w:rStyle w:val="afe"/>
            <w:rFonts w:asciiTheme="minorEastAsia" w:eastAsiaTheme="minorEastAsia" w:hAnsiTheme="minorEastAsia" w:hint="eastAsia"/>
            <w:szCs w:val="28"/>
          </w:rPr>
          <w:t>2.6.2气象条件危险、有害因素分析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_Toc211950506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79</w:t>
        </w:r>
        <w:r>
          <w:rPr>
            <w:rFonts w:asciiTheme="minorEastAsia" w:eastAsiaTheme="minorEastAsia" w:hAnsiTheme="minorEastAsia" w:hint="eastAsia"/>
            <w:szCs w:val="28"/>
          </w:rPr>
          <w:fldChar w:fldCharType="end"/>
        </w:r>
      </w:hyperlink>
    </w:p>
    <w:p w14:paraId="6E8E3323" w14:textId="0063ECB3"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07" w:history="1">
        <w:r>
          <w:rPr>
            <w:rStyle w:val="afe"/>
            <w:rFonts w:asciiTheme="minorEastAsia" w:eastAsiaTheme="minorEastAsia" w:hAnsiTheme="minorEastAsia" w:hint="eastAsia"/>
            <w:szCs w:val="28"/>
          </w:rPr>
          <w:t>2.7 危险化学品重大危险源辨识</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_Toc211950507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81</w:t>
        </w:r>
        <w:r>
          <w:rPr>
            <w:rFonts w:asciiTheme="minorEastAsia" w:eastAsiaTheme="minorEastAsia" w:hAnsiTheme="minorEastAsia" w:hint="eastAsia"/>
            <w:szCs w:val="28"/>
          </w:rPr>
          <w:fldChar w:fldCharType="end"/>
        </w:r>
      </w:hyperlink>
    </w:p>
    <w:p w14:paraId="604CC1DF" w14:textId="7BC5BAEA"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08" w:history="1">
        <w:r>
          <w:rPr>
            <w:rStyle w:val="afe"/>
            <w:rFonts w:asciiTheme="minorEastAsia" w:eastAsiaTheme="minorEastAsia" w:hAnsiTheme="minorEastAsia" w:hint="eastAsia"/>
            <w:szCs w:val="28"/>
          </w:rPr>
          <w:t>2.8 剧毒化学品、易制毒化学品和监控化学品、易制爆危险化学品以及重点监管危险化学品辨识</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_Toc211950508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82</w:t>
        </w:r>
        <w:r>
          <w:rPr>
            <w:rFonts w:asciiTheme="minorEastAsia" w:eastAsiaTheme="minorEastAsia" w:hAnsiTheme="minorEastAsia" w:hint="eastAsia"/>
            <w:szCs w:val="28"/>
          </w:rPr>
          <w:fldChar w:fldCharType="end"/>
        </w:r>
      </w:hyperlink>
    </w:p>
    <w:p w14:paraId="7BB66119" w14:textId="0E3995FB"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09" w:history="1">
        <w:r>
          <w:rPr>
            <w:rStyle w:val="afe"/>
            <w:rFonts w:asciiTheme="minorEastAsia" w:eastAsiaTheme="minorEastAsia" w:hAnsiTheme="minorEastAsia" w:hint="eastAsia"/>
            <w:szCs w:val="28"/>
          </w:rPr>
          <w:t>2.9淘汰落后危险化学品安全生产工艺技术设备辨识</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_Toc211950509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83</w:t>
        </w:r>
        <w:r>
          <w:rPr>
            <w:rFonts w:asciiTheme="minorEastAsia" w:eastAsiaTheme="minorEastAsia" w:hAnsiTheme="minorEastAsia" w:hint="eastAsia"/>
            <w:szCs w:val="28"/>
          </w:rPr>
          <w:fldChar w:fldCharType="end"/>
        </w:r>
      </w:hyperlink>
    </w:p>
    <w:p w14:paraId="1EB7FB2A" w14:textId="4C6A7EBD"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10" w:history="1">
        <w:r>
          <w:rPr>
            <w:rStyle w:val="afe"/>
            <w:rFonts w:asciiTheme="minorEastAsia" w:eastAsiaTheme="minorEastAsia" w:hAnsiTheme="minorEastAsia" w:hint="eastAsia"/>
            <w:szCs w:val="28"/>
          </w:rPr>
          <w:t>2.10 事故案例</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_Toc211950510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92</w:t>
        </w:r>
        <w:r>
          <w:rPr>
            <w:rFonts w:asciiTheme="minorEastAsia" w:eastAsiaTheme="minorEastAsia" w:hAnsiTheme="minorEastAsia" w:hint="eastAsia"/>
            <w:szCs w:val="28"/>
          </w:rPr>
          <w:fldChar w:fldCharType="end"/>
        </w:r>
      </w:hyperlink>
    </w:p>
    <w:p w14:paraId="132B3022" w14:textId="3936C808"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11" w:history="1">
        <w:r>
          <w:rPr>
            <w:rStyle w:val="afe"/>
            <w:rFonts w:asciiTheme="minorEastAsia" w:eastAsiaTheme="minorEastAsia" w:hAnsiTheme="minorEastAsia" w:hint="eastAsia"/>
            <w:szCs w:val="28"/>
          </w:rPr>
          <w:t>2.10.1 事故案例后果</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_Toc211950511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92</w:t>
        </w:r>
        <w:r>
          <w:rPr>
            <w:rFonts w:asciiTheme="minorEastAsia" w:eastAsiaTheme="minorEastAsia" w:hAnsiTheme="minorEastAsia" w:hint="eastAsia"/>
            <w:szCs w:val="28"/>
          </w:rPr>
          <w:fldChar w:fldCharType="end"/>
        </w:r>
      </w:hyperlink>
    </w:p>
    <w:p w14:paraId="7AE252D4" w14:textId="1894ADA2"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12" w:history="1">
        <w:r>
          <w:rPr>
            <w:rStyle w:val="afe"/>
            <w:rFonts w:asciiTheme="minorEastAsia" w:eastAsiaTheme="minorEastAsia" w:hAnsiTheme="minorEastAsia" w:hint="eastAsia"/>
            <w:szCs w:val="28"/>
          </w:rPr>
          <w:t>2.10.2案例原因分析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_Toc211950512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92</w:t>
        </w:r>
        <w:r>
          <w:rPr>
            <w:rFonts w:asciiTheme="minorEastAsia" w:eastAsiaTheme="minorEastAsia" w:hAnsiTheme="minorEastAsia" w:hint="eastAsia"/>
            <w:szCs w:val="28"/>
          </w:rPr>
          <w:fldChar w:fldCharType="end"/>
        </w:r>
      </w:hyperlink>
    </w:p>
    <w:p w14:paraId="57907DFC" w14:textId="1A6374CF"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13" w:history="1">
        <w:r>
          <w:rPr>
            <w:rStyle w:val="afe"/>
            <w:rFonts w:asciiTheme="minorEastAsia" w:eastAsiaTheme="minorEastAsia" w:hAnsiTheme="minorEastAsia" w:hint="eastAsia"/>
            <w:szCs w:val="28"/>
          </w:rPr>
          <w:t>2.10.3 事故教训</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_Toc211950513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92</w:t>
        </w:r>
        <w:r>
          <w:rPr>
            <w:rFonts w:asciiTheme="minorEastAsia" w:eastAsiaTheme="minorEastAsia" w:hAnsiTheme="minorEastAsia" w:hint="eastAsia"/>
            <w:szCs w:val="28"/>
          </w:rPr>
          <w:fldChar w:fldCharType="end"/>
        </w:r>
      </w:hyperlink>
    </w:p>
    <w:p w14:paraId="5D3E06D6" w14:textId="287FE59B" w:rsidR="009219A0" w:rsidRDefault="00000000">
      <w:pPr>
        <w:pStyle w:val="TOC1"/>
        <w:tabs>
          <w:tab w:val="right" w:leader="dot" w:pos="9060"/>
        </w:tabs>
        <w:rPr>
          <w:rFonts w:asciiTheme="minorEastAsia" w:eastAsiaTheme="minorEastAsia" w:hAnsiTheme="minorEastAsia" w:cstheme="minorBidi" w:hint="eastAsia"/>
          <w:b w:val="0"/>
          <w:bCs w:val="0"/>
          <w:caps w:val="0"/>
          <w:color w:val="auto"/>
          <w:szCs w:val="28"/>
          <w14:ligatures w14:val="standardContextual"/>
        </w:rPr>
      </w:pPr>
      <w:hyperlink w:anchor="_Toc211950514" w:history="1">
        <w:r>
          <w:rPr>
            <w:rStyle w:val="afe"/>
            <w:rFonts w:asciiTheme="minorEastAsia" w:eastAsiaTheme="minorEastAsia" w:hAnsiTheme="minorEastAsia" w:hint="eastAsia"/>
            <w:b w:val="0"/>
            <w:bCs w:val="0"/>
            <w:szCs w:val="28"/>
          </w:rPr>
          <w:t>附件3  选用的安全评价方法简介</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_Toc211950514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93</w:t>
        </w:r>
        <w:r>
          <w:rPr>
            <w:rFonts w:asciiTheme="minorEastAsia" w:eastAsiaTheme="minorEastAsia" w:hAnsiTheme="minorEastAsia" w:hint="eastAsia"/>
            <w:b w:val="0"/>
            <w:bCs w:val="0"/>
            <w:szCs w:val="28"/>
          </w:rPr>
          <w:fldChar w:fldCharType="end"/>
        </w:r>
      </w:hyperlink>
    </w:p>
    <w:p w14:paraId="2F9914DD" w14:textId="65179AAF"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15" w:history="1">
        <w:r>
          <w:rPr>
            <w:rStyle w:val="afe"/>
            <w:rFonts w:asciiTheme="minorEastAsia" w:eastAsiaTheme="minorEastAsia" w:hAnsiTheme="minorEastAsia" w:hint="eastAsia"/>
            <w:szCs w:val="28"/>
          </w:rPr>
          <w:t>3.1 安全检查表法</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_Toc211950515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93</w:t>
        </w:r>
        <w:r>
          <w:rPr>
            <w:rFonts w:asciiTheme="minorEastAsia" w:eastAsiaTheme="minorEastAsia" w:hAnsiTheme="minorEastAsia" w:hint="eastAsia"/>
            <w:szCs w:val="28"/>
          </w:rPr>
          <w:fldChar w:fldCharType="end"/>
        </w:r>
      </w:hyperlink>
    </w:p>
    <w:p w14:paraId="1EC222F3" w14:textId="782F3B9B" w:rsidR="009219A0" w:rsidRDefault="00000000">
      <w:pPr>
        <w:pStyle w:val="TOC1"/>
        <w:tabs>
          <w:tab w:val="right" w:leader="dot" w:pos="9060"/>
        </w:tabs>
        <w:rPr>
          <w:rFonts w:asciiTheme="minorEastAsia" w:eastAsiaTheme="minorEastAsia" w:hAnsiTheme="minorEastAsia" w:cstheme="minorBidi" w:hint="eastAsia"/>
          <w:b w:val="0"/>
          <w:bCs w:val="0"/>
          <w:caps w:val="0"/>
          <w:color w:val="auto"/>
          <w:szCs w:val="28"/>
          <w14:ligatures w14:val="standardContextual"/>
        </w:rPr>
      </w:pPr>
      <w:hyperlink w:anchor="_Toc211950516" w:history="1">
        <w:r>
          <w:rPr>
            <w:rStyle w:val="afe"/>
            <w:rFonts w:asciiTheme="minorEastAsia" w:eastAsiaTheme="minorEastAsia" w:hAnsiTheme="minorEastAsia" w:hint="eastAsia"/>
            <w:b w:val="0"/>
            <w:bCs w:val="0"/>
            <w:szCs w:val="28"/>
          </w:rPr>
          <w:t>附件4  “三同时”符合性评价及安全对策措施落实情况分析单元</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_Toc211950516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94</w:t>
        </w:r>
        <w:r>
          <w:rPr>
            <w:rFonts w:asciiTheme="minorEastAsia" w:eastAsiaTheme="minorEastAsia" w:hAnsiTheme="minorEastAsia" w:hint="eastAsia"/>
            <w:b w:val="0"/>
            <w:bCs w:val="0"/>
            <w:szCs w:val="28"/>
          </w:rPr>
          <w:fldChar w:fldCharType="end"/>
        </w:r>
      </w:hyperlink>
    </w:p>
    <w:p w14:paraId="18C394C1" w14:textId="18C355C1"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17" w:history="1">
        <w:r>
          <w:rPr>
            <w:rStyle w:val="afe"/>
            <w:rFonts w:asciiTheme="minorEastAsia" w:eastAsiaTheme="minorEastAsia" w:hAnsiTheme="minorEastAsia" w:hint="eastAsia"/>
            <w:szCs w:val="28"/>
          </w:rPr>
          <w:t>4.1“三同时”符合性分析评价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_Toc211950517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94</w:t>
        </w:r>
        <w:r>
          <w:rPr>
            <w:rFonts w:asciiTheme="minorEastAsia" w:eastAsiaTheme="minorEastAsia" w:hAnsiTheme="minorEastAsia" w:hint="eastAsia"/>
            <w:szCs w:val="28"/>
          </w:rPr>
          <w:fldChar w:fldCharType="end"/>
        </w:r>
      </w:hyperlink>
    </w:p>
    <w:p w14:paraId="222E66BD" w14:textId="391A911B"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18" w:history="1">
        <w:r>
          <w:rPr>
            <w:rStyle w:val="afe"/>
            <w:rFonts w:asciiTheme="minorEastAsia" w:eastAsiaTheme="minorEastAsia" w:hAnsiTheme="minorEastAsia" w:hint="eastAsia"/>
            <w:szCs w:val="28"/>
          </w:rPr>
          <w:t>4.2 安全对策措施落实情况分析评价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_Toc211950518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95</w:t>
        </w:r>
        <w:r>
          <w:rPr>
            <w:rFonts w:asciiTheme="minorEastAsia" w:eastAsiaTheme="minorEastAsia" w:hAnsiTheme="minorEastAsia" w:hint="eastAsia"/>
            <w:szCs w:val="28"/>
          </w:rPr>
          <w:fldChar w:fldCharType="end"/>
        </w:r>
      </w:hyperlink>
    </w:p>
    <w:p w14:paraId="69282418" w14:textId="131328C8" w:rsidR="009219A0" w:rsidRDefault="00000000">
      <w:pPr>
        <w:pStyle w:val="TOC1"/>
        <w:tabs>
          <w:tab w:val="right" w:leader="dot" w:pos="9060"/>
        </w:tabs>
        <w:rPr>
          <w:rFonts w:asciiTheme="minorEastAsia" w:eastAsiaTheme="minorEastAsia" w:hAnsiTheme="minorEastAsia" w:cstheme="minorBidi" w:hint="eastAsia"/>
          <w:b w:val="0"/>
          <w:bCs w:val="0"/>
          <w:caps w:val="0"/>
          <w:color w:val="auto"/>
          <w:szCs w:val="28"/>
          <w14:ligatures w14:val="standardContextual"/>
        </w:rPr>
      </w:pPr>
      <w:hyperlink w:anchor="_Toc211950519" w:history="1">
        <w:r>
          <w:rPr>
            <w:rStyle w:val="afe"/>
            <w:rFonts w:asciiTheme="minorEastAsia" w:eastAsiaTheme="minorEastAsia" w:hAnsiTheme="minorEastAsia" w:hint="eastAsia"/>
            <w:b w:val="0"/>
            <w:bCs w:val="0"/>
            <w:szCs w:val="28"/>
          </w:rPr>
          <w:t>附件5  安全条件和安全生产条件分析评价</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_Toc211950519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106</w:t>
        </w:r>
        <w:r>
          <w:rPr>
            <w:rFonts w:asciiTheme="minorEastAsia" w:eastAsiaTheme="minorEastAsia" w:hAnsiTheme="minorEastAsia" w:hint="eastAsia"/>
            <w:b w:val="0"/>
            <w:bCs w:val="0"/>
            <w:szCs w:val="28"/>
          </w:rPr>
          <w:fldChar w:fldCharType="end"/>
        </w:r>
      </w:hyperlink>
    </w:p>
    <w:p w14:paraId="43FD98D7" w14:textId="4941C4C5"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20" w:history="1">
        <w:r>
          <w:rPr>
            <w:rStyle w:val="afe"/>
            <w:rFonts w:asciiTheme="minorEastAsia" w:eastAsiaTheme="minorEastAsia" w:hAnsiTheme="minorEastAsia" w:hint="eastAsia"/>
            <w:szCs w:val="28"/>
          </w:rPr>
          <w:t>5.1 厂址及总平面布置评价单元分析评价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_Toc211950520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106</w:t>
        </w:r>
        <w:r>
          <w:rPr>
            <w:rFonts w:asciiTheme="minorEastAsia" w:eastAsiaTheme="minorEastAsia" w:hAnsiTheme="minorEastAsia" w:hint="eastAsia"/>
            <w:szCs w:val="28"/>
          </w:rPr>
          <w:fldChar w:fldCharType="end"/>
        </w:r>
      </w:hyperlink>
    </w:p>
    <w:p w14:paraId="72DD4E10" w14:textId="1056C0F3"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21" w:history="1">
        <w:r>
          <w:rPr>
            <w:rStyle w:val="afe"/>
            <w:rFonts w:asciiTheme="minorEastAsia" w:eastAsiaTheme="minorEastAsia" w:hAnsiTheme="minorEastAsia" w:hint="eastAsia"/>
            <w:szCs w:val="28"/>
          </w:rPr>
          <w:t>5.1.1 厂址和总平面布置安全检查表</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_Toc211950521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106</w:t>
        </w:r>
        <w:r>
          <w:rPr>
            <w:rFonts w:asciiTheme="minorEastAsia" w:eastAsiaTheme="minorEastAsia" w:hAnsiTheme="minorEastAsia" w:hint="eastAsia"/>
            <w:szCs w:val="28"/>
          </w:rPr>
          <w:fldChar w:fldCharType="end"/>
        </w:r>
      </w:hyperlink>
    </w:p>
    <w:p w14:paraId="2F08B379" w14:textId="68316F81"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22" w:history="1">
        <w:r>
          <w:rPr>
            <w:rStyle w:val="afe"/>
            <w:rFonts w:asciiTheme="minorEastAsia" w:eastAsiaTheme="minorEastAsia" w:hAnsiTheme="minorEastAsia" w:hint="eastAsia"/>
            <w:szCs w:val="28"/>
          </w:rPr>
          <w:t>5.1.2 厂内建构筑物与周边建筑物距离检查表</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_Toc211950522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108</w:t>
        </w:r>
        <w:r>
          <w:rPr>
            <w:rFonts w:asciiTheme="minorEastAsia" w:eastAsiaTheme="minorEastAsia" w:hAnsiTheme="minorEastAsia" w:hint="eastAsia"/>
            <w:szCs w:val="28"/>
          </w:rPr>
          <w:fldChar w:fldCharType="end"/>
        </w:r>
      </w:hyperlink>
    </w:p>
    <w:p w14:paraId="7BDA05F1" w14:textId="5F357C9B"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23" w:history="1">
        <w:r>
          <w:rPr>
            <w:rStyle w:val="afe"/>
            <w:rFonts w:asciiTheme="minorEastAsia" w:eastAsiaTheme="minorEastAsia" w:hAnsiTheme="minorEastAsia" w:hint="eastAsia"/>
            <w:szCs w:val="28"/>
          </w:rPr>
          <w:t>5.1.3 项目所在地的自然条件对项目生产的影响分析评价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_Toc211950523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109</w:t>
        </w:r>
        <w:r>
          <w:rPr>
            <w:rFonts w:asciiTheme="minorEastAsia" w:eastAsiaTheme="minorEastAsia" w:hAnsiTheme="minorEastAsia" w:hint="eastAsia"/>
            <w:szCs w:val="28"/>
          </w:rPr>
          <w:fldChar w:fldCharType="end"/>
        </w:r>
      </w:hyperlink>
    </w:p>
    <w:p w14:paraId="7622D859" w14:textId="18D4A83F"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24" w:history="1">
        <w:r>
          <w:rPr>
            <w:rStyle w:val="afe"/>
            <w:rFonts w:asciiTheme="minorEastAsia" w:eastAsiaTheme="minorEastAsia" w:hAnsiTheme="minorEastAsia" w:hint="eastAsia"/>
            <w:szCs w:val="28"/>
          </w:rPr>
          <w:t>5.1.4 单元小结</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_Toc211950524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111</w:t>
        </w:r>
        <w:r>
          <w:rPr>
            <w:rFonts w:asciiTheme="minorEastAsia" w:eastAsiaTheme="minorEastAsia" w:hAnsiTheme="minorEastAsia" w:hint="eastAsia"/>
            <w:szCs w:val="28"/>
          </w:rPr>
          <w:fldChar w:fldCharType="end"/>
        </w:r>
      </w:hyperlink>
    </w:p>
    <w:p w14:paraId="31D2BA74" w14:textId="17070936"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25" w:history="1">
        <w:r>
          <w:rPr>
            <w:rStyle w:val="afe"/>
            <w:rFonts w:asciiTheme="minorEastAsia" w:eastAsiaTheme="minorEastAsia" w:hAnsiTheme="minorEastAsia" w:hint="eastAsia"/>
            <w:szCs w:val="28"/>
          </w:rPr>
          <w:t>5.2 生产工艺及设备设施单元评价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_Toc211950525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112</w:t>
        </w:r>
        <w:r>
          <w:rPr>
            <w:rFonts w:asciiTheme="minorEastAsia" w:eastAsiaTheme="minorEastAsia" w:hAnsiTheme="minorEastAsia" w:hint="eastAsia"/>
            <w:szCs w:val="28"/>
          </w:rPr>
          <w:fldChar w:fldCharType="end"/>
        </w:r>
      </w:hyperlink>
    </w:p>
    <w:p w14:paraId="7C47D22C" w14:textId="084F5357"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26" w:history="1">
        <w:r>
          <w:rPr>
            <w:rStyle w:val="afe"/>
            <w:rFonts w:asciiTheme="minorEastAsia" w:eastAsiaTheme="minorEastAsia" w:hAnsiTheme="minorEastAsia" w:hint="eastAsia"/>
            <w:szCs w:val="28"/>
          </w:rPr>
          <w:t>5.2.1 生产工艺及设备设施安全检查表评价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_Toc211950526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112</w:t>
        </w:r>
        <w:r>
          <w:rPr>
            <w:rFonts w:asciiTheme="minorEastAsia" w:eastAsiaTheme="minorEastAsia" w:hAnsiTheme="minorEastAsia" w:hint="eastAsia"/>
            <w:szCs w:val="28"/>
          </w:rPr>
          <w:fldChar w:fldCharType="end"/>
        </w:r>
      </w:hyperlink>
    </w:p>
    <w:p w14:paraId="6A56E09C" w14:textId="466BE94E"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27" w:history="1">
        <w:r>
          <w:rPr>
            <w:rStyle w:val="afe"/>
            <w:rFonts w:asciiTheme="minorEastAsia" w:eastAsiaTheme="minorEastAsia" w:hAnsiTheme="minorEastAsia" w:hint="eastAsia"/>
            <w:szCs w:val="28"/>
          </w:rPr>
          <w:t>5.2.2 单元小结</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_Toc211950527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113</w:t>
        </w:r>
        <w:r>
          <w:rPr>
            <w:rFonts w:asciiTheme="minorEastAsia" w:eastAsiaTheme="minorEastAsia" w:hAnsiTheme="minorEastAsia" w:hint="eastAsia"/>
            <w:szCs w:val="28"/>
          </w:rPr>
          <w:fldChar w:fldCharType="end"/>
        </w:r>
      </w:hyperlink>
    </w:p>
    <w:p w14:paraId="21F3BFFA" w14:textId="63B468F7"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28" w:history="1">
        <w:r>
          <w:rPr>
            <w:rStyle w:val="afe"/>
            <w:rFonts w:asciiTheme="minorEastAsia" w:eastAsiaTheme="minorEastAsia" w:hAnsiTheme="minorEastAsia" w:hint="eastAsia"/>
            <w:szCs w:val="28"/>
          </w:rPr>
          <w:t>5.3 公用工程及辅助设施单元评价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_Toc211950528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113</w:t>
        </w:r>
        <w:r>
          <w:rPr>
            <w:rFonts w:asciiTheme="minorEastAsia" w:eastAsiaTheme="minorEastAsia" w:hAnsiTheme="minorEastAsia" w:hint="eastAsia"/>
            <w:szCs w:val="28"/>
          </w:rPr>
          <w:fldChar w:fldCharType="end"/>
        </w:r>
      </w:hyperlink>
    </w:p>
    <w:p w14:paraId="1F18A49A" w14:textId="79D3E626"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29" w:history="1">
        <w:r>
          <w:rPr>
            <w:rStyle w:val="afe"/>
            <w:rFonts w:asciiTheme="minorEastAsia" w:eastAsiaTheme="minorEastAsia" w:hAnsiTheme="minorEastAsia" w:hint="eastAsia"/>
            <w:szCs w:val="28"/>
          </w:rPr>
          <w:t>5.3.1 供配电系统安全评价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_Toc211950529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113</w:t>
        </w:r>
        <w:r>
          <w:rPr>
            <w:rFonts w:asciiTheme="minorEastAsia" w:eastAsiaTheme="minorEastAsia" w:hAnsiTheme="minorEastAsia" w:hint="eastAsia"/>
            <w:szCs w:val="28"/>
          </w:rPr>
          <w:fldChar w:fldCharType="end"/>
        </w:r>
      </w:hyperlink>
    </w:p>
    <w:p w14:paraId="0F6F6610" w14:textId="689CA80B"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30" w:history="1">
        <w:r>
          <w:rPr>
            <w:rStyle w:val="afe"/>
            <w:rFonts w:asciiTheme="minorEastAsia" w:eastAsiaTheme="minorEastAsia" w:hAnsiTheme="minorEastAsia" w:hint="eastAsia"/>
            <w:szCs w:val="28"/>
          </w:rPr>
          <w:t>5.3.2 消防系统安全评价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_Toc211950530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115</w:t>
        </w:r>
        <w:r>
          <w:rPr>
            <w:rFonts w:asciiTheme="minorEastAsia" w:eastAsiaTheme="minorEastAsia" w:hAnsiTheme="minorEastAsia" w:hint="eastAsia"/>
            <w:szCs w:val="28"/>
          </w:rPr>
          <w:fldChar w:fldCharType="end"/>
        </w:r>
      </w:hyperlink>
    </w:p>
    <w:p w14:paraId="3FAB3D8B" w14:textId="3A024687"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31" w:history="1">
        <w:r>
          <w:rPr>
            <w:rStyle w:val="afe"/>
            <w:rFonts w:asciiTheme="minorEastAsia" w:eastAsiaTheme="minorEastAsia" w:hAnsiTheme="minorEastAsia" w:hint="eastAsia"/>
            <w:szCs w:val="28"/>
          </w:rPr>
          <w:t>5.3.3 单元小结</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_Toc211950531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117</w:t>
        </w:r>
        <w:r>
          <w:rPr>
            <w:rFonts w:asciiTheme="minorEastAsia" w:eastAsiaTheme="minorEastAsia" w:hAnsiTheme="minorEastAsia" w:hint="eastAsia"/>
            <w:szCs w:val="28"/>
          </w:rPr>
          <w:fldChar w:fldCharType="end"/>
        </w:r>
      </w:hyperlink>
    </w:p>
    <w:p w14:paraId="2764CD26" w14:textId="4F632F26"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32" w:history="1">
        <w:r>
          <w:rPr>
            <w:rStyle w:val="afe"/>
            <w:rFonts w:asciiTheme="minorEastAsia" w:eastAsiaTheme="minorEastAsia" w:hAnsiTheme="minorEastAsia" w:hint="eastAsia"/>
            <w:szCs w:val="28"/>
          </w:rPr>
          <w:t>5.4 安全管理及应急救援单元评价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_Toc211950532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117</w:t>
        </w:r>
        <w:r>
          <w:rPr>
            <w:rFonts w:asciiTheme="minorEastAsia" w:eastAsiaTheme="minorEastAsia" w:hAnsiTheme="minorEastAsia" w:hint="eastAsia"/>
            <w:szCs w:val="28"/>
          </w:rPr>
          <w:fldChar w:fldCharType="end"/>
        </w:r>
      </w:hyperlink>
    </w:p>
    <w:p w14:paraId="611EE180" w14:textId="5147CF6A"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33" w:history="1">
        <w:r>
          <w:rPr>
            <w:rStyle w:val="afe"/>
            <w:rFonts w:asciiTheme="minorEastAsia" w:eastAsiaTheme="minorEastAsia" w:hAnsiTheme="minorEastAsia" w:hint="eastAsia"/>
            <w:szCs w:val="28"/>
          </w:rPr>
          <w:t>5.4.1 安全管理安全评价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_Toc211950533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117</w:t>
        </w:r>
        <w:r>
          <w:rPr>
            <w:rFonts w:asciiTheme="minorEastAsia" w:eastAsiaTheme="minorEastAsia" w:hAnsiTheme="minorEastAsia" w:hint="eastAsia"/>
            <w:szCs w:val="28"/>
          </w:rPr>
          <w:fldChar w:fldCharType="end"/>
        </w:r>
      </w:hyperlink>
    </w:p>
    <w:p w14:paraId="78BDDC44" w14:textId="7F959044"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34" w:history="1">
        <w:r>
          <w:rPr>
            <w:rStyle w:val="afe"/>
            <w:rFonts w:asciiTheme="minorEastAsia" w:eastAsiaTheme="minorEastAsia" w:hAnsiTheme="minorEastAsia" w:hint="eastAsia"/>
            <w:szCs w:val="28"/>
          </w:rPr>
          <w:t>5.4.2 应急救援预案安全评价</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_Toc211950534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119</w:t>
        </w:r>
        <w:r>
          <w:rPr>
            <w:rFonts w:asciiTheme="minorEastAsia" w:eastAsiaTheme="minorEastAsia" w:hAnsiTheme="minorEastAsia" w:hint="eastAsia"/>
            <w:szCs w:val="28"/>
          </w:rPr>
          <w:fldChar w:fldCharType="end"/>
        </w:r>
      </w:hyperlink>
    </w:p>
    <w:p w14:paraId="26B804B5" w14:textId="6BE4712A"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35" w:history="1">
        <w:r>
          <w:rPr>
            <w:rStyle w:val="afe"/>
            <w:rFonts w:asciiTheme="minorEastAsia" w:eastAsiaTheme="minorEastAsia" w:hAnsiTheme="minorEastAsia" w:hint="eastAsia"/>
            <w:szCs w:val="28"/>
          </w:rPr>
          <w:t>5.4.3单元小结</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_Toc211950535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121</w:t>
        </w:r>
        <w:r>
          <w:rPr>
            <w:rFonts w:asciiTheme="minorEastAsia" w:eastAsiaTheme="minorEastAsia" w:hAnsiTheme="minorEastAsia" w:hint="eastAsia"/>
            <w:szCs w:val="28"/>
          </w:rPr>
          <w:fldChar w:fldCharType="end"/>
        </w:r>
      </w:hyperlink>
    </w:p>
    <w:p w14:paraId="7C994BB9" w14:textId="7B2097C8"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36" w:history="1">
        <w:r>
          <w:rPr>
            <w:rStyle w:val="afe"/>
            <w:rFonts w:asciiTheme="minorEastAsia" w:eastAsiaTheme="minorEastAsia" w:hAnsiTheme="minorEastAsia" w:hint="eastAsia"/>
            <w:szCs w:val="28"/>
          </w:rPr>
          <w:t>5.5 重大安全隐患判定符合性分析</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_Toc211950536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121</w:t>
        </w:r>
        <w:r>
          <w:rPr>
            <w:rFonts w:asciiTheme="minorEastAsia" w:eastAsiaTheme="minorEastAsia" w:hAnsiTheme="minorEastAsia" w:hint="eastAsia"/>
            <w:szCs w:val="28"/>
          </w:rPr>
          <w:fldChar w:fldCharType="end"/>
        </w:r>
      </w:hyperlink>
    </w:p>
    <w:p w14:paraId="1FFAEC59" w14:textId="3D5E2B42"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37" w:history="1">
        <w:r>
          <w:rPr>
            <w:rStyle w:val="afe"/>
            <w:rFonts w:asciiTheme="minorEastAsia" w:eastAsiaTheme="minorEastAsia" w:hAnsiTheme="minorEastAsia" w:hint="eastAsia"/>
            <w:szCs w:val="28"/>
          </w:rPr>
          <w:t>5.5.1 重大生产安全事故隐患判定</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_Toc211950537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121</w:t>
        </w:r>
        <w:r>
          <w:rPr>
            <w:rFonts w:asciiTheme="minorEastAsia" w:eastAsiaTheme="minorEastAsia" w:hAnsiTheme="minorEastAsia" w:hint="eastAsia"/>
            <w:szCs w:val="28"/>
          </w:rPr>
          <w:fldChar w:fldCharType="end"/>
        </w:r>
      </w:hyperlink>
    </w:p>
    <w:p w14:paraId="7849DAC9" w14:textId="1890D91D" w:rsidR="009219A0" w:rsidRDefault="00000000">
      <w:pPr>
        <w:pStyle w:val="TOC3"/>
        <w:tabs>
          <w:tab w:val="right" w:leader="dot" w:pos="9060"/>
        </w:tabs>
        <w:ind w:left="1120" w:firstLine="560"/>
        <w:rPr>
          <w:rFonts w:asciiTheme="minorEastAsia" w:eastAsiaTheme="minorEastAsia" w:hAnsiTheme="minorEastAsia" w:cstheme="minorBidi" w:hint="eastAsia"/>
          <w:color w:val="auto"/>
          <w:szCs w:val="28"/>
          <w14:ligatures w14:val="standardContextual"/>
        </w:rPr>
      </w:pPr>
      <w:hyperlink w:anchor="_Toc211950538" w:history="1">
        <w:r>
          <w:rPr>
            <w:rStyle w:val="afe"/>
            <w:rFonts w:asciiTheme="minorEastAsia" w:eastAsiaTheme="minorEastAsia" w:hAnsiTheme="minorEastAsia" w:hint="eastAsia"/>
            <w:szCs w:val="28"/>
          </w:rPr>
          <w:t>5.5.2 单元小结</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_Toc211950538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122</w:t>
        </w:r>
        <w:r>
          <w:rPr>
            <w:rFonts w:asciiTheme="minorEastAsia" w:eastAsiaTheme="minorEastAsia" w:hAnsiTheme="minorEastAsia" w:hint="eastAsia"/>
            <w:szCs w:val="28"/>
          </w:rPr>
          <w:fldChar w:fldCharType="end"/>
        </w:r>
      </w:hyperlink>
    </w:p>
    <w:p w14:paraId="445B43A9" w14:textId="1BAAC299" w:rsidR="009219A0" w:rsidRDefault="00000000">
      <w:pPr>
        <w:pStyle w:val="TOC1"/>
        <w:tabs>
          <w:tab w:val="right" w:leader="dot" w:pos="9060"/>
        </w:tabs>
        <w:rPr>
          <w:rFonts w:asciiTheme="minorEastAsia" w:eastAsiaTheme="minorEastAsia" w:hAnsiTheme="minorEastAsia" w:cstheme="minorBidi" w:hint="eastAsia"/>
          <w:b w:val="0"/>
          <w:bCs w:val="0"/>
          <w:caps w:val="0"/>
          <w:color w:val="auto"/>
          <w:szCs w:val="28"/>
          <w14:ligatures w14:val="standardContextual"/>
        </w:rPr>
      </w:pPr>
      <w:hyperlink w:anchor="_Toc211950539" w:history="1">
        <w:r>
          <w:rPr>
            <w:rStyle w:val="afe"/>
            <w:rFonts w:asciiTheme="minorEastAsia" w:eastAsiaTheme="minorEastAsia" w:hAnsiTheme="minorEastAsia" w:hint="eastAsia"/>
            <w:b w:val="0"/>
            <w:bCs w:val="0"/>
            <w:szCs w:val="28"/>
          </w:rPr>
          <w:t>附件6  评价依据</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_Toc211950539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123</w:t>
        </w:r>
        <w:r>
          <w:rPr>
            <w:rFonts w:asciiTheme="minorEastAsia" w:eastAsiaTheme="minorEastAsia" w:hAnsiTheme="minorEastAsia" w:hint="eastAsia"/>
            <w:b w:val="0"/>
            <w:bCs w:val="0"/>
            <w:szCs w:val="28"/>
          </w:rPr>
          <w:fldChar w:fldCharType="end"/>
        </w:r>
      </w:hyperlink>
    </w:p>
    <w:p w14:paraId="7C3F80EF" w14:textId="49C57986"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40" w:history="1">
        <w:r>
          <w:rPr>
            <w:rStyle w:val="afe"/>
            <w:rFonts w:asciiTheme="minorEastAsia" w:eastAsiaTheme="minorEastAsia" w:hAnsiTheme="minorEastAsia" w:hint="eastAsia"/>
            <w:szCs w:val="28"/>
          </w:rPr>
          <w:t>6.1 法律法规</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_Toc211950540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123</w:t>
        </w:r>
        <w:r>
          <w:rPr>
            <w:rFonts w:asciiTheme="minorEastAsia" w:eastAsiaTheme="minorEastAsia" w:hAnsiTheme="minorEastAsia" w:hint="eastAsia"/>
            <w:szCs w:val="28"/>
          </w:rPr>
          <w:fldChar w:fldCharType="end"/>
        </w:r>
      </w:hyperlink>
    </w:p>
    <w:p w14:paraId="2B424929" w14:textId="59BA80B2"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41" w:history="1">
        <w:r>
          <w:rPr>
            <w:rStyle w:val="afe"/>
            <w:rFonts w:asciiTheme="minorEastAsia" w:eastAsiaTheme="minorEastAsia" w:hAnsiTheme="minorEastAsia" w:hint="eastAsia"/>
            <w:szCs w:val="28"/>
          </w:rPr>
          <w:t>6.2 行政法规</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_Toc211950541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123</w:t>
        </w:r>
        <w:r>
          <w:rPr>
            <w:rFonts w:asciiTheme="minorEastAsia" w:eastAsiaTheme="minorEastAsia" w:hAnsiTheme="minorEastAsia" w:hint="eastAsia"/>
            <w:szCs w:val="28"/>
          </w:rPr>
          <w:fldChar w:fldCharType="end"/>
        </w:r>
      </w:hyperlink>
    </w:p>
    <w:p w14:paraId="28FD78F2" w14:textId="7E92A363"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42" w:history="1">
        <w:r>
          <w:rPr>
            <w:rStyle w:val="afe"/>
            <w:rFonts w:asciiTheme="minorEastAsia" w:eastAsiaTheme="minorEastAsia" w:hAnsiTheme="minorEastAsia" w:hint="eastAsia"/>
            <w:szCs w:val="28"/>
          </w:rPr>
          <w:t>6.3 部门规章</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_Toc211950542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124</w:t>
        </w:r>
        <w:r>
          <w:rPr>
            <w:rFonts w:asciiTheme="minorEastAsia" w:eastAsiaTheme="minorEastAsia" w:hAnsiTheme="minorEastAsia" w:hint="eastAsia"/>
            <w:szCs w:val="28"/>
          </w:rPr>
          <w:fldChar w:fldCharType="end"/>
        </w:r>
      </w:hyperlink>
    </w:p>
    <w:p w14:paraId="1F15A798" w14:textId="5764313F"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43" w:history="1">
        <w:r>
          <w:rPr>
            <w:rStyle w:val="afe"/>
            <w:rFonts w:asciiTheme="minorEastAsia" w:eastAsiaTheme="minorEastAsia" w:hAnsiTheme="minorEastAsia" w:hint="eastAsia"/>
            <w:szCs w:val="28"/>
          </w:rPr>
          <w:t>6.4地方法规及文件</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_Toc211950543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127</w:t>
        </w:r>
        <w:r>
          <w:rPr>
            <w:rFonts w:asciiTheme="minorEastAsia" w:eastAsiaTheme="minorEastAsia" w:hAnsiTheme="minorEastAsia" w:hint="eastAsia"/>
            <w:szCs w:val="28"/>
          </w:rPr>
          <w:fldChar w:fldCharType="end"/>
        </w:r>
      </w:hyperlink>
    </w:p>
    <w:p w14:paraId="1CCB373B" w14:textId="65B070C4"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44" w:history="1">
        <w:r>
          <w:rPr>
            <w:rStyle w:val="afe"/>
            <w:rFonts w:asciiTheme="minorEastAsia" w:eastAsiaTheme="minorEastAsia" w:hAnsiTheme="minorEastAsia" w:hint="eastAsia"/>
            <w:szCs w:val="28"/>
          </w:rPr>
          <w:t>6.5 国家及行业有关规范、标准</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_Toc211950544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128</w:t>
        </w:r>
        <w:r>
          <w:rPr>
            <w:rFonts w:asciiTheme="minorEastAsia" w:eastAsiaTheme="minorEastAsia" w:hAnsiTheme="minorEastAsia" w:hint="eastAsia"/>
            <w:szCs w:val="28"/>
          </w:rPr>
          <w:fldChar w:fldCharType="end"/>
        </w:r>
      </w:hyperlink>
    </w:p>
    <w:p w14:paraId="3B129113" w14:textId="6C600B22" w:rsidR="009219A0" w:rsidRDefault="00000000">
      <w:pPr>
        <w:pStyle w:val="TOC2"/>
        <w:tabs>
          <w:tab w:val="right" w:leader="dot" w:pos="9060"/>
        </w:tabs>
        <w:ind w:firstLine="280"/>
        <w:rPr>
          <w:rFonts w:asciiTheme="minorEastAsia" w:eastAsiaTheme="minorEastAsia" w:hAnsiTheme="minorEastAsia" w:cstheme="minorBidi" w:hint="eastAsia"/>
          <w:smallCaps w:val="0"/>
          <w:color w:val="auto"/>
          <w:szCs w:val="28"/>
          <w14:ligatures w14:val="standardContextual"/>
        </w:rPr>
      </w:pPr>
      <w:hyperlink w:anchor="_Toc211950545" w:history="1">
        <w:r>
          <w:rPr>
            <w:rStyle w:val="afe"/>
            <w:rFonts w:asciiTheme="minorEastAsia" w:eastAsiaTheme="minorEastAsia" w:hAnsiTheme="minorEastAsia" w:hint="eastAsia"/>
            <w:szCs w:val="28"/>
          </w:rPr>
          <w:t>6.6 被评价单位提供的相关资料</w:t>
        </w:r>
        <w:r>
          <w:rPr>
            <w:rFonts w:asciiTheme="minorEastAsia" w:eastAsiaTheme="minorEastAsia" w:hAnsiTheme="minorEastAsia" w:hint="eastAsia"/>
            <w:szCs w:val="28"/>
          </w:rPr>
          <w:tab/>
        </w:r>
        <w:r>
          <w:rPr>
            <w:rFonts w:asciiTheme="minorEastAsia" w:eastAsiaTheme="minorEastAsia" w:hAnsiTheme="minorEastAsia" w:hint="eastAsia"/>
            <w:szCs w:val="28"/>
          </w:rPr>
          <w:fldChar w:fldCharType="begin"/>
        </w:r>
        <w:r>
          <w:rPr>
            <w:rFonts w:asciiTheme="minorEastAsia" w:eastAsiaTheme="minorEastAsia" w:hAnsiTheme="minorEastAsia" w:hint="eastAsia"/>
            <w:szCs w:val="28"/>
          </w:rPr>
          <w:instrText xml:space="preserve"> </w:instrText>
        </w:r>
        <w:r>
          <w:rPr>
            <w:rFonts w:asciiTheme="minorEastAsia" w:eastAsiaTheme="minorEastAsia" w:hAnsiTheme="minorEastAsia"/>
            <w:szCs w:val="28"/>
          </w:rPr>
          <w:instrText>PAGEREF _Toc211950545 \h</w:instrText>
        </w:r>
        <w:r>
          <w:rPr>
            <w:rFonts w:asciiTheme="minorEastAsia" w:eastAsiaTheme="minorEastAsia" w:hAnsiTheme="minorEastAsia" w:hint="eastAsia"/>
            <w:szCs w:val="28"/>
          </w:rPr>
          <w:instrText xml:space="preserve"> </w:instrText>
        </w:r>
        <w:r>
          <w:rPr>
            <w:rFonts w:asciiTheme="minorEastAsia" w:eastAsiaTheme="minorEastAsia" w:hAnsiTheme="minorEastAsia" w:hint="eastAsia"/>
            <w:szCs w:val="28"/>
          </w:rPr>
        </w:r>
        <w:r>
          <w:rPr>
            <w:rFonts w:asciiTheme="minorEastAsia" w:eastAsiaTheme="minorEastAsia" w:hAnsiTheme="minorEastAsia" w:hint="eastAsia"/>
            <w:szCs w:val="28"/>
          </w:rPr>
          <w:fldChar w:fldCharType="separate"/>
        </w:r>
        <w:r w:rsidR="00612077">
          <w:rPr>
            <w:rFonts w:asciiTheme="minorEastAsia" w:eastAsiaTheme="minorEastAsia" w:hAnsiTheme="minorEastAsia" w:hint="eastAsia"/>
            <w:noProof/>
            <w:szCs w:val="28"/>
          </w:rPr>
          <w:t>130</w:t>
        </w:r>
        <w:r>
          <w:rPr>
            <w:rFonts w:asciiTheme="minorEastAsia" w:eastAsiaTheme="minorEastAsia" w:hAnsiTheme="minorEastAsia" w:hint="eastAsia"/>
            <w:szCs w:val="28"/>
          </w:rPr>
          <w:fldChar w:fldCharType="end"/>
        </w:r>
      </w:hyperlink>
    </w:p>
    <w:p w14:paraId="52545A0C" w14:textId="53E95E79" w:rsidR="009219A0" w:rsidRDefault="00000000">
      <w:pPr>
        <w:pStyle w:val="TOC1"/>
        <w:tabs>
          <w:tab w:val="right" w:leader="dot" w:pos="9060"/>
        </w:tabs>
        <w:rPr>
          <w:rFonts w:asciiTheme="minorHAnsi" w:eastAsiaTheme="minorEastAsia" w:hAnsiTheme="minorHAnsi" w:cstheme="minorBidi"/>
          <w:b w:val="0"/>
          <w:bCs w:val="0"/>
          <w:caps w:val="0"/>
          <w:color w:val="auto"/>
          <w:sz w:val="22"/>
          <w:szCs w:val="24"/>
          <w14:ligatures w14:val="standardContextual"/>
        </w:rPr>
      </w:pPr>
      <w:hyperlink w:anchor="_Toc211950546" w:history="1">
        <w:r>
          <w:rPr>
            <w:rStyle w:val="afe"/>
            <w:rFonts w:asciiTheme="minorEastAsia" w:eastAsiaTheme="minorEastAsia" w:hAnsiTheme="minorEastAsia" w:hint="eastAsia"/>
            <w:b w:val="0"/>
            <w:bCs w:val="0"/>
            <w:szCs w:val="28"/>
          </w:rPr>
          <w:t>附件7  企业提供的原始资料</w:t>
        </w:r>
        <w:r>
          <w:rPr>
            <w:rFonts w:asciiTheme="minorEastAsia" w:eastAsiaTheme="minorEastAsia" w:hAnsiTheme="minorEastAsia" w:hint="eastAsia"/>
            <w:b w:val="0"/>
            <w:bCs w:val="0"/>
            <w:szCs w:val="28"/>
          </w:rPr>
          <w:tab/>
        </w:r>
        <w:r>
          <w:rPr>
            <w:rFonts w:asciiTheme="minorEastAsia" w:eastAsiaTheme="minorEastAsia" w:hAnsiTheme="minorEastAsia" w:hint="eastAsia"/>
            <w:b w:val="0"/>
            <w:bCs w:val="0"/>
            <w:szCs w:val="28"/>
          </w:rPr>
          <w:fldChar w:fldCharType="begin"/>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b w:val="0"/>
            <w:bCs w:val="0"/>
            <w:szCs w:val="28"/>
          </w:rPr>
          <w:instrText>PAGEREF _Toc211950546 \h</w:instrText>
        </w:r>
        <w:r>
          <w:rPr>
            <w:rFonts w:asciiTheme="minorEastAsia" w:eastAsiaTheme="minorEastAsia" w:hAnsiTheme="minorEastAsia" w:hint="eastAsia"/>
            <w:b w:val="0"/>
            <w:bCs w:val="0"/>
            <w:szCs w:val="28"/>
          </w:rPr>
          <w:instrText xml:space="preserve"> </w:instrText>
        </w:r>
        <w:r>
          <w:rPr>
            <w:rFonts w:asciiTheme="minorEastAsia" w:eastAsiaTheme="minorEastAsia" w:hAnsiTheme="minorEastAsia" w:hint="eastAsia"/>
            <w:b w:val="0"/>
            <w:bCs w:val="0"/>
            <w:szCs w:val="28"/>
          </w:rPr>
        </w:r>
        <w:r>
          <w:rPr>
            <w:rFonts w:asciiTheme="minorEastAsia" w:eastAsiaTheme="minorEastAsia" w:hAnsiTheme="minorEastAsia" w:hint="eastAsia"/>
            <w:b w:val="0"/>
            <w:bCs w:val="0"/>
            <w:szCs w:val="28"/>
          </w:rPr>
          <w:fldChar w:fldCharType="separate"/>
        </w:r>
        <w:r w:rsidR="00612077">
          <w:rPr>
            <w:rFonts w:asciiTheme="minorEastAsia" w:eastAsiaTheme="minorEastAsia" w:hAnsiTheme="minorEastAsia" w:hint="eastAsia"/>
            <w:b w:val="0"/>
            <w:bCs w:val="0"/>
            <w:noProof/>
            <w:szCs w:val="28"/>
          </w:rPr>
          <w:t>131</w:t>
        </w:r>
        <w:r>
          <w:rPr>
            <w:rFonts w:asciiTheme="minorEastAsia" w:eastAsiaTheme="minorEastAsia" w:hAnsiTheme="minorEastAsia" w:hint="eastAsia"/>
            <w:b w:val="0"/>
            <w:bCs w:val="0"/>
            <w:szCs w:val="28"/>
          </w:rPr>
          <w:fldChar w:fldCharType="end"/>
        </w:r>
      </w:hyperlink>
    </w:p>
    <w:p w14:paraId="090F5787" w14:textId="77777777" w:rsidR="009219A0" w:rsidRDefault="00000000">
      <w:pPr>
        <w:pStyle w:val="WPSOffice1"/>
        <w:widowControl w:val="0"/>
        <w:tabs>
          <w:tab w:val="right" w:leader="dot" w:pos="9070"/>
        </w:tabs>
        <w:adjustRightInd w:val="0"/>
        <w:snapToGrid w:val="0"/>
        <w:spacing w:line="360" w:lineRule="auto"/>
        <w:jc w:val="both"/>
        <w:rPr>
          <w:kern w:val="2"/>
          <w:sz w:val="28"/>
          <w:szCs w:val="28"/>
        </w:rPr>
      </w:pPr>
      <w:r>
        <w:rPr>
          <w:bCs/>
          <w:caps/>
          <w:kern w:val="2"/>
          <w:sz w:val="28"/>
          <w:szCs w:val="28"/>
        </w:rPr>
        <w:fldChar w:fldCharType="end"/>
      </w:r>
    </w:p>
    <w:bookmarkEnd w:id="11"/>
    <w:p w14:paraId="2C9D8F5D" w14:textId="77777777" w:rsidR="009219A0" w:rsidRDefault="009219A0">
      <w:pPr>
        <w:pStyle w:val="WPSOffice1"/>
        <w:widowControl w:val="0"/>
        <w:tabs>
          <w:tab w:val="right" w:leader="dot" w:pos="9070"/>
        </w:tabs>
        <w:adjustRightInd w:val="0"/>
        <w:snapToGrid w:val="0"/>
        <w:spacing w:line="360" w:lineRule="auto"/>
        <w:jc w:val="both"/>
        <w:rPr>
          <w:rFonts w:ascii="宋体" w:hAnsi="宋体" w:hint="eastAsia"/>
          <w:sz w:val="28"/>
          <w:szCs w:val="28"/>
        </w:rPr>
      </w:pPr>
    </w:p>
    <w:p w14:paraId="3391BAE7" w14:textId="77777777" w:rsidR="009219A0" w:rsidRDefault="009219A0">
      <w:pPr>
        <w:pStyle w:val="WPSOffice1"/>
        <w:widowControl w:val="0"/>
        <w:tabs>
          <w:tab w:val="right" w:leader="dot" w:pos="9070"/>
        </w:tabs>
        <w:adjustRightInd w:val="0"/>
        <w:snapToGrid w:val="0"/>
        <w:spacing w:line="360" w:lineRule="auto"/>
        <w:jc w:val="both"/>
        <w:rPr>
          <w:rFonts w:ascii="宋体" w:hAnsi="宋体" w:hint="eastAsia"/>
          <w:sz w:val="28"/>
          <w:szCs w:val="28"/>
        </w:rPr>
        <w:sectPr w:rsidR="009219A0">
          <w:headerReference w:type="default" r:id="rId38"/>
          <w:footerReference w:type="default" r:id="rId39"/>
          <w:pgSz w:w="11906" w:h="16838"/>
          <w:pgMar w:top="1418" w:right="1418" w:bottom="1588" w:left="1418" w:header="851" w:footer="992" w:gutter="0"/>
          <w:pgNumType w:start="1"/>
          <w:cols w:space="0"/>
          <w:docGrid w:linePitch="381"/>
        </w:sectPr>
      </w:pPr>
    </w:p>
    <w:p w14:paraId="78BBFAC5" w14:textId="77777777" w:rsidR="009219A0" w:rsidRDefault="00000000">
      <w:pPr>
        <w:pStyle w:val="1"/>
        <w:keepNext w:val="0"/>
        <w:keepLines w:val="0"/>
        <w:numPr>
          <w:ilvl w:val="0"/>
          <w:numId w:val="1"/>
        </w:numPr>
        <w:ind w:left="0" w:firstLine="0"/>
        <w:textAlignment w:val="center"/>
        <w:rPr>
          <w:rFonts w:ascii="宋体" w:hAnsi="宋体" w:hint="eastAsia"/>
          <w:b/>
          <w:bCs w:val="0"/>
          <w:color w:val="auto"/>
          <w:szCs w:val="20"/>
        </w:rPr>
      </w:pPr>
      <w:bookmarkStart w:id="12" w:name="_Toc24480_WPSOffice_Level1"/>
      <w:bookmarkStart w:id="13" w:name="_Toc317766301"/>
      <w:bookmarkStart w:id="14" w:name="_Toc3241_WPSOffice_Level1"/>
      <w:bookmarkStart w:id="15" w:name="_Toc11293"/>
      <w:bookmarkStart w:id="16" w:name="_Toc21993"/>
      <w:bookmarkStart w:id="17" w:name="_Toc317766302"/>
      <w:bookmarkStart w:id="18" w:name="_Toc12328_WPSOffice_Level2"/>
      <w:bookmarkStart w:id="19" w:name="_Toc3942_WPSOffice_Level2"/>
      <w:bookmarkEnd w:id="12"/>
      <w:bookmarkEnd w:id="13"/>
      <w:bookmarkEnd w:id="14"/>
      <w:bookmarkEnd w:id="15"/>
      <w:r>
        <w:rPr>
          <w:rFonts w:ascii="宋体" w:hAnsi="宋体" w:hint="eastAsia"/>
          <w:b/>
          <w:bCs w:val="0"/>
          <w:color w:val="auto"/>
          <w:szCs w:val="20"/>
        </w:rPr>
        <w:lastRenderedPageBreak/>
        <w:t xml:space="preserve">  </w:t>
      </w:r>
      <w:bookmarkStart w:id="20" w:name="_Toc211950393"/>
      <w:bookmarkStart w:id="21" w:name="_Toc165281425"/>
      <w:r>
        <w:rPr>
          <w:rFonts w:ascii="宋体" w:hAnsi="宋体" w:hint="eastAsia"/>
          <w:b/>
          <w:bCs w:val="0"/>
          <w:color w:val="auto"/>
          <w:szCs w:val="20"/>
        </w:rPr>
        <w:t>安全评价工作经过</w:t>
      </w:r>
      <w:bookmarkEnd w:id="20"/>
      <w:bookmarkEnd w:id="21"/>
    </w:p>
    <w:p w14:paraId="5E904303" w14:textId="77777777" w:rsidR="009219A0" w:rsidRDefault="009219A0">
      <w:pPr>
        <w:ind w:firstLineChars="0" w:firstLine="0"/>
        <w:rPr>
          <w:color w:val="auto"/>
        </w:rPr>
      </w:pPr>
    </w:p>
    <w:p w14:paraId="5F67B636" w14:textId="77777777" w:rsidR="009219A0" w:rsidRDefault="00000000">
      <w:pPr>
        <w:pStyle w:val="2"/>
        <w:rPr>
          <w:rFonts w:hint="eastAsia"/>
        </w:rPr>
      </w:pPr>
      <w:bookmarkStart w:id="22" w:name="_Toc165281426"/>
      <w:bookmarkStart w:id="23" w:name="_Toc211950394"/>
      <w:r>
        <w:rPr>
          <w:rFonts w:hint="eastAsia"/>
        </w:rPr>
        <w:t>1.1 评价目的</w:t>
      </w:r>
      <w:bookmarkEnd w:id="16"/>
      <w:bookmarkEnd w:id="17"/>
      <w:bookmarkEnd w:id="18"/>
      <w:bookmarkEnd w:id="19"/>
      <w:bookmarkEnd w:id="22"/>
      <w:bookmarkEnd w:id="23"/>
    </w:p>
    <w:p w14:paraId="28C61394" w14:textId="77777777" w:rsidR="009219A0" w:rsidRDefault="00000000">
      <w:pPr>
        <w:ind w:firstLine="560"/>
        <w:rPr>
          <w:color w:val="auto"/>
        </w:rPr>
      </w:pPr>
      <w:r>
        <w:rPr>
          <w:rFonts w:hint="eastAsia"/>
          <w:color w:val="auto"/>
        </w:rPr>
        <w:t>安全评价是以实现系统安全为目的，采用系统安全工程的原理与方法，对系统中存在的危险、有害因素进行辨识和分析，判断系统发生事故和职业病的可能性及其严重程度，从而提出合理可行的安全对策措施，指导危险源监控和事故预防，达到最低事故率、最少损失和最优的安全投资效益的目的。本次安全评价要达到的目的包括以下六个方面：</w:t>
      </w:r>
    </w:p>
    <w:p w14:paraId="51E9E610" w14:textId="77777777" w:rsidR="009219A0" w:rsidRDefault="00000000">
      <w:pPr>
        <w:topLinePunct/>
        <w:ind w:firstLine="560"/>
        <w:rPr>
          <w:rFonts w:ascii="宋体" w:hAnsi="宋体" w:cs="宋体" w:hint="eastAsia"/>
          <w:color w:val="auto"/>
          <w:szCs w:val="28"/>
        </w:rPr>
      </w:pPr>
      <w:r>
        <w:rPr>
          <w:rFonts w:ascii="宋体" w:hAnsi="宋体" w:cs="宋体" w:hint="eastAsia"/>
          <w:color w:val="auto"/>
          <w:szCs w:val="28"/>
        </w:rPr>
        <w:t>1.根据国家相关法律、法规的规定和要求，为个旧</w:t>
      </w:r>
      <w:proofErr w:type="gramStart"/>
      <w:r>
        <w:rPr>
          <w:rFonts w:ascii="宋体" w:hAnsi="宋体" w:cs="宋体" w:hint="eastAsia"/>
          <w:color w:val="auto"/>
          <w:szCs w:val="28"/>
        </w:rPr>
        <w:t>市创源科技</w:t>
      </w:r>
      <w:proofErr w:type="gramEnd"/>
      <w:r>
        <w:rPr>
          <w:rFonts w:ascii="宋体" w:hAnsi="宋体" w:cs="宋体" w:hint="eastAsia"/>
          <w:color w:val="auto"/>
          <w:szCs w:val="28"/>
        </w:rPr>
        <w:t>有限公司新建实验与研究开发中心及实验基地工程建设项目完善相关行政审批手续提供安全验收评价报告，是本次安全评价工作的主要目的之一。</w:t>
      </w:r>
    </w:p>
    <w:p w14:paraId="152BD0BA" w14:textId="77777777" w:rsidR="009219A0" w:rsidRDefault="00000000">
      <w:pPr>
        <w:topLinePunct/>
        <w:ind w:firstLine="560"/>
        <w:rPr>
          <w:rFonts w:ascii="宋体" w:hAnsi="宋体" w:cs="宋体" w:hint="eastAsia"/>
          <w:color w:val="auto"/>
          <w:szCs w:val="28"/>
        </w:rPr>
      </w:pPr>
      <w:r>
        <w:rPr>
          <w:rFonts w:ascii="宋体" w:hAnsi="宋体" w:cs="宋体" w:hint="eastAsia"/>
          <w:color w:val="auto"/>
          <w:szCs w:val="28"/>
        </w:rPr>
        <w:t>2.为建设项目的安全验收提供科学依据，指导危险源监控和事故预防，以实现最低的事故率、最少的损失和最优的安全投资效益，以保证建设项目正常投入生产或使用后的安全性和可靠性。</w:t>
      </w:r>
    </w:p>
    <w:p w14:paraId="4CF32C09" w14:textId="77777777" w:rsidR="009219A0" w:rsidRDefault="00000000">
      <w:pPr>
        <w:topLinePunct/>
        <w:ind w:firstLine="560"/>
        <w:rPr>
          <w:rFonts w:ascii="宋体" w:hAnsi="宋体" w:cs="宋体" w:hint="eastAsia"/>
          <w:color w:val="auto"/>
          <w:szCs w:val="28"/>
        </w:rPr>
      </w:pPr>
      <w:r>
        <w:rPr>
          <w:rFonts w:ascii="宋体" w:hAnsi="宋体" w:cs="宋体" w:hint="eastAsia"/>
          <w:color w:val="auto"/>
          <w:szCs w:val="28"/>
        </w:rPr>
        <w:t>3.通过对建设项目安全设施“三同时”落实情况及设施、设备、装置实际运行状况的检查，对未达到安全目标的系统或单元提出具有针对性、可操作性和经济合理性的安全对策措施建议，以利于提高建设项目本质安全程度，满足安全生产要求。</w:t>
      </w:r>
    </w:p>
    <w:p w14:paraId="27ED4584" w14:textId="77777777" w:rsidR="009219A0" w:rsidRDefault="00000000">
      <w:pPr>
        <w:topLinePunct/>
        <w:ind w:firstLine="560"/>
        <w:rPr>
          <w:rFonts w:ascii="宋体" w:hAnsi="宋体" w:cs="宋体" w:hint="eastAsia"/>
          <w:color w:val="auto"/>
          <w:szCs w:val="28"/>
        </w:rPr>
      </w:pPr>
      <w:r>
        <w:rPr>
          <w:rFonts w:ascii="宋体" w:hAnsi="宋体" w:cs="宋体" w:hint="eastAsia"/>
          <w:color w:val="auto"/>
          <w:szCs w:val="28"/>
        </w:rPr>
        <w:t>4.通过安全验收评价，个旧</w:t>
      </w:r>
      <w:proofErr w:type="gramStart"/>
      <w:r>
        <w:rPr>
          <w:rFonts w:ascii="宋体" w:hAnsi="宋体" w:cs="宋体" w:hint="eastAsia"/>
          <w:color w:val="auto"/>
          <w:szCs w:val="28"/>
        </w:rPr>
        <w:t>市创源科技</w:t>
      </w:r>
      <w:proofErr w:type="gramEnd"/>
      <w:r>
        <w:rPr>
          <w:rFonts w:ascii="宋体" w:hAnsi="宋体" w:cs="宋体" w:hint="eastAsia"/>
          <w:color w:val="auto"/>
          <w:szCs w:val="28"/>
        </w:rPr>
        <w:t>有限公司可进一步全面了解和掌握新建实验与研究开发中心及实验基地工程建设项目的安全生产条件和安全管理状况；并通过完善安全措施，以提高建设项目本质安全程度，保障人员的生命安全和财产安全。</w:t>
      </w:r>
    </w:p>
    <w:p w14:paraId="5490902D" w14:textId="77777777" w:rsidR="009219A0" w:rsidRDefault="00000000">
      <w:pPr>
        <w:topLinePunct/>
        <w:ind w:firstLine="560"/>
        <w:rPr>
          <w:rFonts w:ascii="宋体" w:hAnsi="宋体" w:cs="宋体" w:hint="eastAsia"/>
          <w:color w:val="auto"/>
          <w:szCs w:val="28"/>
        </w:rPr>
      </w:pPr>
      <w:r>
        <w:rPr>
          <w:rFonts w:ascii="宋体" w:hAnsi="宋体" w:cs="宋体" w:hint="eastAsia"/>
          <w:color w:val="auto"/>
          <w:szCs w:val="28"/>
        </w:rPr>
        <w:t>5.为实现新建实验与研究开发中心及实验基地工程建设项目安全技术、安全管理的标准化和科学化创造条件，并为应急管理部门提供安全监管依据。</w:t>
      </w:r>
    </w:p>
    <w:p w14:paraId="48F7E32B" w14:textId="77777777" w:rsidR="009219A0" w:rsidRDefault="00000000">
      <w:pPr>
        <w:pStyle w:val="2"/>
        <w:rPr>
          <w:rFonts w:hint="eastAsia"/>
        </w:rPr>
      </w:pPr>
      <w:bookmarkStart w:id="24" w:name="_Toc165281427"/>
      <w:bookmarkStart w:id="25" w:name="_Toc211950395"/>
      <w:r>
        <w:rPr>
          <w:rFonts w:hint="eastAsia"/>
        </w:rPr>
        <w:lastRenderedPageBreak/>
        <w:t>1.2 前期准备</w:t>
      </w:r>
      <w:bookmarkEnd w:id="24"/>
      <w:bookmarkEnd w:id="25"/>
    </w:p>
    <w:p w14:paraId="68D2B3C6" w14:textId="77777777" w:rsidR="009219A0" w:rsidRDefault="00000000">
      <w:pPr>
        <w:topLinePunct/>
        <w:ind w:firstLine="560"/>
        <w:rPr>
          <w:rFonts w:ascii="宋体" w:hAnsi="宋体" w:cs="宋体" w:hint="eastAsia"/>
          <w:color w:val="auto"/>
          <w:szCs w:val="28"/>
        </w:rPr>
      </w:pPr>
      <w:r>
        <w:rPr>
          <w:rFonts w:ascii="宋体" w:hAnsi="宋体" w:cs="宋体" w:hint="eastAsia"/>
          <w:color w:val="auto"/>
          <w:szCs w:val="28"/>
        </w:rPr>
        <w:t>在接受个旧</w:t>
      </w:r>
      <w:proofErr w:type="gramStart"/>
      <w:r>
        <w:rPr>
          <w:rFonts w:ascii="宋体" w:hAnsi="宋体" w:cs="宋体" w:hint="eastAsia"/>
          <w:color w:val="auto"/>
          <w:szCs w:val="28"/>
        </w:rPr>
        <w:t>市创源科技</w:t>
      </w:r>
      <w:proofErr w:type="gramEnd"/>
      <w:r>
        <w:rPr>
          <w:rFonts w:ascii="宋体" w:hAnsi="宋体" w:cs="宋体" w:hint="eastAsia"/>
          <w:color w:val="auto"/>
          <w:szCs w:val="28"/>
        </w:rPr>
        <w:t>有限公司新建实验与研究开发中心及实验基地工程建设项目安全验收评价工作的委托之前，昭通市</w:t>
      </w:r>
      <w:proofErr w:type="gramStart"/>
      <w:r>
        <w:rPr>
          <w:rFonts w:ascii="宋体" w:hAnsi="宋体" w:cs="宋体" w:hint="eastAsia"/>
          <w:color w:val="auto"/>
          <w:szCs w:val="28"/>
        </w:rPr>
        <w:t>鼎安科技</w:t>
      </w:r>
      <w:proofErr w:type="gramEnd"/>
      <w:r>
        <w:rPr>
          <w:rFonts w:ascii="宋体" w:hAnsi="宋体" w:cs="宋体" w:hint="eastAsia"/>
          <w:color w:val="auto"/>
          <w:szCs w:val="28"/>
        </w:rPr>
        <w:t>有限公司对建设项目进行了安全评价风险分析，得出本项目风险在可接受范围内。签订合同后昭通市</w:t>
      </w:r>
      <w:proofErr w:type="gramStart"/>
      <w:r>
        <w:rPr>
          <w:rFonts w:ascii="宋体" w:hAnsi="宋体" w:cs="宋体" w:hint="eastAsia"/>
          <w:color w:val="auto"/>
          <w:szCs w:val="28"/>
        </w:rPr>
        <w:t>鼎安科技</w:t>
      </w:r>
      <w:proofErr w:type="gramEnd"/>
      <w:r>
        <w:rPr>
          <w:rFonts w:ascii="宋体" w:hAnsi="宋体" w:cs="宋体" w:hint="eastAsia"/>
          <w:color w:val="auto"/>
          <w:szCs w:val="28"/>
        </w:rPr>
        <w:t>有限公司立即成立项目相关安全评价组，投入该项目的安全验收评价工作。</w:t>
      </w:r>
    </w:p>
    <w:p w14:paraId="764793E2" w14:textId="77777777" w:rsidR="009219A0" w:rsidRDefault="00000000">
      <w:pPr>
        <w:pStyle w:val="2"/>
        <w:rPr>
          <w:rFonts w:hint="eastAsia"/>
        </w:rPr>
      </w:pPr>
      <w:bookmarkStart w:id="26" w:name="_Toc22078_WPSOffice_Level2"/>
      <w:bookmarkStart w:id="27" w:name="_Toc211950396"/>
      <w:bookmarkStart w:id="28" w:name="_Toc317766307"/>
      <w:bookmarkStart w:id="29" w:name="_Toc24480_WPSOffice_Level2"/>
      <w:bookmarkStart w:id="30" w:name="_Toc21459"/>
      <w:bookmarkStart w:id="31" w:name="_Toc165281428"/>
      <w:r>
        <w:rPr>
          <w:rFonts w:hint="eastAsia"/>
        </w:rPr>
        <w:t>1.3 评价对象及范围</w:t>
      </w:r>
      <w:bookmarkEnd w:id="26"/>
      <w:bookmarkEnd w:id="27"/>
      <w:bookmarkEnd w:id="28"/>
      <w:bookmarkEnd w:id="29"/>
      <w:bookmarkEnd w:id="30"/>
      <w:bookmarkEnd w:id="31"/>
    </w:p>
    <w:p w14:paraId="330146F4" w14:textId="77777777" w:rsidR="009219A0" w:rsidRDefault="00000000">
      <w:pPr>
        <w:topLinePunct/>
        <w:ind w:firstLine="560"/>
        <w:rPr>
          <w:rFonts w:ascii="宋体" w:hAnsi="宋体" w:cs="宋体" w:hint="eastAsia"/>
          <w:color w:val="auto"/>
          <w:szCs w:val="28"/>
        </w:rPr>
      </w:pPr>
      <w:r>
        <w:rPr>
          <w:rFonts w:ascii="宋体" w:hAnsi="宋体" w:cs="宋体" w:hint="eastAsia"/>
          <w:color w:val="auto"/>
          <w:szCs w:val="28"/>
        </w:rPr>
        <w:t>评价对象：个旧</w:t>
      </w:r>
      <w:proofErr w:type="gramStart"/>
      <w:r>
        <w:rPr>
          <w:rFonts w:ascii="宋体" w:hAnsi="宋体" w:cs="宋体" w:hint="eastAsia"/>
          <w:color w:val="auto"/>
          <w:szCs w:val="28"/>
        </w:rPr>
        <w:t>市创源科技</w:t>
      </w:r>
      <w:proofErr w:type="gramEnd"/>
      <w:r>
        <w:rPr>
          <w:rFonts w:ascii="宋体" w:hAnsi="宋体" w:cs="宋体" w:hint="eastAsia"/>
          <w:color w:val="auto"/>
          <w:szCs w:val="28"/>
        </w:rPr>
        <w:t>有限公司</w:t>
      </w:r>
    </w:p>
    <w:p w14:paraId="530BD03D" w14:textId="77777777" w:rsidR="009219A0" w:rsidRPr="00D75DAE" w:rsidRDefault="00000000">
      <w:pPr>
        <w:topLinePunct/>
        <w:ind w:firstLine="560"/>
        <w:rPr>
          <w:rFonts w:ascii="宋体" w:hAnsi="宋体" w:cs="宋体" w:hint="eastAsia"/>
          <w:color w:val="auto"/>
          <w:szCs w:val="28"/>
        </w:rPr>
      </w:pPr>
      <w:r>
        <w:rPr>
          <w:rFonts w:ascii="宋体" w:hAnsi="宋体" w:cs="宋体" w:hint="eastAsia"/>
          <w:color w:val="auto"/>
          <w:szCs w:val="28"/>
        </w:rPr>
        <w:t>评价范围：个旧</w:t>
      </w:r>
      <w:proofErr w:type="gramStart"/>
      <w:r>
        <w:rPr>
          <w:rFonts w:ascii="宋体" w:hAnsi="宋体" w:cs="宋体" w:hint="eastAsia"/>
          <w:color w:val="auto"/>
          <w:szCs w:val="28"/>
        </w:rPr>
        <w:t>市创源科技</w:t>
      </w:r>
      <w:proofErr w:type="gramEnd"/>
      <w:r>
        <w:rPr>
          <w:rFonts w:ascii="宋体" w:hAnsi="宋体" w:cs="宋体" w:hint="eastAsia"/>
          <w:color w:val="auto"/>
          <w:szCs w:val="28"/>
        </w:rPr>
        <w:t>有限公司新建实验与研究开发中心及实验基地工程建设项目所涉及的设备设施、总平面布置、建（构）筑物、公用工程及辅助设施的安全设施设计及安全管理措施等。</w:t>
      </w:r>
      <w:r w:rsidRPr="00D75DAE">
        <w:rPr>
          <w:rFonts w:ascii="宋体" w:hAnsi="宋体" w:cs="宋体" w:hint="eastAsia"/>
          <w:color w:val="auto"/>
          <w:szCs w:val="28"/>
        </w:rPr>
        <w:t>建设内容主要包含：将中试车间面积扩大至 6500m</w:t>
      </w:r>
      <w:r w:rsidRPr="00D75DAE">
        <w:rPr>
          <w:rFonts w:ascii="宋体" w:hAnsi="宋体" w:cs="宋体" w:hint="eastAsia"/>
          <w:color w:val="auto"/>
          <w:szCs w:val="28"/>
          <w:vertAlign w:val="superscript"/>
        </w:rPr>
        <w:t>2</w:t>
      </w:r>
      <w:r w:rsidRPr="00D75DAE">
        <w:rPr>
          <w:rFonts w:ascii="宋体" w:hAnsi="宋体" w:cs="宋体" w:hint="eastAsia"/>
          <w:color w:val="auto"/>
          <w:szCs w:val="28"/>
        </w:rPr>
        <w:t>，划分为原料堆放区、产物堆放区，新增中试设备（1个6m</w:t>
      </w:r>
      <w:r w:rsidRPr="00D75DAE">
        <w:rPr>
          <w:rFonts w:ascii="宋体" w:hAnsi="宋体" w:cs="宋体" w:hint="eastAsia"/>
          <w:color w:val="auto"/>
          <w:szCs w:val="28"/>
          <w:vertAlign w:val="superscript"/>
        </w:rPr>
        <w:t>3</w:t>
      </w:r>
      <w:r w:rsidRPr="00D75DAE">
        <w:rPr>
          <w:rFonts w:ascii="宋体" w:hAnsi="宋体" w:cs="宋体" w:hint="eastAsia"/>
          <w:color w:val="auto"/>
          <w:szCs w:val="28"/>
        </w:rPr>
        <w:t>盐酸计量槽、1个15m</w:t>
      </w:r>
      <w:r w:rsidRPr="00D75DAE">
        <w:rPr>
          <w:rFonts w:ascii="宋体" w:hAnsi="宋体" w:cs="宋体" w:hint="eastAsia"/>
          <w:color w:val="auto"/>
          <w:szCs w:val="28"/>
          <w:vertAlign w:val="superscript"/>
        </w:rPr>
        <w:t>3</w:t>
      </w:r>
      <w:r w:rsidRPr="00D75DAE">
        <w:rPr>
          <w:rFonts w:ascii="宋体" w:hAnsi="宋体" w:cs="宋体" w:hint="eastAsia"/>
          <w:color w:val="auto"/>
          <w:szCs w:val="28"/>
        </w:rPr>
        <w:t>的硫酸储罐、1个60m</w:t>
      </w:r>
      <w:r w:rsidRPr="00D75DAE">
        <w:rPr>
          <w:rFonts w:ascii="宋体" w:hAnsi="宋体" w:cs="宋体" w:hint="eastAsia"/>
          <w:color w:val="auto"/>
          <w:szCs w:val="28"/>
          <w:vertAlign w:val="superscript"/>
        </w:rPr>
        <w:t>3</w:t>
      </w:r>
      <w:r w:rsidRPr="00D75DAE">
        <w:rPr>
          <w:rFonts w:ascii="宋体" w:hAnsi="宋体" w:cs="宋体" w:hint="eastAsia"/>
          <w:color w:val="auto"/>
          <w:szCs w:val="28"/>
        </w:rPr>
        <w:t>的盐酸储罐）；利用厂区已建的 1 座 2 层的实验楼（建筑面积 400m</w:t>
      </w:r>
      <w:r w:rsidRPr="00D75DAE">
        <w:rPr>
          <w:rFonts w:ascii="宋体" w:hAnsi="宋体" w:cs="宋体" w:hint="eastAsia"/>
          <w:color w:val="auto"/>
          <w:szCs w:val="28"/>
          <w:vertAlign w:val="superscript"/>
        </w:rPr>
        <w:t>2</w:t>
      </w:r>
      <w:r w:rsidRPr="00D75DAE">
        <w:rPr>
          <w:rFonts w:ascii="宋体" w:hAnsi="宋体" w:cs="宋体" w:hint="eastAsia"/>
          <w:color w:val="auto"/>
          <w:szCs w:val="28"/>
        </w:rPr>
        <w:t>）2楼房间用作研发中心实验室，设置电炉自动加温搅拌试验台、电子天平、干燥机、微波脱砷设备等实验设备放入研发中心实验室，并配套建设试验台环境抽风机、尾气处理装置等以此来进行铁粉脱杂、硫铁矿脱砷的小试实验）。</w:t>
      </w:r>
    </w:p>
    <w:p w14:paraId="07408696" w14:textId="77777777" w:rsidR="009219A0" w:rsidRDefault="00000000">
      <w:pPr>
        <w:topLinePunct/>
        <w:ind w:firstLine="560"/>
        <w:rPr>
          <w:rFonts w:ascii="宋体" w:hAnsi="宋体" w:cs="宋体" w:hint="eastAsia"/>
          <w:color w:val="auto"/>
          <w:szCs w:val="28"/>
        </w:rPr>
      </w:pPr>
      <w:r>
        <w:rPr>
          <w:rFonts w:ascii="宋体" w:hAnsi="宋体" w:cs="宋体" w:hint="eastAsia"/>
          <w:color w:val="auto"/>
          <w:szCs w:val="28"/>
        </w:rPr>
        <w:t>新建实验与研究开发中心及实验基地的厂外运输、职业卫生、环境保护等不在</w:t>
      </w:r>
      <w:r>
        <w:rPr>
          <w:color w:val="auto"/>
        </w:rPr>
        <w:t>本次评价范围内</w:t>
      </w:r>
      <w:r>
        <w:rPr>
          <w:rFonts w:hint="eastAsia"/>
          <w:color w:val="auto"/>
        </w:rPr>
        <w:t>，</w:t>
      </w:r>
      <w:r>
        <w:rPr>
          <w:color w:val="auto"/>
        </w:rPr>
        <w:t>但在本报告中将有所提及</w:t>
      </w:r>
      <w:r>
        <w:rPr>
          <w:rFonts w:ascii="宋体" w:hAnsi="宋体" w:cs="宋体" w:hint="eastAsia"/>
          <w:color w:val="auto"/>
          <w:szCs w:val="28"/>
        </w:rPr>
        <w:t>。</w:t>
      </w:r>
    </w:p>
    <w:p w14:paraId="5177D479" w14:textId="77777777" w:rsidR="009219A0" w:rsidRDefault="00000000">
      <w:pPr>
        <w:pStyle w:val="2"/>
        <w:rPr>
          <w:rFonts w:hint="eastAsia"/>
        </w:rPr>
      </w:pPr>
      <w:bookmarkStart w:id="32" w:name="_Toc317766308"/>
      <w:bookmarkStart w:id="33" w:name="_Toc21827"/>
      <w:bookmarkStart w:id="34" w:name="_Toc165281429"/>
      <w:bookmarkStart w:id="35" w:name="_Toc211950397"/>
      <w:bookmarkStart w:id="36" w:name="_Toc6789_WPSOffice_Level2"/>
      <w:bookmarkStart w:id="37" w:name="_Toc20693_WPSOffice_Level2"/>
      <w:r>
        <w:rPr>
          <w:rFonts w:hint="eastAsia"/>
        </w:rPr>
        <w:t>1.4 评价程序</w:t>
      </w:r>
      <w:bookmarkEnd w:id="32"/>
      <w:bookmarkEnd w:id="33"/>
      <w:bookmarkEnd w:id="34"/>
      <w:bookmarkEnd w:id="35"/>
      <w:bookmarkEnd w:id="36"/>
      <w:bookmarkEnd w:id="37"/>
    </w:p>
    <w:p w14:paraId="7D1F17B2" w14:textId="77777777" w:rsidR="009219A0" w:rsidRDefault="00000000">
      <w:pPr>
        <w:topLinePunct/>
        <w:ind w:firstLine="560"/>
        <w:rPr>
          <w:rFonts w:ascii="宋体" w:hAnsi="宋体" w:cs="宋体" w:hint="eastAsia"/>
          <w:color w:val="auto"/>
          <w:szCs w:val="28"/>
        </w:rPr>
      </w:pPr>
      <w:r>
        <w:rPr>
          <w:rFonts w:ascii="宋体" w:hAnsi="宋体" w:cs="宋体" w:hint="eastAsia"/>
          <w:color w:val="auto"/>
          <w:szCs w:val="28"/>
        </w:rPr>
        <w:t>本次安全验收评价程序为：前期准备；辨识与分析危险和有害因素；划分评价单元；定性、定量评价；提出安全对策措施建议；做出评价结论；编制安全验收评价报告等，安全验收评价流程见图1.4-1：</w:t>
      </w:r>
    </w:p>
    <w:p w14:paraId="2CDCFD87" w14:textId="77777777" w:rsidR="009219A0" w:rsidRDefault="00000000">
      <w:pPr>
        <w:ind w:firstLineChars="71" w:firstLine="149"/>
        <w:jc w:val="center"/>
        <w:rPr>
          <w:rFonts w:ascii="宋体" w:hAnsi="宋体" w:hint="eastAsia"/>
          <w:color w:val="auto"/>
        </w:rPr>
      </w:pPr>
      <w:r>
        <w:rPr>
          <w:noProof/>
          <w:color w:val="auto"/>
          <w:sz w:val="21"/>
        </w:rPr>
        <w:lastRenderedPageBreak/>
        <w:drawing>
          <wp:inline distT="0" distB="0" distL="0" distR="0" wp14:anchorId="74630ECA" wp14:editId="173B4E07">
            <wp:extent cx="2000250" cy="4602480"/>
            <wp:effectExtent l="0" t="0" r="0" b="7620"/>
            <wp:docPr id="3" name="图片 3" descr="C:\Users\XY\Documents\安全评价程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XY\Documents\安全评价程序.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008890" cy="4622868"/>
                    </a:xfrm>
                    <a:prstGeom prst="rect">
                      <a:avLst/>
                    </a:prstGeom>
                    <a:noFill/>
                    <a:ln>
                      <a:noFill/>
                    </a:ln>
                  </pic:spPr>
                </pic:pic>
              </a:graphicData>
            </a:graphic>
          </wp:inline>
        </w:drawing>
      </w:r>
    </w:p>
    <w:p w14:paraId="34F6F33E" w14:textId="77777777" w:rsidR="009219A0" w:rsidRDefault="00000000">
      <w:pPr>
        <w:ind w:firstLine="560"/>
        <w:jc w:val="center"/>
        <w:rPr>
          <w:rFonts w:ascii="宋体" w:hAnsi="宋体" w:hint="eastAsia"/>
          <w:color w:val="auto"/>
        </w:rPr>
      </w:pPr>
      <w:r>
        <w:rPr>
          <w:rFonts w:ascii="宋体" w:hAnsi="宋体" w:hint="eastAsia"/>
          <w:color w:val="auto"/>
        </w:rPr>
        <w:t xml:space="preserve">图1.4-1  </w:t>
      </w:r>
      <w:r>
        <w:rPr>
          <w:rFonts w:ascii="宋体" w:hAnsi="宋体"/>
          <w:color w:val="auto"/>
        </w:rPr>
        <w:t>安全设施</w:t>
      </w:r>
      <w:r>
        <w:rPr>
          <w:rFonts w:ascii="宋体" w:hAnsi="宋体" w:hint="eastAsia"/>
          <w:color w:val="auto"/>
        </w:rPr>
        <w:t>验收</w:t>
      </w:r>
      <w:r>
        <w:rPr>
          <w:rFonts w:ascii="宋体" w:hAnsi="宋体"/>
          <w:color w:val="auto"/>
        </w:rPr>
        <w:t>评价</w:t>
      </w:r>
      <w:r>
        <w:rPr>
          <w:rFonts w:ascii="宋体" w:hAnsi="宋体" w:hint="eastAsia"/>
          <w:color w:val="auto"/>
        </w:rPr>
        <w:t>流程图</w:t>
      </w:r>
    </w:p>
    <w:p w14:paraId="00DE6B24" w14:textId="77777777" w:rsidR="009219A0" w:rsidRDefault="00000000">
      <w:pPr>
        <w:pStyle w:val="2"/>
        <w:rPr>
          <w:rFonts w:hint="eastAsia"/>
        </w:rPr>
      </w:pPr>
      <w:bookmarkStart w:id="38" w:name="_Toc211950398"/>
      <w:bookmarkStart w:id="39" w:name="_Toc165281430"/>
      <w:r>
        <w:rPr>
          <w:rFonts w:hint="eastAsia"/>
        </w:rPr>
        <w:t>1.5 评价原则</w:t>
      </w:r>
      <w:bookmarkEnd w:id="38"/>
      <w:bookmarkEnd w:id="39"/>
    </w:p>
    <w:p w14:paraId="6FC100D8" w14:textId="77777777" w:rsidR="009219A0" w:rsidRDefault="00000000">
      <w:pPr>
        <w:topLinePunct/>
        <w:ind w:firstLine="560"/>
        <w:rPr>
          <w:rFonts w:ascii="宋体" w:hAnsi="宋体" w:cs="宋体" w:hint="eastAsia"/>
          <w:color w:val="auto"/>
          <w:szCs w:val="28"/>
        </w:rPr>
      </w:pPr>
      <w:r>
        <w:rPr>
          <w:rFonts w:ascii="宋体" w:hAnsi="宋体" w:cs="宋体"/>
          <w:color w:val="auto"/>
          <w:szCs w:val="28"/>
        </w:rPr>
        <w:t>本报告将按国家现行有关法律、法规和标准要求进行评价，同时遵守下列原则：</w:t>
      </w:r>
    </w:p>
    <w:p w14:paraId="5A4A4439" w14:textId="77777777" w:rsidR="009219A0" w:rsidRDefault="00000000">
      <w:pPr>
        <w:topLinePunct/>
        <w:ind w:firstLine="560"/>
        <w:rPr>
          <w:rFonts w:ascii="宋体" w:hAnsi="宋体" w:cs="宋体" w:hint="eastAsia"/>
          <w:color w:val="auto"/>
          <w:szCs w:val="28"/>
        </w:rPr>
      </w:pPr>
      <w:r>
        <w:rPr>
          <w:rFonts w:ascii="宋体" w:hAnsi="宋体" w:cs="宋体" w:hint="eastAsia"/>
          <w:color w:val="auto"/>
          <w:szCs w:val="28"/>
        </w:rPr>
        <w:t>（1）</w:t>
      </w:r>
      <w:r>
        <w:rPr>
          <w:rFonts w:ascii="宋体" w:hAnsi="宋体" w:cs="宋体"/>
          <w:color w:val="auto"/>
          <w:szCs w:val="28"/>
        </w:rPr>
        <w:t>严格执行国家现行有关法律、法规、标准和规范的要求，保证对该企业应当具备的安全生产条件进行科学、客观、公正、独立的评价；</w:t>
      </w:r>
    </w:p>
    <w:p w14:paraId="6E281758" w14:textId="77777777" w:rsidR="009219A0" w:rsidRDefault="00000000">
      <w:pPr>
        <w:topLinePunct/>
        <w:ind w:firstLine="560"/>
        <w:rPr>
          <w:rFonts w:ascii="宋体" w:hAnsi="宋体" w:cs="宋体" w:hint="eastAsia"/>
          <w:color w:val="auto"/>
          <w:szCs w:val="28"/>
        </w:rPr>
      </w:pPr>
      <w:r>
        <w:rPr>
          <w:rFonts w:ascii="宋体" w:hAnsi="宋体" w:cs="宋体" w:hint="eastAsia"/>
          <w:color w:val="auto"/>
          <w:szCs w:val="28"/>
        </w:rPr>
        <w:t>（2）</w:t>
      </w:r>
      <w:r>
        <w:rPr>
          <w:rFonts w:ascii="宋体" w:hAnsi="宋体" w:cs="宋体"/>
          <w:color w:val="auto"/>
          <w:szCs w:val="28"/>
        </w:rPr>
        <w:t>执行行业现行有关法规、标准、规范和政策的要求，保证评价与经</w:t>
      </w:r>
      <w:r>
        <w:rPr>
          <w:rFonts w:ascii="宋体" w:hAnsi="宋体" w:cs="宋体" w:hint="eastAsia"/>
          <w:color w:val="auto"/>
          <w:szCs w:val="28"/>
        </w:rPr>
        <w:t>济发展的适应性；</w:t>
      </w:r>
    </w:p>
    <w:p w14:paraId="1314869A" w14:textId="77777777" w:rsidR="009219A0" w:rsidRDefault="00000000">
      <w:pPr>
        <w:topLinePunct/>
        <w:ind w:firstLine="560"/>
        <w:rPr>
          <w:rFonts w:ascii="宋体" w:hAnsi="宋体" w:cs="宋体" w:hint="eastAsia"/>
          <w:color w:val="auto"/>
          <w:szCs w:val="28"/>
        </w:rPr>
      </w:pPr>
      <w:r>
        <w:rPr>
          <w:rFonts w:ascii="宋体" w:hAnsi="宋体" w:cs="宋体" w:hint="eastAsia"/>
          <w:color w:val="auto"/>
          <w:szCs w:val="28"/>
        </w:rPr>
        <w:t>（3）采用可靠、适用的评价技术和评价方法，保证评价的针对性，确保评价质量，真实、准确地</w:t>
      </w:r>
      <w:proofErr w:type="gramStart"/>
      <w:r>
        <w:rPr>
          <w:rFonts w:ascii="宋体" w:hAnsi="宋体" w:cs="宋体" w:hint="eastAsia"/>
          <w:color w:val="auto"/>
          <w:szCs w:val="28"/>
        </w:rPr>
        <w:t>作出</w:t>
      </w:r>
      <w:proofErr w:type="gramEnd"/>
      <w:r>
        <w:rPr>
          <w:rFonts w:ascii="宋体" w:hAnsi="宋体" w:cs="宋体" w:hint="eastAsia"/>
          <w:color w:val="auto"/>
          <w:szCs w:val="28"/>
        </w:rPr>
        <w:t>评价结论；</w:t>
      </w:r>
    </w:p>
    <w:p w14:paraId="157C90B3" w14:textId="77777777" w:rsidR="009219A0" w:rsidRDefault="00000000">
      <w:pPr>
        <w:topLinePunct/>
        <w:ind w:firstLine="560"/>
        <w:rPr>
          <w:rFonts w:ascii="宋体" w:hAnsi="宋体" w:cs="宋体" w:hint="eastAsia"/>
          <w:color w:val="auto"/>
          <w:szCs w:val="28"/>
        </w:rPr>
      </w:pPr>
      <w:r>
        <w:rPr>
          <w:rFonts w:ascii="宋体" w:hAnsi="宋体" w:cs="宋体" w:hint="eastAsia"/>
          <w:color w:val="auto"/>
          <w:szCs w:val="28"/>
        </w:rPr>
        <w:t>（4）恪守职业道德，遵循诚实守信的原则，对被评价企业的技术资料和商业运作保密。</w:t>
      </w:r>
    </w:p>
    <w:p w14:paraId="66C7D2D4" w14:textId="77777777" w:rsidR="009219A0" w:rsidRDefault="00000000">
      <w:pPr>
        <w:pStyle w:val="2"/>
        <w:rPr>
          <w:rFonts w:hint="eastAsia"/>
        </w:rPr>
      </w:pPr>
      <w:bookmarkStart w:id="40" w:name="_Toc211950399"/>
      <w:bookmarkStart w:id="41" w:name="_Toc165281431"/>
      <w:r>
        <w:rPr>
          <w:rFonts w:hint="eastAsia"/>
        </w:rPr>
        <w:lastRenderedPageBreak/>
        <w:t>1.6 评价基准日</w:t>
      </w:r>
      <w:bookmarkEnd w:id="40"/>
      <w:bookmarkEnd w:id="41"/>
    </w:p>
    <w:p w14:paraId="1AF00AE0" w14:textId="77777777" w:rsidR="009219A0" w:rsidRDefault="00000000">
      <w:pPr>
        <w:topLinePunct/>
        <w:ind w:firstLine="560"/>
        <w:rPr>
          <w:rFonts w:ascii="宋体" w:hAnsi="宋体" w:cs="宋体" w:hint="eastAsia"/>
          <w:color w:val="auto"/>
          <w:szCs w:val="28"/>
        </w:rPr>
      </w:pPr>
      <w:proofErr w:type="gramStart"/>
      <w:r>
        <w:rPr>
          <w:rFonts w:ascii="宋体" w:hAnsi="宋体" w:cs="宋体" w:hint="eastAsia"/>
          <w:color w:val="auto"/>
          <w:szCs w:val="28"/>
        </w:rPr>
        <w:t>评价组</w:t>
      </w:r>
      <w:proofErr w:type="gramEnd"/>
      <w:r>
        <w:rPr>
          <w:rFonts w:ascii="宋体" w:hAnsi="宋体" w:cs="宋体" w:hint="eastAsia"/>
          <w:color w:val="auto"/>
          <w:szCs w:val="28"/>
        </w:rPr>
        <w:t>于2025年02月28日到现场进行踏勘，本报告以当日现场实际情况为准编制，评价基准日：2025年02月28日。</w:t>
      </w:r>
    </w:p>
    <w:p w14:paraId="05DDF085" w14:textId="77777777" w:rsidR="009219A0" w:rsidRDefault="00000000">
      <w:pPr>
        <w:pStyle w:val="1"/>
        <w:keepNext w:val="0"/>
        <w:keepLines w:val="0"/>
        <w:numPr>
          <w:ilvl w:val="0"/>
          <w:numId w:val="1"/>
        </w:numPr>
        <w:ind w:left="0" w:firstLine="0"/>
        <w:textAlignment w:val="center"/>
        <w:rPr>
          <w:rFonts w:ascii="宋体" w:hAnsi="宋体" w:hint="eastAsia"/>
          <w:b/>
          <w:bCs w:val="0"/>
          <w:color w:val="auto"/>
          <w:szCs w:val="20"/>
        </w:rPr>
      </w:pPr>
      <w:bookmarkStart w:id="42" w:name="_Toc28074"/>
      <w:bookmarkStart w:id="43" w:name="_Toc317766309"/>
      <w:bookmarkStart w:id="44" w:name="_Toc3942_WPSOffice_Level1"/>
      <w:bookmarkStart w:id="45" w:name="_Toc12328_WPSOffice_Level1"/>
      <w:r>
        <w:rPr>
          <w:rFonts w:ascii="宋体" w:hAnsi="宋体" w:hint="eastAsia"/>
          <w:b/>
          <w:bCs w:val="0"/>
          <w:color w:val="auto"/>
          <w:szCs w:val="20"/>
        </w:rPr>
        <w:lastRenderedPageBreak/>
        <w:t xml:space="preserve">  </w:t>
      </w:r>
      <w:bookmarkStart w:id="46" w:name="_Toc211950400"/>
      <w:bookmarkStart w:id="47" w:name="_Toc165281432"/>
      <w:r>
        <w:rPr>
          <w:rFonts w:ascii="宋体" w:hAnsi="宋体" w:hint="eastAsia"/>
          <w:b/>
          <w:bCs w:val="0"/>
          <w:color w:val="auto"/>
          <w:szCs w:val="20"/>
        </w:rPr>
        <w:t>建设项目概况</w:t>
      </w:r>
      <w:bookmarkEnd w:id="42"/>
      <w:bookmarkEnd w:id="43"/>
      <w:bookmarkEnd w:id="44"/>
      <w:bookmarkEnd w:id="45"/>
      <w:bookmarkEnd w:id="46"/>
      <w:bookmarkEnd w:id="47"/>
    </w:p>
    <w:p w14:paraId="2E60DA2F" w14:textId="77777777" w:rsidR="009219A0" w:rsidRDefault="009219A0">
      <w:pPr>
        <w:spacing w:line="372" w:lineRule="auto"/>
        <w:ind w:firstLine="560"/>
        <w:rPr>
          <w:rFonts w:ascii="宋体" w:hAnsi="宋体" w:hint="eastAsia"/>
          <w:color w:val="auto"/>
        </w:rPr>
      </w:pPr>
      <w:bookmarkStart w:id="48" w:name="_Toc21082_WPSOffice_Level2"/>
      <w:bookmarkStart w:id="49" w:name="_Toc15659_WPSOffice_Level2"/>
      <w:bookmarkStart w:id="50" w:name="_Toc13825"/>
      <w:bookmarkStart w:id="51" w:name="_Toc217986231"/>
      <w:bookmarkStart w:id="52" w:name="_Toc305917930"/>
      <w:bookmarkStart w:id="53" w:name="_Toc317766311"/>
    </w:p>
    <w:p w14:paraId="549F1BEF" w14:textId="77777777" w:rsidR="009219A0" w:rsidRDefault="00000000">
      <w:pPr>
        <w:pStyle w:val="2"/>
        <w:rPr>
          <w:rFonts w:hint="eastAsia"/>
        </w:rPr>
      </w:pPr>
      <w:bookmarkStart w:id="54" w:name="_Toc211950401"/>
      <w:bookmarkStart w:id="55" w:name="_Toc165281433"/>
      <w:r>
        <w:rPr>
          <w:rFonts w:hint="eastAsia"/>
        </w:rPr>
        <w:t>2.1</w:t>
      </w:r>
      <w:bookmarkEnd w:id="48"/>
      <w:bookmarkEnd w:id="49"/>
      <w:bookmarkEnd w:id="50"/>
      <w:bookmarkEnd w:id="51"/>
      <w:bookmarkEnd w:id="52"/>
      <w:r>
        <w:rPr>
          <w:rFonts w:hint="eastAsia"/>
        </w:rPr>
        <w:t xml:space="preserve"> 建设单位概况</w:t>
      </w:r>
      <w:bookmarkEnd w:id="54"/>
      <w:bookmarkEnd w:id="55"/>
    </w:p>
    <w:p w14:paraId="76FF7803" w14:textId="77777777" w:rsidR="009219A0" w:rsidRDefault="00000000">
      <w:pPr>
        <w:topLinePunct/>
        <w:ind w:firstLine="560"/>
        <w:rPr>
          <w:rFonts w:ascii="宋体" w:hAnsi="宋体" w:hint="eastAsia"/>
          <w:color w:val="auto"/>
        </w:rPr>
      </w:pPr>
      <w:r>
        <w:rPr>
          <w:rFonts w:ascii="宋体" w:hAnsi="宋体" w:hint="eastAsia"/>
          <w:color w:val="auto"/>
        </w:rPr>
        <w:t>企业名称：个旧</w:t>
      </w:r>
      <w:proofErr w:type="gramStart"/>
      <w:r>
        <w:rPr>
          <w:rFonts w:ascii="宋体" w:hAnsi="宋体" w:hint="eastAsia"/>
          <w:color w:val="auto"/>
        </w:rPr>
        <w:t>市创源科技</w:t>
      </w:r>
      <w:proofErr w:type="gramEnd"/>
      <w:r>
        <w:rPr>
          <w:rFonts w:ascii="宋体" w:hAnsi="宋体" w:hint="eastAsia"/>
          <w:color w:val="auto"/>
        </w:rPr>
        <w:t>有限公司（以下简称“创源公司”）</w:t>
      </w:r>
    </w:p>
    <w:p w14:paraId="41AC0346" w14:textId="77777777" w:rsidR="009219A0" w:rsidRDefault="00000000">
      <w:pPr>
        <w:topLinePunct/>
        <w:ind w:firstLine="560"/>
        <w:rPr>
          <w:rFonts w:ascii="宋体" w:hAnsi="宋体" w:hint="eastAsia"/>
          <w:color w:val="auto"/>
        </w:rPr>
      </w:pPr>
      <w:r>
        <w:rPr>
          <w:rFonts w:ascii="宋体" w:hAnsi="宋体" w:hint="eastAsia"/>
          <w:color w:val="auto"/>
        </w:rPr>
        <w:t>企业住所：云南省红河州个旧市沙</w:t>
      </w:r>
      <w:proofErr w:type="gramStart"/>
      <w:r>
        <w:rPr>
          <w:rFonts w:ascii="宋体" w:hAnsi="宋体" w:hint="eastAsia"/>
          <w:color w:val="auto"/>
        </w:rPr>
        <w:t>甸</w:t>
      </w:r>
      <w:proofErr w:type="gramEnd"/>
      <w:r>
        <w:rPr>
          <w:rFonts w:ascii="宋体" w:hAnsi="宋体" w:hint="eastAsia"/>
          <w:color w:val="auto"/>
        </w:rPr>
        <w:t>区冲坡</w:t>
      </w:r>
      <w:proofErr w:type="gramStart"/>
      <w:r>
        <w:rPr>
          <w:rFonts w:ascii="宋体" w:hAnsi="宋体" w:hint="eastAsia"/>
          <w:color w:val="auto"/>
        </w:rPr>
        <w:t>哨</w:t>
      </w:r>
      <w:proofErr w:type="gramEnd"/>
    </w:p>
    <w:p w14:paraId="7F067BC1" w14:textId="77777777" w:rsidR="009219A0" w:rsidRDefault="00000000">
      <w:pPr>
        <w:topLinePunct/>
        <w:ind w:firstLine="560"/>
        <w:rPr>
          <w:rFonts w:ascii="宋体" w:hAnsi="宋体" w:hint="eastAsia"/>
          <w:color w:val="auto"/>
        </w:rPr>
      </w:pPr>
      <w:r>
        <w:rPr>
          <w:rFonts w:ascii="宋体" w:hAnsi="宋体" w:hint="eastAsia"/>
          <w:color w:val="auto"/>
        </w:rPr>
        <w:t>法定代表人：林祥</w:t>
      </w:r>
    </w:p>
    <w:p w14:paraId="36C68776" w14:textId="77777777" w:rsidR="009219A0" w:rsidRDefault="00000000">
      <w:pPr>
        <w:topLinePunct/>
        <w:ind w:firstLine="560"/>
        <w:rPr>
          <w:rFonts w:ascii="宋体" w:hAnsi="宋体" w:hint="eastAsia"/>
          <w:color w:val="auto"/>
        </w:rPr>
      </w:pPr>
      <w:r>
        <w:rPr>
          <w:rFonts w:ascii="宋体" w:hAnsi="宋体" w:hint="eastAsia"/>
          <w:color w:val="auto"/>
        </w:rPr>
        <w:t>类型：有限责任公司</w:t>
      </w:r>
    </w:p>
    <w:p w14:paraId="79478684" w14:textId="77777777" w:rsidR="009219A0" w:rsidRDefault="00000000">
      <w:pPr>
        <w:topLinePunct/>
        <w:ind w:firstLine="560"/>
        <w:rPr>
          <w:rFonts w:ascii="宋体" w:hAnsi="宋体" w:hint="eastAsia"/>
          <w:color w:val="auto"/>
        </w:rPr>
      </w:pPr>
      <w:r>
        <w:rPr>
          <w:rFonts w:ascii="宋体" w:hAnsi="宋体" w:hint="eastAsia"/>
          <w:color w:val="auto"/>
        </w:rPr>
        <w:t>统一社会信用代码：</w:t>
      </w:r>
      <w:r>
        <w:rPr>
          <w:rFonts w:ascii="宋体" w:hAnsi="宋体"/>
          <w:color w:val="auto"/>
        </w:rPr>
        <w:t>91532501688580815H</w:t>
      </w:r>
    </w:p>
    <w:p w14:paraId="48006F30" w14:textId="77777777" w:rsidR="009219A0" w:rsidRDefault="00000000">
      <w:pPr>
        <w:topLinePunct/>
        <w:ind w:firstLine="560"/>
        <w:rPr>
          <w:rFonts w:ascii="宋体" w:hAnsi="宋体" w:hint="eastAsia"/>
          <w:color w:val="auto"/>
        </w:rPr>
      </w:pPr>
      <w:r>
        <w:rPr>
          <w:rFonts w:ascii="宋体" w:hAnsi="宋体" w:hint="eastAsia"/>
          <w:color w:val="auto"/>
        </w:rPr>
        <w:t>成立日期：2009年05月31日</w:t>
      </w:r>
    </w:p>
    <w:p w14:paraId="53B65A61" w14:textId="77777777" w:rsidR="009219A0" w:rsidRDefault="00000000">
      <w:pPr>
        <w:topLinePunct/>
        <w:ind w:firstLine="560"/>
        <w:rPr>
          <w:rFonts w:ascii="宋体" w:hAnsi="宋体" w:hint="eastAsia"/>
          <w:color w:val="auto"/>
        </w:rPr>
      </w:pPr>
      <w:r>
        <w:rPr>
          <w:rFonts w:ascii="宋体" w:hAnsi="宋体" w:hint="eastAsia"/>
          <w:color w:val="auto"/>
        </w:rPr>
        <w:t>主要业务范围：有色金属矿产品、黑色金属矿产品、化工产品、建筑材料销售；有色金属、黑色金属资源综合利用及技术开发、技术咨询；硫酸生产、销售（依法须经批准的项目，经相关部门批准后方可开展经营活动）。</w:t>
      </w:r>
    </w:p>
    <w:p w14:paraId="15B62231" w14:textId="77777777" w:rsidR="009219A0" w:rsidRDefault="00000000">
      <w:pPr>
        <w:ind w:firstLine="560"/>
        <w:rPr>
          <w:color w:val="auto"/>
          <w:szCs w:val="28"/>
        </w:rPr>
      </w:pPr>
      <w:r>
        <w:rPr>
          <w:rFonts w:hint="eastAsia"/>
          <w:color w:val="auto"/>
          <w:szCs w:val="28"/>
        </w:rPr>
        <w:t>公司由来：</w:t>
      </w:r>
      <w:r>
        <w:rPr>
          <w:rFonts w:hint="eastAsia"/>
          <w:color w:val="auto"/>
          <w:szCs w:val="28"/>
        </w:rPr>
        <w:t>2005</w:t>
      </w:r>
      <w:r>
        <w:rPr>
          <w:rFonts w:hint="eastAsia"/>
          <w:color w:val="auto"/>
          <w:szCs w:val="28"/>
        </w:rPr>
        <w:t>年</w:t>
      </w:r>
      <w:r>
        <w:rPr>
          <w:rFonts w:hint="eastAsia"/>
          <w:color w:val="auto"/>
          <w:szCs w:val="28"/>
        </w:rPr>
        <w:t>11</w:t>
      </w:r>
      <w:r>
        <w:rPr>
          <w:rFonts w:hint="eastAsia"/>
          <w:color w:val="auto"/>
          <w:szCs w:val="28"/>
        </w:rPr>
        <w:t>月，个旧</w:t>
      </w:r>
      <w:proofErr w:type="gramStart"/>
      <w:r>
        <w:rPr>
          <w:rFonts w:hint="eastAsia"/>
          <w:color w:val="auto"/>
          <w:szCs w:val="28"/>
        </w:rPr>
        <w:t>市创源经贸</w:t>
      </w:r>
      <w:proofErr w:type="gramEnd"/>
      <w:r>
        <w:rPr>
          <w:rFonts w:hint="eastAsia"/>
          <w:color w:val="auto"/>
          <w:szCs w:val="28"/>
        </w:rPr>
        <w:t>有限公司注册成立（以下简称“个旧经贸”），主要从事铅冶炼及磷化工生产，硫酸是其重要原料之一。</w:t>
      </w:r>
      <w:r>
        <w:rPr>
          <w:rFonts w:hint="eastAsia"/>
          <w:color w:val="auto"/>
          <w:szCs w:val="28"/>
        </w:rPr>
        <w:t xml:space="preserve">2009 </w:t>
      </w:r>
      <w:r>
        <w:rPr>
          <w:rFonts w:hint="eastAsia"/>
          <w:color w:val="auto"/>
          <w:szCs w:val="28"/>
        </w:rPr>
        <w:t>年</w:t>
      </w:r>
      <w:r>
        <w:rPr>
          <w:rFonts w:hint="eastAsia"/>
          <w:color w:val="auto"/>
          <w:szCs w:val="28"/>
        </w:rPr>
        <w:t>5</w:t>
      </w:r>
      <w:r>
        <w:rPr>
          <w:rFonts w:hint="eastAsia"/>
          <w:color w:val="auto"/>
          <w:szCs w:val="28"/>
        </w:rPr>
        <w:t>月</w:t>
      </w:r>
      <w:r>
        <w:rPr>
          <w:rFonts w:hint="eastAsia"/>
          <w:color w:val="auto"/>
          <w:szCs w:val="28"/>
        </w:rPr>
        <w:t>31</w:t>
      </w:r>
      <w:r>
        <w:rPr>
          <w:rFonts w:hint="eastAsia"/>
          <w:color w:val="auto"/>
          <w:szCs w:val="28"/>
        </w:rPr>
        <w:t>日，</w:t>
      </w:r>
      <w:proofErr w:type="gramStart"/>
      <w:r>
        <w:rPr>
          <w:rFonts w:hint="eastAsia"/>
          <w:color w:val="auto"/>
          <w:szCs w:val="28"/>
        </w:rPr>
        <w:t>创源经贸</w:t>
      </w:r>
      <w:proofErr w:type="gramEnd"/>
      <w:r>
        <w:rPr>
          <w:rFonts w:hint="eastAsia"/>
          <w:color w:val="auto"/>
          <w:szCs w:val="28"/>
        </w:rPr>
        <w:t>重组成立个旧</w:t>
      </w:r>
      <w:proofErr w:type="gramStart"/>
      <w:r>
        <w:rPr>
          <w:rFonts w:hint="eastAsia"/>
          <w:color w:val="auto"/>
          <w:szCs w:val="28"/>
        </w:rPr>
        <w:t>市创源科技</w:t>
      </w:r>
      <w:proofErr w:type="gramEnd"/>
      <w:r>
        <w:rPr>
          <w:rFonts w:hint="eastAsia"/>
          <w:color w:val="auto"/>
          <w:szCs w:val="28"/>
        </w:rPr>
        <w:t>有限公司（以下简称“创源公司”）。</w:t>
      </w:r>
      <w:proofErr w:type="gramStart"/>
      <w:r>
        <w:rPr>
          <w:rFonts w:hint="eastAsia"/>
          <w:color w:val="auto"/>
          <w:szCs w:val="28"/>
        </w:rPr>
        <w:t>创源公司</w:t>
      </w:r>
      <w:proofErr w:type="gramEnd"/>
      <w:r>
        <w:rPr>
          <w:rFonts w:hint="eastAsia"/>
          <w:color w:val="auto"/>
          <w:szCs w:val="28"/>
        </w:rPr>
        <w:t>是由个旧</w:t>
      </w:r>
      <w:proofErr w:type="gramStart"/>
      <w:r>
        <w:rPr>
          <w:rFonts w:hint="eastAsia"/>
          <w:color w:val="auto"/>
          <w:szCs w:val="28"/>
        </w:rPr>
        <w:t>市创源经贸</w:t>
      </w:r>
      <w:proofErr w:type="gramEnd"/>
      <w:r>
        <w:rPr>
          <w:rFonts w:hint="eastAsia"/>
          <w:color w:val="auto"/>
          <w:szCs w:val="28"/>
        </w:rPr>
        <w:t>有限公司、云南锡业集团（控股）有限公司和个旧市信拓有色金属经贸有限公司，共同组建的股份制公司。云南锡业集团（控股）有限公司占</w:t>
      </w:r>
      <w:r>
        <w:rPr>
          <w:rFonts w:hint="eastAsia"/>
          <w:color w:val="auto"/>
          <w:szCs w:val="28"/>
        </w:rPr>
        <w:t>33%</w:t>
      </w:r>
      <w:r>
        <w:rPr>
          <w:rFonts w:hint="eastAsia"/>
          <w:color w:val="auto"/>
          <w:szCs w:val="28"/>
        </w:rPr>
        <w:t>，个旧市信拓有色金属经贸有限公司占</w:t>
      </w:r>
      <w:r>
        <w:rPr>
          <w:rFonts w:hint="eastAsia"/>
          <w:color w:val="auto"/>
          <w:szCs w:val="28"/>
        </w:rPr>
        <w:t>22%</w:t>
      </w:r>
      <w:r>
        <w:rPr>
          <w:rFonts w:hint="eastAsia"/>
          <w:color w:val="auto"/>
          <w:szCs w:val="28"/>
        </w:rPr>
        <w:t>。</w:t>
      </w:r>
      <w:proofErr w:type="gramStart"/>
      <w:r>
        <w:rPr>
          <w:rFonts w:hint="eastAsia"/>
          <w:color w:val="auto"/>
          <w:szCs w:val="28"/>
        </w:rPr>
        <w:t>创源公司</w:t>
      </w:r>
      <w:proofErr w:type="gramEnd"/>
      <w:r>
        <w:rPr>
          <w:rFonts w:hint="eastAsia"/>
          <w:color w:val="auto"/>
          <w:szCs w:val="28"/>
        </w:rPr>
        <w:t>注册资本</w:t>
      </w:r>
      <w:r>
        <w:rPr>
          <w:rFonts w:hint="eastAsia"/>
          <w:color w:val="auto"/>
          <w:szCs w:val="28"/>
        </w:rPr>
        <w:t xml:space="preserve"> 3000</w:t>
      </w:r>
      <w:r>
        <w:rPr>
          <w:rFonts w:hint="eastAsia"/>
          <w:color w:val="auto"/>
          <w:szCs w:val="28"/>
        </w:rPr>
        <w:t>万元。现有员工</w:t>
      </w:r>
      <w:r>
        <w:rPr>
          <w:rFonts w:hint="eastAsia"/>
          <w:color w:val="auto"/>
          <w:szCs w:val="28"/>
        </w:rPr>
        <w:t>300</w:t>
      </w:r>
      <w:r>
        <w:rPr>
          <w:rFonts w:hint="eastAsia"/>
          <w:color w:val="auto"/>
          <w:szCs w:val="28"/>
        </w:rPr>
        <w:t>人，各类专业技术人员</w:t>
      </w:r>
      <w:r>
        <w:rPr>
          <w:rFonts w:hint="eastAsia"/>
          <w:color w:val="auto"/>
          <w:szCs w:val="28"/>
        </w:rPr>
        <w:t>10</w:t>
      </w:r>
      <w:r>
        <w:rPr>
          <w:rFonts w:hint="eastAsia"/>
          <w:color w:val="auto"/>
          <w:szCs w:val="28"/>
        </w:rPr>
        <w:t>人，其中高级职称</w:t>
      </w:r>
      <w:r>
        <w:rPr>
          <w:rFonts w:hint="eastAsia"/>
          <w:color w:val="auto"/>
          <w:szCs w:val="28"/>
        </w:rPr>
        <w:t>1</w:t>
      </w:r>
      <w:r>
        <w:rPr>
          <w:rFonts w:hint="eastAsia"/>
          <w:color w:val="auto"/>
          <w:szCs w:val="28"/>
        </w:rPr>
        <w:t>人，中级职称</w:t>
      </w:r>
      <w:r>
        <w:rPr>
          <w:rFonts w:hint="eastAsia"/>
          <w:color w:val="auto"/>
          <w:szCs w:val="28"/>
        </w:rPr>
        <w:t>6</w:t>
      </w:r>
      <w:r>
        <w:rPr>
          <w:rFonts w:hint="eastAsia"/>
          <w:color w:val="auto"/>
          <w:szCs w:val="28"/>
        </w:rPr>
        <w:t>人，拥有总资产</w:t>
      </w:r>
      <w:r>
        <w:rPr>
          <w:rFonts w:hint="eastAsia"/>
          <w:color w:val="auto"/>
          <w:szCs w:val="28"/>
        </w:rPr>
        <w:t xml:space="preserve"> 2.3 </w:t>
      </w:r>
      <w:r>
        <w:rPr>
          <w:rFonts w:hint="eastAsia"/>
          <w:color w:val="auto"/>
          <w:szCs w:val="28"/>
        </w:rPr>
        <w:t>亿元，地址位于云南省红河州云南个旧产业园区沙</w:t>
      </w:r>
      <w:proofErr w:type="gramStart"/>
      <w:r>
        <w:rPr>
          <w:rFonts w:hint="eastAsia"/>
          <w:color w:val="auto"/>
          <w:szCs w:val="28"/>
        </w:rPr>
        <w:t>甸</w:t>
      </w:r>
      <w:proofErr w:type="gramEnd"/>
      <w:r>
        <w:rPr>
          <w:rFonts w:hint="eastAsia"/>
          <w:color w:val="auto"/>
          <w:szCs w:val="28"/>
        </w:rPr>
        <w:t>片区。</w:t>
      </w:r>
    </w:p>
    <w:p w14:paraId="074A7B4F" w14:textId="77777777" w:rsidR="009219A0" w:rsidRDefault="00000000">
      <w:pPr>
        <w:pStyle w:val="2"/>
        <w:rPr>
          <w:rFonts w:hint="eastAsia"/>
        </w:rPr>
      </w:pPr>
      <w:bookmarkStart w:id="56" w:name="_Toc211950402"/>
      <w:bookmarkStart w:id="57" w:name="_Toc165281434"/>
      <w:r>
        <w:rPr>
          <w:rFonts w:hint="eastAsia"/>
        </w:rPr>
        <w:t>2.</w:t>
      </w:r>
      <w:r>
        <w:t xml:space="preserve">2 </w:t>
      </w:r>
      <w:r>
        <w:rPr>
          <w:rFonts w:hint="eastAsia"/>
        </w:rPr>
        <w:t>建设项目概况</w:t>
      </w:r>
      <w:bookmarkEnd w:id="56"/>
      <w:bookmarkEnd w:id="57"/>
    </w:p>
    <w:p w14:paraId="4F694071" w14:textId="77777777" w:rsidR="009219A0" w:rsidRDefault="00000000">
      <w:pPr>
        <w:pStyle w:val="3"/>
        <w:rPr>
          <w:rFonts w:hint="eastAsia"/>
        </w:rPr>
      </w:pPr>
      <w:bookmarkStart w:id="58" w:name="_Toc211950403"/>
      <w:r>
        <w:t>2.</w:t>
      </w:r>
      <w:r>
        <w:rPr>
          <w:rFonts w:hint="eastAsia"/>
        </w:rPr>
        <w:t>2</w:t>
      </w:r>
      <w:r>
        <w:t xml:space="preserve">.1 </w:t>
      </w:r>
      <w:r>
        <w:rPr>
          <w:rFonts w:hint="eastAsia"/>
        </w:rPr>
        <w:t>项目建设</w:t>
      </w:r>
      <w:r>
        <w:t>概况</w:t>
      </w:r>
      <w:bookmarkEnd w:id="58"/>
    </w:p>
    <w:p w14:paraId="13DA187A" w14:textId="77777777" w:rsidR="009219A0" w:rsidRDefault="00000000">
      <w:pPr>
        <w:ind w:firstLine="560"/>
        <w:rPr>
          <w:color w:val="auto"/>
          <w:szCs w:val="28"/>
        </w:rPr>
      </w:pPr>
      <w:r>
        <w:rPr>
          <w:rFonts w:ascii="宋体" w:hAnsi="宋体" w:hint="eastAsia"/>
          <w:color w:val="auto"/>
        </w:rPr>
        <w:t>1.</w:t>
      </w:r>
      <w:r>
        <w:rPr>
          <w:rFonts w:hint="eastAsia"/>
          <w:color w:val="auto"/>
        </w:rPr>
        <w:t xml:space="preserve"> </w:t>
      </w:r>
      <w:r>
        <w:rPr>
          <w:rFonts w:hint="eastAsia"/>
          <w:color w:val="auto"/>
          <w:szCs w:val="28"/>
        </w:rPr>
        <w:t xml:space="preserve">2019 </w:t>
      </w:r>
      <w:r>
        <w:rPr>
          <w:rFonts w:hint="eastAsia"/>
          <w:color w:val="auto"/>
          <w:szCs w:val="28"/>
        </w:rPr>
        <w:t>年</w:t>
      </w:r>
      <w:r>
        <w:rPr>
          <w:rFonts w:hint="eastAsia"/>
          <w:color w:val="auto"/>
          <w:szCs w:val="28"/>
        </w:rPr>
        <w:t xml:space="preserve"> 8 </w:t>
      </w:r>
      <w:r>
        <w:rPr>
          <w:rFonts w:hint="eastAsia"/>
          <w:color w:val="auto"/>
          <w:szCs w:val="28"/>
        </w:rPr>
        <w:t>月中旬，个旧</w:t>
      </w:r>
      <w:proofErr w:type="gramStart"/>
      <w:r>
        <w:rPr>
          <w:rFonts w:hint="eastAsia"/>
          <w:color w:val="auto"/>
          <w:szCs w:val="28"/>
        </w:rPr>
        <w:t>市创源科技</w:t>
      </w:r>
      <w:proofErr w:type="gramEnd"/>
      <w:r>
        <w:rPr>
          <w:rFonts w:hint="eastAsia"/>
          <w:color w:val="auto"/>
          <w:szCs w:val="28"/>
        </w:rPr>
        <w:t>有限公司在原有厂区污水处理</w:t>
      </w:r>
      <w:r>
        <w:rPr>
          <w:rFonts w:hint="eastAsia"/>
          <w:color w:val="auto"/>
          <w:szCs w:val="28"/>
        </w:rPr>
        <w:lastRenderedPageBreak/>
        <w:t>站北侧建设铁粉中和净化水及尾气吸收参数考察中试装置项目。该项目属于未批先建，红河州生态环境局于</w:t>
      </w:r>
      <w:r>
        <w:rPr>
          <w:rFonts w:hint="eastAsia"/>
          <w:color w:val="auto"/>
          <w:szCs w:val="28"/>
        </w:rPr>
        <w:t xml:space="preserve"> 2019</w:t>
      </w:r>
      <w:r>
        <w:rPr>
          <w:rFonts w:hint="eastAsia"/>
          <w:color w:val="auto"/>
          <w:szCs w:val="28"/>
        </w:rPr>
        <w:t>年</w:t>
      </w:r>
      <w:r>
        <w:rPr>
          <w:rFonts w:hint="eastAsia"/>
          <w:color w:val="auto"/>
          <w:szCs w:val="28"/>
        </w:rPr>
        <w:t>11</w:t>
      </w:r>
      <w:r>
        <w:rPr>
          <w:rFonts w:hint="eastAsia"/>
          <w:color w:val="auto"/>
          <w:szCs w:val="28"/>
        </w:rPr>
        <w:t>月</w:t>
      </w:r>
      <w:r>
        <w:rPr>
          <w:rFonts w:hint="eastAsia"/>
          <w:color w:val="auto"/>
          <w:szCs w:val="28"/>
        </w:rPr>
        <w:t>26</w:t>
      </w:r>
      <w:r>
        <w:rPr>
          <w:rFonts w:hint="eastAsia"/>
          <w:color w:val="auto"/>
          <w:szCs w:val="28"/>
        </w:rPr>
        <w:t>日对该项目进行处罚，因此，</w:t>
      </w:r>
      <w:r>
        <w:rPr>
          <w:rFonts w:hint="eastAsia"/>
          <w:color w:val="auto"/>
          <w:szCs w:val="28"/>
        </w:rPr>
        <w:t>2019</w:t>
      </w:r>
      <w:r>
        <w:rPr>
          <w:rFonts w:hint="eastAsia"/>
          <w:color w:val="auto"/>
          <w:szCs w:val="28"/>
        </w:rPr>
        <w:t>年</w:t>
      </w:r>
      <w:r>
        <w:rPr>
          <w:rFonts w:hint="eastAsia"/>
          <w:color w:val="auto"/>
          <w:szCs w:val="28"/>
        </w:rPr>
        <w:t>11</w:t>
      </w:r>
      <w:r>
        <w:rPr>
          <w:rFonts w:hint="eastAsia"/>
          <w:color w:val="auto"/>
          <w:szCs w:val="28"/>
        </w:rPr>
        <w:t>月建设单位委托广西</w:t>
      </w:r>
      <w:proofErr w:type="gramStart"/>
      <w:r>
        <w:rPr>
          <w:rFonts w:hint="eastAsia"/>
          <w:color w:val="auto"/>
          <w:szCs w:val="28"/>
        </w:rPr>
        <w:t>博环环境</w:t>
      </w:r>
      <w:proofErr w:type="gramEnd"/>
      <w:r>
        <w:rPr>
          <w:rFonts w:hint="eastAsia"/>
          <w:color w:val="auto"/>
          <w:szCs w:val="28"/>
        </w:rPr>
        <w:t>咨询服务有限公司编制完成了《铁粉中和净化水及尾气吸收参数考察中试装置项目环境影响报告表》，并于</w:t>
      </w:r>
      <w:r>
        <w:rPr>
          <w:rFonts w:hint="eastAsia"/>
          <w:color w:val="auto"/>
          <w:szCs w:val="28"/>
        </w:rPr>
        <w:t>2020</w:t>
      </w:r>
      <w:r>
        <w:rPr>
          <w:rFonts w:hint="eastAsia"/>
          <w:color w:val="auto"/>
          <w:szCs w:val="28"/>
        </w:rPr>
        <w:t>年</w:t>
      </w:r>
      <w:r>
        <w:rPr>
          <w:rFonts w:hint="eastAsia"/>
          <w:color w:val="auto"/>
          <w:szCs w:val="28"/>
        </w:rPr>
        <w:t>1</w:t>
      </w:r>
      <w:r>
        <w:rPr>
          <w:rFonts w:hint="eastAsia"/>
          <w:color w:val="auto"/>
          <w:szCs w:val="28"/>
        </w:rPr>
        <w:t>月</w:t>
      </w:r>
      <w:r>
        <w:rPr>
          <w:rFonts w:hint="eastAsia"/>
          <w:color w:val="auto"/>
          <w:szCs w:val="28"/>
        </w:rPr>
        <w:t>15</w:t>
      </w:r>
      <w:r>
        <w:rPr>
          <w:rFonts w:hint="eastAsia"/>
          <w:color w:val="auto"/>
          <w:szCs w:val="28"/>
        </w:rPr>
        <w:t>日取得了批复（</w:t>
      </w:r>
      <w:proofErr w:type="gramStart"/>
      <w:r>
        <w:rPr>
          <w:rFonts w:hint="eastAsia"/>
          <w:color w:val="auto"/>
          <w:szCs w:val="28"/>
        </w:rPr>
        <w:t>红环审</w:t>
      </w:r>
      <w:proofErr w:type="gramEnd"/>
      <w:r>
        <w:rPr>
          <w:rFonts w:hint="eastAsia"/>
          <w:color w:val="auto"/>
          <w:szCs w:val="28"/>
        </w:rPr>
        <w:t xml:space="preserve">[2020]6 </w:t>
      </w:r>
      <w:r>
        <w:rPr>
          <w:rFonts w:hint="eastAsia"/>
          <w:color w:val="auto"/>
          <w:szCs w:val="28"/>
        </w:rPr>
        <w:t>号）。该项目取得批复后，由于市场原因，未进行验收，未投产运营。该项目已建成</w:t>
      </w:r>
      <w:r>
        <w:rPr>
          <w:rFonts w:hint="eastAsia"/>
          <w:color w:val="auto"/>
          <w:szCs w:val="28"/>
        </w:rPr>
        <w:t>1</w:t>
      </w:r>
      <w:r>
        <w:rPr>
          <w:rFonts w:hint="eastAsia"/>
          <w:color w:val="auto"/>
          <w:szCs w:val="28"/>
        </w:rPr>
        <w:t>个</w:t>
      </w:r>
      <w:r>
        <w:rPr>
          <w:rFonts w:hint="eastAsia"/>
          <w:color w:val="auto"/>
          <w:szCs w:val="28"/>
        </w:rPr>
        <w:t xml:space="preserve"> 300m</w:t>
      </w:r>
      <w:r>
        <w:rPr>
          <w:rFonts w:hint="eastAsia"/>
          <w:color w:val="auto"/>
          <w:szCs w:val="28"/>
          <w:vertAlign w:val="superscript"/>
        </w:rPr>
        <w:t>2</w:t>
      </w:r>
      <w:r>
        <w:rPr>
          <w:rFonts w:hint="eastAsia"/>
          <w:color w:val="auto"/>
          <w:szCs w:val="28"/>
        </w:rPr>
        <w:t xml:space="preserve"> </w:t>
      </w:r>
      <w:r>
        <w:rPr>
          <w:rFonts w:hint="eastAsia"/>
          <w:color w:val="auto"/>
          <w:szCs w:val="28"/>
        </w:rPr>
        <w:t>的中试车间，</w:t>
      </w:r>
      <w:r>
        <w:rPr>
          <w:rFonts w:hint="eastAsia"/>
          <w:color w:val="auto"/>
          <w:szCs w:val="28"/>
        </w:rPr>
        <w:t>4</w:t>
      </w:r>
      <w:r>
        <w:rPr>
          <w:rFonts w:hint="eastAsia"/>
          <w:color w:val="auto"/>
          <w:szCs w:val="28"/>
        </w:rPr>
        <w:t>座</w:t>
      </w:r>
      <w:r>
        <w:rPr>
          <w:rFonts w:hint="eastAsia"/>
          <w:color w:val="auto"/>
          <w:szCs w:val="28"/>
        </w:rPr>
        <w:t xml:space="preserve"> 50m</w:t>
      </w:r>
      <w:r>
        <w:rPr>
          <w:rFonts w:hint="eastAsia"/>
          <w:color w:val="auto"/>
          <w:szCs w:val="28"/>
          <w:vertAlign w:val="superscript"/>
        </w:rPr>
        <w:t>3</w:t>
      </w:r>
      <w:r>
        <w:rPr>
          <w:rFonts w:hint="eastAsia"/>
          <w:color w:val="auto"/>
          <w:szCs w:val="28"/>
        </w:rPr>
        <w:t>的吸收循环槽，以及圆盘给料机、</w:t>
      </w:r>
      <w:r>
        <w:rPr>
          <w:rFonts w:hint="eastAsia"/>
          <w:color w:val="auto"/>
          <w:szCs w:val="28"/>
        </w:rPr>
        <w:t xml:space="preserve">2 </w:t>
      </w:r>
      <w:r>
        <w:rPr>
          <w:rFonts w:hint="eastAsia"/>
          <w:color w:val="auto"/>
          <w:szCs w:val="28"/>
        </w:rPr>
        <w:t>套皮带输送系统、真空过滤机、真空泵等设备。</w:t>
      </w:r>
    </w:p>
    <w:p w14:paraId="30E9C99A" w14:textId="77777777" w:rsidR="009219A0" w:rsidRDefault="00000000">
      <w:pPr>
        <w:ind w:firstLine="560"/>
        <w:rPr>
          <w:color w:val="auto"/>
          <w:szCs w:val="28"/>
        </w:rPr>
      </w:pPr>
      <w:r>
        <w:rPr>
          <w:rFonts w:hint="eastAsia"/>
          <w:color w:val="auto"/>
          <w:szCs w:val="28"/>
        </w:rPr>
        <w:t>2022</w:t>
      </w:r>
      <w:r>
        <w:rPr>
          <w:rFonts w:hint="eastAsia"/>
          <w:color w:val="auto"/>
          <w:szCs w:val="28"/>
        </w:rPr>
        <w:t>年</w:t>
      </w:r>
      <w:r>
        <w:rPr>
          <w:rFonts w:hint="eastAsia"/>
          <w:color w:val="auto"/>
          <w:szCs w:val="28"/>
        </w:rPr>
        <w:t>8</w:t>
      </w:r>
      <w:r>
        <w:rPr>
          <w:rFonts w:hint="eastAsia"/>
          <w:color w:val="auto"/>
          <w:szCs w:val="28"/>
        </w:rPr>
        <w:t>月，为能增加</w:t>
      </w:r>
      <w:proofErr w:type="gramStart"/>
      <w:r>
        <w:rPr>
          <w:rFonts w:hint="eastAsia"/>
          <w:color w:val="auto"/>
          <w:szCs w:val="28"/>
        </w:rPr>
        <w:t>铁团原料</w:t>
      </w:r>
      <w:proofErr w:type="gramEnd"/>
      <w:r>
        <w:rPr>
          <w:rFonts w:hint="eastAsia"/>
          <w:color w:val="auto"/>
          <w:szCs w:val="28"/>
        </w:rPr>
        <w:t>，公司提出将省内杂质高的铁粉的杂质，如锌、砷、铜等脱出后，并入到公司铁粉制铁团，以此来提高</w:t>
      </w:r>
      <w:proofErr w:type="gramStart"/>
      <w:r>
        <w:rPr>
          <w:rFonts w:hint="eastAsia"/>
          <w:color w:val="auto"/>
          <w:szCs w:val="28"/>
        </w:rPr>
        <w:t>创源公司铁团产量</w:t>
      </w:r>
      <w:proofErr w:type="gramEnd"/>
      <w:r>
        <w:rPr>
          <w:rFonts w:hint="eastAsia"/>
          <w:color w:val="auto"/>
          <w:szCs w:val="28"/>
        </w:rPr>
        <w:t>以及原料来源，因此，公司提出在中试车间进行</w:t>
      </w:r>
      <w:proofErr w:type="gramStart"/>
      <w:r>
        <w:rPr>
          <w:rFonts w:hint="eastAsia"/>
          <w:color w:val="auto"/>
          <w:szCs w:val="28"/>
        </w:rPr>
        <w:t>铁粉脱杂的</w:t>
      </w:r>
      <w:proofErr w:type="gramEnd"/>
      <w:r>
        <w:rPr>
          <w:rFonts w:hint="eastAsia"/>
          <w:color w:val="auto"/>
          <w:szCs w:val="28"/>
        </w:rPr>
        <w:t>中试实验。此外，</w:t>
      </w:r>
      <w:proofErr w:type="gramStart"/>
      <w:r>
        <w:rPr>
          <w:rFonts w:hint="eastAsia"/>
          <w:color w:val="auto"/>
          <w:szCs w:val="28"/>
        </w:rPr>
        <w:t>创源公司</w:t>
      </w:r>
      <w:proofErr w:type="gramEnd"/>
      <w:r>
        <w:rPr>
          <w:rFonts w:hint="eastAsia"/>
          <w:color w:val="auto"/>
          <w:szCs w:val="28"/>
        </w:rPr>
        <w:t>购买的硫铁矿中砷、锌等杂质含量较高，公司每年必须购买大量的优质或价格较高的硫精矿来配制，增加了原料成本，利润空间大幅度降低，因此为解决硫铁矿中砷、锌、铜等含量高的问题，公司提出在中试车间进行硫铁矿脱砷的中试实验。经过中试</w:t>
      </w:r>
      <w:proofErr w:type="gramStart"/>
      <w:r>
        <w:rPr>
          <w:rFonts w:hint="eastAsia"/>
          <w:color w:val="auto"/>
          <w:szCs w:val="28"/>
        </w:rPr>
        <w:t>实验脱杂脱砷</w:t>
      </w:r>
      <w:proofErr w:type="gramEnd"/>
      <w:r>
        <w:rPr>
          <w:rFonts w:hint="eastAsia"/>
          <w:color w:val="auto"/>
          <w:szCs w:val="28"/>
        </w:rPr>
        <w:t>处理后的铁粉和硫铁矿与公司购买的优质硫铁矿进行配比后</w:t>
      </w:r>
      <w:proofErr w:type="gramStart"/>
      <w:r>
        <w:rPr>
          <w:rFonts w:hint="eastAsia"/>
          <w:color w:val="auto"/>
          <w:szCs w:val="28"/>
        </w:rPr>
        <w:t>进入创源公司</w:t>
      </w:r>
      <w:proofErr w:type="gramEnd"/>
      <w:r>
        <w:rPr>
          <w:rFonts w:hint="eastAsia"/>
          <w:color w:val="auto"/>
          <w:szCs w:val="28"/>
        </w:rPr>
        <w:t>硫铁矿制酸系统，为公司提供了原料来源。综合考虑后，个旧</w:t>
      </w:r>
      <w:proofErr w:type="gramStart"/>
      <w:r>
        <w:rPr>
          <w:rFonts w:hint="eastAsia"/>
          <w:color w:val="auto"/>
          <w:szCs w:val="28"/>
        </w:rPr>
        <w:t>市创源科技</w:t>
      </w:r>
      <w:proofErr w:type="gramEnd"/>
      <w:r>
        <w:rPr>
          <w:rFonts w:hint="eastAsia"/>
          <w:color w:val="auto"/>
          <w:szCs w:val="28"/>
        </w:rPr>
        <w:t>有限公司决定扩大中试车间面积至</w:t>
      </w:r>
      <w:r>
        <w:rPr>
          <w:rFonts w:hint="eastAsia"/>
          <w:color w:val="auto"/>
          <w:szCs w:val="28"/>
        </w:rPr>
        <w:t xml:space="preserve"> 6500m</w:t>
      </w:r>
      <w:r>
        <w:rPr>
          <w:rFonts w:hint="eastAsia"/>
          <w:color w:val="auto"/>
          <w:szCs w:val="28"/>
          <w:vertAlign w:val="superscript"/>
        </w:rPr>
        <w:t>2</w:t>
      </w:r>
      <w:r>
        <w:rPr>
          <w:rFonts w:hint="eastAsia"/>
          <w:color w:val="auto"/>
          <w:szCs w:val="28"/>
        </w:rPr>
        <w:t>，新增中试设备（</w:t>
      </w:r>
      <w:r>
        <w:rPr>
          <w:rFonts w:hint="eastAsia"/>
          <w:color w:val="auto"/>
          <w:szCs w:val="28"/>
        </w:rPr>
        <w:t>1</w:t>
      </w:r>
      <w:r>
        <w:rPr>
          <w:rFonts w:hint="eastAsia"/>
          <w:color w:val="auto"/>
          <w:szCs w:val="28"/>
        </w:rPr>
        <w:t>个</w:t>
      </w:r>
      <w:r>
        <w:rPr>
          <w:rFonts w:hint="eastAsia"/>
          <w:color w:val="auto"/>
          <w:szCs w:val="28"/>
        </w:rPr>
        <w:t>6m</w:t>
      </w:r>
      <w:r>
        <w:rPr>
          <w:rFonts w:hint="eastAsia"/>
          <w:color w:val="auto"/>
          <w:szCs w:val="28"/>
          <w:vertAlign w:val="superscript"/>
        </w:rPr>
        <w:t>3</w:t>
      </w:r>
      <w:r>
        <w:rPr>
          <w:rFonts w:hint="eastAsia"/>
          <w:color w:val="auto"/>
          <w:szCs w:val="28"/>
        </w:rPr>
        <w:t xml:space="preserve"> </w:t>
      </w:r>
      <w:r>
        <w:rPr>
          <w:rFonts w:hint="eastAsia"/>
          <w:color w:val="auto"/>
          <w:szCs w:val="28"/>
        </w:rPr>
        <w:t>盐酸计量槽、</w:t>
      </w:r>
      <w:r>
        <w:rPr>
          <w:rFonts w:hint="eastAsia"/>
          <w:color w:val="auto"/>
          <w:szCs w:val="28"/>
        </w:rPr>
        <w:t>1</w:t>
      </w:r>
      <w:r>
        <w:rPr>
          <w:rFonts w:hint="eastAsia"/>
          <w:color w:val="auto"/>
          <w:szCs w:val="28"/>
        </w:rPr>
        <w:t>个</w:t>
      </w:r>
      <w:r>
        <w:rPr>
          <w:rFonts w:hint="eastAsia"/>
          <w:color w:val="auto"/>
          <w:szCs w:val="28"/>
        </w:rPr>
        <w:t>15m</w:t>
      </w:r>
      <w:r>
        <w:rPr>
          <w:rFonts w:hint="eastAsia"/>
          <w:color w:val="auto"/>
          <w:szCs w:val="28"/>
          <w:vertAlign w:val="superscript"/>
        </w:rPr>
        <w:t>3</w:t>
      </w:r>
      <w:r>
        <w:rPr>
          <w:rFonts w:hint="eastAsia"/>
          <w:color w:val="auto"/>
          <w:szCs w:val="28"/>
        </w:rPr>
        <w:t xml:space="preserve"> </w:t>
      </w:r>
      <w:r>
        <w:rPr>
          <w:rFonts w:hint="eastAsia"/>
          <w:color w:val="auto"/>
          <w:szCs w:val="28"/>
        </w:rPr>
        <w:t>的硫酸储罐、</w:t>
      </w:r>
      <w:r>
        <w:rPr>
          <w:rFonts w:hint="eastAsia"/>
          <w:color w:val="auto"/>
          <w:szCs w:val="28"/>
        </w:rPr>
        <w:t>1</w:t>
      </w:r>
      <w:r>
        <w:rPr>
          <w:rFonts w:hint="eastAsia"/>
          <w:color w:val="auto"/>
          <w:szCs w:val="28"/>
        </w:rPr>
        <w:t>个</w:t>
      </w:r>
      <w:r>
        <w:rPr>
          <w:rFonts w:hint="eastAsia"/>
          <w:color w:val="auto"/>
          <w:szCs w:val="28"/>
        </w:rPr>
        <w:t>60m</w:t>
      </w:r>
      <w:r>
        <w:rPr>
          <w:rFonts w:hint="eastAsia"/>
          <w:color w:val="auto"/>
          <w:szCs w:val="28"/>
          <w:vertAlign w:val="superscript"/>
        </w:rPr>
        <w:t>3</w:t>
      </w:r>
      <w:r>
        <w:rPr>
          <w:rFonts w:hint="eastAsia"/>
          <w:color w:val="auto"/>
          <w:szCs w:val="28"/>
        </w:rPr>
        <w:t>的氧化槽），新增中试原料（硫铁矿、盐酸、氯化钠等）。</w:t>
      </w:r>
    </w:p>
    <w:p w14:paraId="13E7E527" w14:textId="77777777" w:rsidR="009219A0" w:rsidRDefault="00000000">
      <w:pPr>
        <w:ind w:firstLine="560"/>
      </w:pPr>
      <w:proofErr w:type="gramStart"/>
      <w:r>
        <w:rPr>
          <w:rFonts w:hint="eastAsia"/>
          <w:color w:val="auto"/>
          <w:szCs w:val="28"/>
        </w:rPr>
        <w:t>创源公司</w:t>
      </w:r>
      <w:proofErr w:type="gramEnd"/>
      <w:r>
        <w:rPr>
          <w:rFonts w:hint="eastAsia"/>
          <w:color w:val="auto"/>
          <w:szCs w:val="28"/>
        </w:rPr>
        <w:t>于</w:t>
      </w:r>
      <w:r>
        <w:rPr>
          <w:rFonts w:hint="eastAsia"/>
          <w:color w:val="auto"/>
          <w:szCs w:val="28"/>
        </w:rPr>
        <w:t>2022</w:t>
      </w:r>
      <w:r>
        <w:rPr>
          <w:rFonts w:hint="eastAsia"/>
          <w:color w:val="auto"/>
          <w:szCs w:val="28"/>
        </w:rPr>
        <w:t>年</w:t>
      </w:r>
      <w:r>
        <w:rPr>
          <w:rFonts w:hint="eastAsia"/>
          <w:color w:val="auto"/>
          <w:szCs w:val="28"/>
        </w:rPr>
        <w:t>7</w:t>
      </w:r>
      <w:r>
        <w:rPr>
          <w:rFonts w:hint="eastAsia"/>
          <w:color w:val="auto"/>
          <w:szCs w:val="28"/>
        </w:rPr>
        <w:t>月</w:t>
      </w:r>
      <w:r>
        <w:rPr>
          <w:rFonts w:hint="eastAsia"/>
          <w:color w:val="auto"/>
          <w:szCs w:val="28"/>
        </w:rPr>
        <w:t>19</w:t>
      </w:r>
      <w:r>
        <w:rPr>
          <w:rFonts w:hint="eastAsia"/>
          <w:color w:val="auto"/>
          <w:szCs w:val="28"/>
        </w:rPr>
        <w:t>日在个旧市发展和</w:t>
      </w:r>
      <w:proofErr w:type="gramStart"/>
      <w:r>
        <w:rPr>
          <w:rFonts w:hint="eastAsia"/>
          <w:color w:val="auto"/>
          <w:szCs w:val="28"/>
        </w:rPr>
        <w:t>改革局</w:t>
      </w:r>
      <w:proofErr w:type="gramEnd"/>
      <w:r>
        <w:rPr>
          <w:rFonts w:hint="eastAsia"/>
          <w:color w:val="auto"/>
          <w:szCs w:val="28"/>
        </w:rPr>
        <w:t>进行了重新备案，（备案项目编码为：</w:t>
      </w:r>
      <w:r>
        <w:rPr>
          <w:rFonts w:hint="eastAsia"/>
          <w:color w:val="auto"/>
          <w:szCs w:val="28"/>
        </w:rPr>
        <w:t>2207-532501-04-01-574018</w:t>
      </w:r>
      <w:r>
        <w:rPr>
          <w:rFonts w:hint="eastAsia"/>
          <w:color w:val="auto"/>
          <w:szCs w:val="28"/>
        </w:rPr>
        <w:t>），项目名称：个旧</w:t>
      </w:r>
      <w:proofErr w:type="gramStart"/>
      <w:r>
        <w:rPr>
          <w:rFonts w:hint="eastAsia"/>
          <w:color w:val="auto"/>
          <w:szCs w:val="28"/>
        </w:rPr>
        <w:t>市创源科技</w:t>
      </w:r>
      <w:proofErr w:type="gramEnd"/>
      <w:r>
        <w:rPr>
          <w:rFonts w:hint="eastAsia"/>
          <w:color w:val="auto"/>
          <w:szCs w:val="28"/>
        </w:rPr>
        <w:t>有限公司新建实验与研究开发中心及实验基地工程建设项目。</w:t>
      </w:r>
    </w:p>
    <w:p w14:paraId="424EB23B" w14:textId="77777777" w:rsidR="009219A0" w:rsidRDefault="00000000">
      <w:pPr>
        <w:ind w:firstLine="560"/>
        <w:rPr>
          <w:rFonts w:ascii="宋体" w:hAnsi="宋体" w:hint="eastAsia"/>
          <w:color w:val="auto"/>
        </w:rPr>
      </w:pPr>
      <w:r>
        <w:rPr>
          <w:rFonts w:ascii="宋体" w:hAnsi="宋体" w:hint="eastAsia"/>
          <w:color w:val="auto"/>
        </w:rPr>
        <w:t>2.</w:t>
      </w:r>
      <w:r>
        <w:rPr>
          <w:rFonts w:ascii="宋体" w:hAnsi="宋体"/>
          <w:color w:val="auto"/>
        </w:rPr>
        <w:t>202</w:t>
      </w:r>
      <w:r>
        <w:rPr>
          <w:rFonts w:ascii="宋体" w:hAnsi="宋体" w:hint="eastAsia"/>
          <w:color w:val="auto"/>
        </w:rPr>
        <w:t>4</w:t>
      </w:r>
      <w:r>
        <w:rPr>
          <w:rFonts w:ascii="宋体" w:hAnsi="宋体"/>
          <w:color w:val="auto"/>
        </w:rPr>
        <w:t>年0</w:t>
      </w:r>
      <w:r>
        <w:rPr>
          <w:rFonts w:ascii="宋体" w:hAnsi="宋体" w:hint="eastAsia"/>
          <w:color w:val="auto"/>
        </w:rPr>
        <w:t>9</w:t>
      </w:r>
      <w:r>
        <w:rPr>
          <w:rFonts w:ascii="宋体" w:hAnsi="宋体"/>
          <w:color w:val="auto"/>
        </w:rPr>
        <w:t>月</w:t>
      </w:r>
      <w:r>
        <w:rPr>
          <w:rFonts w:ascii="宋体" w:hAnsi="宋体" w:hint="eastAsia"/>
          <w:color w:val="auto"/>
        </w:rPr>
        <w:t>由企业编制安全生产条件和设施综合分析报告</w:t>
      </w:r>
      <w:r>
        <w:rPr>
          <w:rFonts w:ascii="宋体" w:hAnsi="宋体"/>
          <w:color w:val="auto"/>
        </w:rPr>
        <w:t>；</w:t>
      </w:r>
    </w:p>
    <w:p w14:paraId="60184997" w14:textId="77777777" w:rsidR="009219A0" w:rsidRDefault="00000000">
      <w:pPr>
        <w:ind w:firstLine="560"/>
        <w:rPr>
          <w:rFonts w:ascii="宋体" w:hAnsi="宋体" w:hint="eastAsia"/>
          <w:color w:val="auto"/>
        </w:rPr>
      </w:pPr>
      <w:r>
        <w:rPr>
          <w:rFonts w:ascii="宋体" w:hAnsi="宋体" w:hint="eastAsia"/>
          <w:color w:val="auto"/>
        </w:rPr>
        <w:t>3</w:t>
      </w:r>
      <w:r>
        <w:rPr>
          <w:rFonts w:ascii="宋体" w:hAnsi="宋体"/>
          <w:color w:val="auto"/>
        </w:rPr>
        <w:t>.202</w:t>
      </w:r>
      <w:r>
        <w:rPr>
          <w:rFonts w:ascii="宋体" w:hAnsi="宋体" w:hint="eastAsia"/>
          <w:color w:val="auto"/>
        </w:rPr>
        <w:t>4</w:t>
      </w:r>
      <w:r>
        <w:rPr>
          <w:rFonts w:ascii="宋体" w:hAnsi="宋体"/>
          <w:color w:val="auto"/>
        </w:rPr>
        <w:t>年</w:t>
      </w:r>
      <w:r>
        <w:rPr>
          <w:rFonts w:ascii="宋体" w:hAnsi="宋体" w:hint="eastAsia"/>
          <w:color w:val="auto"/>
        </w:rPr>
        <w:t>10</w:t>
      </w:r>
      <w:r>
        <w:rPr>
          <w:rFonts w:ascii="宋体" w:hAnsi="宋体"/>
          <w:color w:val="auto"/>
        </w:rPr>
        <w:t>月由</w:t>
      </w:r>
      <w:r>
        <w:rPr>
          <w:rFonts w:ascii="宋体" w:hAnsi="宋体" w:hint="eastAsia"/>
          <w:color w:val="auto"/>
        </w:rPr>
        <w:t>黑龙江龙维化学工程设计有限公司</w:t>
      </w:r>
      <w:r>
        <w:rPr>
          <w:rFonts w:ascii="宋体" w:hAnsi="宋体"/>
          <w:color w:val="auto"/>
        </w:rPr>
        <w:t>编制</w:t>
      </w:r>
      <w:r>
        <w:rPr>
          <w:rFonts w:ascii="宋体" w:hAnsi="宋体" w:hint="eastAsia"/>
          <w:color w:val="auto"/>
        </w:rPr>
        <w:t>个旧</w:t>
      </w:r>
      <w:proofErr w:type="gramStart"/>
      <w:r>
        <w:rPr>
          <w:rFonts w:ascii="宋体" w:hAnsi="宋体" w:hint="eastAsia"/>
          <w:color w:val="auto"/>
        </w:rPr>
        <w:t>市创源科</w:t>
      </w:r>
      <w:r>
        <w:rPr>
          <w:rFonts w:ascii="宋体" w:hAnsi="宋体" w:hint="eastAsia"/>
          <w:color w:val="auto"/>
        </w:rPr>
        <w:lastRenderedPageBreak/>
        <w:t>技</w:t>
      </w:r>
      <w:proofErr w:type="gramEnd"/>
      <w:r>
        <w:rPr>
          <w:rFonts w:ascii="宋体" w:hAnsi="宋体" w:hint="eastAsia"/>
          <w:color w:val="auto"/>
        </w:rPr>
        <w:t>有限公司新建实验与研究开发中心及实验基地工程建设项目</w:t>
      </w:r>
      <w:r>
        <w:rPr>
          <w:rFonts w:ascii="宋体" w:hAnsi="宋体"/>
          <w:color w:val="auto"/>
        </w:rPr>
        <w:t>安全设施设计并通过专家审查；</w:t>
      </w:r>
    </w:p>
    <w:p w14:paraId="1ECBFCA0" w14:textId="77777777" w:rsidR="009219A0" w:rsidRDefault="00000000">
      <w:pPr>
        <w:ind w:firstLine="560"/>
        <w:rPr>
          <w:rFonts w:ascii="宋体" w:hAnsi="宋体" w:hint="eastAsia"/>
          <w:color w:val="auto"/>
        </w:rPr>
      </w:pPr>
      <w:r>
        <w:rPr>
          <w:rFonts w:ascii="宋体" w:hAnsi="宋体" w:hint="eastAsia"/>
          <w:color w:val="auto"/>
        </w:rPr>
        <w:t>4.项目于2024年10月</w:t>
      </w:r>
      <w:r>
        <w:rPr>
          <w:rFonts w:ascii="宋体" w:hAnsi="宋体"/>
          <w:color w:val="auto"/>
        </w:rPr>
        <w:t>开工</w:t>
      </w:r>
      <w:r>
        <w:rPr>
          <w:rFonts w:ascii="宋体" w:hAnsi="宋体" w:hint="eastAsia"/>
          <w:color w:val="auto"/>
        </w:rPr>
        <w:t>，</w:t>
      </w:r>
      <w:r>
        <w:rPr>
          <w:rFonts w:ascii="宋体" w:hAnsi="宋体"/>
          <w:color w:val="auto"/>
        </w:rPr>
        <w:t>工程由</w:t>
      </w:r>
      <w:r>
        <w:rPr>
          <w:rFonts w:ascii="宋体" w:hAnsi="宋体" w:hint="eastAsia"/>
          <w:color w:val="auto"/>
        </w:rPr>
        <w:t>云南融升建设工程有限公司进行施工</w:t>
      </w:r>
      <w:r>
        <w:rPr>
          <w:rFonts w:ascii="宋体" w:hAnsi="宋体"/>
          <w:color w:val="auto"/>
        </w:rPr>
        <w:t>；</w:t>
      </w:r>
      <w:proofErr w:type="gramStart"/>
      <w:r>
        <w:rPr>
          <w:rFonts w:ascii="宋体" w:hAnsi="宋体"/>
          <w:color w:val="auto"/>
        </w:rPr>
        <w:t>由创源公司</w:t>
      </w:r>
      <w:proofErr w:type="gramEnd"/>
      <w:r>
        <w:rPr>
          <w:rFonts w:ascii="宋体" w:hAnsi="宋体"/>
          <w:color w:val="auto"/>
        </w:rPr>
        <w:t>自行监理，202</w:t>
      </w:r>
      <w:r>
        <w:rPr>
          <w:rFonts w:ascii="宋体" w:hAnsi="宋体" w:hint="eastAsia"/>
          <w:color w:val="auto"/>
        </w:rPr>
        <w:t>4</w:t>
      </w:r>
      <w:r>
        <w:rPr>
          <w:rFonts w:ascii="宋体" w:hAnsi="宋体"/>
          <w:color w:val="auto"/>
        </w:rPr>
        <w:t>年</w:t>
      </w:r>
      <w:r>
        <w:rPr>
          <w:rFonts w:ascii="宋体" w:hAnsi="宋体" w:hint="eastAsia"/>
          <w:color w:val="auto"/>
        </w:rPr>
        <w:t>12</w:t>
      </w:r>
      <w:r>
        <w:rPr>
          <w:rFonts w:ascii="宋体" w:hAnsi="宋体"/>
          <w:color w:val="auto"/>
        </w:rPr>
        <w:t>月完成</w:t>
      </w:r>
      <w:r>
        <w:rPr>
          <w:rFonts w:ascii="宋体" w:hAnsi="宋体" w:hint="eastAsia"/>
          <w:color w:val="auto"/>
        </w:rPr>
        <w:t>施工和设备安装等工作</w:t>
      </w:r>
      <w:r>
        <w:rPr>
          <w:rFonts w:ascii="宋体" w:hAnsi="宋体"/>
          <w:color w:val="auto"/>
        </w:rPr>
        <w:t>；</w:t>
      </w:r>
    </w:p>
    <w:p w14:paraId="12A746A4" w14:textId="77777777" w:rsidR="009219A0" w:rsidRDefault="00000000">
      <w:pPr>
        <w:ind w:firstLine="560"/>
        <w:rPr>
          <w:rFonts w:ascii="宋体" w:hAnsi="宋体" w:hint="eastAsia"/>
          <w:color w:val="auto"/>
        </w:rPr>
      </w:pPr>
      <w:r>
        <w:rPr>
          <w:rFonts w:ascii="宋体" w:hAnsi="宋体" w:hint="eastAsia"/>
          <w:color w:val="auto"/>
        </w:rPr>
        <w:t>5.</w:t>
      </w:r>
      <w:proofErr w:type="gramStart"/>
      <w:r>
        <w:rPr>
          <w:rFonts w:ascii="宋体" w:hAnsi="宋体"/>
          <w:color w:val="auto"/>
        </w:rPr>
        <w:t>202</w:t>
      </w:r>
      <w:r>
        <w:rPr>
          <w:rFonts w:ascii="宋体" w:hAnsi="宋体" w:hint="eastAsia"/>
          <w:color w:val="auto"/>
        </w:rPr>
        <w:t>4</w:t>
      </w:r>
      <w:r>
        <w:rPr>
          <w:rFonts w:ascii="宋体" w:hAnsi="宋体"/>
          <w:color w:val="auto"/>
        </w:rPr>
        <w:t>年</w:t>
      </w:r>
      <w:r>
        <w:rPr>
          <w:rFonts w:ascii="宋体" w:hAnsi="宋体" w:hint="eastAsia"/>
          <w:color w:val="auto"/>
        </w:rPr>
        <w:t>12</w:t>
      </w:r>
      <w:r>
        <w:rPr>
          <w:rFonts w:ascii="宋体" w:hAnsi="宋体"/>
          <w:color w:val="auto"/>
        </w:rPr>
        <w:t>月</w:t>
      </w:r>
      <w:r>
        <w:rPr>
          <w:rFonts w:ascii="宋体" w:hAnsi="宋体" w:hint="eastAsia"/>
          <w:color w:val="auto"/>
        </w:rPr>
        <w:t>创源公司</w:t>
      </w:r>
      <w:proofErr w:type="gramEnd"/>
      <w:r>
        <w:rPr>
          <w:rFonts w:ascii="宋体" w:hAnsi="宋体"/>
          <w:color w:val="auto"/>
        </w:rPr>
        <w:t>编制了生产安全事故应急预案，并到</w:t>
      </w:r>
      <w:r>
        <w:rPr>
          <w:rFonts w:ascii="宋体" w:hAnsi="宋体" w:hint="eastAsia"/>
          <w:color w:val="auto"/>
        </w:rPr>
        <w:t>个旧</w:t>
      </w:r>
      <w:r>
        <w:rPr>
          <w:rFonts w:ascii="宋体" w:hAnsi="宋体"/>
          <w:color w:val="auto"/>
        </w:rPr>
        <w:t>市应急管理局备案，备案号为：</w:t>
      </w:r>
      <w:r>
        <w:rPr>
          <w:rFonts w:ascii="宋体" w:hAnsi="宋体" w:hint="eastAsia"/>
          <w:color w:val="auto"/>
        </w:rPr>
        <w:t>5325012024W056</w:t>
      </w:r>
      <w:r>
        <w:rPr>
          <w:rFonts w:ascii="宋体" w:hAnsi="宋体"/>
          <w:color w:val="auto"/>
          <w:szCs w:val="28"/>
        </w:rPr>
        <w:t>。</w:t>
      </w:r>
    </w:p>
    <w:p w14:paraId="364DC41E" w14:textId="77777777" w:rsidR="009219A0" w:rsidRDefault="00000000">
      <w:pPr>
        <w:ind w:firstLine="560"/>
        <w:rPr>
          <w:rFonts w:ascii="宋体" w:hAnsi="宋体" w:hint="eastAsia"/>
          <w:color w:val="auto"/>
        </w:rPr>
      </w:pPr>
      <w:r>
        <w:rPr>
          <w:rFonts w:ascii="宋体" w:hAnsi="宋体" w:hint="eastAsia"/>
          <w:color w:val="auto"/>
        </w:rPr>
        <w:t>6.2025年1月10日，公司进行试生产，试生产时间为2025年1月10日至7月10日，试生产期间设施设备稳定运行，无安全事故发生。</w:t>
      </w:r>
    </w:p>
    <w:p w14:paraId="606971C3" w14:textId="77777777" w:rsidR="009219A0" w:rsidRDefault="00000000">
      <w:pPr>
        <w:pStyle w:val="3"/>
        <w:rPr>
          <w:rFonts w:hint="eastAsia"/>
        </w:rPr>
      </w:pPr>
      <w:bookmarkStart w:id="59" w:name="_Toc211950404"/>
      <w:r>
        <w:t>2.</w:t>
      </w:r>
      <w:r>
        <w:rPr>
          <w:rFonts w:hint="eastAsia"/>
        </w:rPr>
        <w:t>2</w:t>
      </w:r>
      <w:r>
        <w:t>.</w:t>
      </w:r>
      <w:r>
        <w:rPr>
          <w:rFonts w:hint="eastAsia"/>
        </w:rPr>
        <w:t>2 项目性质及建设内容</w:t>
      </w:r>
      <w:bookmarkEnd w:id="59"/>
    </w:p>
    <w:p w14:paraId="483E2EE4" w14:textId="77777777" w:rsidR="009219A0" w:rsidRDefault="00000000">
      <w:pPr>
        <w:ind w:firstLine="560"/>
        <w:rPr>
          <w:snapToGrid w:val="0"/>
          <w:color w:val="auto"/>
        </w:rPr>
      </w:pPr>
      <w:r>
        <w:rPr>
          <w:rFonts w:hint="eastAsia"/>
          <w:snapToGrid w:val="0"/>
          <w:color w:val="auto"/>
        </w:rPr>
        <w:t>（</w:t>
      </w:r>
      <w:r>
        <w:rPr>
          <w:rFonts w:hint="eastAsia"/>
          <w:snapToGrid w:val="0"/>
          <w:color w:val="auto"/>
        </w:rPr>
        <w:t>1</w:t>
      </w:r>
      <w:r>
        <w:rPr>
          <w:rFonts w:hint="eastAsia"/>
          <w:snapToGrid w:val="0"/>
          <w:color w:val="auto"/>
        </w:rPr>
        <w:t>）</w:t>
      </w:r>
      <w:r>
        <w:rPr>
          <w:snapToGrid w:val="0"/>
          <w:color w:val="auto"/>
        </w:rPr>
        <w:t>项目性质为</w:t>
      </w:r>
      <w:r>
        <w:rPr>
          <w:rFonts w:hint="eastAsia"/>
          <w:snapToGrid w:val="0"/>
          <w:color w:val="auto"/>
        </w:rPr>
        <w:t>新</w:t>
      </w:r>
      <w:r>
        <w:rPr>
          <w:snapToGrid w:val="0"/>
          <w:color w:val="auto"/>
        </w:rPr>
        <w:t>建。</w:t>
      </w:r>
    </w:p>
    <w:p w14:paraId="1499ADA2" w14:textId="77777777" w:rsidR="009219A0" w:rsidRDefault="00000000">
      <w:pPr>
        <w:ind w:firstLine="560"/>
        <w:rPr>
          <w:color w:val="auto"/>
        </w:rPr>
      </w:pPr>
      <w:r>
        <w:rPr>
          <w:rFonts w:hint="eastAsia"/>
          <w:snapToGrid w:val="0"/>
          <w:color w:val="auto"/>
        </w:rPr>
        <w:t>（</w:t>
      </w:r>
      <w:r>
        <w:rPr>
          <w:rFonts w:hint="eastAsia"/>
          <w:snapToGrid w:val="0"/>
          <w:color w:val="auto"/>
        </w:rPr>
        <w:t>2</w:t>
      </w:r>
      <w:r>
        <w:rPr>
          <w:rFonts w:hint="eastAsia"/>
          <w:snapToGrid w:val="0"/>
          <w:color w:val="auto"/>
        </w:rPr>
        <w:t>）建设内容：</w:t>
      </w:r>
    </w:p>
    <w:p w14:paraId="66A6DA4B" w14:textId="77777777" w:rsidR="009219A0" w:rsidRDefault="00000000">
      <w:pPr>
        <w:ind w:firstLine="560"/>
        <w:rPr>
          <w:color w:val="auto"/>
        </w:rPr>
      </w:pPr>
      <w:r>
        <w:rPr>
          <w:rFonts w:hint="eastAsia"/>
          <w:color w:val="auto"/>
        </w:rPr>
        <w:t>将中试车间面积扩大至</w:t>
      </w:r>
      <w:r>
        <w:rPr>
          <w:rFonts w:hint="eastAsia"/>
          <w:color w:val="auto"/>
        </w:rPr>
        <w:t xml:space="preserve"> 6500m</w:t>
      </w:r>
      <w:r>
        <w:rPr>
          <w:rFonts w:hint="eastAsia"/>
          <w:color w:val="auto"/>
          <w:vertAlign w:val="superscript"/>
        </w:rPr>
        <w:t>2</w:t>
      </w:r>
      <w:r>
        <w:rPr>
          <w:rFonts w:hint="eastAsia"/>
          <w:color w:val="auto"/>
        </w:rPr>
        <w:t>，划分为原料堆放区、产物堆放区，新增中试设备（</w:t>
      </w:r>
      <w:r>
        <w:rPr>
          <w:rFonts w:hint="eastAsia"/>
          <w:color w:val="auto"/>
        </w:rPr>
        <w:t>1</w:t>
      </w:r>
      <w:r>
        <w:rPr>
          <w:rFonts w:hint="eastAsia"/>
          <w:color w:val="auto"/>
        </w:rPr>
        <w:t>个</w:t>
      </w:r>
      <w:r>
        <w:rPr>
          <w:rFonts w:hint="eastAsia"/>
          <w:color w:val="auto"/>
        </w:rPr>
        <w:t>6m</w:t>
      </w:r>
      <w:r>
        <w:rPr>
          <w:rFonts w:hint="eastAsia"/>
          <w:color w:val="auto"/>
          <w:vertAlign w:val="superscript"/>
        </w:rPr>
        <w:t>3</w:t>
      </w:r>
      <w:r>
        <w:rPr>
          <w:rFonts w:hint="eastAsia"/>
          <w:color w:val="auto"/>
        </w:rPr>
        <w:t>盐酸计量槽、</w:t>
      </w:r>
      <w:r>
        <w:rPr>
          <w:rFonts w:hint="eastAsia"/>
          <w:color w:val="auto"/>
        </w:rPr>
        <w:t>1</w:t>
      </w:r>
      <w:r>
        <w:rPr>
          <w:rFonts w:hint="eastAsia"/>
          <w:color w:val="auto"/>
        </w:rPr>
        <w:t>个</w:t>
      </w:r>
      <w:r>
        <w:rPr>
          <w:rFonts w:hint="eastAsia"/>
          <w:color w:val="auto"/>
        </w:rPr>
        <w:t>15m</w:t>
      </w:r>
      <w:r>
        <w:rPr>
          <w:rFonts w:hint="eastAsia"/>
          <w:color w:val="auto"/>
          <w:vertAlign w:val="superscript"/>
        </w:rPr>
        <w:t>3</w:t>
      </w:r>
      <w:r>
        <w:rPr>
          <w:rFonts w:hint="eastAsia"/>
          <w:color w:val="auto"/>
        </w:rPr>
        <w:t>的硫酸储罐、</w:t>
      </w:r>
      <w:r>
        <w:rPr>
          <w:rFonts w:hint="eastAsia"/>
          <w:color w:val="auto"/>
        </w:rPr>
        <w:t>1</w:t>
      </w:r>
      <w:r>
        <w:rPr>
          <w:rFonts w:hint="eastAsia"/>
          <w:color w:val="auto"/>
        </w:rPr>
        <w:t>个</w:t>
      </w:r>
      <w:r>
        <w:rPr>
          <w:rFonts w:hint="eastAsia"/>
          <w:color w:val="auto"/>
        </w:rPr>
        <w:t>60m</w:t>
      </w:r>
      <w:r>
        <w:rPr>
          <w:rFonts w:hint="eastAsia"/>
          <w:color w:val="auto"/>
          <w:vertAlign w:val="superscript"/>
        </w:rPr>
        <w:t>3</w:t>
      </w:r>
      <w:r>
        <w:rPr>
          <w:rFonts w:hint="eastAsia"/>
          <w:color w:val="auto"/>
        </w:rPr>
        <w:t>的盐酸储罐），以此来进行铁粉脱杂、硫铁矿脱砷的中试实验。同时，利用厂区已建的</w:t>
      </w:r>
      <w:r>
        <w:rPr>
          <w:rFonts w:hint="eastAsia"/>
          <w:color w:val="auto"/>
        </w:rPr>
        <w:t xml:space="preserve"> 1 </w:t>
      </w:r>
      <w:r>
        <w:rPr>
          <w:rFonts w:hint="eastAsia"/>
          <w:color w:val="auto"/>
        </w:rPr>
        <w:t>座</w:t>
      </w:r>
      <w:r>
        <w:rPr>
          <w:rFonts w:hint="eastAsia"/>
          <w:color w:val="auto"/>
        </w:rPr>
        <w:t xml:space="preserve"> 2 </w:t>
      </w:r>
      <w:r>
        <w:rPr>
          <w:rFonts w:hint="eastAsia"/>
          <w:color w:val="auto"/>
        </w:rPr>
        <w:t>层的管理用房（建筑面积</w:t>
      </w:r>
      <w:r>
        <w:rPr>
          <w:rFonts w:hint="eastAsia"/>
          <w:color w:val="auto"/>
        </w:rPr>
        <w:t xml:space="preserve"> 400m</w:t>
      </w:r>
      <w:r>
        <w:rPr>
          <w:rFonts w:hint="eastAsia"/>
          <w:color w:val="auto"/>
          <w:vertAlign w:val="superscript"/>
        </w:rPr>
        <w:t>2</w:t>
      </w:r>
      <w:r>
        <w:rPr>
          <w:rFonts w:hint="eastAsia"/>
          <w:color w:val="auto"/>
        </w:rPr>
        <w:t>）</w:t>
      </w:r>
      <w:r>
        <w:rPr>
          <w:rFonts w:hint="eastAsia"/>
          <w:color w:val="auto"/>
        </w:rPr>
        <w:t>2</w:t>
      </w:r>
      <w:r>
        <w:rPr>
          <w:rFonts w:hint="eastAsia"/>
          <w:color w:val="auto"/>
        </w:rPr>
        <w:t>楼房间用作研发中心实验室，设置电炉自动加温搅拌试验台、电子天平、干燥机、微波脱砷设备等实验设备放入研发中心实验室，并配套建设试验台环境抽风机、尾气处理装置等以此来进行铁粉脱杂、硫铁矿脱砷的小试实验。</w:t>
      </w:r>
    </w:p>
    <w:p w14:paraId="2A116329" w14:textId="77777777" w:rsidR="009219A0" w:rsidRDefault="00000000">
      <w:pPr>
        <w:pStyle w:val="3"/>
        <w:rPr>
          <w:rFonts w:hint="eastAsia"/>
        </w:rPr>
      </w:pPr>
      <w:bookmarkStart w:id="60" w:name="_Toc211950405"/>
      <w:r>
        <w:t>2.</w:t>
      </w:r>
      <w:r>
        <w:rPr>
          <w:rFonts w:hint="eastAsia"/>
        </w:rPr>
        <w:t>2</w:t>
      </w:r>
      <w:r>
        <w:t>.</w:t>
      </w:r>
      <w:r>
        <w:rPr>
          <w:rFonts w:hint="eastAsia"/>
        </w:rPr>
        <w:t>3 实验规模</w:t>
      </w:r>
      <w:bookmarkEnd w:id="60"/>
    </w:p>
    <w:p w14:paraId="7815F5A8" w14:textId="77777777" w:rsidR="009219A0" w:rsidRDefault="00000000">
      <w:pPr>
        <w:topLinePunct/>
        <w:ind w:firstLine="560"/>
        <w:rPr>
          <w:rFonts w:ascii="宋体" w:hAnsi="宋体" w:hint="eastAsia"/>
          <w:color w:val="auto"/>
        </w:rPr>
      </w:pPr>
      <w:proofErr w:type="gramStart"/>
      <w:r>
        <w:rPr>
          <w:rFonts w:ascii="宋体" w:hAnsi="宋体" w:hint="eastAsia"/>
          <w:color w:val="auto"/>
        </w:rPr>
        <w:t>铁粉脱杂中试</w:t>
      </w:r>
      <w:proofErr w:type="gramEnd"/>
      <w:r>
        <w:rPr>
          <w:rFonts w:ascii="宋体" w:hAnsi="宋体" w:hint="eastAsia"/>
          <w:color w:val="auto"/>
        </w:rPr>
        <w:t>规模为处理铁粉300t/d，每天三班倒（早、中、晚），一班处理2个批次共100t。硫铁矿脱砷中试规模为处理硫铁矿300t/d，每天三班倒（早、中、晚），一班处理2个批次共100t。</w:t>
      </w:r>
    </w:p>
    <w:p w14:paraId="7D7E1F18" w14:textId="77777777" w:rsidR="009219A0" w:rsidRDefault="00000000">
      <w:pPr>
        <w:pStyle w:val="3"/>
        <w:rPr>
          <w:rFonts w:hint="eastAsia"/>
        </w:rPr>
      </w:pPr>
      <w:bookmarkStart w:id="61" w:name="_Toc211950406"/>
      <w:r>
        <w:t>2.</w:t>
      </w:r>
      <w:r>
        <w:rPr>
          <w:rFonts w:hint="eastAsia"/>
        </w:rPr>
        <w:t>2</w:t>
      </w:r>
      <w:r>
        <w:t>.</w:t>
      </w:r>
      <w:r>
        <w:rPr>
          <w:rFonts w:hint="eastAsia"/>
        </w:rPr>
        <w:t>4 项目建设涉及单位简介</w:t>
      </w:r>
      <w:bookmarkEnd w:id="61"/>
    </w:p>
    <w:p w14:paraId="6A7BDFAA" w14:textId="77777777" w:rsidR="009219A0" w:rsidRDefault="00000000">
      <w:pPr>
        <w:pStyle w:val="4"/>
        <w:keepNext w:val="0"/>
        <w:ind w:firstLineChars="200" w:firstLine="562"/>
        <w:rPr>
          <w:rFonts w:eastAsia="宋体" w:hint="eastAsia"/>
          <w:b/>
          <w:szCs w:val="20"/>
        </w:rPr>
      </w:pPr>
      <w:r>
        <w:rPr>
          <w:rFonts w:eastAsia="宋体" w:hint="eastAsia"/>
          <w:b/>
          <w:szCs w:val="20"/>
        </w:rPr>
        <w:t xml:space="preserve">2.2.4.1 </w:t>
      </w:r>
      <w:r>
        <w:rPr>
          <w:rFonts w:eastAsia="宋体"/>
          <w:b/>
          <w:szCs w:val="20"/>
        </w:rPr>
        <w:t xml:space="preserve"> 安全设施设计单位简介</w:t>
      </w:r>
    </w:p>
    <w:p w14:paraId="2D407804" w14:textId="77777777" w:rsidR="009219A0" w:rsidRDefault="00000000">
      <w:pPr>
        <w:topLinePunct/>
        <w:ind w:firstLine="560"/>
        <w:rPr>
          <w:rFonts w:ascii="宋体" w:hAnsi="宋体" w:hint="eastAsia"/>
          <w:color w:val="auto"/>
        </w:rPr>
      </w:pPr>
      <w:r>
        <w:rPr>
          <w:color w:val="auto"/>
        </w:rPr>
        <w:t>项目安全设施设计单位为</w:t>
      </w:r>
      <w:r>
        <w:rPr>
          <w:rFonts w:hint="eastAsia"/>
          <w:color w:val="auto"/>
        </w:rPr>
        <w:t>黑龙江龙维化学工程设计有限公司</w:t>
      </w:r>
      <w:r>
        <w:rPr>
          <w:color w:val="auto"/>
        </w:rPr>
        <w:t>，该公司</w:t>
      </w:r>
      <w:r>
        <w:rPr>
          <w:color w:val="auto"/>
        </w:rPr>
        <w:lastRenderedPageBreak/>
        <w:t>的基本情况见表</w:t>
      </w:r>
      <w:r>
        <w:rPr>
          <w:rFonts w:ascii="宋体" w:hAnsi="宋体" w:hint="eastAsia"/>
          <w:color w:val="auto"/>
        </w:rPr>
        <w:t>2.2-1</w:t>
      </w:r>
      <w:r>
        <w:rPr>
          <w:rFonts w:ascii="宋体" w:hAnsi="宋体"/>
          <w:color w:val="auto"/>
        </w:rPr>
        <w:t>。</w:t>
      </w:r>
    </w:p>
    <w:p w14:paraId="1D490394" w14:textId="77777777" w:rsidR="009219A0" w:rsidRDefault="00000000">
      <w:pPr>
        <w:topLinePunct/>
        <w:ind w:firstLineChars="0" w:firstLine="0"/>
        <w:jc w:val="center"/>
        <w:rPr>
          <w:rFonts w:ascii="宋体" w:hAnsi="宋体" w:hint="eastAsia"/>
          <w:color w:val="auto"/>
        </w:rPr>
      </w:pPr>
      <w:r>
        <w:rPr>
          <w:rFonts w:ascii="宋体" w:hAnsi="宋体"/>
          <w:color w:val="auto"/>
        </w:rPr>
        <w:t>表2</w:t>
      </w:r>
      <w:r>
        <w:rPr>
          <w:rFonts w:ascii="宋体" w:hAnsi="宋体" w:hint="eastAsia"/>
          <w:color w:val="auto"/>
        </w:rPr>
        <w:t>.2</w:t>
      </w:r>
      <w:r>
        <w:rPr>
          <w:rFonts w:ascii="宋体" w:hAnsi="宋体"/>
          <w:color w:val="auto"/>
        </w:rPr>
        <w:t>-</w:t>
      </w:r>
      <w:r>
        <w:rPr>
          <w:rFonts w:ascii="宋体" w:hAnsi="宋体" w:hint="eastAsia"/>
          <w:color w:val="auto"/>
        </w:rPr>
        <w:t>1</w:t>
      </w:r>
      <w:r>
        <w:rPr>
          <w:rFonts w:ascii="宋体" w:hAnsi="宋体"/>
          <w:color w:val="auto"/>
        </w:rPr>
        <w:t xml:space="preserve">  </w:t>
      </w:r>
      <w:r>
        <w:rPr>
          <w:rFonts w:ascii="宋体" w:hAnsi="宋体" w:hint="eastAsia"/>
          <w:color w:val="auto"/>
        </w:rPr>
        <w:t>黑龙江龙维化学工程设计有限公司基本情况表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4116"/>
        <w:gridCol w:w="1201"/>
        <w:gridCol w:w="2349"/>
      </w:tblGrid>
      <w:tr w:rsidR="009219A0" w14:paraId="7889C72D" w14:textId="77777777">
        <w:trPr>
          <w:trHeight w:val="340"/>
          <w:jc w:val="center"/>
        </w:trPr>
        <w:tc>
          <w:tcPr>
            <w:tcW w:w="1406" w:type="dxa"/>
            <w:vAlign w:val="center"/>
          </w:tcPr>
          <w:p w14:paraId="151AFB3E" w14:textId="77777777" w:rsidR="009219A0" w:rsidRDefault="00000000">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单位名称</w:t>
            </w:r>
          </w:p>
        </w:tc>
        <w:tc>
          <w:tcPr>
            <w:tcW w:w="7666" w:type="dxa"/>
            <w:gridSpan w:val="3"/>
            <w:vAlign w:val="center"/>
          </w:tcPr>
          <w:p w14:paraId="47252F06" w14:textId="77777777" w:rsidR="009219A0" w:rsidRDefault="00000000">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黑龙江龙维化学工程设计有限公司</w:t>
            </w:r>
          </w:p>
        </w:tc>
      </w:tr>
      <w:tr w:rsidR="009219A0" w14:paraId="2F34B17E" w14:textId="77777777">
        <w:trPr>
          <w:trHeight w:val="340"/>
          <w:jc w:val="center"/>
        </w:trPr>
        <w:tc>
          <w:tcPr>
            <w:tcW w:w="1406" w:type="dxa"/>
            <w:vAlign w:val="center"/>
          </w:tcPr>
          <w:p w14:paraId="58AB0CEC" w14:textId="77777777" w:rsidR="009219A0" w:rsidRDefault="00000000">
            <w:pPr>
              <w:tabs>
                <w:tab w:val="left" w:pos="2520"/>
              </w:tabs>
              <w:adjustRightInd/>
              <w:snapToGrid/>
              <w:spacing w:line="240" w:lineRule="auto"/>
              <w:ind w:firstLineChars="0" w:firstLine="0"/>
              <w:jc w:val="center"/>
              <w:rPr>
                <w:b/>
                <w:snapToGrid w:val="0"/>
                <w:color w:val="auto"/>
                <w:kern w:val="0"/>
                <w:sz w:val="21"/>
                <w:szCs w:val="21"/>
              </w:rPr>
            </w:pPr>
            <w:r>
              <w:rPr>
                <w:rFonts w:hint="eastAsia"/>
                <w:b/>
                <w:snapToGrid w:val="0"/>
                <w:color w:val="auto"/>
                <w:kern w:val="0"/>
                <w:sz w:val="21"/>
                <w:szCs w:val="21"/>
              </w:rPr>
              <w:t>资质</w:t>
            </w:r>
            <w:r>
              <w:rPr>
                <w:b/>
                <w:snapToGrid w:val="0"/>
                <w:color w:val="auto"/>
                <w:kern w:val="0"/>
                <w:sz w:val="21"/>
                <w:szCs w:val="21"/>
              </w:rPr>
              <w:t>等级</w:t>
            </w:r>
          </w:p>
        </w:tc>
        <w:tc>
          <w:tcPr>
            <w:tcW w:w="4116" w:type="dxa"/>
            <w:vAlign w:val="center"/>
          </w:tcPr>
          <w:p w14:paraId="351B9213" w14:textId="77777777" w:rsidR="009219A0" w:rsidRDefault="00000000">
            <w:pPr>
              <w:tabs>
                <w:tab w:val="left" w:pos="2520"/>
              </w:tabs>
              <w:adjustRightInd/>
              <w:snapToGrid/>
              <w:spacing w:line="240" w:lineRule="auto"/>
              <w:ind w:firstLineChars="0" w:firstLine="0"/>
              <w:rPr>
                <w:snapToGrid w:val="0"/>
                <w:color w:val="auto"/>
                <w:kern w:val="0"/>
                <w:sz w:val="21"/>
                <w:szCs w:val="21"/>
              </w:rPr>
            </w:pPr>
            <w:r>
              <w:rPr>
                <w:rFonts w:hint="eastAsia"/>
                <w:snapToGrid w:val="0"/>
                <w:color w:val="auto"/>
                <w:kern w:val="0"/>
                <w:sz w:val="21"/>
                <w:szCs w:val="21"/>
              </w:rPr>
              <w:t>建筑行业（建筑工程）</w:t>
            </w:r>
            <w:r>
              <w:rPr>
                <w:snapToGrid w:val="0"/>
                <w:color w:val="auto"/>
                <w:kern w:val="0"/>
                <w:sz w:val="21"/>
                <w:szCs w:val="21"/>
              </w:rPr>
              <w:t>乙级；</w:t>
            </w:r>
            <w:r>
              <w:rPr>
                <w:rFonts w:hint="eastAsia"/>
                <w:snapToGrid w:val="0"/>
                <w:color w:val="auto"/>
                <w:kern w:val="0"/>
                <w:sz w:val="21"/>
                <w:szCs w:val="21"/>
              </w:rPr>
              <w:t>化工石化医药行业（化工工程）专业</w:t>
            </w:r>
            <w:r>
              <w:rPr>
                <w:snapToGrid w:val="0"/>
                <w:color w:val="auto"/>
                <w:kern w:val="0"/>
                <w:sz w:val="21"/>
                <w:szCs w:val="21"/>
              </w:rPr>
              <w:t>乙级。</w:t>
            </w:r>
          </w:p>
        </w:tc>
        <w:tc>
          <w:tcPr>
            <w:tcW w:w="1201" w:type="dxa"/>
            <w:vAlign w:val="center"/>
          </w:tcPr>
          <w:p w14:paraId="7DBFC2A8" w14:textId="77777777" w:rsidR="009219A0" w:rsidRDefault="00000000">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资格编号</w:t>
            </w:r>
          </w:p>
        </w:tc>
        <w:tc>
          <w:tcPr>
            <w:tcW w:w="2349" w:type="dxa"/>
            <w:vAlign w:val="center"/>
          </w:tcPr>
          <w:p w14:paraId="409BAC7B" w14:textId="77777777" w:rsidR="009219A0" w:rsidRDefault="00000000">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A253007040</w:t>
            </w:r>
          </w:p>
        </w:tc>
      </w:tr>
      <w:tr w:rsidR="009219A0" w14:paraId="1525EAE7" w14:textId="77777777">
        <w:trPr>
          <w:trHeight w:val="340"/>
          <w:jc w:val="center"/>
        </w:trPr>
        <w:tc>
          <w:tcPr>
            <w:tcW w:w="1406" w:type="dxa"/>
            <w:vAlign w:val="center"/>
          </w:tcPr>
          <w:p w14:paraId="1389FB34" w14:textId="77777777" w:rsidR="009219A0" w:rsidRDefault="00000000">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发证机关</w:t>
            </w:r>
          </w:p>
        </w:tc>
        <w:tc>
          <w:tcPr>
            <w:tcW w:w="4116" w:type="dxa"/>
            <w:vAlign w:val="center"/>
          </w:tcPr>
          <w:p w14:paraId="2F76B7DC" w14:textId="77777777" w:rsidR="009219A0" w:rsidRDefault="00000000">
            <w:pPr>
              <w:tabs>
                <w:tab w:val="left" w:pos="2520"/>
              </w:tabs>
              <w:adjustRightInd/>
              <w:snapToGrid/>
              <w:spacing w:line="240" w:lineRule="auto"/>
              <w:ind w:firstLineChars="0" w:firstLine="0"/>
              <w:jc w:val="center"/>
              <w:rPr>
                <w:snapToGrid w:val="0"/>
                <w:color w:val="00B050"/>
                <w:kern w:val="0"/>
                <w:sz w:val="21"/>
                <w:szCs w:val="21"/>
              </w:rPr>
            </w:pPr>
            <w:r>
              <w:rPr>
                <w:rFonts w:hint="eastAsia"/>
                <w:snapToGrid w:val="0"/>
                <w:color w:val="auto"/>
                <w:kern w:val="0"/>
                <w:sz w:val="21"/>
                <w:szCs w:val="21"/>
              </w:rPr>
              <w:t>中华人民共和国</w:t>
            </w:r>
            <w:r>
              <w:rPr>
                <w:snapToGrid w:val="0"/>
                <w:color w:val="auto"/>
                <w:kern w:val="0"/>
                <w:sz w:val="21"/>
                <w:szCs w:val="21"/>
              </w:rPr>
              <w:t>住房和城乡建设</w:t>
            </w:r>
            <w:r>
              <w:rPr>
                <w:rFonts w:hint="eastAsia"/>
                <w:snapToGrid w:val="0"/>
                <w:color w:val="auto"/>
                <w:kern w:val="0"/>
                <w:sz w:val="21"/>
                <w:szCs w:val="21"/>
              </w:rPr>
              <w:t>部</w:t>
            </w:r>
          </w:p>
        </w:tc>
        <w:tc>
          <w:tcPr>
            <w:tcW w:w="1201" w:type="dxa"/>
            <w:vAlign w:val="center"/>
          </w:tcPr>
          <w:p w14:paraId="78782EB6" w14:textId="77777777" w:rsidR="009219A0" w:rsidRDefault="00000000">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有效期至</w:t>
            </w:r>
          </w:p>
        </w:tc>
        <w:tc>
          <w:tcPr>
            <w:tcW w:w="2349" w:type="dxa"/>
            <w:vAlign w:val="center"/>
          </w:tcPr>
          <w:p w14:paraId="35A4FA5F" w14:textId="77777777" w:rsidR="009219A0" w:rsidRDefault="00000000">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202</w:t>
            </w:r>
            <w:r>
              <w:rPr>
                <w:rFonts w:hint="eastAsia"/>
                <w:snapToGrid w:val="0"/>
                <w:color w:val="auto"/>
                <w:kern w:val="0"/>
                <w:sz w:val="21"/>
                <w:szCs w:val="21"/>
              </w:rPr>
              <w:t>5</w:t>
            </w:r>
            <w:r>
              <w:rPr>
                <w:snapToGrid w:val="0"/>
                <w:color w:val="auto"/>
                <w:kern w:val="0"/>
                <w:sz w:val="21"/>
                <w:szCs w:val="21"/>
              </w:rPr>
              <w:t>年</w:t>
            </w:r>
            <w:r>
              <w:rPr>
                <w:rFonts w:hint="eastAsia"/>
                <w:snapToGrid w:val="0"/>
                <w:color w:val="auto"/>
                <w:kern w:val="0"/>
                <w:sz w:val="21"/>
                <w:szCs w:val="21"/>
              </w:rPr>
              <w:t>06</w:t>
            </w:r>
            <w:r>
              <w:rPr>
                <w:snapToGrid w:val="0"/>
                <w:color w:val="auto"/>
                <w:kern w:val="0"/>
                <w:sz w:val="21"/>
                <w:szCs w:val="21"/>
              </w:rPr>
              <w:t>月</w:t>
            </w:r>
            <w:r>
              <w:rPr>
                <w:rFonts w:hint="eastAsia"/>
                <w:snapToGrid w:val="0"/>
                <w:color w:val="auto"/>
                <w:kern w:val="0"/>
                <w:sz w:val="21"/>
                <w:szCs w:val="21"/>
              </w:rPr>
              <w:t>05</w:t>
            </w:r>
            <w:r>
              <w:rPr>
                <w:snapToGrid w:val="0"/>
                <w:color w:val="auto"/>
                <w:kern w:val="0"/>
                <w:sz w:val="21"/>
                <w:szCs w:val="21"/>
              </w:rPr>
              <w:t>日</w:t>
            </w:r>
          </w:p>
        </w:tc>
      </w:tr>
      <w:tr w:rsidR="009219A0" w14:paraId="07C1BC41" w14:textId="77777777">
        <w:trPr>
          <w:trHeight w:val="557"/>
          <w:jc w:val="center"/>
        </w:trPr>
        <w:tc>
          <w:tcPr>
            <w:tcW w:w="1406" w:type="dxa"/>
            <w:vAlign w:val="center"/>
          </w:tcPr>
          <w:p w14:paraId="6AB151F8" w14:textId="77777777" w:rsidR="009219A0" w:rsidRDefault="00000000">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业务范围</w:t>
            </w:r>
          </w:p>
        </w:tc>
        <w:tc>
          <w:tcPr>
            <w:tcW w:w="7666" w:type="dxa"/>
            <w:gridSpan w:val="3"/>
            <w:vAlign w:val="center"/>
          </w:tcPr>
          <w:p w14:paraId="2FA27DD2" w14:textId="77777777" w:rsidR="009219A0" w:rsidRDefault="00000000">
            <w:pPr>
              <w:tabs>
                <w:tab w:val="left" w:pos="2520"/>
              </w:tabs>
              <w:adjustRightInd/>
              <w:snapToGrid/>
              <w:spacing w:line="240" w:lineRule="auto"/>
              <w:ind w:firstLineChars="0" w:firstLine="0"/>
              <w:rPr>
                <w:snapToGrid w:val="0"/>
                <w:color w:val="auto"/>
                <w:kern w:val="0"/>
                <w:sz w:val="21"/>
                <w:szCs w:val="21"/>
              </w:rPr>
            </w:pPr>
            <w:r>
              <w:rPr>
                <w:snapToGrid w:val="0"/>
                <w:color w:val="auto"/>
                <w:kern w:val="0"/>
                <w:sz w:val="21"/>
                <w:szCs w:val="21"/>
              </w:rPr>
              <w:t>可从事资质证书许可范围内相应的建设工程总承包业务以及项目管理和相关的技术与管理服务。</w:t>
            </w:r>
          </w:p>
        </w:tc>
      </w:tr>
      <w:tr w:rsidR="009219A0" w14:paraId="2CD70B25" w14:textId="77777777">
        <w:trPr>
          <w:trHeight w:val="403"/>
          <w:jc w:val="center"/>
        </w:trPr>
        <w:tc>
          <w:tcPr>
            <w:tcW w:w="9072" w:type="dxa"/>
            <w:gridSpan w:val="4"/>
            <w:vAlign w:val="center"/>
          </w:tcPr>
          <w:p w14:paraId="2E5FD0B9" w14:textId="77777777" w:rsidR="009219A0" w:rsidRDefault="00000000">
            <w:pPr>
              <w:tabs>
                <w:tab w:val="left" w:pos="2520"/>
              </w:tabs>
              <w:adjustRightInd/>
              <w:snapToGrid/>
              <w:spacing w:line="240" w:lineRule="auto"/>
              <w:ind w:firstLineChars="0" w:firstLine="0"/>
              <w:rPr>
                <w:snapToGrid w:val="0"/>
                <w:color w:val="auto"/>
                <w:kern w:val="0"/>
                <w:sz w:val="21"/>
                <w:szCs w:val="21"/>
              </w:rPr>
            </w:pPr>
            <w:r>
              <w:rPr>
                <w:snapToGrid w:val="0"/>
                <w:color w:val="auto"/>
                <w:kern w:val="0"/>
                <w:sz w:val="21"/>
                <w:szCs w:val="21"/>
              </w:rPr>
              <w:t>注：项目进行安全设施设计时，安全设施设计编制单位资质在有效期内。</w:t>
            </w:r>
          </w:p>
        </w:tc>
      </w:tr>
    </w:tbl>
    <w:p w14:paraId="50D35E49" w14:textId="77777777" w:rsidR="009219A0" w:rsidRDefault="009219A0">
      <w:pPr>
        <w:pStyle w:val="4"/>
        <w:keepNext w:val="0"/>
        <w:ind w:firstLineChars="200" w:firstLine="562"/>
        <w:rPr>
          <w:rFonts w:eastAsia="宋体" w:hint="eastAsia"/>
          <w:b/>
          <w:szCs w:val="20"/>
        </w:rPr>
      </w:pPr>
    </w:p>
    <w:p w14:paraId="57D4FA2C" w14:textId="77777777" w:rsidR="009219A0" w:rsidRDefault="00000000">
      <w:pPr>
        <w:pStyle w:val="4"/>
        <w:keepNext w:val="0"/>
        <w:ind w:firstLineChars="200" w:firstLine="562"/>
        <w:rPr>
          <w:rFonts w:eastAsia="宋体" w:hint="eastAsia"/>
          <w:b/>
          <w:szCs w:val="20"/>
        </w:rPr>
      </w:pPr>
      <w:r>
        <w:rPr>
          <w:rFonts w:eastAsia="宋体"/>
          <w:b/>
          <w:szCs w:val="20"/>
        </w:rPr>
        <w:t>2.</w:t>
      </w:r>
      <w:r>
        <w:rPr>
          <w:rFonts w:eastAsia="宋体" w:hint="eastAsia"/>
          <w:b/>
          <w:szCs w:val="20"/>
        </w:rPr>
        <w:t>2</w:t>
      </w:r>
      <w:r>
        <w:rPr>
          <w:rFonts w:eastAsia="宋体"/>
          <w:b/>
          <w:szCs w:val="20"/>
        </w:rPr>
        <w:t>.</w:t>
      </w:r>
      <w:r>
        <w:rPr>
          <w:rFonts w:eastAsia="宋体" w:hint="eastAsia"/>
          <w:b/>
          <w:szCs w:val="20"/>
        </w:rPr>
        <w:t>4.2</w:t>
      </w:r>
      <w:r>
        <w:rPr>
          <w:rFonts w:eastAsia="宋体"/>
          <w:b/>
          <w:szCs w:val="20"/>
        </w:rPr>
        <w:t xml:space="preserve"> 施工单位简介</w:t>
      </w:r>
    </w:p>
    <w:p w14:paraId="208E5A27" w14:textId="77777777" w:rsidR="009219A0" w:rsidRDefault="00000000">
      <w:pPr>
        <w:ind w:firstLine="560"/>
        <w:rPr>
          <w:color w:val="auto"/>
        </w:rPr>
      </w:pPr>
      <w:r>
        <w:rPr>
          <w:color w:val="auto"/>
        </w:rPr>
        <w:t>项目工程由</w:t>
      </w:r>
      <w:r>
        <w:rPr>
          <w:rFonts w:hint="eastAsia"/>
          <w:color w:val="auto"/>
        </w:rPr>
        <w:t>云南融升建设工程有限公司</w:t>
      </w:r>
      <w:r>
        <w:rPr>
          <w:color w:val="auto"/>
        </w:rPr>
        <w:t>进行施工，该公司的情况见表</w:t>
      </w:r>
      <w:r>
        <w:rPr>
          <w:rFonts w:ascii="宋体" w:hAnsi="宋体"/>
          <w:color w:val="auto"/>
        </w:rPr>
        <w:t>2</w:t>
      </w:r>
      <w:r>
        <w:rPr>
          <w:rFonts w:ascii="宋体" w:hAnsi="宋体" w:hint="eastAsia"/>
          <w:color w:val="auto"/>
        </w:rPr>
        <w:t>.2-2</w:t>
      </w:r>
      <w:r>
        <w:rPr>
          <w:rFonts w:ascii="宋体" w:hAnsi="宋体"/>
          <w:color w:val="auto"/>
        </w:rPr>
        <w:t>所</w:t>
      </w:r>
      <w:r>
        <w:rPr>
          <w:color w:val="auto"/>
        </w:rPr>
        <w:t>示。</w:t>
      </w:r>
    </w:p>
    <w:p w14:paraId="102560CA" w14:textId="77777777" w:rsidR="009219A0" w:rsidRDefault="00000000">
      <w:pPr>
        <w:topLinePunct/>
        <w:ind w:firstLineChars="0" w:firstLine="0"/>
        <w:jc w:val="center"/>
        <w:rPr>
          <w:rFonts w:ascii="宋体" w:hAnsi="宋体" w:hint="eastAsia"/>
          <w:color w:val="auto"/>
        </w:rPr>
      </w:pPr>
      <w:r>
        <w:rPr>
          <w:rFonts w:ascii="宋体" w:hAnsi="宋体"/>
          <w:color w:val="auto"/>
        </w:rPr>
        <w:t>表2</w:t>
      </w:r>
      <w:r>
        <w:rPr>
          <w:rFonts w:ascii="宋体" w:hAnsi="宋体" w:hint="eastAsia"/>
          <w:color w:val="auto"/>
        </w:rPr>
        <w:t>.2-2</w:t>
      </w:r>
      <w:r>
        <w:rPr>
          <w:rFonts w:hint="eastAsia"/>
          <w:color w:val="auto"/>
        </w:rPr>
        <w:t>云南融升建设工程有限公司</w:t>
      </w:r>
      <w:r>
        <w:rPr>
          <w:rFonts w:ascii="宋体" w:hAnsi="宋体" w:hint="eastAsia"/>
          <w:color w:val="auto"/>
        </w:rPr>
        <w:t>基本</w:t>
      </w:r>
      <w:r>
        <w:rPr>
          <w:rFonts w:ascii="宋体" w:hAnsi="宋体"/>
          <w:color w:val="auto"/>
        </w:rPr>
        <w:t>情况</w:t>
      </w:r>
      <w:r>
        <w:rPr>
          <w:rFonts w:ascii="宋体" w:hAnsi="宋体" w:hint="eastAsia"/>
          <w:color w:val="auto"/>
        </w:rPr>
        <w:t>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6"/>
        <w:gridCol w:w="1610"/>
        <w:gridCol w:w="1278"/>
        <w:gridCol w:w="4958"/>
      </w:tblGrid>
      <w:tr w:rsidR="009219A0" w14:paraId="54DE46EB" w14:textId="77777777">
        <w:trPr>
          <w:trHeight w:val="340"/>
          <w:jc w:val="center"/>
        </w:trPr>
        <w:tc>
          <w:tcPr>
            <w:tcW w:w="2835" w:type="dxa"/>
            <w:gridSpan w:val="2"/>
            <w:vAlign w:val="center"/>
          </w:tcPr>
          <w:p w14:paraId="04FED7F7" w14:textId="77777777" w:rsidR="009219A0" w:rsidRDefault="00000000">
            <w:pPr>
              <w:tabs>
                <w:tab w:val="left" w:pos="2520"/>
              </w:tabs>
              <w:adjustRightInd/>
              <w:snapToGrid/>
              <w:spacing w:line="240" w:lineRule="auto"/>
              <w:ind w:firstLineChars="0" w:firstLine="0"/>
              <w:jc w:val="center"/>
              <w:rPr>
                <w:rFonts w:asciiTheme="minorEastAsia" w:eastAsiaTheme="minorEastAsia" w:hAnsiTheme="minorEastAsia" w:hint="eastAsia"/>
                <w:b/>
                <w:snapToGrid w:val="0"/>
                <w:color w:val="auto"/>
                <w:kern w:val="0"/>
                <w:sz w:val="21"/>
                <w:szCs w:val="21"/>
              </w:rPr>
            </w:pPr>
            <w:r>
              <w:rPr>
                <w:rFonts w:asciiTheme="minorEastAsia" w:eastAsiaTheme="minorEastAsia" w:hAnsiTheme="minorEastAsia"/>
                <w:b/>
                <w:snapToGrid w:val="0"/>
                <w:color w:val="auto"/>
                <w:kern w:val="0"/>
                <w:sz w:val="21"/>
                <w:szCs w:val="21"/>
              </w:rPr>
              <w:t>单位名称</w:t>
            </w:r>
          </w:p>
        </w:tc>
        <w:tc>
          <w:tcPr>
            <w:tcW w:w="6237" w:type="dxa"/>
            <w:gridSpan w:val="2"/>
            <w:vAlign w:val="center"/>
          </w:tcPr>
          <w:p w14:paraId="3FAFC325" w14:textId="77777777" w:rsidR="009219A0" w:rsidRDefault="00000000">
            <w:pPr>
              <w:tabs>
                <w:tab w:val="left" w:pos="2520"/>
              </w:tabs>
              <w:adjustRightInd/>
              <w:snapToGrid/>
              <w:spacing w:line="240" w:lineRule="auto"/>
              <w:ind w:firstLineChars="0" w:firstLine="0"/>
              <w:jc w:val="center"/>
              <w:rPr>
                <w:rFonts w:asciiTheme="minorEastAsia" w:eastAsiaTheme="minorEastAsia" w:hAnsiTheme="minorEastAsia" w:hint="eastAsia"/>
                <w:snapToGrid w:val="0"/>
                <w:color w:val="auto"/>
                <w:kern w:val="0"/>
                <w:sz w:val="21"/>
                <w:szCs w:val="21"/>
              </w:rPr>
            </w:pPr>
            <w:r>
              <w:rPr>
                <w:rFonts w:asciiTheme="minorEastAsia" w:eastAsiaTheme="minorEastAsia" w:hAnsiTheme="minorEastAsia" w:hint="eastAsia"/>
                <w:snapToGrid w:val="0"/>
                <w:color w:val="auto"/>
                <w:kern w:val="0"/>
                <w:sz w:val="21"/>
                <w:szCs w:val="21"/>
              </w:rPr>
              <w:t>云南融升建设工程有限公司</w:t>
            </w:r>
          </w:p>
        </w:tc>
      </w:tr>
      <w:tr w:rsidR="009219A0" w14:paraId="014925E1" w14:textId="77777777">
        <w:trPr>
          <w:trHeight w:val="340"/>
          <w:jc w:val="center"/>
        </w:trPr>
        <w:tc>
          <w:tcPr>
            <w:tcW w:w="2836" w:type="dxa"/>
            <w:gridSpan w:val="2"/>
            <w:vAlign w:val="center"/>
          </w:tcPr>
          <w:p w14:paraId="6E539576" w14:textId="77777777" w:rsidR="009219A0" w:rsidRDefault="00000000">
            <w:pPr>
              <w:tabs>
                <w:tab w:val="left" w:pos="2520"/>
              </w:tabs>
              <w:adjustRightInd/>
              <w:snapToGrid/>
              <w:spacing w:line="240" w:lineRule="auto"/>
              <w:ind w:firstLineChars="0" w:firstLine="0"/>
              <w:jc w:val="center"/>
              <w:rPr>
                <w:rFonts w:asciiTheme="minorEastAsia" w:eastAsiaTheme="minorEastAsia" w:hAnsiTheme="minorEastAsia" w:hint="eastAsia"/>
                <w:b/>
                <w:snapToGrid w:val="0"/>
                <w:color w:val="auto"/>
                <w:kern w:val="0"/>
                <w:sz w:val="21"/>
                <w:szCs w:val="21"/>
              </w:rPr>
            </w:pPr>
            <w:r>
              <w:rPr>
                <w:rFonts w:asciiTheme="minorEastAsia" w:eastAsiaTheme="minorEastAsia" w:hAnsiTheme="minorEastAsia" w:hint="eastAsia"/>
                <w:b/>
                <w:snapToGrid w:val="0"/>
                <w:color w:val="auto"/>
                <w:kern w:val="0"/>
                <w:sz w:val="21"/>
                <w:szCs w:val="21"/>
              </w:rPr>
              <w:t>有效期至</w:t>
            </w:r>
          </w:p>
        </w:tc>
        <w:tc>
          <w:tcPr>
            <w:tcW w:w="6237" w:type="dxa"/>
            <w:gridSpan w:val="2"/>
            <w:vAlign w:val="center"/>
          </w:tcPr>
          <w:p w14:paraId="1799C5E2" w14:textId="77777777" w:rsidR="009219A0" w:rsidRDefault="00000000">
            <w:pPr>
              <w:tabs>
                <w:tab w:val="left" w:pos="2520"/>
              </w:tabs>
              <w:adjustRightInd/>
              <w:snapToGrid/>
              <w:spacing w:line="240" w:lineRule="auto"/>
              <w:ind w:firstLineChars="0" w:firstLine="0"/>
              <w:jc w:val="center"/>
              <w:rPr>
                <w:rFonts w:asciiTheme="minorEastAsia" w:eastAsiaTheme="minorEastAsia" w:hAnsiTheme="minorEastAsia" w:hint="eastAsia"/>
                <w:snapToGrid w:val="0"/>
                <w:color w:val="auto"/>
                <w:kern w:val="0"/>
                <w:sz w:val="21"/>
                <w:szCs w:val="21"/>
              </w:rPr>
            </w:pPr>
            <w:r>
              <w:rPr>
                <w:rFonts w:asciiTheme="minorEastAsia" w:eastAsiaTheme="minorEastAsia" w:hAnsiTheme="minorEastAsia"/>
                <w:snapToGrid w:val="0"/>
                <w:color w:val="auto"/>
                <w:kern w:val="0"/>
                <w:sz w:val="21"/>
                <w:szCs w:val="21"/>
              </w:rPr>
              <w:t>20</w:t>
            </w:r>
            <w:r>
              <w:rPr>
                <w:rFonts w:asciiTheme="minorEastAsia" w:eastAsiaTheme="minorEastAsia" w:hAnsiTheme="minorEastAsia" w:hint="eastAsia"/>
                <w:snapToGrid w:val="0"/>
                <w:color w:val="auto"/>
                <w:kern w:val="0"/>
                <w:sz w:val="21"/>
                <w:szCs w:val="21"/>
              </w:rPr>
              <w:t>26</w:t>
            </w:r>
            <w:r>
              <w:rPr>
                <w:rFonts w:asciiTheme="minorEastAsia" w:eastAsiaTheme="minorEastAsia" w:hAnsiTheme="minorEastAsia"/>
                <w:snapToGrid w:val="0"/>
                <w:color w:val="auto"/>
                <w:kern w:val="0"/>
                <w:sz w:val="21"/>
                <w:szCs w:val="21"/>
              </w:rPr>
              <w:t>年</w:t>
            </w:r>
            <w:r>
              <w:rPr>
                <w:rFonts w:asciiTheme="minorEastAsia" w:eastAsiaTheme="minorEastAsia" w:hAnsiTheme="minorEastAsia" w:hint="eastAsia"/>
                <w:snapToGrid w:val="0"/>
                <w:color w:val="auto"/>
                <w:kern w:val="0"/>
                <w:sz w:val="21"/>
                <w:szCs w:val="21"/>
              </w:rPr>
              <w:t>05</w:t>
            </w:r>
            <w:r>
              <w:rPr>
                <w:rFonts w:asciiTheme="minorEastAsia" w:eastAsiaTheme="minorEastAsia" w:hAnsiTheme="minorEastAsia"/>
                <w:snapToGrid w:val="0"/>
                <w:color w:val="auto"/>
                <w:kern w:val="0"/>
                <w:sz w:val="21"/>
                <w:szCs w:val="21"/>
              </w:rPr>
              <w:t>月</w:t>
            </w:r>
            <w:r>
              <w:rPr>
                <w:rFonts w:asciiTheme="minorEastAsia" w:eastAsiaTheme="minorEastAsia" w:hAnsiTheme="minorEastAsia" w:hint="eastAsia"/>
                <w:snapToGrid w:val="0"/>
                <w:color w:val="auto"/>
                <w:kern w:val="0"/>
                <w:sz w:val="21"/>
                <w:szCs w:val="21"/>
              </w:rPr>
              <w:t>19</w:t>
            </w:r>
            <w:r>
              <w:rPr>
                <w:rFonts w:asciiTheme="minorEastAsia" w:eastAsiaTheme="minorEastAsia" w:hAnsiTheme="minorEastAsia"/>
                <w:snapToGrid w:val="0"/>
                <w:color w:val="auto"/>
                <w:kern w:val="0"/>
                <w:sz w:val="21"/>
                <w:szCs w:val="21"/>
              </w:rPr>
              <w:t>日</w:t>
            </w:r>
          </w:p>
        </w:tc>
      </w:tr>
      <w:tr w:rsidR="009219A0" w14:paraId="0B11C5BC" w14:textId="77777777">
        <w:trPr>
          <w:trHeight w:val="340"/>
          <w:jc w:val="center"/>
        </w:trPr>
        <w:tc>
          <w:tcPr>
            <w:tcW w:w="2835" w:type="dxa"/>
            <w:gridSpan w:val="2"/>
            <w:vAlign w:val="center"/>
          </w:tcPr>
          <w:p w14:paraId="6E3ED3BF" w14:textId="77777777" w:rsidR="009219A0" w:rsidRDefault="00000000">
            <w:pPr>
              <w:tabs>
                <w:tab w:val="left" w:pos="2520"/>
              </w:tabs>
              <w:adjustRightInd/>
              <w:snapToGrid/>
              <w:spacing w:line="240" w:lineRule="auto"/>
              <w:ind w:firstLineChars="0" w:firstLine="0"/>
              <w:jc w:val="center"/>
              <w:rPr>
                <w:rFonts w:asciiTheme="minorEastAsia" w:eastAsiaTheme="minorEastAsia" w:hAnsiTheme="minorEastAsia" w:hint="eastAsia"/>
                <w:b/>
                <w:snapToGrid w:val="0"/>
                <w:color w:val="auto"/>
                <w:kern w:val="0"/>
                <w:sz w:val="21"/>
                <w:szCs w:val="21"/>
              </w:rPr>
            </w:pPr>
            <w:r>
              <w:rPr>
                <w:rFonts w:asciiTheme="minorEastAsia" w:eastAsiaTheme="minorEastAsia" w:hAnsiTheme="minorEastAsia"/>
                <w:b/>
                <w:snapToGrid w:val="0"/>
                <w:color w:val="auto"/>
                <w:kern w:val="0"/>
                <w:sz w:val="21"/>
                <w:szCs w:val="21"/>
              </w:rPr>
              <w:t>资格类别及等级</w:t>
            </w:r>
          </w:p>
        </w:tc>
        <w:tc>
          <w:tcPr>
            <w:tcW w:w="6237" w:type="dxa"/>
            <w:gridSpan w:val="2"/>
            <w:vAlign w:val="center"/>
          </w:tcPr>
          <w:p w14:paraId="7B4E2A44" w14:textId="77777777" w:rsidR="009219A0" w:rsidRDefault="00000000">
            <w:pPr>
              <w:tabs>
                <w:tab w:val="left" w:pos="2520"/>
              </w:tabs>
              <w:adjustRightInd/>
              <w:snapToGrid/>
              <w:spacing w:line="240" w:lineRule="auto"/>
              <w:ind w:firstLineChars="0" w:firstLine="0"/>
              <w:jc w:val="left"/>
              <w:rPr>
                <w:rFonts w:asciiTheme="minorEastAsia" w:eastAsiaTheme="minorEastAsia" w:hAnsiTheme="minorEastAsia" w:hint="eastAsia"/>
                <w:snapToGrid w:val="0"/>
                <w:color w:val="auto"/>
                <w:kern w:val="0"/>
                <w:sz w:val="21"/>
                <w:szCs w:val="21"/>
              </w:rPr>
            </w:pPr>
            <w:r>
              <w:rPr>
                <w:rFonts w:asciiTheme="minorEastAsia" w:eastAsiaTheme="minorEastAsia" w:hAnsiTheme="minorEastAsia" w:hint="eastAsia"/>
                <w:snapToGrid w:val="0"/>
                <w:color w:val="auto"/>
                <w:kern w:val="0"/>
                <w:sz w:val="21"/>
                <w:szCs w:val="21"/>
              </w:rPr>
              <w:t>公路工程施工总承包贰级（有效期至：2030年09月11日）</w:t>
            </w:r>
          </w:p>
          <w:p w14:paraId="00B85D08" w14:textId="77777777" w:rsidR="009219A0" w:rsidRDefault="00000000">
            <w:pPr>
              <w:tabs>
                <w:tab w:val="left" w:pos="2520"/>
              </w:tabs>
              <w:adjustRightInd/>
              <w:snapToGrid/>
              <w:spacing w:line="240" w:lineRule="auto"/>
              <w:ind w:firstLineChars="0" w:firstLine="0"/>
              <w:jc w:val="left"/>
              <w:rPr>
                <w:rFonts w:asciiTheme="minorEastAsia" w:eastAsiaTheme="minorEastAsia" w:hAnsiTheme="minorEastAsia" w:hint="eastAsia"/>
                <w:snapToGrid w:val="0"/>
                <w:color w:val="auto"/>
                <w:kern w:val="0"/>
                <w:sz w:val="21"/>
                <w:szCs w:val="21"/>
              </w:rPr>
            </w:pPr>
            <w:r>
              <w:rPr>
                <w:rFonts w:asciiTheme="minorEastAsia" w:eastAsiaTheme="minorEastAsia" w:hAnsiTheme="minorEastAsia" w:hint="eastAsia"/>
                <w:snapToGrid w:val="0"/>
                <w:color w:val="auto"/>
                <w:kern w:val="0"/>
                <w:sz w:val="21"/>
                <w:szCs w:val="21"/>
              </w:rPr>
              <w:t>水利水电工程施工总承包贰级（有效期至：2030年09月11日）</w:t>
            </w:r>
          </w:p>
          <w:p w14:paraId="3BD5A5CB" w14:textId="77777777" w:rsidR="009219A0" w:rsidRDefault="00000000">
            <w:pPr>
              <w:pStyle w:val="Default1"/>
              <w:rPr>
                <w:rFonts w:asciiTheme="minorEastAsia" w:eastAsiaTheme="minorEastAsia" w:hAnsiTheme="minorEastAsia"/>
                <w:color w:val="auto"/>
              </w:rPr>
            </w:pPr>
            <w:r>
              <w:rPr>
                <w:rFonts w:asciiTheme="minorEastAsia" w:eastAsiaTheme="minorEastAsia" w:hAnsiTheme="minorEastAsia"/>
                <w:snapToGrid w:val="0"/>
                <w:color w:val="auto"/>
                <w:sz w:val="21"/>
                <w:szCs w:val="21"/>
              </w:rPr>
              <w:t>矿山工程施工总承包贰级（有效期至：2028年01月06日）</w:t>
            </w:r>
          </w:p>
          <w:p w14:paraId="0E4624D5" w14:textId="77777777" w:rsidR="009219A0" w:rsidRDefault="00000000">
            <w:pPr>
              <w:tabs>
                <w:tab w:val="left" w:pos="2520"/>
              </w:tabs>
              <w:adjustRightInd/>
              <w:snapToGrid/>
              <w:spacing w:line="240" w:lineRule="auto"/>
              <w:ind w:firstLineChars="0" w:firstLine="0"/>
              <w:jc w:val="left"/>
              <w:rPr>
                <w:rFonts w:asciiTheme="minorEastAsia" w:eastAsiaTheme="minorEastAsia" w:hAnsiTheme="minorEastAsia" w:hint="eastAsia"/>
                <w:snapToGrid w:val="0"/>
                <w:color w:val="auto"/>
                <w:kern w:val="0"/>
                <w:sz w:val="21"/>
                <w:szCs w:val="21"/>
              </w:rPr>
            </w:pPr>
            <w:r>
              <w:rPr>
                <w:rFonts w:asciiTheme="minorEastAsia" w:eastAsiaTheme="minorEastAsia" w:hAnsiTheme="minorEastAsia" w:hint="eastAsia"/>
                <w:snapToGrid w:val="0"/>
                <w:color w:val="auto"/>
                <w:kern w:val="0"/>
                <w:sz w:val="21"/>
                <w:szCs w:val="21"/>
              </w:rPr>
              <w:t>石油化工工程施工总承包贰级（有效期至：2030年09月11日）</w:t>
            </w:r>
          </w:p>
          <w:p w14:paraId="33FFB448" w14:textId="77777777" w:rsidR="009219A0" w:rsidRDefault="00000000">
            <w:pPr>
              <w:pStyle w:val="Default1"/>
              <w:rPr>
                <w:rFonts w:asciiTheme="minorEastAsia" w:eastAsiaTheme="minorEastAsia" w:hAnsiTheme="minorEastAsia"/>
                <w:color w:val="auto"/>
              </w:rPr>
            </w:pPr>
            <w:r>
              <w:rPr>
                <w:rFonts w:asciiTheme="minorEastAsia" w:eastAsiaTheme="minorEastAsia" w:hAnsiTheme="minorEastAsia"/>
                <w:snapToGrid w:val="0"/>
                <w:color w:val="auto"/>
                <w:sz w:val="21"/>
                <w:szCs w:val="21"/>
              </w:rPr>
              <w:t>建筑装修装饰工程专业承包壹级（有效期至：2026年05月19日）</w:t>
            </w:r>
          </w:p>
          <w:p w14:paraId="73B3EAC5" w14:textId="77777777" w:rsidR="009219A0" w:rsidRDefault="00000000">
            <w:pPr>
              <w:pStyle w:val="Default1"/>
              <w:rPr>
                <w:rFonts w:asciiTheme="minorEastAsia" w:eastAsiaTheme="minorEastAsia" w:hAnsiTheme="minorEastAsia"/>
                <w:color w:val="auto"/>
              </w:rPr>
            </w:pPr>
            <w:r>
              <w:rPr>
                <w:rFonts w:asciiTheme="minorEastAsia" w:eastAsiaTheme="minorEastAsia" w:hAnsiTheme="minorEastAsia"/>
                <w:snapToGrid w:val="0"/>
                <w:color w:val="auto"/>
                <w:sz w:val="21"/>
                <w:szCs w:val="21"/>
              </w:rPr>
              <w:t>钢结构工程专业承包贰级（有效期至：2030年09月11日）</w:t>
            </w:r>
          </w:p>
          <w:p w14:paraId="584285BF" w14:textId="77777777" w:rsidR="009219A0" w:rsidRDefault="00000000">
            <w:pPr>
              <w:pStyle w:val="Default1"/>
              <w:rPr>
                <w:rFonts w:asciiTheme="minorEastAsia" w:eastAsiaTheme="minorEastAsia" w:hAnsiTheme="minorEastAsia"/>
              </w:rPr>
            </w:pPr>
            <w:r>
              <w:rPr>
                <w:rFonts w:asciiTheme="minorEastAsia" w:eastAsiaTheme="minorEastAsia" w:hAnsiTheme="minorEastAsia"/>
                <w:snapToGrid w:val="0"/>
                <w:color w:val="auto"/>
                <w:sz w:val="21"/>
                <w:szCs w:val="21"/>
              </w:rPr>
              <w:t>河湖整治工程专业承包贰级（有效期至：2030年09月11日）</w:t>
            </w:r>
          </w:p>
        </w:tc>
      </w:tr>
      <w:tr w:rsidR="009219A0" w14:paraId="62CB1650" w14:textId="77777777">
        <w:trPr>
          <w:trHeight w:val="340"/>
          <w:jc w:val="center"/>
        </w:trPr>
        <w:tc>
          <w:tcPr>
            <w:tcW w:w="1226" w:type="dxa"/>
            <w:vAlign w:val="center"/>
          </w:tcPr>
          <w:p w14:paraId="43DB6C80" w14:textId="77777777" w:rsidR="009219A0" w:rsidRDefault="00000000">
            <w:pPr>
              <w:tabs>
                <w:tab w:val="left" w:pos="2520"/>
              </w:tabs>
              <w:adjustRightInd/>
              <w:snapToGrid/>
              <w:spacing w:line="240" w:lineRule="auto"/>
              <w:ind w:firstLineChars="0" w:firstLine="0"/>
              <w:jc w:val="center"/>
              <w:rPr>
                <w:rFonts w:asciiTheme="minorEastAsia" w:eastAsiaTheme="minorEastAsia" w:hAnsiTheme="minorEastAsia" w:hint="eastAsia"/>
                <w:b/>
                <w:snapToGrid w:val="0"/>
                <w:color w:val="auto"/>
                <w:kern w:val="0"/>
                <w:sz w:val="21"/>
                <w:szCs w:val="21"/>
              </w:rPr>
            </w:pPr>
            <w:r>
              <w:rPr>
                <w:rFonts w:asciiTheme="minorEastAsia" w:eastAsiaTheme="minorEastAsia" w:hAnsiTheme="minorEastAsia"/>
                <w:b/>
                <w:snapToGrid w:val="0"/>
                <w:color w:val="auto"/>
                <w:kern w:val="0"/>
                <w:sz w:val="21"/>
                <w:szCs w:val="21"/>
              </w:rPr>
              <w:t>证书编号</w:t>
            </w:r>
          </w:p>
        </w:tc>
        <w:tc>
          <w:tcPr>
            <w:tcW w:w="1609" w:type="dxa"/>
            <w:vAlign w:val="center"/>
          </w:tcPr>
          <w:p w14:paraId="53DE54F9" w14:textId="77777777" w:rsidR="009219A0" w:rsidRDefault="00000000">
            <w:pPr>
              <w:tabs>
                <w:tab w:val="left" w:pos="2520"/>
              </w:tabs>
              <w:adjustRightInd/>
              <w:snapToGrid/>
              <w:spacing w:line="240" w:lineRule="auto"/>
              <w:ind w:firstLineChars="0" w:firstLine="0"/>
              <w:jc w:val="center"/>
              <w:rPr>
                <w:rFonts w:asciiTheme="minorEastAsia" w:eastAsiaTheme="minorEastAsia" w:hAnsiTheme="minorEastAsia" w:hint="eastAsia"/>
                <w:snapToGrid w:val="0"/>
                <w:color w:val="auto"/>
                <w:kern w:val="0"/>
                <w:sz w:val="21"/>
                <w:szCs w:val="21"/>
              </w:rPr>
            </w:pPr>
            <w:r>
              <w:rPr>
                <w:rFonts w:asciiTheme="minorEastAsia" w:eastAsiaTheme="minorEastAsia" w:hAnsiTheme="minorEastAsia" w:hint="eastAsia"/>
                <w:snapToGrid w:val="0"/>
                <w:color w:val="auto"/>
                <w:kern w:val="0"/>
                <w:sz w:val="21"/>
                <w:szCs w:val="21"/>
              </w:rPr>
              <w:t>D253035128</w:t>
            </w:r>
          </w:p>
        </w:tc>
        <w:tc>
          <w:tcPr>
            <w:tcW w:w="1278" w:type="dxa"/>
            <w:vAlign w:val="center"/>
          </w:tcPr>
          <w:p w14:paraId="136EB292" w14:textId="77777777" w:rsidR="009219A0" w:rsidRDefault="00000000">
            <w:pPr>
              <w:tabs>
                <w:tab w:val="left" w:pos="2520"/>
              </w:tabs>
              <w:adjustRightInd/>
              <w:snapToGrid/>
              <w:spacing w:line="240" w:lineRule="auto"/>
              <w:ind w:firstLineChars="0" w:firstLine="0"/>
              <w:jc w:val="center"/>
              <w:rPr>
                <w:rFonts w:asciiTheme="minorEastAsia" w:eastAsiaTheme="minorEastAsia" w:hAnsiTheme="minorEastAsia" w:hint="eastAsia"/>
                <w:snapToGrid w:val="0"/>
                <w:color w:val="auto"/>
                <w:kern w:val="0"/>
                <w:sz w:val="21"/>
                <w:szCs w:val="21"/>
              </w:rPr>
            </w:pPr>
            <w:r>
              <w:rPr>
                <w:rFonts w:asciiTheme="minorEastAsia" w:eastAsiaTheme="minorEastAsia" w:hAnsiTheme="minorEastAsia"/>
                <w:snapToGrid w:val="0"/>
                <w:color w:val="auto"/>
                <w:kern w:val="0"/>
                <w:sz w:val="21"/>
                <w:szCs w:val="21"/>
              </w:rPr>
              <w:t>发证单位</w:t>
            </w:r>
          </w:p>
        </w:tc>
        <w:tc>
          <w:tcPr>
            <w:tcW w:w="4959" w:type="dxa"/>
            <w:vAlign w:val="center"/>
          </w:tcPr>
          <w:p w14:paraId="18C543EA" w14:textId="77777777" w:rsidR="009219A0" w:rsidRDefault="00000000">
            <w:pPr>
              <w:tabs>
                <w:tab w:val="left" w:pos="2520"/>
              </w:tabs>
              <w:adjustRightInd/>
              <w:snapToGrid/>
              <w:spacing w:line="240" w:lineRule="auto"/>
              <w:ind w:firstLineChars="0" w:firstLine="0"/>
              <w:jc w:val="center"/>
              <w:rPr>
                <w:rFonts w:asciiTheme="minorEastAsia" w:eastAsiaTheme="minorEastAsia" w:hAnsiTheme="minorEastAsia" w:hint="eastAsia"/>
                <w:snapToGrid w:val="0"/>
                <w:color w:val="auto"/>
                <w:kern w:val="0"/>
                <w:sz w:val="21"/>
                <w:szCs w:val="21"/>
              </w:rPr>
            </w:pPr>
            <w:r>
              <w:rPr>
                <w:rFonts w:asciiTheme="minorEastAsia" w:eastAsiaTheme="minorEastAsia" w:hAnsiTheme="minorEastAsia" w:hint="eastAsia"/>
                <w:snapToGrid w:val="0"/>
                <w:color w:val="auto"/>
                <w:kern w:val="0"/>
                <w:sz w:val="21"/>
                <w:szCs w:val="21"/>
              </w:rPr>
              <w:t>云南省住房和城乡建设厅</w:t>
            </w:r>
          </w:p>
        </w:tc>
      </w:tr>
    </w:tbl>
    <w:p w14:paraId="2423DEA5" w14:textId="77777777" w:rsidR="009219A0" w:rsidRDefault="009219A0">
      <w:pPr>
        <w:ind w:firstLineChars="0" w:firstLine="0"/>
        <w:rPr>
          <w:color w:val="auto"/>
          <w:szCs w:val="28"/>
        </w:rPr>
      </w:pPr>
    </w:p>
    <w:p w14:paraId="0F2122C8" w14:textId="77777777" w:rsidR="009219A0" w:rsidRDefault="00000000">
      <w:pPr>
        <w:pStyle w:val="3"/>
        <w:keepNext w:val="0"/>
        <w:keepLines w:val="0"/>
        <w:rPr>
          <w:rFonts w:hint="eastAsia"/>
        </w:rPr>
      </w:pPr>
      <w:bookmarkStart w:id="62" w:name="_Toc211950407"/>
      <w:r>
        <w:t>2.</w:t>
      </w:r>
      <w:r>
        <w:rPr>
          <w:rFonts w:hint="eastAsia"/>
        </w:rPr>
        <w:t>2</w:t>
      </w:r>
      <w:r>
        <w:t>.</w:t>
      </w:r>
      <w:r>
        <w:rPr>
          <w:rFonts w:hint="eastAsia"/>
        </w:rPr>
        <w:t>5 建设项目选址及周边环境情况</w:t>
      </w:r>
      <w:bookmarkEnd w:id="62"/>
    </w:p>
    <w:p w14:paraId="05400709" w14:textId="77777777" w:rsidR="009219A0" w:rsidRDefault="00000000">
      <w:pPr>
        <w:ind w:firstLine="560"/>
        <w:rPr>
          <w:color w:val="auto"/>
          <w:szCs w:val="28"/>
        </w:rPr>
      </w:pPr>
      <w:r>
        <w:rPr>
          <w:rFonts w:hint="eastAsia"/>
          <w:color w:val="auto"/>
        </w:rPr>
        <w:t>项目在个旧</w:t>
      </w:r>
      <w:proofErr w:type="gramStart"/>
      <w:r>
        <w:rPr>
          <w:rFonts w:hint="eastAsia"/>
          <w:color w:val="auto"/>
        </w:rPr>
        <w:t>市创源科技</w:t>
      </w:r>
      <w:proofErr w:type="gramEnd"/>
      <w:r>
        <w:rPr>
          <w:rFonts w:hint="eastAsia"/>
          <w:color w:val="auto"/>
        </w:rPr>
        <w:t>有限公司厂内进行建设，</w:t>
      </w:r>
      <w:proofErr w:type="gramStart"/>
      <w:r>
        <w:rPr>
          <w:rFonts w:hint="eastAsia"/>
          <w:color w:val="auto"/>
        </w:rPr>
        <w:t>创源公司</w:t>
      </w:r>
      <w:proofErr w:type="gramEnd"/>
      <w:r>
        <w:rPr>
          <w:rFonts w:hint="eastAsia"/>
          <w:color w:val="auto"/>
        </w:rPr>
        <w:t>厂址位于个旧沙</w:t>
      </w:r>
      <w:proofErr w:type="gramStart"/>
      <w:r>
        <w:rPr>
          <w:rFonts w:hint="eastAsia"/>
          <w:color w:val="auto"/>
        </w:rPr>
        <w:t>甸</w:t>
      </w:r>
      <w:proofErr w:type="gramEnd"/>
      <w:r>
        <w:rPr>
          <w:rFonts w:hint="eastAsia"/>
          <w:color w:val="auto"/>
        </w:rPr>
        <w:t>区冲坡哨，地理位置坐标：</w:t>
      </w:r>
      <w:r>
        <w:rPr>
          <w:rFonts w:hint="eastAsia"/>
          <w:color w:val="auto"/>
        </w:rPr>
        <w:t>E103</w:t>
      </w:r>
      <w:r>
        <w:rPr>
          <w:rFonts w:hint="eastAsia"/>
          <w:color w:val="auto"/>
        </w:rPr>
        <w:t>°</w:t>
      </w:r>
      <w:r>
        <w:rPr>
          <w:rFonts w:hint="eastAsia"/>
          <w:color w:val="auto"/>
        </w:rPr>
        <w:t>15'41.61"</w:t>
      </w:r>
      <w:r>
        <w:rPr>
          <w:rFonts w:hint="eastAsia"/>
          <w:color w:val="auto"/>
        </w:rPr>
        <w:t>，</w:t>
      </w:r>
      <w:r>
        <w:rPr>
          <w:rFonts w:hint="eastAsia"/>
          <w:color w:val="auto"/>
        </w:rPr>
        <w:t>N23</w:t>
      </w:r>
      <w:r>
        <w:rPr>
          <w:rFonts w:hint="eastAsia"/>
          <w:color w:val="auto"/>
        </w:rPr>
        <w:t>°</w:t>
      </w:r>
      <w:r>
        <w:rPr>
          <w:rFonts w:hint="eastAsia"/>
          <w:color w:val="auto"/>
        </w:rPr>
        <w:t>34'14.97"</w:t>
      </w:r>
      <w:r>
        <w:rPr>
          <w:rFonts w:hint="eastAsia"/>
          <w:color w:val="auto"/>
        </w:rPr>
        <w:t>。个旧市属于云南省南部的红河州，</w:t>
      </w:r>
      <w:proofErr w:type="gramStart"/>
      <w:r>
        <w:rPr>
          <w:rFonts w:hint="eastAsia"/>
          <w:color w:val="auto"/>
        </w:rPr>
        <w:t>座落</w:t>
      </w:r>
      <w:proofErr w:type="gramEnd"/>
      <w:r>
        <w:rPr>
          <w:rFonts w:hint="eastAsia"/>
          <w:color w:val="auto"/>
        </w:rPr>
        <w:t>在红河北岸，距省城昆明</w:t>
      </w:r>
      <w:r>
        <w:rPr>
          <w:rFonts w:hint="eastAsia"/>
          <w:color w:val="auto"/>
        </w:rPr>
        <w:t xml:space="preserve"> 280km</w:t>
      </w:r>
      <w:r>
        <w:rPr>
          <w:rFonts w:hint="eastAsia"/>
          <w:color w:val="auto"/>
        </w:rPr>
        <w:t>，离越南</w:t>
      </w:r>
      <w:r>
        <w:rPr>
          <w:rFonts w:hint="eastAsia"/>
          <w:color w:val="auto"/>
        </w:rPr>
        <w:t xml:space="preserve"> 200km</w:t>
      </w:r>
      <w:r>
        <w:rPr>
          <w:rFonts w:hint="eastAsia"/>
          <w:color w:val="auto"/>
        </w:rPr>
        <w:t>。全市国土面积</w:t>
      </w:r>
      <w:r>
        <w:rPr>
          <w:rFonts w:hint="eastAsia"/>
          <w:color w:val="auto"/>
        </w:rPr>
        <w:t xml:space="preserve"> 1587</w:t>
      </w:r>
      <w:r>
        <w:rPr>
          <w:rFonts w:hint="eastAsia"/>
          <w:color w:val="auto"/>
        </w:rPr>
        <w:t>平方公里。个旧市沙</w:t>
      </w:r>
      <w:proofErr w:type="gramStart"/>
      <w:r>
        <w:rPr>
          <w:rFonts w:hint="eastAsia"/>
          <w:color w:val="auto"/>
        </w:rPr>
        <w:t>甸</w:t>
      </w:r>
      <w:proofErr w:type="gramEnd"/>
      <w:r>
        <w:rPr>
          <w:rFonts w:hint="eastAsia"/>
          <w:color w:val="auto"/>
        </w:rPr>
        <w:t>区位于个旧市北郊，距市区</w:t>
      </w:r>
      <w:r>
        <w:rPr>
          <w:rFonts w:hint="eastAsia"/>
          <w:color w:val="auto"/>
        </w:rPr>
        <w:t>18km</w:t>
      </w:r>
      <w:r>
        <w:rPr>
          <w:rFonts w:hint="eastAsia"/>
          <w:color w:val="auto"/>
        </w:rPr>
        <w:t>，距离开远</w:t>
      </w:r>
      <w:r>
        <w:rPr>
          <w:rFonts w:hint="eastAsia"/>
          <w:color w:val="auto"/>
        </w:rPr>
        <w:t>38km</w:t>
      </w:r>
      <w:r>
        <w:rPr>
          <w:rFonts w:hint="eastAsia"/>
          <w:color w:val="auto"/>
        </w:rPr>
        <w:t>，距离蒙自</w:t>
      </w:r>
      <w:r>
        <w:rPr>
          <w:rFonts w:hint="eastAsia"/>
          <w:color w:val="auto"/>
        </w:rPr>
        <w:t>38km</w:t>
      </w:r>
      <w:r>
        <w:rPr>
          <w:rFonts w:hint="eastAsia"/>
          <w:color w:val="auto"/>
        </w:rPr>
        <w:t>，地处个旧、蒙自、建水、开远</w:t>
      </w:r>
      <w:r>
        <w:rPr>
          <w:rFonts w:hint="eastAsia"/>
          <w:color w:val="auto"/>
        </w:rPr>
        <w:t xml:space="preserve"> 4</w:t>
      </w:r>
      <w:r>
        <w:rPr>
          <w:rFonts w:hint="eastAsia"/>
          <w:color w:val="auto"/>
        </w:rPr>
        <w:t>（市）县的结合部。国道</w:t>
      </w:r>
      <w:r>
        <w:rPr>
          <w:rFonts w:hint="eastAsia"/>
          <w:color w:val="auto"/>
        </w:rPr>
        <w:t xml:space="preserve"> 323</w:t>
      </w:r>
      <w:r>
        <w:rPr>
          <w:rFonts w:hint="eastAsia"/>
          <w:color w:val="auto"/>
        </w:rPr>
        <w:t>、</w:t>
      </w:r>
      <w:r>
        <w:rPr>
          <w:rFonts w:hint="eastAsia"/>
          <w:color w:val="auto"/>
        </w:rPr>
        <w:t>326</w:t>
      </w:r>
      <w:r>
        <w:rPr>
          <w:rFonts w:hint="eastAsia"/>
          <w:color w:val="auto"/>
        </w:rPr>
        <w:t>、鸡—石高速公路、</w:t>
      </w:r>
      <w:proofErr w:type="gramStart"/>
      <w:r>
        <w:rPr>
          <w:rFonts w:hint="eastAsia"/>
          <w:color w:val="auto"/>
        </w:rPr>
        <w:t>鸡蒙高等级公路</w:t>
      </w:r>
      <w:proofErr w:type="gramEnd"/>
      <w:r>
        <w:rPr>
          <w:rFonts w:hint="eastAsia"/>
          <w:color w:val="auto"/>
        </w:rPr>
        <w:t>纵横交错，四通八达，交通十分便利。</w:t>
      </w:r>
    </w:p>
    <w:p w14:paraId="045A967A" w14:textId="77777777" w:rsidR="009219A0" w:rsidRDefault="00000000">
      <w:pPr>
        <w:ind w:firstLine="560"/>
        <w:rPr>
          <w:rFonts w:ascii="宋体" w:hAnsi="宋体" w:hint="eastAsia"/>
          <w:color w:val="auto"/>
        </w:rPr>
      </w:pPr>
      <w:r>
        <w:rPr>
          <w:rFonts w:hint="eastAsia"/>
          <w:color w:val="auto"/>
        </w:rPr>
        <w:lastRenderedPageBreak/>
        <w:t>项目所在地区域交通位置图详见图</w:t>
      </w:r>
      <w:r>
        <w:rPr>
          <w:rFonts w:ascii="宋体" w:hAnsi="宋体" w:hint="eastAsia"/>
          <w:color w:val="auto"/>
        </w:rPr>
        <w:t>2.2-1。</w:t>
      </w:r>
    </w:p>
    <w:p w14:paraId="224B6E42" w14:textId="77777777" w:rsidR="009219A0" w:rsidRDefault="00000000">
      <w:pPr>
        <w:ind w:firstLineChars="0" w:firstLine="0"/>
        <w:jc w:val="center"/>
        <w:rPr>
          <w:color w:val="auto"/>
        </w:rPr>
      </w:pPr>
      <w:r>
        <w:rPr>
          <w:noProof/>
        </w:rPr>
        <w:drawing>
          <wp:inline distT="0" distB="0" distL="0" distR="0" wp14:anchorId="592D12B8" wp14:editId="3134152E">
            <wp:extent cx="5399405" cy="3779520"/>
            <wp:effectExtent l="0" t="0" r="0"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41"/>
                    <a:stretch>
                      <a:fillRect/>
                    </a:stretch>
                  </pic:blipFill>
                  <pic:spPr>
                    <a:xfrm>
                      <a:off x="0" y="0"/>
                      <a:ext cx="5400000" cy="3780000"/>
                    </a:xfrm>
                    <a:prstGeom prst="rect">
                      <a:avLst/>
                    </a:prstGeom>
                  </pic:spPr>
                </pic:pic>
              </a:graphicData>
            </a:graphic>
          </wp:inline>
        </w:drawing>
      </w:r>
    </w:p>
    <w:p w14:paraId="42D1ACB3" w14:textId="77777777" w:rsidR="009219A0" w:rsidRDefault="00000000">
      <w:pPr>
        <w:topLinePunct/>
        <w:ind w:firstLineChars="0" w:firstLine="0"/>
        <w:jc w:val="center"/>
        <w:rPr>
          <w:rFonts w:ascii="宋体" w:hAnsi="宋体" w:hint="eastAsia"/>
          <w:color w:val="auto"/>
        </w:rPr>
      </w:pPr>
      <w:r>
        <w:rPr>
          <w:rFonts w:ascii="宋体" w:hAnsi="宋体" w:hint="eastAsia"/>
          <w:color w:val="auto"/>
        </w:rPr>
        <w:t>图2.2-1  项目所在地区域交通位置图</w:t>
      </w:r>
    </w:p>
    <w:p w14:paraId="00DB16E3" w14:textId="77777777" w:rsidR="009219A0" w:rsidRDefault="00000000">
      <w:pPr>
        <w:ind w:firstLine="560"/>
        <w:rPr>
          <w:color w:val="auto"/>
        </w:rPr>
      </w:pPr>
      <w:r>
        <w:rPr>
          <w:rFonts w:hint="eastAsia"/>
          <w:color w:val="auto"/>
        </w:rPr>
        <w:t>项目在个旧</w:t>
      </w:r>
      <w:proofErr w:type="gramStart"/>
      <w:r>
        <w:rPr>
          <w:rFonts w:hint="eastAsia"/>
          <w:color w:val="auto"/>
        </w:rPr>
        <w:t>市创源科技</w:t>
      </w:r>
      <w:proofErr w:type="gramEnd"/>
      <w:r>
        <w:rPr>
          <w:rFonts w:hint="eastAsia"/>
          <w:color w:val="auto"/>
        </w:rPr>
        <w:t>有限公司厂内进行建设，</w:t>
      </w:r>
      <w:proofErr w:type="gramStart"/>
      <w:r>
        <w:rPr>
          <w:rFonts w:hint="eastAsia"/>
          <w:color w:val="auto"/>
        </w:rPr>
        <w:t>创源公司</w:t>
      </w:r>
      <w:proofErr w:type="gramEnd"/>
      <w:r>
        <w:rPr>
          <w:rFonts w:hint="eastAsia"/>
          <w:color w:val="auto"/>
        </w:rPr>
        <w:t>厂址位于云南省红河州个旧市沙</w:t>
      </w:r>
      <w:proofErr w:type="gramStart"/>
      <w:r>
        <w:rPr>
          <w:rFonts w:hint="eastAsia"/>
          <w:color w:val="auto"/>
        </w:rPr>
        <w:t>甸</w:t>
      </w:r>
      <w:proofErr w:type="gramEnd"/>
      <w:r>
        <w:rPr>
          <w:rFonts w:hint="eastAsia"/>
          <w:color w:val="auto"/>
        </w:rPr>
        <w:t>区冲坡哨，公司西面围墙外为</w:t>
      </w:r>
      <w:r>
        <w:rPr>
          <w:rFonts w:hint="eastAsia"/>
          <w:color w:val="auto"/>
        </w:rPr>
        <w:t>323</w:t>
      </w:r>
      <w:r>
        <w:rPr>
          <w:rFonts w:hint="eastAsia"/>
          <w:color w:val="auto"/>
        </w:rPr>
        <w:t>国道，公路以西从南至北约</w:t>
      </w:r>
      <w:r>
        <w:rPr>
          <w:rFonts w:hint="eastAsia"/>
          <w:color w:val="auto"/>
        </w:rPr>
        <w:t>25m</w:t>
      </w:r>
      <w:r>
        <w:rPr>
          <w:rFonts w:hint="eastAsia"/>
          <w:color w:val="auto"/>
        </w:rPr>
        <w:t>处为废旧金属回收厂、</w:t>
      </w:r>
      <w:r>
        <w:rPr>
          <w:rFonts w:hint="eastAsia"/>
          <w:color w:val="auto"/>
        </w:rPr>
        <w:t>215m</w:t>
      </w:r>
      <w:r>
        <w:rPr>
          <w:rFonts w:hint="eastAsia"/>
          <w:color w:val="auto"/>
        </w:rPr>
        <w:t>处为和</w:t>
      </w:r>
      <w:proofErr w:type="gramStart"/>
      <w:r>
        <w:rPr>
          <w:rFonts w:hint="eastAsia"/>
          <w:color w:val="auto"/>
        </w:rPr>
        <w:t>兴铅业</w:t>
      </w:r>
      <w:proofErr w:type="gramEnd"/>
      <w:r>
        <w:rPr>
          <w:rFonts w:hint="eastAsia"/>
          <w:color w:val="auto"/>
        </w:rPr>
        <w:t>公司、</w:t>
      </w:r>
      <w:r>
        <w:rPr>
          <w:rFonts w:hint="eastAsia"/>
          <w:color w:val="auto"/>
        </w:rPr>
        <w:t>115m</w:t>
      </w:r>
      <w:r>
        <w:rPr>
          <w:rFonts w:hint="eastAsia"/>
          <w:color w:val="auto"/>
        </w:rPr>
        <w:t>处为红河</w:t>
      </w:r>
      <w:proofErr w:type="gramStart"/>
      <w:r>
        <w:rPr>
          <w:rFonts w:hint="eastAsia"/>
          <w:color w:val="auto"/>
        </w:rPr>
        <w:t>合众锌业</w:t>
      </w:r>
      <w:proofErr w:type="gramEnd"/>
      <w:r>
        <w:rPr>
          <w:rFonts w:hint="eastAsia"/>
          <w:color w:val="auto"/>
        </w:rPr>
        <w:t>有限公司，北面为空地，东北面</w:t>
      </w:r>
      <w:r>
        <w:rPr>
          <w:rFonts w:hint="eastAsia"/>
          <w:color w:val="auto"/>
        </w:rPr>
        <w:t>25m</w:t>
      </w:r>
      <w:r>
        <w:rPr>
          <w:rFonts w:hint="eastAsia"/>
          <w:color w:val="auto"/>
        </w:rPr>
        <w:t>处为云南振兴实业集团有限责任公司，东南面</w:t>
      </w:r>
      <w:r>
        <w:rPr>
          <w:rFonts w:hint="eastAsia"/>
          <w:color w:val="auto"/>
        </w:rPr>
        <w:t>170m</w:t>
      </w:r>
      <w:r>
        <w:rPr>
          <w:rFonts w:hint="eastAsia"/>
          <w:color w:val="auto"/>
        </w:rPr>
        <w:t>处为振兴铅业，南面</w:t>
      </w:r>
      <w:r>
        <w:rPr>
          <w:rFonts w:hint="eastAsia"/>
          <w:color w:val="auto"/>
        </w:rPr>
        <w:t>120m</w:t>
      </w:r>
      <w:r>
        <w:rPr>
          <w:rFonts w:hint="eastAsia"/>
          <w:color w:val="auto"/>
        </w:rPr>
        <w:t>处为大通电解厂。本项目中试车间北面为公司预留空地，西面为</w:t>
      </w:r>
      <w:r>
        <w:rPr>
          <w:rFonts w:hint="eastAsia"/>
          <w:color w:val="auto"/>
        </w:rPr>
        <w:t>2#</w:t>
      </w:r>
      <w:r>
        <w:rPr>
          <w:rFonts w:hint="eastAsia"/>
          <w:color w:val="auto"/>
        </w:rPr>
        <w:t>配电室、铁精粉库、空置棚等建构筑物，南面为厂区道路、公司污水处理站、污水加药房、水池等，</w:t>
      </w:r>
      <w:proofErr w:type="gramStart"/>
      <w:r>
        <w:rPr>
          <w:rFonts w:hint="eastAsia"/>
          <w:color w:val="auto"/>
        </w:rPr>
        <w:t>东面为</w:t>
      </w:r>
      <w:proofErr w:type="gramEnd"/>
      <w:r>
        <w:rPr>
          <w:rFonts w:hint="eastAsia"/>
          <w:color w:val="auto"/>
        </w:rPr>
        <w:t>公司化验楼。</w:t>
      </w:r>
    </w:p>
    <w:p w14:paraId="7009BD5B" w14:textId="77777777" w:rsidR="009219A0" w:rsidRDefault="00000000">
      <w:pPr>
        <w:ind w:firstLine="560"/>
        <w:rPr>
          <w:color w:val="auto"/>
        </w:rPr>
      </w:pPr>
      <w:proofErr w:type="gramStart"/>
      <w:r>
        <w:rPr>
          <w:rFonts w:hint="eastAsia"/>
          <w:color w:val="auto"/>
        </w:rPr>
        <w:t>创源公司</w:t>
      </w:r>
      <w:proofErr w:type="gramEnd"/>
      <w:r>
        <w:rPr>
          <w:rFonts w:hint="eastAsia"/>
          <w:color w:val="auto"/>
        </w:rPr>
        <w:t>厂区周边</w:t>
      </w:r>
      <w:r>
        <w:rPr>
          <w:rFonts w:hint="eastAsia"/>
          <w:color w:val="auto"/>
        </w:rPr>
        <w:t>500m</w:t>
      </w:r>
      <w:r>
        <w:rPr>
          <w:rFonts w:hint="eastAsia"/>
          <w:color w:val="auto"/>
        </w:rPr>
        <w:t>范围内无学校、医院、超市、车站、文化、体育设施等人员密集的其它重要公共建筑，也没有名胜古迹、风景旅游区、自然保护区、军事禁区、饮用水源保护地等。卫星图如下图</w:t>
      </w:r>
      <w:r>
        <w:rPr>
          <w:rFonts w:hint="eastAsia"/>
          <w:color w:val="auto"/>
        </w:rPr>
        <w:t>2.2-2</w:t>
      </w:r>
      <w:r>
        <w:rPr>
          <w:rFonts w:hint="eastAsia"/>
          <w:color w:val="auto"/>
        </w:rPr>
        <w:t>。</w:t>
      </w:r>
    </w:p>
    <w:p w14:paraId="40B2436C" w14:textId="77777777" w:rsidR="009219A0" w:rsidRDefault="00000000">
      <w:pPr>
        <w:topLinePunct/>
        <w:ind w:firstLineChars="0" w:firstLine="0"/>
        <w:jc w:val="center"/>
        <w:rPr>
          <w:rFonts w:ascii="宋体" w:hAnsi="宋体" w:hint="eastAsia"/>
          <w:color w:val="auto"/>
        </w:rPr>
      </w:pPr>
      <w:r>
        <w:rPr>
          <w:noProof/>
        </w:rPr>
        <w:lastRenderedPageBreak/>
        <w:drawing>
          <wp:inline distT="0" distB="0" distL="0" distR="0" wp14:anchorId="361D549D" wp14:editId="1E43C8C7">
            <wp:extent cx="5399405" cy="5399405"/>
            <wp:effectExtent l="0" t="0" r="0"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42"/>
                    <a:stretch>
                      <a:fillRect/>
                    </a:stretch>
                  </pic:blipFill>
                  <pic:spPr>
                    <a:xfrm>
                      <a:off x="0" y="0"/>
                      <a:ext cx="5400000" cy="5400000"/>
                    </a:xfrm>
                    <a:prstGeom prst="rect">
                      <a:avLst/>
                    </a:prstGeom>
                  </pic:spPr>
                </pic:pic>
              </a:graphicData>
            </a:graphic>
          </wp:inline>
        </w:drawing>
      </w:r>
    </w:p>
    <w:p w14:paraId="11D152E4" w14:textId="77777777" w:rsidR="009219A0" w:rsidRDefault="00000000">
      <w:pPr>
        <w:topLinePunct/>
        <w:ind w:firstLineChars="0" w:firstLine="0"/>
        <w:jc w:val="center"/>
        <w:rPr>
          <w:rFonts w:ascii="宋体" w:hAnsi="宋体" w:hint="eastAsia"/>
          <w:color w:val="auto"/>
        </w:rPr>
      </w:pPr>
      <w:r>
        <w:rPr>
          <w:rFonts w:ascii="宋体" w:hAnsi="宋体" w:hint="eastAsia"/>
          <w:color w:val="auto"/>
        </w:rPr>
        <w:t>图</w:t>
      </w:r>
      <w:r>
        <w:rPr>
          <w:rFonts w:ascii="宋体" w:hAnsi="宋体"/>
          <w:color w:val="auto"/>
        </w:rPr>
        <w:t>2.2</w:t>
      </w:r>
      <w:r>
        <w:rPr>
          <w:rFonts w:ascii="宋体" w:hAnsi="宋体" w:hint="eastAsia"/>
          <w:color w:val="auto"/>
        </w:rPr>
        <w:t>-2项目卫星位置图</w:t>
      </w:r>
    </w:p>
    <w:p w14:paraId="2665A156" w14:textId="77777777" w:rsidR="009219A0" w:rsidRDefault="009219A0">
      <w:pPr>
        <w:widowControl/>
        <w:adjustRightInd/>
        <w:snapToGrid/>
        <w:spacing w:line="240" w:lineRule="auto"/>
        <w:ind w:firstLineChars="0" w:firstLine="0"/>
        <w:jc w:val="left"/>
        <w:rPr>
          <w:rFonts w:ascii="宋体" w:hAnsi="宋体" w:hint="eastAsia"/>
          <w:color w:val="auto"/>
        </w:rPr>
      </w:pPr>
    </w:p>
    <w:p w14:paraId="23EB360A" w14:textId="77777777" w:rsidR="009219A0" w:rsidRDefault="00000000">
      <w:pPr>
        <w:topLinePunct/>
        <w:ind w:firstLineChars="0" w:firstLine="0"/>
        <w:jc w:val="center"/>
        <w:rPr>
          <w:rFonts w:ascii="宋体" w:hAnsi="宋体" w:hint="eastAsia"/>
          <w:color w:val="auto"/>
        </w:rPr>
      </w:pPr>
      <w:r>
        <w:rPr>
          <w:rFonts w:ascii="宋体" w:hAnsi="宋体" w:hint="eastAsia"/>
          <w:color w:val="auto"/>
        </w:rPr>
        <w:t>表</w:t>
      </w:r>
      <w:r>
        <w:rPr>
          <w:rFonts w:ascii="宋体" w:hAnsi="宋体"/>
          <w:color w:val="auto"/>
        </w:rPr>
        <w:t>2.2-</w:t>
      </w:r>
      <w:r>
        <w:rPr>
          <w:rFonts w:ascii="宋体" w:hAnsi="宋体" w:hint="eastAsia"/>
          <w:color w:val="auto"/>
        </w:rPr>
        <w:t>3项目内建（构）筑物与周边环境的防火间距（m）</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0"/>
        <w:gridCol w:w="833"/>
        <w:gridCol w:w="2213"/>
        <w:gridCol w:w="1110"/>
        <w:gridCol w:w="1110"/>
        <w:gridCol w:w="1626"/>
      </w:tblGrid>
      <w:tr w:rsidR="009219A0" w14:paraId="63A33C0A" w14:textId="77777777">
        <w:trPr>
          <w:trHeight w:val="454"/>
        </w:trPr>
        <w:tc>
          <w:tcPr>
            <w:tcW w:w="2180" w:type="dxa"/>
            <w:vAlign w:val="center"/>
          </w:tcPr>
          <w:p w14:paraId="1184D04A"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建构筑物名称</w:t>
            </w:r>
          </w:p>
        </w:tc>
        <w:tc>
          <w:tcPr>
            <w:tcW w:w="833" w:type="dxa"/>
            <w:vAlign w:val="center"/>
          </w:tcPr>
          <w:p w14:paraId="2F375245"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方位</w:t>
            </w:r>
          </w:p>
        </w:tc>
        <w:tc>
          <w:tcPr>
            <w:tcW w:w="2213" w:type="dxa"/>
            <w:vAlign w:val="center"/>
          </w:tcPr>
          <w:p w14:paraId="785BDB0F" w14:textId="77777777" w:rsidR="009219A0" w:rsidRDefault="00000000">
            <w:pPr>
              <w:topLinePunct/>
              <w:spacing w:line="240" w:lineRule="auto"/>
              <w:ind w:firstLineChars="0"/>
              <w:jc w:val="center"/>
              <w:rPr>
                <w:rFonts w:ascii="宋体" w:hAnsi="宋体" w:hint="eastAsia"/>
                <w:b/>
                <w:color w:val="auto"/>
                <w:sz w:val="21"/>
                <w:szCs w:val="21"/>
              </w:rPr>
            </w:pPr>
            <w:r>
              <w:rPr>
                <w:rFonts w:ascii="宋体" w:hAnsi="宋体" w:hint="eastAsia"/>
                <w:b/>
                <w:color w:val="auto"/>
                <w:sz w:val="21"/>
                <w:szCs w:val="21"/>
              </w:rPr>
              <w:t>特定地点名称</w:t>
            </w:r>
          </w:p>
        </w:tc>
        <w:tc>
          <w:tcPr>
            <w:tcW w:w="1110" w:type="dxa"/>
            <w:vAlign w:val="center"/>
          </w:tcPr>
          <w:p w14:paraId="76EFBEEA"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规范距离</w:t>
            </w:r>
          </w:p>
        </w:tc>
        <w:tc>
          <w:tcPr>
            <w:tcW w:w="1110" w:type="dxa"/>
            <w:vAlign w:val="center"/>
          </w:tcPr>
          <w:p w14:paraId="667C0992"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布局距离</w:t>
            </w:r>
          </w:p>
        </w:tc>
        <w:tc>
          <w:tcPr>
            <w:tcW w:w="1626" w:type="dxa"/>
            <w:vAlign w:val="center"/>
          </w:tcPr>
          <w:p w14:paraId="3F881BE7"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符合情况</w:t>
            </w:r>
          </w:p>
        </w:tc>
      </w:tr>
      <w:tr w:rsidR="009219A0" w14:paraId="6E694177" w14:textId="77777777">
        <w:trPr>
          <w:trHeight w:val="438"/>
        </w:trPr>
        <w:tc>
          <w:tcPr>
            <w:tcW w:w="2180" w:type="dxa"/>
            <w:vMerge w:val="restart"/>
            <w:vAlign w:val="center"/>
          </w:tcPr>
          <w:p w14:paraId="084344A5"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中试车间（戊类）</w:t>
            </w:r>
          </w:p>
        </w:tc>
        <w:tc>
          <w:tcPr>
            <w:tcW w:w="833" w:type="dxa"/>
            <w:vAlign w:val="center"/>
          </w:tcPr>
          <w:p w14:paraId="17AD2ED5"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南面</w:t>
            </w:r>
          </w:p>
        </w:tc>
        <w:tc>
          <w:tcPr>
            <w:tcW w:w="2213" w:type="dxa"/>
            <w:vAlign w:val="center"/>
          </w:tcPr>
          <w:p w14:paraId="69EA6064"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污水处理站</w:t>
            </w:r>
          </w:p>
        </w:tc>
        <w:tc>
          <w:tcPr>
            <w:tcW w:w="1110" w:type="dxa"/>
            <w:vAlign w:val="center"/>
          </w:tcPr>
          <w:p w14:paraId="5F80D350" w14:textId="77777777" w:rsidR="009219A0" w:rsidRDefault="00000000">
            <w:pPr>
              <w:adjustRightInd/>
              <w:snapToGrid/>
              <w:spacing w:line="240" w:lineRule="auto"/>
              <w:ind w:firstLineChars="0" w:firstLine="0"/>
              <w:jc w:val="center"/>
              <w:rPr>
                <w:rFonts w:ascii="宋体" w:hAnsi="宋体" w:hint="eastAsia"/>
                <w:b/>
                <w:color w:val="auto"/>
                <w:sz w:val="21"/>
              </w:rPr>
            </w:pPr>
            <w:r>
              <w:rPr>
                <w:rFonts w:ascii="宋体" w:hAnsi="宋体" w:hint="eastAsia"/>
                <w:b/>
                <w:color w:val="auto"/>
                <w:sz w:val="21"/>
              </w:rPr>
              <w:t>--</w:t>
            </w:r>
          </w:p>
        </w:tc>
        <w:tc>
          <w:tcPr>
            <w:tcW w:w="1110" w:type="dxa"/>
            <w:vAlign w:val="center"/>
          </w:tcPr>
          <w:p w14:paraId="6C378EFC" w14:textId="77777777" w:rsidR="009219A0" w:rsidRDefault="00000000">
            <w:pPr>
              <w:adjustRightInd/>
              <w:snapToGrid/>
              <w:spacing w:line="240" w:lineRule="auto"/>
              <w:ind w:firstLineChars="0" w:firstLine="0"/>
              <w:jc w:val="center"/>
              <w:rPr>
                <w:rFonts w:ascii="宋体" w:hAnsi="宋体" w:hint="eastAsia"/>
                <w:color w:val="auto"/>
                <w:sz w:val="21"/>
              </w:rPr>
            </w:pPr>
            <w:r>
              <w:rPr>
                <w:rFonts w:ascii="宋体" w:hAnsi="宋体" w:hint="eastAsia"/>
                <w:color w:val="auto"/>
                <w:sz w:val="21"/>
              </w:rPr>
              <w:t>13.2</w:t>
            </w:r>
          </w:p>
        </w:tc>
        <w:tc>
          <w:tcPr>
            <w:tcW w:w="1626" w:type="dxa"/>
            <w:vAlign w:val="center"/>
          </w:tcPr>
          <w:p w14:paraId="2A753B1B"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符合</w:t>
            </w:r>
          </w:p>
        </w:tc>
      </w:tr>
      <w:tr w:rsidR="009219A0" w14:paraId="53D2F285" w14:textId="77777777">
        <w:trPr>
          <w:trHeight w:val="454"/>
        </w:trPr>
        <w:tc>
          <w:tcPr>
            <w:tcW w:w="2180" w:type="dxa"/>
            <w:vMerge/>
            <w:vAlign w:val="center"/>
          </w:tcPr>
          <w:p w14:paraId="57015715" w14:textId="77777777" w:rsidR="009219A0" w:rsidRDefault="009219A0">
            <w:pPr>
              <w:topLinePunct/>
              <w:spacing w:line="240" w:lineRule="auto"/>
              <w:ind w:firstLineChars="0"/>
              <w:jc w:val="center"/>
              <w:rPr>
                <w:rFonts w:ascii="宋体" w:hAnsi="宋体" w:hint="eastAsia"/>
                <w:color w:val="auto"/>
                <w:sz w:val="21"/>
                <w:szCs w:val="21"/>
              </w:rPr>
            </w:pPr>
          </w:p>
        </w:tc>
        <w:tc>
          <w:tcPr>
            <w:tcW w:w="833" w:type="dxa"/>
            <w:vMerge w:val="restart"/>
            <w:vAlign w:val="center"/>
          </w:tcPr>
          <w:p w14:paraId="6976AD59"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西面</w:t>
            </w:r>
          </w:p>
        </w:tc>
        <w:tc>
          <w:tcPr>
            <w:tcW w:w="2213" w:type="dxa"/>
            <w:vAlign w:val="center"/>
          </w:tcPr>
          <w:p w14:paraId="08E51EAE" w14:textId="77777777" w:rsidR="009219A0" w:rsidRDefault="00000000">
            <w:pPr>
              <w:adjustRightInd/>
              <w:snapToGrid/>
              <w:spacing w:line="240" w:lineRule="auto"/>
              <w:ind w:firstLineChars="0" w:firstLine="0"/>
              <w:jc w:val="center"/>
              <w:rPr>
                <w:rFonts w:ascii="宋体" w:hAnsi="宋体" w:hint="eastAsia"/>
                <w:color w:val="auto"/>
                <w:sz w:val="21"/>
              </w:rPr>
            </w:pPr>
            <w:r>
              <w:rPr>
                <w:rFonts w:ascii="宋体" w:hAnsi="宋体" w:hint="eastAsia"/>
                <w:color w:val="auto"/>
                <w:sz w:val="21"/>
              </w:rPr>
              <w:t>2#</w:t>
            </w:r>
            <w:r>
              <w:rPr>
                <w:rFonts w:ascii="宋体" w:hAnsi="宋体"/>
                <w:color w:val="auto"/>
                <w:sz w:val="21"/>
              </w:rPr>
              <w:t>配电室</w:t>
            </w:r>
          </w:p>
        </w:tc>
        <w:tc>
          <w:tcPr>
            <w:tcW w:w="1110" w:type="dxa"/>
            <w:vAlign w:val="center"/>
          </w:tcPr>
          <w:p w14:paraId="58D6A98A" w14:textId="77777777" w:rsidR="009219A0" w:rsidRDefault="00000000">
            <w:pPr>
              <w:adjustRightInd/>
              <w:snapToGrid/>
              <w:spacing w:line="240" w:lineRule="auto"/>
              <w:ind w:firstLineChars="0" w:firstLine="0"/>
              <w:jc w:val="center"/>
              <w:rPr>
                <w:rFonts w:ascii="宋体" w:hAnsi="宋体" w:hint="eastAsia"/>
                <w:b/>
                <w:color w:val="auto"/>
                <w:sz w:val="21"/>
              </w:rPr>
            </w:pPr>
            <w:r>
              <w:rPr>
                <w:rFonts w:ascii="宋体" w:hAnsi="宋体" w:hint="eastAsia"/>
                <w:b/>
                <w:color w:val="auto"/>
                <w:sz w:val="21"/>
              </w:rPr>
              <w:t>10</w:t>
            </w:r>
          </w:p>
        </w:tc>
        <w:tc>
          <w:tcPr>
            <w:tcW w:w="1110" w:type="dxa"/>
            <w:vAlign w:val="center"/>
          </w:tcPr>
          <w:p w14:paraId="3E32F30B" w14:textId="77777777" w:rsidR="009219A0" w:rsidRDefault="00000000">
            <w:pPr>
              <w:adjustRightInd/>
              <w:snapToGrid/>
              <w:spacing w:line="240" w:lineRule="auto"/>
              <w:ind w:firstLineChars="0" w:firstLine="0"/>
              <w:jc w:val="center"/>
              <w:rPr>
                <w:rFonts w:ascii="宋体" w:hAnsi="宋体" w:hint="eastAsia"/>
                <w:color w:val="auto"/>
                <w:sz w:val="21"/>
              </w:rPr>
            </w:pPr>
            <w:r>
              <w:rPr>
                <w:rFonts w:ascii="宋体" w:hAnsi="宋体" w:hint="eastAsia"/>
                <w:color w:val="auto"/>
                <w:sz w:val="21"/>
              </w:rPr>
              <w:t>31.6</w:t>
            </w:r>
          </w:p>
        </w:tc>
        <w:tc>
          <w:tcPr>
            <w:tcW w:w="1626" w:type="dxa"/>
            <w:vAlign w:val="center"/>
          </w:tcPr>
          <w:p w14:paraId="43A2B3A7"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符合</w:t>
            </w:r>
          </w:p>
        </w:tc>
      </w:tr>
      <w:tr w:rsidR="009219A0" w14:paraId="7FFAE4F7" w14:textId="77777777">
        <w:trPr>
          <w:trHeight w:val="454"/>
        </w:trPr>
        <w:tc>
          <w:tcPr>
            <w:tcW w:w="2180" w:type="dxa"/>
            <w:vMerge/>
            <w:vAlign w:val="center"/>
          </w:tcPr>
          <w:p w14:paraId="5EAEC4E3" w14:textId="77777777" w:rsidR="009219A0" w:rsidRDefault="009219A0">
            <w:pPr>
              <w:topLinePunct/>
              <w:spacing w:line="240" w:lineRule="auto"/>
              <w:ind w:firstLineChars="0"/>
              <w:jc w:val="center"/>
              <w:rPr>
                <w:rFonts w:ascii="宋体" w:hAnsi="宋体" w:hint="eastAsia"/>
                <w:color w:val="auto"/>
                <w:sz w:val="21"/>
                <w:szCs w:val="21"/>
              </w:rPr>
            </w:pPr>
          </w:p>
        </w:tc>
        <w:tc>
          <w:tcPr>
            <w:tcW w:w="833" w:type="dxa"/>
            <w:vMerge/>
            <w:vAlign w:val="center"/>
          </w:tcPr>
          <w:p w14:paraId="71C419DE" w14:textId="77777777" w:rsidR="009219A0" w:rsidRDefault="009219A0">
            <w:pPr>
              <w:topLinePunct/>
              <w:spacing w:line="240" w:lineRule="auto"/>
              <w:ind w:firstLineChars="0" w:firstLine="0"/>
              <w:jc w:val="center"/>
              <w:rPr>
                <w:rFonts w:ascii="宋体" w:hAnsi="宋体" w:hint="eastAsia"/>
                <w:color w:val="auto"/>
                <w:sz w:val="21"/>
                <w:szCs w:val="21"/>
              </w:rPr>
            </w:pPr>
          </w:p>
        </w:tc>
        <w:tc>
          <w:tcPr>
            <w:tcW w:w="2213" w:type="dxa"/>
            <w:vAlign w:val="center"/>
          </w:tcPr>
          <w:p w14:paraId="0B215EF3" w14:textId="77777777" w:rsidR="009219A0" w:rsidRDefault="00000000">
            <w:pPr>
              <w:adjustRightInd/>
              <w:snapToGrid/>
              <w:spacing w:line="240" w:lineRule="auto"/>
              <w:ind w:firstLineChars="0" w:firstLine="0"/>
              <w:jc w:val="center"/>
              <w:rPr>
                <w:rFonts w:ascii="宋体" w:hAnsi="宋体" w:hint="eastAsia"/>
                <w:color w:val="auto"/>
                <w:sz w:val="21"/>
              </w:rPr>
            </w:pPr>
            <w:r>
              <w:rPr>
                <w:rFonts w:ascii="宋体" w:hAnsi="宋体"/>
                <w:color w:val="auto"/>
                <w:sz w:val="21"/>
              </w:rPr>
              <w:t>铁精粉库（戊类）</w:t>
            </w:r>
          </w:p>
        </w:tc>
        <w:tc>
          <w:tcPr>
            <w:tcW w:w="1110" w:type="dxa"/>
            <w:vAlign w:val="center"/>
          </w:tcPr>
          <w:p w14:paraId="1A444927" w14:textId="77777777" w:rsidR="009219A0" w:rsidRDefault="00000000">
            <w:pPr>
              <w:adjustRightInd/>
              <w:snapToGrid/>
              <w:spacing w:line="240" w:lineRule="auto"/>
              <w:ind w:firstLineChars="0" w:firstLine="0"/>
              <w:jc w:val="center"/>
              <w:rPr>
                <w:rFonts w:ascii="宋体" w:hAnsi="宋体" w:hint="eastAsia"/>
                <w:b/>
                <w:color w:val="auto"/>
                <w:sz w:val="21"/>
              </w:rPr>
            </w:pPr>
            <w:r>
              <w:rPr>
                <w:rFonts w:ascii="宋体" w:hAnsi="宋体" w:hint="eastAsia"/>
                <w:b/>
                <w:color w:val="auto"/>
                <w:sz w:val="21"/>
              </w:rPr>
              <w:t>10</w:t>
            </w:r>
          </w:p>
        </w:tc>
        <w:tc>
          <w:tcPr>
            <w:tcW w:w="1110" w:type="dxa"/>
            <w:vAlign w:val="center"/>
          </w:tcPr>
          <w:p w14:paraId="48B70B79" w14:textId="77777777" w:rsidR="009219A0" w:rsidRDefault="00000000">
            <w:pPr>
              <w:adjustRightInd/>
              <w:snapToGrid/>
              <w:spacing w:line="240" w:lineRule="auto"/>
              <w:ind w:firstLineChars="0" w:firstLine="0"/>
              <w:jc w:val="center"/>
              <w:rPr>
                <w:rFonts w:ascii="宋体" w:hAnsi="宋体" w:hint="eastAsia"/>
                <w:color w:val="auto"/>
                <w:sz w:val="21"/>
              </w:rPr>
            </w:pPr>
            <w:r>
              <w:rPr>
                <w:rFonts w:ascii="宋体" w:hAnsi="宋体" w:hint="eastAsia"/>
                <w:color w:val="auto"/>
                <w:sz w:val="21"/>
              </w:rPr>
              <w:t>31.6</w:t>
            </w:r>
          </w:p>
        </w:tc>
        <w:tc>
          <w:tcPr>
            <w:tcW w:w="1626" w:type="dxa"/>
            <w:vAlign w:val="center"/>
          </w:tcPr>
          <w:p w14:paraId="3140048A"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符合</w:t>
            </w:r>
          </w:p>
        </w:tc>
      </w:tr>
      <w:tr w:rsidR="009219A0" w14:paraId="6F629358" w14:textId="77777777">
        <w:trPr>
          <w:trHeight w:val="454"/>
        </w:trPr>
        <w:tc>
          <w:tcPr>
            <w:tcW w:w="2180" w:type="dxa"/>
            <w:vMerge/>
            <w:vAlign w:val="center"/>
          </w:tcPr>
          <w:p w14:paraId="572ED8D5" w14:textId="77777777" w:rsidR="009219A0" w:rsidRDefault="009219A0">
            <w:pPr>
              <w:topLinePunct/>
              <w:spacing w:line="240" w:lineRule="auto"/>
              <w:ind w:firstLineChars="0" w:firstLine="0"/>
              <w:jc w:val="center"/>
              <w:rPr>
                <w:rFonts w:ascii="宋体" w:hAnsi="宋体" w:hint="eastAsia"/>
                <w:color w:val="auto"/>
                <w:sz w:val="21"/>
                <w:szCs w:val="21"/>
              </w:rPr>
            </w:pPr>
          </w:p>
        </w:tc>
        <w:tc>
          <w:tcPr>
            <w:tcW w:w="833" w:type="dxa"/>
            <w:vMerge w:val="restart"/>
            <w:vAlign w:val="center"/>
          </w:tcPr>
          <w:p w14:paraId="3B413C05"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东面</w:t>
            </w:r>
          </w:p>
        </w:tc>
        <w:tc>
          <w:tcPr>
            <w:tcW w:w="2213" w:type="dxa"/>
            <w:vAlign w:val="center"/>
          </w:tcPr>
          <w:p w14:paraId="50A86116"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机修车间（戊类）</w:t>
            </w:r>
          </w:p>
        </w:tc>
        <w:tc>
          <w:tcPr>
            <w:tcW w:w="1110" w:type="dxa"/>
            <w:vAlign w:val="center"/>
          </w:tcPr>
          <w:p w14:paraId="66A15797" w14:textId="77777777" w:rsidR="009219A0" w:rsidRDefault="00000000">
            <w:pPr>
              <w:adjustRightInd/>
              <w:snapToGrid/>
              <w:spacing w:line="240" w:lineRule="auto"/>
              <w:ind w:firstLineChars="0" w:firstLine="0"/>
              <w:jc w:val="center"/>
              <w:rPr>
                <w:rFonts w:ascii="宋体" w:hAnsi="宋体" w:hint="eastAsia"/>
                <w:b/>
                <w:color w:val="auto"/>
                <w:sz w:val="21"/>
              </w:rPr>
            </w:pPr>
            <w:r>
              <w:rPr>
                <w:rFonts w:ascii="宋体" w:hAnsi="宋体" w:hint="eastAsia"/>
                <w:b/>
                <w:color w:val="auto"/>
                <w:sz w:val="21"/>
              </w:rPr>
              <w:t>10</w:t>
            </w:r>
          </w:p>
        </w:tc>
        <w:tc>
          <w:tcPr>
            <w:tcW w:w="1110" w:type="dxa"/>
            <w:vAlign w:val="center"/>
          </w:tcPr>
          <w:p w14:paraId="56AA2A73" w14:textId="77777777" w:rsidR="009219A0" w:rsidRDefault="00000000">
            <w:pPr>
              <w:adjustRightInd/>
              <w:snapToGrid/>
              <w:spacing w:line="240" w:lineRule="auto"/>
              <w:ind w:firstLineChars="0" w:firstLine="0"/>
              <w:jc w:val="center"/>
              <w:rPr>
                <w:rFonts w:ascii="宋体" w:hAnsi="宋体" w:hint="eastAsia"/>
                <w:color w:val="auto"/>
                <w:sz w:val="21"/>
              </w:rPr>
            </w:pPr>
            <w:r>
              <w:rPr>
                <w:rFonts w:ascii="宋体" w:hAnsi="宋体" w:hint="eastAsia"/>
                <w:color w:val="auto"/>
                <w:sz w:val="21"/>
              </w:rPr>
              <w:t>0</w:t>
            </w:r>
          </w:p>
        </w:tc>
        <w:tc>
          <w:tcPr>
            <w:tcW w:w="1626" w:type="dxa"/>
            <w:vAlign w:val="center"/>
          </w:tcPr>
          <w:p w14:paraId="592B5B83"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符合</w:t>
            </w:r>
          </w:p>
        </w:tc>
      </w:tr>
      <w:tr w:rsidR="009219A0" w14:paraId="676D1F2F" w14:textId="77777777">
        <w:trPr>
          <w:trHeight w:val="454"/>
        </w:trPr>
        <w:tc>
          <w:tcPr>
            <w:tcW w:w="2180" w:type="dxa"/>
            <w:vMerge/>
            <w:vAlign w:val="center"/>
          </w:tcPr>
          <w:p w14:paraId="33BB803E" w14:textId="77777777" w:rsidR="009219A0" w:rsidRDefault="009219A0">
            <w:pPr>
              <w:topLinePunct/>
              <w:spacing w:line="240" w:lineRule="auto"/>
              <w:ind w:firstLineChars="0" w:firstLine="0"/>
              <w:jc w:val="center"/>
              <w:rPr>
                <w:rFonts w:ascii="宋体" w:hAnsi="宋体" w:hint="eastAsia"/>
                <w:color w:val="auto"/>
                <w:sz w:val="21"/>
                <w:szCs w:val="21"/>
              </w:rPr>
            </w:pPr>
          </w:p>
        </w:tc>
        <w:tc>
          <w:tcPr>
            <w:tcW w:w="833" w:type="dxa"/>
            <w:vMerge/>
            <w:vAlign w:val="center"/>
          </w:tcPr>
          <w:p w14:paraId="3B33AC4E" w14:textId="77777777" w:rsidR="009219A0" w:rsidRDefault="009219A0">
            <w:pPr>
              <w:topLinePunct/>
              <w:spacing w:line="240" w:lineRule="auto"/>
              <w:ind w:firstLineChars="0" w:firstLine="0"/>
              <w:jc w:val="center"/>
              <w:rPr>
                <w:rFonts w:ascii="宋体" w:hAnsi="宋体" w:hint="eastAsia"/>
                <w:color w:val="auto"/>
                <w:sz w:val="21"/>
                <w:szCs w:val="21"/>
              </w:rPr>
            </w:pPr>
          </w:p>
        </w:tc>
        <w:tc>
          <w:tcPr>
            <w:tcW w:w="2213" w:type="dxa"/>
            <w:vAlign w:val="center"/>
          </w:tcPr>
          <w:p w14:paraId="486607C0"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研究开发中心（民用建筑）</w:t>
            </w:r>
          </w:p>
        </w:tc>
        <w:tc>
          <w:tcPr>
            <w:tcW w:w="1110" w:type="dxa"/>
            <w:vAlign w:val="center"/>
          </w:tcPr>
          <w:p w14:paraId="0D441B4F" w14:textId="77777777" w:rsidR="009219A0" w:rsidRDefault="00000000">
            <w:pPr>
              <w:adjustRightInd/>
              <w:snapToGrid/>
              <w:spacing w:line="240" w:lineRule="auto"/>
              <w:ind w:firstLineChars="0" w:firstLine="0"/>
              <w:jc w:val="center"/>
              <w:rPr>
                <w:rFonts w:ascii="宋体" w:hAnsi="宋体" w:hint="eastAsia"/>
                <w:b/>
                <w:color w:val="auto"/>
                <w:sz w:val="21"/>
              </w:rPr>
            </w:pPr>
            <w:r>
              <w:rPr>
                <w:rFonts w:ascii="宋体" w:hAnsi="宋体" w:hint="eastAsia"/>
                <w:b/>
                <w:color w:val="auto"/>
                <w:sz w:val="21"/>
              </w:rPr>
              <w:t>10</w:t>
            </w:r>
          </w:p>
        </w:tc>
        <w:tc>
          <w:tcPr>
            <w:tcW w:w="1110" w:type="dxa"/>
            <w:vAlign w:val="center"/>
          </w:tcPr>
          <w:p w14:paraId="08D84EEA" w14:textId="77777777" w:rsidR="009219A0" w:rsidRDefault="00000000">
            <w:pPr>
              <w:adjustRightInd/>
              <w:snapToGrid/>
              <w:spacing w:line="240" w:lineRule="auto"/>
              <w:ind w:firstLineChars="0" w:firstLine="0"/>
              <w:jc w:val="center"/>
              <w:rPr>
                <w:rFonts w:ascii="宋体" w:hAnsi="宋体" w:hint="eastAsia"/>
                <w:color w:val="auto"/>
                <w:sz w:val="21"/>
              </w:rPr>
            </w:pPr>
            <w:r>
              <w:rPr>
                <w:rFonts w:ascii="宋体" w:hAnsi="宋体" w:hint="eastAsia"/>
                <w:color w:val="auto"/>
                <w:sz w:val="21"/>
              </w:rPr>
              <w:t>0</w:t>
            </w:r>
          </w:p>
        </w:tc>
        <w:tc>
          <w:tcPr>
            <w:tcW w:w="1626" w:type="dxa"/>
            <w:vAlign w:val="center"/>
          </w:tcPr>
          <w:p w14:paraId="6D5816BC"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符合</w:t>
            </w:r>
          </w:p>
        </w:tc>
      </w:tr>
      <w:tr w:rsidR="009219A0" w14:paraId="7FC32AAA" w14:textId="77777777">
        <w:trPr>
          <w:trHeight w:val="454"/>
        </w:trPr>
        <w:tc>
          <w:tcPr>
            <w:tcW w:w="2180" w:type="dxa"/>
            <w:vAlign w:val="center"/>
          </w:tcPr>
          <w:p w14:paraId="605235B3"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研究开发中心（民用建筑）</w:t>
            </w:r>
          </w:p>
        </w:tc>
        <w:tc>
          <w:tcPr>
            <w:tcW w:w="833" w:type="dxa"/>
            <w:vAlign w:val="center"/>
          </w:tcPr>
          <w:p w14:paraId="4CE2F5E2"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西面</w:t>
            </w:r>
          </w:p>
        </w:tc>
        <w:tc>
          <w:tcPr>
            <w:tcW w:w="2213" w:type="dxa"/>
            <w:vAlign w:val="center"/>
          </w:tcPr>
          <w:p w14:paraId="39FFC17C"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机修车间（戊类）</w:t>
            </w:r>
          </w:p>
        </w:tc>
        <w:tc>
          <w:tcPr>
            <w:tcW w:w="1110" w:type="dxa"/>
            <w:vAlign w:val="center"/>
          </w:tcPr>
          <w:p w14:paraId="23AE787B" w14:textId="77777777" w:rsidR="009219A0" w:rsidRDefault="00000000">
            <w:pPr>
              <w:adjustRightInd/>
              <w:snapToGrid/>
              <w:spacing w:line="240" w:lineRule="auto"/>
              <w:ind w:firstLineChars="0" w:firstLine="0"/>
              <w:jc w:val="center"/>
              <w:rPr>
                <w:rFonts w:ascii="宋体" w:hAnsi="宋体" w:hint="eastAsia"/>
                <w:b/>
                <w:color w:val="auto"/>
                <w:sz w:val="21"/>
              </w:rPr>
            </w:pPr>
            <w:r>
              <w:rPr>
                <w:rFonts w:ascii="宋体" w:hAnsi="宋体" w:hint="eastAsia"/>
                <w:b/>
                <w:color w:val="auto"/>
                <w:sz w:val="21"/>
              </w:rPr>
              <w:t>10</w:t>
            </w:r>
          </w:p>
        </w:tc>
        <w:tc>
          <w:tcPr>
            <w:tcW w:w="1110" w:type="dxa"/>
            <w:vAlign w:val="center"/>
          </w:tcPr>
          <w:p w14:paraId="7750D6A1" w14:textId="77777777" w:rsidR="009219A0" w:rsidRDefault="00000000">
            <w:pPr>
              <w:adjustRightInd/>
              <w:snapToGrid/>
              <w:spacing w:line="240" w:lineRule="auto"/>
              <w:ind w:firstLineChars="0" w:firstLine="0"/>
              <w:jc w:val="center"/>
              <w:rPr>
                <w:rFonts w:ascii="宋体" w:hAnsi="宋体" w:hint="eastAsia"/>
                <w:color w:val="auto"/>
                <w:sz w:val="21"/>
              </w:rPr>
            </w:pPr>
            <w:r>
              <w:rPr>
                <w:rFonts w:ascii="宋体" w:hAnsi="宋体" w:hint="eastAsia"/>
                <w:color w:val="auto"/>
                <w:sz w:val="21"/>
              </w:rPr>
              <w:t>0</w:t>
            </w:r>
          </w:p>
        </w:tc>
        <w:tc>
          <w:tcPr>
            <w:tcW w:w="1626" w:type="dxa"/>
            <w:vAlign w:val="center"/>
          </w:tcPr>
          <w:p w14:paraId="7346D76B"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符合</w:t>
            </w:r>
          </w:p>
        </w:tc>
      </w:tr>
      <w:tr w:rsidR="009219A0" w14:paraId="26C6DFFA" w14:textId="77777777">
        <w:trPr>
          <w:trHeight w:val="454"/>
        </w:trPr>
        <w:tc>
          <w:tcPr>
            <w:tcW w:w="9072" w:type="dxa"/>
            <w:gridSpan w:val="6"/>
            <w:vAlign w:val="center"/>
          </w:tcPr>
          <w:p w14:paraId="7D48B344" w14:textId="77777777" w:rsidR="009219A0" w:rsidRDefault="00000000">
            <w:pPr>
              <w:tabs>
                <w:tab w:val="left" w:pos="7668"/>
                <w:tab w:val="left" w:pos="7810"/>
                <w:tab w:val="left" w:pos="7952"/>
                <w:tab w:val="left" w:pos="8094"/>
                <w:tab w:val="left" w:pos="8236"/>
              </w:tabs>
              <w:topLinePunct/>
              <w:spacing w:line="240" w:lineRule="auto"/>
              <w:ind w:firstLineChars="0" w:firstLine="0"/>
              <w:rPr>
                <w:rFonts w:ascii="宋体" w:hAnsi="宋体" w:hint="eastAsia"/>
                <w:color w:val="auto"/>
                <w:spacing w:val="8"/>
                <w:sz w:val="21"/>
                <w:szCs w:val="21"/>
              </w:rPr>
            </w:pPr>
            <w:r>
              <w:rPr>
                <w:rFonts w:ascii="宋体" w:hAnsi="宋体" w:hint="eastAsia"/>
                <w:color w:val="auto"/>
                <w:spacing w:val="8"/>
                <w:sz w:val="21"/>
                <w:szCs w:val="21"/>
              </w:rPr>
              <w:lastRenderedPageBreak/>
              <w:t>备注：</w:t>
            </w:r>
          </w:p>
          <w:p w14:paraId="69122D1D" w14:textId="77777777" w:rsidR="009219A0" w:rsidRDefault="00000000">
            <w:pPr>
              <w:tabs>
                <w:tab w:val="left" w:pos="7668"/>
                <w:tab w:val="left" w:pos="7810"/>
                <w:tab w:val="left" w:pos="7952"/>
                <w:tab w:val="left" w:pos="8094"/>
                <w:tab w:val="left" w:pos="8236"/>
              </w:tabs>
              <w:topLinePunct/>
              <w:spacing w:line="240" w:lineRule="auto"/>
              <w:ind w:firstLineChars="0" w:firstLine="0"/>
              <w:rPr>
                <w:rFonts w:ascii="宋体" w:hAnsi="宋体" w:hint="eastAsia"/>
                <w:color w:val="auto"/>
                <w:spacing w:val="8"/>
                <w:sz w:val="21"/>
                <w:szCs w:val="21"/>
              </w:rPr>
            </w:pPr>
            <w:r>
              <w:rPr>
                <w:rFonts w:ascii="宋体" w:hAnsi="宋体" w:hint="eastAsia"/>
                <w:color w:val="auto"/>
                <w:spacing w:val="8"/>
                <w:sz w:val="21"/>
                <w:szCs w:val="21"/>
              </w:rPr>
              <w:t>1.上述黑体字部分是规范要求值，其右侧为实测值；</w:t>
            </w:r>
          </w:p>
          <w:p w14:paraId="7959A3A6" w14:textId="77777777" w:rsidR="009219A0" w:rsidRDefault="00000000">
            <w:pPr>
              <w:tabs>
                <w:tab w:val="left" w:pos="7668"/>
                <w:tab w:val="left" w:pos="7810"/>
                <w:tab w:val="left" w:pos="7952"/>
                <w:tab w:val="left" w:pos="8094"/>
                <w:tab w:val="left" w:pos="8236"/>
              </w:tabs>
              <w:topLinePunct/>
              <w:spacing w:line="240" w:lineRule="auto"/>
              <w:ind w:firstLineChars="0" w:firstLine="0"/>
              <w:rPr>
                <w:rFonts w:ascii="宋体" w:hAnsi="宋体" w:hint="eastAsia"/>
                <w:color w:val="auto"/>
                <w:spacing w:val="8"/>
                <w:sz w:val="21"/>
                <w:szCs w:val="21"/>
              </w:rPr>
            </w:pPr>
            <w:r>
              <w:rPr>
                <w:rFonts w:ascii="宋体" w:hAnsi="宋体" w:hint="eastAsia"/>
                <w:color w:val="auto"/>
                <w:spacing w:val="8"/>
                <w:sz w:val="21"/>
                <w:szCs w:val="21"/>
              </w:rPr>
              <w:t>2.规范距离是根据《建筑设计防火规范（2018版）》（GB50016-2014）表3.4.1、第3.4.5条确定。</w:t>
            </w:r>
          </w:p>
          <w:p w14:paraId="7EE809A4" w14:textId="77777777" w:rsidR="009219A0" w:rsidRDefault="00000000">
            <w:pPr>
              <w:pStyle w:val="Default1"/>
              <w:rPr>
                <w:rFonts w:asciiTheme="minorEastAsia" w:eastAsiaTheme="minorEastAsia" w:hAnsiTheme="minorEastAsia"/>
                <w:sz w:val="21"/>
                <w:szCs w:val="21"/>
              </w:rPr>
            </w:pPr>
            <w:r>
              <w:rPr>
                <w:rFonts w:asciiTheme="minorEastAsia" w:eastAsiaTheme="minorEastAsia" w:hAnsiTheme="minorEastAsia"/>
                <w:color w:val="auto"/>
                <w:sz w:val="21"/>
                <w:szCs w:val="21"/>
              </w:rPr>
              <w:t>3.中试车间（戊类）与机修车间（戊类）设置有防火墙分隔，其距离按照</w:t>
            </w:r>
            <w:r>
              <w:rPr>
                <w:rFonts w:ascii="宋体" w:hAnsi="宋体"/>
                <w:color w:val="auto"/>
                <w:spacing w:val="8"/>
                <w:sz w:val="21"/>
                <w:szCs w:val="21"/>
              </w:rPr>
              <w:t>《建筑设计防火规范（2018版）》（GB50016-2014）</w:t>
            </w:r>
            <w:r>
              <w:rPr>
                <w:rFonts w:asciiTheme="minorEastAsia" w:eastAsiaTheme="minorEastAsia" w:hAnsiTheme="minorEastAsia"/>
                <w:color w:val="auto"/>
                <w:sz w:val="21"/>
                <w:szCs w:val="21"/>
              </w:rPr>
              <w:t>表3.4.1“注2：两座厂房相邻较高一面为防火墙，或相邻两座高度相同的一、二级耐火等级建筑中相邻任一侧外墙为防火墙且屋顶耐火等级不低于1.00h时，其防火间距不限”来进行核实；</w:t>
            </w:r>
            <w:r>
              <w:rPr>
                <w:rFonts w:ascii="宋体" w:hAnsi="宋体"/>
                <w:color w:val="auto"/>
                <w:sz w:val="21"/>
                <w:szCs w:val="21"/>
              </w:rPr>
              <w:t>研究开发中心（民用建筑）与机修车间（戊类）设置有防火墙分隔，其距离按照</w:t>
            </w:r>
            <w:r>
              <w:rPr>
                <w:rFonts w:ascii="宋体" w:hAnsi="宋体"/>
                <w:color w:val="auto"/>
                <w:spacing w:val="8"/>
                <w:sz w:val="21"/>
                <w:szCs w:val="21"/>
              </w:rPr>
              <w:t>《建筑设计防火规范（2018版）》（GB50016-2014）第3.4.5条“丙、丁、戊类厂房与民用建筑的耐火等级均为一、二级时，丙、丁、戊类厂房与民用建筑的间距可适当减小，但应符合下列规定：1、当较高一面外墙为无门、窗、洞口的防火墙，或比相邻较低一座建筑屋面高15m及以下范围内的外墙为无门、窗、洞口的防火墙时，其防火间距不限”来进行核实。</w:t>
            </w:r>
          </w:p>
        </w:tc>
      </w:tr>
    </w:tbl>
    <w:p w14:paraId="368B35FD" w14:textId="77777777" w:rsidR="009219A0" w:rsidRDefault="009219A0">
      <w:pPr>
        <w:pStyle w:val="Default1"/>
        <w:rPr>
          <w:rFonts w:hint="default"/>
        </w:rPr>
      </w:pPr>
    </w:p>
    <w:p w14:paraId="15A2FF48" w14:textId="77777777" w:rsidR="009219A0" w:rsidRDefault="00000000">
      <w:pPr>
        <w:pStyle w:val="3"/>
        <w:rPr>
          <w:rFonts w:hint="eastAsia"/>
        </w:rPr>
      </w:pPr>
      <w:bookmarkStart w:id="63" w:name="_Toc211950408"/>
      <w:r>
        <w:t>2.</w:t>
      </w:r>
      <w:r>
        <w:rPr>
          <w:rFonts w:hint="eastAsia"/>
        </w:rPr>
        <w:t>2</w:t>
      </w:r>
      <w:r>
        <w:t>.</w:t>
      </w:r>
      <w:r>
        <w:rPr>
          <w:rFonts w:hint="eastAsia"/>
        </w:rPr>
        <w:t>6 自然条件</w:t>
      </w:r>
      <w:bookmarkEnd w:id="63"/>
    </w:p>
    <w:p w14:paraId="292834DD" w14:textId="77777777" w:rsidR="009219A0" w:rsidRDefault="00000000">
      <w:pPr>
        <w:ind w:firstLine="560"/>
        <w:rPr>
          <w:color w:val="auto"/>
        </w:rPr>
      </w:pPr>
      <w:r>
        <w:rPr>
          <w:rFonts w:hint="eastAsia"/>
          <w:color w:val="auto"/>
        </w:rPr>
        <w:t>（</w:t>
      </w:r>
      <w:r>
        <w:rPr>
          <w:rFonts w:hint="eastAsia"/>
          <w:color w:val="auto"/>
        </w:rPr>
        <w:t>1</w:t>
      </w:r>
      <w:r>
        <w:rPr>
          <w:rFonts w:hint="eastAsia"/>
          <w:color w:val="auto"/>
        </w:rPr>
        <w:t>）气象条件</w:t>
      </w:r>
    </w:p>
    <w:p w14:paraId="0680D59C" w14:textId="77777777" w:rsidR="009219A0" w:rsidRDefault="00000000">
      <w:pPr>
        <w:ind w:firstLine="560"/>
        <w:rPr>
          <w:color w:val="auto"/>
          <w:kern w:val="0"/>
          <w:szCs w:val="28"/>
          <w:u w:color="000000"/>
        </w:rPr>
      </w:pPr>
      <w:r>
        <w:rPr>
          <w:rFonts w:hint="eastAsia"/>
          <w:color w:val="auto"/>
          <w:kern w:val="0"/>
          <w:szCs w:val="28"/>
          <w:u w:color="000000"/>
        </w:rPr>
        <w:t>项目所在地属亚热带偏北高原季风气候区，具有</w:t>
      </w:r>
      <w:r>
        <w:rPr>
          <w:rFonts w:hint="eastAsia"/>
          <w:color w:val="auto"/>
          <w:kern w:val="0"/>
          <w:szCs w:val="28"/>
          <w:u w:color="000000"/>
        </w:rPr>
        <w:t xml:space="preserve"> 5 </w:t>
      </w:r>
      <w:proofErr w:type="gramStart"/>
      <w:r>
        <w:rPr>
          <w:rFonts w:hint="eastAsia"/>
          <w:color w:val="auto"/>
          <w:kern w:val="0"/>
          <w:szCs w:val="28"/>
          <w:u w:color="000000"/>
        </w:rPr>
        <w:t>个</w:t>
      </w:r>
      <w:proofErr w:type="gramEnd"/>
      <w:r>
        <w:rPr>
          <w:rFonts w:hint="eastAsia"/>
          <w:color w:val="auto"/>
          <w:kern w:val="0"/>
          <w:szCs w:val="28"/>
          <w:u w:color="000000"/>
        </w:rPr>
        <w:t>明显的气候特点：一是四季变化不明显，冬无严寒，夏无酷暑；二是干湿季分明，冬春恒温，夏秋多雨；三为年降雨量少；四是年日照时数长；五为海拔悬殊，气候垂直差异明显，水平分布复杂。</w:t>
      </w:r>
    </w:p>
    <w:p w14:paraId="178F748D" w14:textId="77777777" w:rsidR="009219A0" w:rsidRDefault="00000000">
      <w:pPr>
        <w:ind w:firstLine="560"/>
        <w:rPr>
          <w:color w:val="auto"/>
        </w:rPr>
      </w:pPr>
      <w:r>
        <w:rPr>
          <w:rFonts w:hint="eastAsia"/>
          <w:color w:val="auto"/>
          <w:kern w:val="0"/>
          <w:szCs w:val="28"/>
          <w:u w:color="000000"/>
        </w:rPr>
        <w:t>境内多年平均气温</w:t>
      </w:r>
      <w:r>
        <w:rPr>
          <w:rFonts w:hint="eastAsia"/>
          <w:color w:val="auto"/>
          <w:kern w:val="0"/>
          <w:szCs w:val="28"/>
          <w:u w:color="000000"/>
        </w:rPr>
        <w:t xml:space="preserve"> 16.7</w:t>
      </w:r>
      <w:r>
        <w:rPr>
          <w:rFonts w:hint="eastAsia"/>
          <w:color w:val="auto"/>
          <w:kern w:val="0"/>
          <w:szCs w:val="28"/>
          <w:u w:color="000000"/>
        </w:rPr>
        <w:t>℃，极端最高气温</w:t>
      </w:r>
      <w:r>
        <w:rPr>
          <w:rFonts w:hint="eastAsia"/>
          <w:color w:val="auto"/>
          <w:kern w:val="0"/>
          <w:szCs w:val="28"/>
          <w:u w:color="000000"/>
        </w:rPr>
        <w:t xml:space="preserve"> 28.6</w:t>
      </w:r>
      <w:r>
        <w:rPr>
          <w:rFonts w:hint="eastAsia"/>
          <w:color w:val="auto"/>
          <w:kern w:val="0"/>
          <w:szCs w:val="28"/>
          <w:u w:color="000000"/>
        </w:rPr>
        <w:t>℃，极端最低气温</w:t>
      </w:r>
      <w:r>
        <w:rPr>
          <w:rFonts w:hint="eastAsia"/>
          <w:color w:val="auto"/>
          <w:kern w:val="0"/>
          <w:szCs w:val="28"/>
          <w:u w:color="000000"/>
        </w:rPr>
        <w:t xml:space="preserve"> 0.6</w:t>
      </w:r>
      <w:r>
        <w:rPr>
          <w:rFonts w:hint="eastAsia"/>
          <w:color w:val="auto"/>
          <w:kern w:val="0"/>
          <w:szCs w:val="28"/>
          <w:u w:color="000000"/>
        </w:rPr>
        <w:t>℃，最高月平均气温</w:t>
      </w:r>
      <w:r>
        <w:rPr>
          <w:rFonts w:hint="eastAsia"/>
          <w:color w:val="auto"/>
          <w:kern w:val="0"/>
          <w:szCs w:val="28"/>
          <w:u w:color="000000"/>
        </w:rPr>
        <w:t xml:space="preserve"> 23.2</w:t>
      </w:r>
      <w:r>
        <w:rPr>
          <w:rFonts w:hint="eastAsia"/>
          <w:color w:val="auto"/>
          <w:kern w:val="0"/>
          <w:szCs w:val="28"/>
          <w:u w:color="000000"/>
        </w:rPr>
        <w:t>℃（</w:t>
      </w:r>
      <w:r>
        <w:rPr>
          <w:rFonts w:hint="eastAsia"/>
          <w:color w:val="auto"/>
          <w:kern w:val="0"/>
          <w:szCs w:val="28"/>
          <w:u w:color="000000"/>
        </w:rPr>
        <w:t xml:space="preserve">7 </w:t>
      </w:r>
      <w:r>
        <w:rPr>
          <w:rFonts w:hint="eastAsia"/>
          <w:color w:val="auto"/>
          <w:kern w:val="0"/>
          <w:szCs w:val="28"/>
          <w:u w:color="000000"/>
        </w:rPr>
        <w:t>月），最低月平均气温</w:t>
      </w:r>
      <w:r>
        <w:rPr>
          <w:rFonts w:hint="eastAsia"/>
          <w:color w:val="auto"/>
          <w:kern w:val="0"/>
          <w:szCs w:val="28"/>
          <w:u w:color="000000"/>
        </w:rPr>
        <w:t xml:space="preserve"> 12.0</w:t>
      </w:r>
      <w:r>
        <w:rPr>
          <w:rFonts w:hint="eastAsia"/>
          <w:color w:val="auto"/>
          <w:kern w:val="0"/>
          <w:szCs w:val="28"/>
          <w:u w:color="000000"/>
        </w:rPr>
        <w:t>℃（</w:t>
      </w:r>
      <w:r>
        <w:rPr>
          <w:rFonts w:hint="eastAsia"/>
          <w:color w:val="auto"/>
          <w:kern w:val="0"/>
          <w:szCs w:val="28"/>
          <w:u w:color="000000"/>
        </w:rPr>
        <w:t xml:space="preserve">1 </w:t>
      </w:r>
      <w:r>
        <w:rPr>
          <w:rFonts w:hint="eastAsia"/>
          <w:color w:val="auto"/>
          <w:kern w:val="0"/>
          <w:szCs w:val="28"/>
          <w:u w:color="000000"/>
        </w:rPr>
        <w:t>月）；年日照时数</w:t>
      </w:r>
      <w:r>
        <w:rPr>
          <w:rFonts w:hint="eastAsia"/>
          <w:color w:val="auto"/>
          <w:kern w:val="0"/>
          <w:szCs w:val="28"/>
          <w:u w:color="000000"/>
        </w:rPr>
        <w:t xml:space="preserve"> 2145</w:t>
      </w:r>
      <w:r>
        <w:rPr>
          <w:rFonts w:hint="eastAsia"/>
          <w:color w:val="auto"/>
          <w:kern w:val="0"/>
          <w:szCs w:val="28"/>
          <w:u w:color="000000"/>
        </w:rPr>
        <w:t>小时；多年平均降雨量</w:t>
      </w:r>
      <w:r>
        <w:rPr>
          <w:rFonts w:hint="eastAsia"/>
          <w:color w:val="auto"/>
          <w:kern w:val="0"/>
          <w:szCs w:val="28"/>
          <w:u w:color="000000"/>
        </w:rPr>
        <w:t xml:space="preserve"> 1051.1mm</w:t>
      </w:r>
      <w:r>
        <w:rPr>
          <w:rFonts w:hint="eastAsia"/>
          <w:color w:val="auto"/>
          <w:kern w:val="0"/>
          <w:szCs w:val="28"/>
          <w:u w:color="000000"/>
        </w:rPr>
        <w:t>，湿季为</w:t>
      </w:r>
      <w:r>
        <w:rPr>
          <w:rFonts w:hint="eastAsia"/>
          <w:color w:val="auto"/>
          <w:kern w:val="0"/>
          <w:szCs w:val="28"/>
          <w:u w:color="000000"/>
        </w:rPr>
        <w:t xml:space="preserve"> 5</w:t>
      </w:r>
      <w:r>
        <w:rPr>
          <w:rFonts w:hint="eastAsia"/>
          <w:color w:val="auto"/>
          <w:kern w:val="0"/>
          <w:szCs w:val="28"/>
          <w:u w:color="000000"/>
        </w:rPr>
        <w:t>～</w:t>
      </w:r>
      <w:r>
        <w:rPr>
          <w:rFonts w:hint="eastAsia"/>
          <w:color w:val="auto"/>
          <w:kern w:val="0"/>
          <w:szCs w:val="28"/>
          <w:u w:color="000000"/>
        </w:rPr>
        <w:t xml:space="preserve">10 </w:t>
      </w:r>
      <w:r>
        <w:rPr>
          <w:rFonts w:hint="eastAsia"/>
          <w:color w:val="auto"/>
          <w:kern w:val="0"/>
          <w:szCs w:val="28"/>
          <w:u w:color="000000"/>
        </w:rPr>
        <w:t>月，干季为</w:t>
      </w:r>
      <w:r>
        <w:rPr>
          <w:rFonts w:hint="eastAsia"/>
          <w:color w:val="auto"/>
          <w:kern w:val="0"/>
          <w:szCs w:val="28"/>
          <w:u w:color="000000"/>
        </w:rPr>
        <w:t xml:space="preserve"> 11</w:t>
      </w:r>
      <w:r>
        <w:rPr>
          <w:rFonts w:hint="eastAsia"/>
          <w:color w:val="auto"/>
          <w:kern w:val="0"/>
          <w:szCs w:val="28"/>
          <w:u w:color="000000"/>
        </w:rPr>
        <w:t>～</w:t>
      </w:r>
      <w:r>
        <w:rPr>
          <w:rFonts w:hint="eastAsia"/>
          <w:color w:val="auto"/>
          <w:kern w:val="0"/>
          <w:szCs w:val="28"/>
          <w:u w:color="000000"/>
        </w:rPr>
        <w:t xml:space="preserve">4 </w:t>
      </w:r>
      <w:r>
        <w:rPr>
          <w:rFonts w:hint="eastAsia"/>
          <w:color w:val="auto"/>
          <w:kern w:val="0"/>
          <w:szCs w:val="28"/>
          <w:u w:color="000000"/>
        </w:rPr>
        <w:t>月，湿季占年降水量的</w:t>
      </w:r>
      <w:r>
        <w:rPr>
          <w:rFonts w:hint="eastAsia"/>
          <w:color w:val="auto"/>
          <w:kern w:val="0"/>
          <w:szCs w:val="28"/>
          <w:u w:color="000000"/>
        </w:rPr>
        <w:t xml:space="preserve"> 80%</w:t>
      </w:r>
      <w:r>
        <w:rPr>
          <w:rFonts w:hint="eastAsia"/>
          <w:color w:val="auto"/>
          <w:kern w:val="0"/>
          <w:szCs w:val="28"/>
          <w:u w:color="000000"/>
        </w:rPr>
        <w:t>；常年主导风向为南风，年平均风速</w:t>
      </w:r>
      <w:r>
        <w:rPr>
          <w:rFonts w:hint="eastAsia"/>
          <w:color w:val="auto"/>
          <w:kern w:val="0"/>
          <w:szCs w:val="28"/>
          <w:u w:color="000000"/>
        </w:rPr>
        <w:t xml:space="preserve"> 3.7m/s</w:t>
      </w:r>
      <w:r>
        <w:rPr>
          <w:rFonts w:hint="eastAsia"/>
          <w:color w:val="auto"/>
          <w:kern w:val="0"/>
          <w:szCs w:val="28"/>
          <w:u w:color="000000"/>
        </w:rPr>
        <w:t>，月平均风速最大</w:t>
      </w:r>
      <w:r>
        <w:rPr>
          <w:rFonts w:hint="eastAsia"/>
          <w:color w:val="auto"/>
          <w:kern w:val="0"/>
          <w:szCs w:val="28"/>
          <w:u w:color="000000"/>
        </w:rPr>
        <w:t xml:space="preserve"> 24.1m/s</w:t>
      </w:r>
      <w:r>
        <w:rPr>
          <w:rFonts w:hint="eastAsia"/>
          <w:color w:val="auto"/>
          <w:kern w:val="0"/>
          <w:szCs w:val="28"/>
          <w:u w:color="000000"/>
        </w:rPr>
        <w:t>（</w:t>
      </w:r>
      <w:r>
        <w:rPr>
          <w:rFonts w:hint="eastAsia"/>
          <w:color w:val="auto"/>
          <w:kern w:val="0"/>
          <w:szCs w:val="28"/>
          <w:u w:color="000000"/>
        </w:rPr>
        <w:t xml:space="preserve">3 </w:t>
      </w:r>
      <w:r>
        <w:rPr>
          <w:rFonts w:hint="eastAsia"/>
          <w:color w:val="auto"/>
          <w:kern w:val="0"/>
          <w:szCs w:val="28"/>
          <w:u w:color="000000"/>
        </w:rPr>
        <w:t>月）。</w:t>
      </w:r>
    </w:p>
    <w:p w14:paraId="75770582" w14:textId="77777777" w:rsidR="009219A0" w:rsidRDefault="00000000">
      <w:pPr>
        <w:ind w:firstLine="560"/>
        <w:rPr>
          <w:color w:val="auto"/>
        </w:rPr>
      </w:pPr>
      <w:r>
        <w:rPr>
          <w:rFonts w:hint="eastAsia"/>
          <w:color w:val="auto"/>
        </w:rPr>
        <w:t>（</w:t>
      </w:r>
      <w:r>
        <w:rPr>
          <w:rFonts w:hint="eastAsia"/>
          <w:color w:val="auto"/>
        </w:rPr>
        <w:t>2</w:t>
      </w:r>
      <w:r>
        <w:rPr>
          <w:rFonts w:hint="eastAsia"/>
          <w:color w:val="auto"/>
        </w:rPr>
        <w:t>）水文条件</w:t>
      </w:r>
    </w:p>
    <w:p w14:paraId="721B4695" w14:textId="77777777" w:rsidR="009219A0" w:rsidRDefault="00000000">
      <w:pPr>
        <w:ind w:firstLine="560"/>
        <w:rPr>
          <w:color w:val="auto"/>
        </w:rPr>
      </w:pPr>
      <w:r>
        <w:rPr>
          <w:rFonts w:hint="eastAsia"/>
          <w:color w:val="auto"/>
        </w:rPr>
        <w:t>个旧市处于红河水系与南盘江水系的分水岭地段。境内多溪流，分别汇入红河和南盘江。分水岭以南为红河水系，普洒河、贾沙河、</w:t>
      </w:r>
      <w:proofErr w:type="gramStart"/>
      <w:r>
        <w:rPr>
          <w:rFonts w:hint="eastAsia"/>
          <w:color w:val="auto"/>
        </w:rPr>
        <w:t>龙岔河</w:t>
      </w:r>
      <w:proofErr w:type="gramEnd"/>
      <w:r>
        <w:rPr>
          <w:rFonts w:hint="eastAsia"/>
          <w:color w:val="auto"/>
        </w:rPr>
        <w:t>、</w:t>
      </w:r>
      <w:proofErr w:type="gramStart"/>
      <w:r>
        <w:rPr>
          <w:rFonts w:hint="eastAsia"/>
          <w:color w:val="auto"/>
        </w:rPr>
        <w:t>火把河</w:t>
      </w:r>
      <w:proofErr w:type="gramEnd"/>
      <w:r>
        <w:rPr>
          <w:rFonts w:hint="eastAsia"/>
          <w:color w:val="auto"/>
        </w:rPr>
        <w:t>向南汇入红河。分水岭以北为南盘江的支流水系。乍</w:t>
      </w:r>
      <w:proofErr w:type="gramStart"/>
      <w:r>
        <w:rPr>
          <w:rFonts w:hint="eastAsia"/>
          <w:color w:val="auto"/>
        </w:rPr>
        <w:t>甸</w:t>
      </w:r>
      <w:proofErr w:type="gramEnd"/>
      <w:r>
        <w:rPr>
          <w:rFonts w:hint="eastAsia"/>
          <w:color w:val="auto"/>
        </w:rPr>
        <w:t>河、</w:t>
      </w:r>
      <w:proofErr w:type="gramStart"/>
      <w:r>
        <w:rPr>
          <w:rFonts w:hint="eastAsia"/>
          <w:color w:val="auto"/>
        </w:rPr>
        <w:t>绿冲河</w:t>
      </w:r>
      <w:proofErr w:type="gramEnd"/>
      <w:r>
        <w:rPr>
          <w:rFonts w:hint="eastAsia"/>
          <w:color w:val="auto"/>
        </w:rPr>
        <w:t>、沙</w:t>
      </w:r>
      <w:proofErr w:type="gramStart"/>
      <w:r>
        <w:rPr>
          <w:rFonts w:hint="eastAsia"/>
          <w:color w:val="auto"/>
        </w:rPr>
        <w:t>甸</w:t>
      </w:r>
      <w:proofErr w:type="gramEnd"/>
      <w:r>
        <w:rPr>
          <w:rFonts w:hint="eastAsia"/>
          <w:color w:val="auto"/>
        </w:rPr>
        <w:t>河注入沙江向北汇入南盘江。以上河流均为山区河流，河床狭窄，比降较大，旱季干枯，雨季暴涨。个旧市东北部有益地湖泊大屯海，市区中部有个旧湖。此外，个旧市地下水资源丰富，根据区域水文地质普查，个</w:t>
      </w:r>
      <w:r>
        <w:rPr>
          <w:rFonts w:hint="eastAsia"/>
          <w:color w:val="auto"/>
        </w:rPr>
        <w:lastRenderedPageBreak/>
        <w:t>旧市有暗河</w:t>
      </w:r>
      <w:r>
        <w:rPr>
          <w:rFonts w:hint="eastAsia"/>
          <w:color w:val="auto"/>
        </w:rPr>
        <w:t>6</w:t>
      </w:r>
      <w:r>
        <w:rPr>
          <w:rFonts w:hint="eastAsia"/>
          <w:color w:val="auto"/>
        </w:rPr>
        <w:t>条，龙潭</w:t>
      </w:r>
      <w:r>
        <w:rPr>
          <w:rFonts w:hint="eastAsia"/>
          <w:color w:val="auto"/>
        </w:rPr>
        <w:t>57</w:t>
      </w:r>
      <w:r>
        <w:rPr>
          <w:rFonts w:hint="eastAsia"/>
          <w:color w:val="auto"/>
        </w:rPr>
        <w:t>个，热泉</w:t>
      </w:r>
      <w:r>
        <w:rPr>
          <w:rFonts w:hint="eastAsia"/>
          <w:color w:val="auto"/>
        </w:rPr>
        <w:t>3</w:t>
      </w:r>
      <w:r>
        <w:rPr>
          <w:rFonts w:hint="eastAsia"/>
          <w:color w:val="auto"/>
        </w:rPr>
        <w:t>个。</w:t>
      </w:r>
    </w:p>
    <w:p w14:paraId="1B6FB3CC" w14:textId="77777777" w:rsidR="009219A0" w:rsidRDefault="00000000">
      <w:pPr>
        <w:ind w:firstLine="560"/>
        <w:rPr>
          <w:color w:val="auto"/>
        </w:rPr>
      </w:pPr>
      <w:r>
        <w:rPr>
          <w:rFonts w:hint="eastAsia"/>
          <w:color w:val="auto"/>
        </w:rPr>
        <w:t>项目所在区域范围内水系属南盘江水系，其二级支流由东南向西南厂区东侧约</w:t>
      </w:r>
      <w:r>
        <w:rPr>
          <w:rFonts w:hint="eastAsia"/>
          <w:color w:val="auto"/>
        </w:rPr>
        <w:t>2.5km</w:t>
      </w:r>
      <w:r>
        <w:rPr>
          <w:rFonts w:hint="eastAsia"/>
          <w:color w:val="auto"/>
        </w:rPr>
        <w:t>流过，由</w:t>
      </w:r>
      <w:proofErr w:type="gramStart"/>
      <w:r>
        <w:rPr>
          <w:rFonts w:hint="eastAsia"/>
          <w:color w:val="auto"/>
        </w:rPr>
        <w:t>团坡汇入沙甸</w:t>
      </w:r>
      <w:proofErr w:type="gramEnd"/>
      <w:r>
        <w:rPr>
          <w:rFonts w:hint="eastAsia"/>
          <w:color w:val="auto"/>
        </w:rPr>
        <w:t>河，沙</w:t>
      </w:r>
      <w:proofErr w:type="gramStart"/>
      <w:r>
        <w:rPr>
          <w:rFonts w:hint="eastAsia"/>
          <w:color w:val="auto"/>
        </w:rPr>
        <w:t>甸</w:t>
      </w:r>
      <w:proofErr w:type="gramEnd"/>
      <w:r>
        <w:rPr>
          <w:rFonts w:hint="eastAsia"/>
          <w:color w:val="auto"/>
        </w:rPr>
        <w:t>河发源于个旧市白云山，由南向北经乍</w:t>
      </w:r>
      <w:proofErr w:type="gramStart"/>
      <w:r>
        <w:rPr>
          <w:rFonts w:hint="eastAsia"/>
          <w:color w:val="auto"/>
        </w:rPr>
        <w:t>甸</w:t>
      </w:r>
      <w:proofErr w:type="gramEnd"/>
      <w:r>
        <w:rPr>
          <w:rFonts w:hint="eastAsia"/>
          <w:color w:val="auto"/>
        </w:rPr>
        <w:t>、鸡街、沙</w:t>
      </w:r>
      <w:proofErr w:type="gramStart"/>
      <w:r>
        <w:rPr>
          <w:rFonts w:hint="eastAsia"/>
          <w:color w:val="auto"/>
        </w:rPr>
        <w:t>甸</w:t>
      </w:r>
      <w:proofErr w:type="gramEnd"/>
      <w:r>
        <w:rPr>
          <w:rFonts w:hint="eastAsia"/>
          <w:color w:val="auto"/>
        </w:rPr>
        <w:t>、石岩寨，于倘</w:t>
      </w:r>
      <w:proofErr w:type="gramStart"/>
      <w:r>
        <w:rPr>
          <w:rFonts w:hint="eastAsia"/>
          <w:color w:val="auto"/>
        </w:rPr>
        <w:t>甸</w:t>
      </w:r>
      <w:proofErr w:type="gramEnd"/>
      <w:r>
        <w:rPr>
          <w:rFonts w:hint="eastAsia"/>
          <w:color w:val="auto"/>
        </w:rPr>
        <w:t>汇入</w:t>
      </w:r>
      <w:proofErr w:type="gramStart"/>
      <w:r>
        <w:rPr>
          <w:rFonts w:hint="eastAsia"/>
          <w:color w:val="auto"/>
        </w:rPr>
        <w:t>泸</w:t>
      </w:r>
      <w:proofErr w:type="gramEnd"/>
      <w:r>
        <w:rPr>
          <w:rFonts w:hint="eastAsia"/>
          <w:color w:val="auto"/>
        </w:rPr>
        <w:t>江河，全长</w:t>
      </w:r>
      <w:r>
        <w:rPr>
          <w:rFonts w:hint="eastAsia"/>
          <w:color w:val="auto"/>
        </w:rPr>
        <w:t>15km</w:t>
      </w:r>
      <w:r>
        <w:rPr>
          <w:rFonts w:hint="eastAsia"/>
          <w:color w:val="auto"/>
        </w:rPr>
        <w:t>，汇水区面积</w:t>
      </w:r>
      <w:r>
        <w:rPr>
          <w:rFonts w:hint="eastAsia"/>
          <w:color w:val="auto"/>
        </w:rPr>
        <w:t>139.7km</w:t>
      </w:r>
      <w:r>
        <w:rPr>
          <w:rFonts w:hint="eastAsia"/>
          <w:color w:val="auto"/>
          <w:vertAlign w:val="superscript"/>
        </w:rPr>
        <w:t>2</w:t>
      </w:r>
      <w:r>
        <w:rPr>
          <w:rFonts w:hint="eastAsia"/>
          <w:color w:val="auto"/>
        </w:rPr>
        <w:t>。</w:t>
      </w:r>
    </w:p>
    <w:p w14:paraId="275161B7" w14:textId="77777777" w:rsidR="009219A0" w:rsidRDefault="00000000">
      <w:pPr>
        <w:ind w:firstLine="560"/>
        <w:rPr>
          <w:color w:val="auto"/>
        </w:rPr>
      </w:pPr>
      <w:r>
        <w:rPr>
          <w:rFonts w:hint="eastAsia"/>
          <w:color w:val="auto"/>
        </w:rPr>
        <w:t>（</w:t>
      </w:r>
      <w:r>
        <w:rPr>
          <w:rFonts w:hint="eastAsia"/>
          <w:color w:val="auto"/>
        </w:rPr>
        <w:t>3</w:t>
      </w:r>
      <w:r>
        <w:rPr>
          <w:rFonts w:hint="eastAsia"/>
          <w:color w:val="auto"/>
        </w:rPr>
        <w:t>）地质条件</w:t>
      </w:r>
    </w:p>
    <w:p w14:paraId="781E83B1" w14:textId="77777777" w:rsidR="009219A0" w:rsidRDefault="00000000">
      <w:pPr>
        <w:ind w:firstLine="560"/>
        <w:rPr>
          <w:color w:val="auto"/>
        </w:rPr>
      </w:pPr>
      <w:r>
        <w:rPr>
          <w:rFonts w:hint="eastAsia"/>
          <w:color w:val="auto"/>
        </w:rPr>
        <w:t>个旧市位于滇中湖盆高原的南部，属高山丘陵地区，北部平坦，南部受红河及其支流的切割，地表较破碎。境内山脉连绵，且无明显走向规律，多为块状山地，山区面积占全市面积的</w:t>
      </w:r>
      <w:r>
        <w:rPr>
          <w:rFonts w:hint="eastAsia"/>
          <w:color w:val="auto"/>
        </w:rPr>
        <w:t>95%</w:t>
      </w:r>
      <w:r>
        <w:rPr>
          <w:rFonts w:hint="eastAsia"/>
          <w:color w:val="auto"/>
        </w:rPr>
        <w:t>，区内最高点为莲花山，海拔</w:t>
      </w:r>
      <w:r>
        <w:rPr>
          <w:rFonts w:hint="eastAsia"/>
          <w:color w:val="auto"/>
        </w:rPr>
        <w:t>2740m</w:t>
      </w:r>
      <w:r>
        <w:rPr>
          <w:rFonts w:hint="eastAsia"/>
          <w:color w:val="auto"/>
        </w:rPr>
        <w:t>，最低点为蔓耗镇，海拔</w:t>
      </w:r>
      <w:r>
        <w:rPr>
          <w:rFonts w:hint="eastAsia"/>
          <w:color w:val="auto"/>
        </w:rPr>
        <w:t>160m</w:t>
      </w:r>
      <w:r>
        <w:rPr>
          <w:rFonts w:hint="eastAsia"/>
          <w:color w:val="auto"/>
        </w:rPr>
        <w:t>，市区为一盲谷，海拔</w:t>
      </w:r>
      <w:r>
        <w:rPr>
          <w:rFonts w:hint="eastAsia"/>
          <w:color w:val="auto"/>
        </w:rPr>
        <w:t>1690m</w:t>
      </w:r>
      <w:r>
        <w:rPr>
          <w:rFonts w:hint="eastAsia"/>
          <w:color w:val="auto"/>
        </w:rPr>
        <w:t>。依据地貌形态及海拔将项目区划分为三个地貌单元。</w:t>
      </w:r>
    </w:p>
    <w:p w14:paraId="45AF11D0" w14:textId="77777777" w:rsidR="009219A0" w:rsidRDefault="00000000">
      <w:pPr>
        <w:ind w:firstLine="560"/>
        <w:rPr>
          <w:color w:val="auto"/>
        </w:rPr>
      </w:pPr>
      <w:proofErr w:type="gramStart"/>
      <w:r>
        <w:rPr>
          <w:rFonts w:hint="eastAsia"/>
          <w:color w:val="auto"/>
        </w:rPr>
        <w:t>创源公司</w:t>
      </w:r>
      <w:proofErr w:type="gramEnd"/>
      <w:r>
        <w:rPr>
          <w:rFonts w:hint="eastAsia"/>
          <w:color w:val="auto"/>
        </w:rPr>
        <w:t>所处地形海拔高度</w:t>
      </w:r>
      <w:r>
        <w:rPr>
          <w:rFonts w:hint="eastAsia"/>
          <w:color w:val="auto"/>
        </w:rPr>
        <w:t>1280m</w:t>
      </w:r>
      <w:r>
        <w:rPr>
          <w:rFonts w:hint="eastAsia"/>
          <w:color w:val="auto"/>
        </w:rPr>
        <w:t>，地质为泥夹石地层，地表下</w:t>
      </w:r>
      <w:r>
        <w:rPr>
          <w:rFonts w:hint="eastAsia"/>
          <w:color w:val="auto"/>
        </w:rPr>
        <w:t>10</w:t>
      </w:r>
      <w:r>
        <w:rPr>
          <w:rFonts w:hint="eastAsia"/>
          <w:color w:val="auto"/>
        </w:rPr>
        <w:t>～</w:t>
      </w:r>
      <w:r>
        <w:rPr>
          <w:rFonts w:hint="eastAsia"/>
          <w:color w:val="auto"/>
        </w:rPr>
        <w:t>20m</w:t>
      </w:r>
      <w:r>
        <w:rPr>
          <w:rFonts w:hint="eastAsia"/>
          <w:color w:val="auto"/>
        </w:rPr>
        <w:t>为</w:t>
      </w:r>
      <w:proofErr w:type="gramStart"/>
      <w:r>
        <w:rPr>
          <w:rFonts w:hint="eastAsia"/>
          <w:color w:val="auto"/>
        </w:rPr>
        <w:t>砂夹膨</w:t>
      </w:r>
      <w:proofErr w:type="gramEnd"/>
      <w:r>
        <w:rPr>
          <w:rFonts w:hint="eastAsia"/>
          <w:color w:val="auto"/>
        </w:rPr>
        <w:t>土层，以下为</w:t>
      </w:r>
      <w:proofErr w:type="gramStart"/>
      <w:r>
        <w:rPr>
          <w:rFonts w:hint="eastAsia"/>
          <w:color w:val="auto"/>
        </w:rPr>
        <w:t>石夹岩地层</w:t>
      </w:r>
      <w:proofErr w:type="gramEnd"/>
      <w:r>
        <w:rPr>
          <w:rFonts w:hint="eastAsia"/>
          <w:color w:val="auto"/>
        </w:rPr>
        <w:t>，本项目</w:t>
      </w:r>
      <w:proofErr w:type="gramStart"/>
      <w:r>
        <w:rPr>
          <w:rFonts w:hint="eastAsia"/>
          <w:color w:val="auto"/>
        </w:rPr>
        <w:t>利用创源公司</w:t>
      </w:r>
      <w:proofErr w:type="gramEnd"/>
      <w:r>
        <w:rPr>
          <w:rFonts w:hint="eastAsia"/>
          <w:color w:val="auto"/>
        </w:rPr>
        <w:t>原有场地进行建设，其地质结构不影响项目的建设。</w:t>
      </w:r>
    </w:p>
    <w:p w14:paraId="684B43C8" w14:textId="77777777" w:rsidR="009219A0" w:rsidRDefault="00000000">
      <w:pPr>
        <w:ind w:firstLine="560"/>
        <w:rPr>
          <w:color w:val="auto"/>
        </w:rPr>
      </w:pPr>
      <w:r>
        <w:rPr>
          <w:rFonts w:hint="eastAsia"/>
          <w:color w:val="auto"/>
        </w:rPr>
        <w:t>根据《建筑抗震设计标准（</w:t>
      </w:r>
      <w:r>
        <w:rPr>
          <w:rFonts w:hint="eastAsia"/>
          <w:color w:val="auto"/>
        </w:rPr>
        <w:t>2024</w:t>
      </w:r>
      <w:r>
        <w:rPr>
          <w:rFonts w:hint="eastAsia"/>
          <w:color w:val="auto"/>
        </w:rPr>
        <w:t>年版）》（</w:t>
      </w:r>
      <w:r>
        <w:rPr>
          <w:rFonts w:hint="eastAsia"/>
          <w:color w:val="auto"/>
        </w:rPr>
        <w:t>GB50011-2010</w:t>
      </w:r>
      <w:r>
        <w:rPr>
          <w:rFonts w:hint="eastAsia"/>
          <w:color w:val="auto"/>
        </w:rPr>
        <w:t>）附录</w:t>
      </w:r>
      <w:r>
        <w:rPr>
          <w:rFonts w:hint="eastAsia"/>
          <w:color w:val="auto"/>
        </w:rPr>
        <w:t>A</w:t>
      </w:r>
      <w:r>
        <w:rPr>
          <w:rFonts w:hint="eastAsia"/>
          <w:color w:val="auto"/>
        </w:rPr>
        <w:t>，个旧市地震基本烈度为</w:t>
      </w:r>
      <w:r>
        <w:rPr>
          <w:rFonts w:hint="eastAsia"/>
          <w:color w:val="auto"/>
        </w:rPr>
        <w:t>7</w:t>
      </w:r>
      <w:r>
        <w:rPr>
          <w:rFonts w:hint="eastAsia"/>
          <w:color w:val="auto"/>
        </w:rPr>
        <w:t>度，设计基本地震加速度值</w:t>
      </w:r>
      <w:r>
        <w:rPr>
          <w:rFonts w:hint="eastAsia"/>
          <w:color w:val="auto"/>
        </w:rPr>
        <w:t>0.15g</w:t>
      </w:r>
      <w:r>
        <w:rPr>
          <w:rFonts w:hint="eastAsia"/>
          <w:color w:val="auto"/>
        </w:rPr>
        <w:t>，设计地震分组第三组。</w:t>
      </w:r>
    </w:p>
    <w:p w14:paraId="2A744D16" w14:textId="77777777" w:rsidR="009219A0" w:rsidRDefault="00000000">
      <w:pPr>
        <w:pStyle w:val="3"/>
        <w:rPr>
          <w:rFonts w:hint="eastAsia"/>
        </w:rPr>
      </w:pPr>
      <w:bookmarkStart w:id="64" w:name="_Toc211950409"/>
      <w:r>
        <w:t>2.</w:t>
      </w:r>
      <w:r>
        <w:rPr>
          <w:rFonts w:hint="eastAsia"/>
        </w:rPr>
        <w:t>2</w:t>
      </w:r>
      <w:r>
        <w:t>.</w:t>
      </w:r>
      <w:r>
        <w:rPr>
          <w:rFonts w:hint="eastAsia"/>
        </w:rPr>
        <w:t>7</w:t>
      </w:r>
      <w:r>
        <w:t xml:space="preserve"> </w:t>
      </w:r>
      <w:r>
        <w:rPr>
          <w:rFonts w:hint="eastAsia"/>
        </w:rPr>
        <w:t>平面布置</w:t>
      </w:r>
      <w:bookmarkEnd w:id="64"/>
    </w:p>
    <w:p w14:paraId="4ABE2161" w14:textId="77777777" w:rsidR="009219A0" w:rsidRDefault="00000000">
      <w:pPr>
        <w:ind w:firstLine="560"/>
        <w:rPr>
          <w:color w:val="auto"/>
          <w:lang w:val="zh-CN"/>
        </w:rPr>
      </w:pPr>
      <w:r>
        <w:rPr>
          <w:rFonts w:hint="eastAsia"/>
          <w:color w:val="auto"/>
          <w:lang w:val="zh-CN"/>
        </w:rPr>
        <w:t>本项目在个旧</w:t>
      </w:r>
      <w:proofErr w:type="gramStart"/>
      <w:r>
        <w:rPr>
          <w:rFonts w:hint="eastAsia"/>
          <w:color w:val="auto"/>
          <w:lang w:val="zh-CN"/>
        </w:rPr>
        <w:t>市创源科技</w:t>
      </w:r>
      <w:proofErr w:type="gramEnd"/>
      <w:r>
        <w:rPr>
          <w:rFonts w:hint="eastAsia"/>
          <w:color w:val="auto"/>
          <w:lang w:val="zh-CN"/>
        </w:rPr>
        <w:t>有限公司现有厂房内进行建设，土地类型为工业用地。本项目将原未验收项目（铁粉中和净化水及尾气吸收参数考察中试装置项目）的中试车间扩建至</w:t>
      </w:r>
      <w:r>
        <w:rPr>
          <w:rFonts w:hint="eastAsia"/>
          <w:color w:val="auto"/>
          <w:lang w:val="zh-CN"/>
        </w:rPr>
        <w:t xml:space="preserve"> 6500m</w:t>
      </w:r>
      <w:r>
        <w:rPr>
          <w:rFonts w:hint="eastAsia"/>
          <w:color w:val="auto"/>
          <w:vertAlign w:val="superscript"/>
          <w:lang w:val="zh-CN"/>
        </w:rPr>
        <w:t>2</w:t>
      </w:r>
      <w:r>
        <w:rPr>
          <w:rFonts w:hint="eastAsia"/>
          <w:color w:val="auto"/>
          <w:lang w:val="zh-CN"/>
        </w:rPr>
        <w:t>，中试车间为</w:t>
      </w:r>
      <w:r>
        <w:rPr>
          <w:rFonts w:hint="eastAsia"/>
          <w:color w:val="auto"/>
          <w:lang w:val="zh-CN"/>
        </w:rPr>
        <w:t>1</w:t>
      </w:r>
      <w:r>
        <w:rPr>
          <w:rFonts w:hint="eastAsia"/>
          <w:color w:val="auto"/>
          <w:lang w:val="zh-CN"/>
        </w:rPr>
        <w:t>栋钢架结构封闭厂房，西侧设有一处出入口，厂房设置有原料堆放区、装置区等功能区；同时利用厂区已建的</w:t>
      </w:r>
      <w:r>
        <w:rPr>
          <w:rFonts w:hint="eastAsia"/>
          <w:color w:val="auto"/>
          <w:lang w:val="zh-CN"/>
        </w:rPr>
        <w:t>1</w:t>
      </w:r>
      <w:r>
        <w:rPr>
          <w:rFonts w:hint="eastAsia"/>
          <w:color w:val="auto"/>
          <w:lang w:val="zh-CN"/>
        </w:rPr>
        <w:t>座</w:t>
      </w:r>
      <w:r>
        <w:rPr>
          <w:rFonts w:hint="eastAsia"/>
          <w:color w:val="auto"/>
          <w:lang w:val="zh-CN"/>
        </w:rPr>
        <w:t>2</w:t>
      </w:r>
      <w:r>
        <w:rPr>
          <w:rFonts w:hint="eastAsia"/>
          <w:color w:val="auto"/>
          <w:lang w:val="zh-CN"/>
        </w:rPr>
        <w:t>层的管理用房（建筑面积</w:t>
      </w:r>
      <w:r>
        <w:rPr>
          <w:rFonts w:hint="eastAsia"/>
          <w:color w:val="auto"/>
          <w:lang w:val="zh-CN"/>
        </w:rPr>
        <w:t xml:space="preserve"> 400m</w:t>
      </w:r>
      <w:r>
        <w:rPr>
          <w:rFonts w:hint="eastAsia"/>
          <w:color w:val="auto"/>
          <w:vertAlign w:val="superscript"/>
          <w:lang w:val="zh-CN"/>
        </w:rPr>
        <w:t>2</w:t>
      </w:r>
      <w:r>
        <w:rPr>
          <w:rFonts w:hint="eastAsia"/>
          <w:color w:val="auto"/>
          <w:lang w:val="zh-CN"/>
        </w:rPr>
        <w:t>）</w:t>
      </w:r>
      <w:r>
        <w:rPr>
          <w:rFonts w:hint="eastAsia"/>
          <w:color w:val="auto"/>
          <w:lang w:val="zh-CN"/>
        </w:rPr>
        <w:t>2</w:t>
      </w:r>
      <w:r>
        <w:rPr>
          <w:rFonts w:hint="eastAsia"/>
          <w:color w:val="auto"/>
          <w:lang w:val="zh-CN"/>
        </w:rPr>
        <w:t>楼房间用作研发中心实验室，研发中心实验室位于中试车间东侧。实验室承担研究开发任务。中试车间南侧、西侧，研发中心实验楼南侧均有厂区道路，交通</w:t>
      </w:r>
      <w:r>
        <w:rPr>
          <w:rFonts w:hint="eastAsia"/>
          <w:color w:val="auto"/>
          <w:lang w:val="zh-CN"/>
        </w:rPr>
        <w:lastRenderedPageBreak/>
        <w:t>较为方便。</w:t>
      </w:r>
    </w:p>
    <w:p w14:paraId="7B135EA6" w14:textId="77777777" w:rsidR="009219A0" w:rsidRDefault="00000000">
      <w:pPr>
        <w:ind w:firstLine="560"/>
        <w:rPr>
          <w:color w:val="auto"/>
          <w:lang w:val="zh-CN"/>
        </w:rPr>
      </w:pPr>
      <w:r>
        <w:rPr>
          <w:rFonts w:hint="eastAsia"/>
          <w:color w:val="auto"/>
          <w:lang w:val="zh-CN"/>
        </w:rPr>
        <w:t>（</w:t>
      </w:r>
      <w:r>
        <w:rPr>
          <w:rFonts w:hint="eastAsia"/>
          <w:color w:val="auto"/>
          <w:lang w:val="zh-CN"/>
        </w:rPr>
        <w:t>1</w:t>
      </w:r>
      <w:r>
        <w:rPr>
          <w:rFonts w:hint="eastAsia"/>
          <w:color w:val="auto"/>
          <w:lang w:val="zh-CN"/>
        </w:rPr>
        <w:t>）火灾危险性分类：</w:t>
      </w:r>
    </w:p>
    <w:p w14:paraId="31231365" w14:textId="77777777" w:rsidR="009219A0" w:rsidRDefault="00000000">
      <w:pPr>
        <w:ind w:firstLine="560"/>
        <w:rPr>
          <w:color w:val="auto"/>
          <w:lang w:val="zh-CN"/>
        </w:rPr>
      </w:pPr>
      <w:r>
        <w:rPr>
          <w:rFonts w:hint="eastAsia"/>
          <w:color w:val="auto"/>
          <w:lang w:val="zh-CN"/>
        </w:rPr>
        <w:t>本项目涉及建构筑物研发中心实验楼为民用建筑，中试车间火灾危险性分类为戊类。</w:t>
      </w:r>
    </w:p>
    <w:p w14:paraId="29ABE4BB" w14:textId="77777777" w:rsidR="009219A0" w:rsidRDefault="00000000">
      <w:pPr>
        <w:topLinePunct/>
        <w:ind w:firstLine="560"/>
        <w:rPr>
          <w:snapToGrid w:val="0"/>
          <w:color w:val="auto"/>
          <w:kern w:val="0"/>
          <w:szCs w:val="28"/>
        </w:rPr>
      </w:pPr>
      <w:r>
        <w:rPr>
          <w:rFonts w:hint="eastAsia"/>
          <w:snapToGrid w:val="0"/>
          <w:color w:val="auto"/>
          <w:kern w:val="0"/>
          <w:szCs w:val="28"/>
        </w:rPr>
        <w:t>（</w:t>
      </w:r>
      <w:r>
        <w:rPr>
          <w:rFonts w:hint="eastAsia"/>
          <w:snapToGrid w:val="0"/>
          <w:color w:val="auto"/>
          <w:kern w:val="0"/>
          <w:szCs w:val="28"/>
        </w:rPr>
        <w:t>2</w:t>
      </w:r>
      <w:r>
        <w:rPr>
          <w:rFonts w:hint="eastAsia"/>
          <w:snapToGrid w:val="0"/>
          <w:color w:val="auto"/>
          <w:kern w:val="0"/>
          <w:szCs w:val="28"/>
        </w:rPr>
        <w:t>）建构筑物间距设置：</w:t>
      </w:r>
    </w:p>
    <w:p w14:paraId="4272A802" w14:textId="77777777" w:rsidR="009219A0" w:rsidRDefault="00000000">
      <w:pPr>
        <w:topLinePunct/>
        <w:ind w:firstLine="560"/>
        <w:rPr>
          <w:snapToGrid w:val="0"/>
          <w:color w:val="auto"/>
          <w:kern w:val="0"/>
          <w:szCs w:val="28"/>
        </w:rPr>
      </w:pPr>
      <w:r>
        <w:rPr>
          <w:rFonts w:hint="eastAsia"/>
          <w:snapToGrid w:val="0"/>
          <w:color w:val="auto"/>
          <w:kern w:val="0"/>
          <w:szCs w:val="28"/>
        </w:rPr>
        <w:t>建设项目内与外部建构筑物及设施相关安全防火间距设置：建设项目内外安全防火间距设置按《建筑设计防火规范（</w:t>
      </w:r>
      <w:r>
        <w:rPr>
          <w:rFonts w:hint="eastAsia"/>
          <w:snapToGrid w:val="0"/>
          <w:color w:val="auto"/>
          <w:kern w:val="0"/>
          <w:szCs w:val="28"/>
        </w:rPr>
        <w:t>2018</w:t>
      </w:r>
      <w:r>
        <w:rPr>
          <w:rFonts w:hint="eastAsia"/>
          <w:snapToGrid w:val="0"/>
          <w:color w:val="auto"/>
          <w:kern w:val="0"/>
          <w:szCs w:val="28"/>
        </w:rPr>
        <w:t>年版）》（</w:t>
      </w:r>
      <w:r>
        <w:rPr>
          <w:rFonts w:hint="eastAsia"/>
          <w:snapToGrid w:val="0"/>
          <w:color w:val="auto"/>
          <w:kern w:val="0"/>
          <w:szCs w:val="28"/>
        </w:rPr>
        <w:t>GB50016-2014</w:t>
      </w:r>
      <w:r>
        <w:rPr>
          <w:rFonts w:hint="eastAsia"/>
          <w:snapToGrid w:val="0"/>
          <w:color w:val="auto"/>
          <w:kern w:val="0"/>
          <w:szCs w:val="28"/>
        </w:rPr>
        <w:t>）进行，设计值与标准要求值对比见表</w:t>
      </w:r>
      <w:r>
        <w:rPr>
          <w:rFonts w:hint="eastAsia"/>
          <w:snapToGrid w:val="0"/>
          <w:color w:val="auto"/>
          <w:kern w:val="0"/>
          <w:szCs w:val="28"/>
        </w:rPr>
        <w:t>2.2-3</w:t>
      </w:r>
      <w:r>
        <w:rPr>
          <w:rFonts w:hint="eastAsia"/>
          <w:snapToGrid w:val="0"/>
          <w:color w:val="auto"/>
          <w:kern w:val="0"/>
          <w:szCs w:val="28"/>
        </w:rPr>
        <w:t>。</w:t>
      </w:r>
    </w:p>
    <w:p w14:paraId="43A438E8" w14:textId="77777777" w:rsidR="009219A0" w:rsidRDefault="00000000">
      <w:pPr>
        <w:pStyle w:val="3"/>
        <w:rPr>
          <w:rFonts w:hint="eastAsia"/>
        </w:rPr>
      </w:pPr>
      <w:bookmarkStart w:id="65" w:name="_Toc211950410"/>
      <w:r>
        <w:t>2.</w:t>
      </w:r>
      <w:r>
        <w:rPr>
          <w:rFonts w:hint="eastAsia"/>
        </w:rPr>
        <w:t>2</w:t>
      </w:r>
      <w:r>
        <w:t>.</w:t>
      </w:r>
      <w:r>
        <w:rPr>
          <w:rFonts w:hint="eastAsia"/>
        </w:rPr>
        <w:t>8</w:t>
      </w:r>
      <w:r>
        <w:rPr>
          <w:rFonts w:hint="eastAsia"/>
        </w:rPr>
        <w:tab/>
        <w:t>主要原辅料用量、储存量及主要成分</w:t>
      </w:r>
      <w:bookmarkEnd w:id="65"/>
    </w:p>
    <w:p w14:paraId="0E27F081" w14:textId="77777777" w:rsidR="009219A0" w:rsidRDefault="00000000">
      <w:pPr>
        <w:adjustRightInd/>
        <w:snapToGrid/>
        <w:spacing w:line="500" w:lineRule="exact"/>
        <w:ind w:firstLineChars="0" w:firstLine="0"/>
        <w:jc w:val="center"/>
        <w:rPr>
          <w:rFonts w:ascii="宋体" w:hAnsi="宋体" w:cs="Microsoft JhengHei" w:hint="eastAsia"/>
          <w:bCs/>
          <w:color w:val="auto"/>
          <w:kern w:val="0"/>
          <w:szCs w:val="28"/>
        </w:rPr>
      </w:pPr>
      <w:bookmarkStart w:id="66" w:name="_Toc97132781"/>
      <w:r>
        <w:rPr>
          <w:rFonts w:ascii="宋体" w:hAnsi="宋体" w:cs="Microsoft JhengHei" w:hint="eastAsia"/>
          <w:bCs/>
          <w:color w:val="auto"/>
          <w:kern w:val="0"/>
          <w:szCs w:val="28"/>
        </w:rPr>
        <w:t>表2.2-4 项目原辅材料用量表</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283"/>
        <w:gridCol w:w="1442"/>
        <w:gridCol w:w="992"/>
        <w:gridCol w:w="1276"/>
        <w:gridCol w:w="1276"/>
        <w:gridCol w:w="992"/>
        <w:gridCol w:w="884"/>
      </w:tblGrid>
      <w:tr w:rsidR="009219A0" w14:paraId="61F40228" w14:textId="77777777">
        <w:tc>
          <w:tcPr>
            <w:tcW w:w="927" w:type="dxa"/>
            <w:vAlign w:val="center"/>
          </w:tcPr>
          <w:p w14:paraId="2D423EA2" w14:textId="77777777" w:rsidR="009219A0" w:rsidRDefault="009219A0">
            <w:pPr>
              <w:adjustRightInd/>
              <w:snapToGrid/>
              <w:spacing w:line="240" w:lineRule="auto"/>
              <w:ind w:firstLineChars="0" w:firstLine="0"/>
              <w:jc w:val="center"/>
              <w:rPr>
                <w:rFonts w:asciiTheme="minorEastAsia" w:eastAsiaTheme="minorEastAsia" w:hAnsiTheme="minorEastAsia" w:cs="Microsoft JhengHei" w:hint="eastAsia"/>
                <w:b/>
                <w:bCs/>
                <w:color w:val="auto"/>
                <w:kern w:val="0"/>
                <w:sz w:val="21"/>
                <w:szCs w:val="21"/>
              </w:rPr>
            </w:pPr>
          </w:p>
        </w:tc>
        <w:tc>
          <w:tcPr>
            <w:tcW w:w="1283" w:type="dxa"/>
            <w:vAlign w:val="center"/>
          </w:tcPr>
          <w:p w14:paraId="6169A86A"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
                <w:bCs/>
                <w:color w:val="auto"/>
                <w:kern w:val="0"/>
                <w:sz w:val="21"/>
                <w:szCs w:val="21"/>
              </w:rPr>
            </w:pPr>
            <w:r>
              <w:rPr>
                <w:rFonts w:asciiTheme="minorEastAsia" w:eastAsiaTheme="minorEastAsia" w:hAnsiTheme="minorEastAsia" w:cs="Microsoft JhengHei" w:hint="eastAsia"/>
                <w:b/>
                <w:bCs/>
                <w:color w:val="auto"/>
                <w:kern w:val="0"/>
                <w:sz w:val="21"/>
                <w:szCs w:val="21"/>
              </w:rPr>
              <w:t>原辅料名称</w:t>
            </w:r>
          </w:p>
        </w:tc>
        <w:tc>
          <w:tcPr>
            <w:tcW w:w="1442" w:type="dxa"/>
            <w:vAlign w:val="center"/>
          </w:tcPr>
          <w:p w14:paraId="2D6EC300"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
                <w:bCs/>
                <w:color w:val="auto"/>
                <w:kern w:val="0"/>
                <w:sz w:val="21"/>
                <w:szCs w:val="21"/>
              </w:rPr>
            </w:pPr>
            <w:r>
              <w:rPr>
                <w:rFonts w:asciiTheme="minorEastAsia" w:eastAsiaTheme="minorEastAsia" w:hAnsiTheme="minorEastAsia" w:cs="Microsoft JhengHei" w:hint="eastAsia"/>
                <w:b/>
                <w:bCs/>
                <w:color w:val="auto"/>
                <w:kern w:val="0"/>
                <w:sz w:val="21"/>
                <w:szCs w:val="21"/>
              </w:rPr>
              <w:t>规格</w:t>
            </w:r>
          </w:p>
        </w:tc>
        <w:tc>
          <w:tcPr>
            <w:tcW w:w="992" w:type="dxa"/>
            <w:vAlign w:val="center"/>
          </w:tcPr>
          <w:p w14:paraId="0D3B9E56"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
                <w:bCs/>
                <w:color w:val="auto"/>
                <w:kern w:val="0"/>
                <w:sz w:val="21"/>
                <w:szCs w:val="21"/>
              </w:rPr>
            </w:pPr>
            <w:r>
              <w:rPr>
                <w:rFonts w:asciiTheme="minorEastAsia" w:eastAsiaTheme="minorEastAsia" w:hAnsiTheme="minorEastAsia" w:cs="Microsoft JhengHei" w:hint="eastAsia"/>
                <w:b/>
                <w:bCs/>
                <w:color w:val="auto"/>
                <w:kern w:val="0"/>
                <w:sz w:val="21"/>
                <w:szCs w:val="21"/>
              </w:rPr>
              <w:t>年用量</w:t>
            </w:r>
          </w:p>
        </w:tc>
        <w:tc>
          <w:tcPr>
            <w:tcW w:w="1276" w:type="dxa"/>
            <w:vAlign w:val="center"/>
          </w:tcPr>
          <w:p w14:paraId="4335F9B9"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
                <w:bCs/>
                <w:color w:val="auto"/>
                <w:kern w:val="0"/>
                <w:sz w:val="21"/>
                <w:szCs w:val="21"/>
              </w:rPr>
            </w:pPr>
            <w:r>
              <w:rPr>
                <w:rFonts w:asciiTheme="minorEastAsia" w:eastAsiaTheme="minorEastAsia" w:hAnsiTheme="minorEastAsia" w:cs="Microsoft JhengHei" w:hint="eastAsia"/>
                <w:b/>
                <w:bCs/>
                <w:color w:val="auto"/>
                <w:kern w:val="0"/>
                <w:sz w:val="21"/>
                <w:szCs w:val="21"/>
              </w:rPr>
              <w:t>最大储量</w:t>
            </w:r>
          </w:p>
        </w:tc>
        <w:tc>
          <w:tcPr>
            <w:tcW w:w="1276" w:type="dxa"/>
            <w:vAlign w:val="center"/>
          </w:tcPr>
          <w:p w14:paraId="08B9F5B1"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
                <w:bCs/>
                <w:color w:val="auto"/>
                <w:kern w:val="0"/>
                <w:sz w:val="21"/>
                <w:szCs w:val="21"/>
              </w:rPr>
            </w:pPr>
            <w:r>
              <w:rPr>
                <w:rFonts w:asciiTheme="minorEastAsia" w:eastAsiaTheme="minorEastAsia" w:hAnsiTheme="minorEastAsia" w:cs="Microsoft JhengHei" w:hint="eastAsia"/>
                <w:b/>
                <w:bCs/>
                <w:color w:val="auto"/>
                <w:kern w:val="0"/>
                <w:sz w:val="21"/>
                <w:szCs w:val="21"/>
              </w:rPr>
              <w:t>储存场所</w:t>
            </w:r>
          </w:p>
        </w:tc>
        <w:tc>
          <w:tcPr>
            <w:tcW w:w="992" w:type="dxa"/>
            <w:vAlign w:val="center"/>
          </w:tcPr>
          <w:p w14:paraId="611345B7"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
                <w:bCs/>
                <w:color w:val="auto"/>
                <w:kern w:val="0"/>
                <w:sz w:val="21"/>
                <w:szCs w:val="21"/>
              </w:rPr>
            </w:pPr>
            <w:r>
              <w:rPr>
                <w:rFonts w:asciiTheme="minorEastAsia" w:eastAsiaTheme="minorEastAsia" w:hAnsiTheme="minorEastAsia" w:cs="Microsoft JhengHei" w:hint="eastAsia"/>
                <w:b/>
                <w:bCs/>
                <w:color w:val="auto"/>
                <w:kern w:val="0"/>
                <w:sz w:val="21"/>
                <w:szCs w:val="21"/>
              </w:rPr>
              <w:t>来源</w:t>
            </w:r>
          </w:p>
        </w:tc>
        <w:tc>
          <w:tcPr>
            <w:tcW w:w="884" w:type="dxa"/>
            <w:vAlign w:val="center"/>
          </w:tcPr>
          <w:p w14:paraId="3B666315"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
                <w:bCs/>
                <w:color w:val="auto"/>
                <w:kern w:val="0"/>
                <w:sz w:val="21"/>
                <w:szCs w:val="21"/>
              </w:rPr>
            </w:pPr>
            <w:r>
              <w:rPr>
                <w:rFonts w:asciiTheme="minorEastAsia" w:eastAsiaTheme="minorEastAsia" w:hAnsiTheme="minorEastAsia" w:cs="Microsoft JhengHei" w:hint="eastAsia"/>
                <w:b/>
                <w:bCs/>
                <w:color w:val="auto"/>
                <w:kern w:val="0"/>
                <w:sz w:val="21"/>
                <w:szCs w:val="21"/>
              </w:rPr>
              <w:t>备注</w:t>
            </w:r>
          </w:p>
        </w:tc>
      </w:tr>
      <w:tr w:rsidR="009219A0" w14:paraId="49C83009" w14:textId="77777777">
        <w:tc>
          <w:tcPr>
            <w:tcW w:w="9072" w:type="dxa"/>
            <w:gridSpan w:val="8"/>
            <w:vAlign w:val="center"/>
          </w:tcPr>
          <w:p w14:paraId="69039717"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研发中心实验室</w:t>
            </w:r>
          </w:p>
        </w:tc>
      </w:tr>
      <w:tr w:rsidR="009219A0" w14:paraId="4A1B27EE" w14:textId="77777777">
        <w:tc>
          <w:tcPr>
            <w:tcW w:w="927" w:type="dxa"/>
            <w:vMerge w:val="restart"/>
            <w:vAlign w:val="center"/>
          </w:tcPr>
          <w:p w14:paraId="1FE7AB94"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铁粉脱杂、硫铁矿脱砷小试</w:t>
            </w:r>
          </w:p>
        </w:tc>
        <w:tc>
          <w:tcPr>
            <w:tcW w:w="1283" w:type="dxa"/>
            <w:vAlign w:val="center"/>
          </w:tcPr>
          <w:p w14:paraId="15AE0C3C"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氧化钙</w:t>
            </w:r>
          </w:p>
        </w:tc>
        <w:tc>
          <w:tcPr>
            <w:tcW w:w="1442" w:type="dxa"/>
            <w:vAlign w:val="center"/>
          </w:tcPr>
          <w:p w14:paraId="51180781"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工业：25kg</w:t>
            </w:r>
          </w:p>
        </w:tc>
        <w:tc>
          <w:tcPr>
            <w:tcW w:w="992" w:type="dxa"/>
            <w:vAlign w:val="center"/>
          </w:tcPr>
          <w:p w14:paraId="21E4B210"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1276" w:type="dxa"/>
            <w:vAlign w:val="center"/>
          </w:tcPr>
          <w:p w14:paraId="5D8FCD41"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1276" w:type="dxa"/>
            <w:vMerge w:val="restart"/>
            <w:vAlign w:val="center"/>
          </w:tcPr>
          <w:p w14:paraId="70C20E5A"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原料仓库</w:t>
            </w:r>
          </w:p>
        </w:tc>
        <w:tc>
          <w:tcPr>
            <w:tcW w:w="992" w:type="dxa"/>
            <w:vAlign w:val="center"/>
          </w:tcPr>
          <w:p w14:paraId="5FAD876F"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外购</w:t>
            </w:r>
          </w:p>
        </w:tc>
        <w:tc>
          <w:tcPr>
            <w:tcW w:w="884" w:type="dxa"/>
            <w:vAlign w:val="center"/>
          </w:tcPr>
          <w:p w14:paraId="1F31872A"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中和</w:t>
            </w:r>
          </w:p>
        </w:tc>
      </w:tr>
      <w:tr w:rsidR="009219A0" w14:paraId="7F725343" w14:textId="77777777">
        <w:tc>
          <w:tcPr>
            <w:tcW w:w="927" w:type="dxa"/>
            <w:vMerge/>
            <w:vAlign w:val="center"/>
          </w:tcPr>
          <w:p w14:paraId="0ED7AEDB" w14:textId="77777777" w:rsidR="009219A0" w:rsidRDefault="009219A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p>
        </w:tc>
        <w:tc>
          <w:tcPr>
            <w:tcW w:w="1283" w:type="dxa"/>
            <w:vAlign w:val="center"/>
          </w:tcPr>
          <w:p w14:paraId="035BAF6D"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硫化钙</w:t>
            </w:r>
          </w:p>
        </w:tc>
        <w:tc>
          <w:tcPr>
            <w:tcW w:w="1442" w:type="dxa"/>
            <w:vAlign w:val="center"/>
          </w:tcPr>
          <w:p w14:paraId="6F658DFC"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992" w:type="dxa"/>
            <w:vAlign w:val="center"/>
          </w:tcPr>
          <w:p w14:paraId="2604EEE4"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1276" w:type="dxa"/>
            <w:vAlign w:val="center"/>
          </w:tcPr>
          <w:p w14:paraId="264D5B80"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1276" w:type="dxa"/>
            <w:vMerge/>
            <w:vAlign w:val="center"/>
          </w:tcPr>
          <w:p w14:paraId="00BBF999" w14:textId="77777777" w:rsidR="009219A0" w:rsidRDefault="009219A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p>
        </w:tc>
        <w:tc>
          <w:tcPr>
            <w:tcW w:w="992" w:type="dxa"/>
            <w:vAlign w:val="center"/>
          </w:tcPr>
          <w:p w14:paraId="4663099F"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884" w:type="dxa"/>
            <w:vAlign w:val="center"/>
          </w:tcPr>
          <w:p w14:paraId="6074E497"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r>
      <w:tr w:rsidR="009219A0" w14:paraId="273DD784" w14:textId="77777777">
        <w:tc>
          <w:tcPr>
            <w:tcW w:w="927" w:type="dxa"/>
            <w:vMerge/>
            <w:vAlign w:val="center"/>
          </w:tcPr>
          <w:p w14:paraId="5FF12C72" w14:textId="77777777" w:rsidR="009219A0" w:rsidRDefault="009219A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p>
        </w:tc>
        <w:tc>
          <w:tcPr>
            <w:tcW w:w="1283" w:type="dxa"/>
            <w:vAlign w:val="center"/>
          </w:tcPr>
          <w:p w14:paraId="4242FC0A"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硫酸</w:t>
            </w:r>
          </w:p>
        </w:tc>
        <w:tc>
          <w:tcPr>
            <w:tcW w:w="1442" w:type="dxa"/>
            <w:vAlign w:val="center"/>
          </w:tcPr>
          <w:p w14:paraId="1ECBD152"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98%</w:t>
            </w:r>
          </w:p>
        </w:tc>
        <w:tc>
          <w:tcPr>
            <w:tcW w:w="992" w:type="dxa"/>
            <w:vAlign w:val="center"/>
          </w:tcPr>
          <w:p w14:paraId="0C29E76C"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1276" w:type="dxa"/>
            <w:vAlign w:val="center"/>
          </w:tcPr>
          <w:p w14:paraId="3E9FC94A"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1276" w:type="dxa"/>
            <w:vMerge/>
            <w:vAlign w:val="center"/>
          </w:tcPr>
          <w:p w14:paraId="12F9F86C" w14:textId="77777777" w:rsidR="009219A0" w:rsidRDefault="009219A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p>
        </w:tc>
        <w:tc>
          <w:tcPr>
            <w:tcW w:w="992" w:type="dxa"/>
            <w:vAlign w:val="center"/>
          </w:tcPr>
          <w:p w14:paraId="1ABC073A"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自产</w:t>
            </w:r>
          </w:p>
        </w:tc>
        <w:tc>
          <w:tcPr>
            <w:tcW w:w="884" w:type="dxa"/>
            <w:vAlign w:val="center"/>
          </w:tcPr>
          <w:p w14:paraId="3A6DF431"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除杂</w:t>
            </w:r>
          </w:p>
        </w:tc>
      </w:tr>
      <w:tr w:rsidR="009219A0" w14:paraId="70302BE3" w14:textId="77777777">
        <w:tc>
          <w:tcPr>
            <w:tcW w:w="927" w:type="dxa"/>
            <w:vMerge/>
            <w:vAlign w:val="center"/>
          </w:tcPr>
          <w:p w14:paraId="0A81A305" w14:textId="77777777" w:rsidR="009219A0" w:rsidRDefault="009219A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p>
        </w:tc>
        <w:tc>
          <w:tcPr>
            <w:tcW w:w="1283" w:type="dxa"/>
            <w:vAlign w:val="center"/>
          </w:tcPr>
          <w:p w14:paraId="2A57B5E8"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铁粉</w:t>
            </w:r>
          </w:p>
        </w:tc>
        <w:tc>
          <w:tcPr>
            <w:tcW w:w="1442" w:type="dxa"/>
            <w:vAlign w:val="center"/>
          </w:tcPr>
          <w:p w14:paraId="01EA5CE0"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992" w:type="dxa"/>
            <w:vAlign w:val="center"/>
          </w:tcPr>
          <w:p w14:paraId="16F9BDD1"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1276" w:type="dxa"/>
            <w:vAlign w:val="center"/>
          </w:tcPr>
          <w:p w14:paraId="05F3B680"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1276" w:type="dxa"/>
            <w:vMerge/>
            <w:vAlign w:val="center"/>
          </w:tcPr>
          <w:p w14:paraId="71AD001F" w14:textId="77777777" w:rsidR="009219A0" w:rsidRDefault="009219A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p>
        </w:tc>
        <w:tc>
          <w:tcPr>
            <w:tcW w:w="992" w:type="dxa"/>
            <w:vAlign w:val="center"/>
          </w:tcPr>
          <w:p w14:paraId="14EAAB3D"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自产</w:t>
            </w:r>
          </w:p>
        </w:tc>
        <w:tc>
          <w:tcPr>
            <w:tcW w:w="884" w:type="dxa"/>
            <w:vAlign w:val="center"/>
          </w:tcPr>
          <w:p w14:paraId="09B7EDF3"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原料</w:t>
            </w:r>
          </w:p>
        </w:tc>
      </w:tr>
      <w:tr w:rsidR="009219A0" w14:paraId="4B88A36F" w14:textId="77777777">
        <w:tc>
          <w:tcPr>
            <w:tcW w:w="927" w:type="dxa"/>
            <w:vMerge/>
            <w:vAlign w:val="center"/>
          </w:tcPr>
          <w:p w14:paraId="03108E8B" w14:textId="77777777" w:rsidR="009219A0" w:rsidRDefault="009219A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p>
        </w:tc>
        <w:tc>
          <w:tcPr>
            <w:tcW w:w="1283" w:type="dxa"/>
            <w:vAlign w:val="center"/>
          </w:tcPr>
          <w:p w14:paraId="2D390D57"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硫铁矿</w:t>
            </w:r>
          </w:p>
        </w:tc>
        <w:tc>
          <w:tcPr>
            <w:tcW w:w="1442" w:type="dxa"/>
            <w:vAlign w:val="center"/>
          </w:tcPr>
          <w:p w14:paraId="00C187D9"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992" w:type="dxa"/>
            <w:vAlign w:val="center"/>
          </w:tcPr>
          <w:p w14:paraId="1B852DA8"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1276" w:type="dxa"/>
            <w:vAlign w:val="center"/>
          </w:tcPr>
          <w:p w14:paraId="5F3544BF"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1276" w:type="dxa"/>
            <w:vMerge/>
            <w:vAlign w:val="center"/>
          </w:tcPr>
          <w:p w14:paraId="199B3A01" w14:textId="77777777" w:rsidR="009219A0" w:rsidRDefault="009219A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p>
        </w:tc>
        <w:tc>
          <w:tcPr>
            <w:tcW w:w="992" w:type="dxa"/>
            <w:vAlign w:val="center"/>
          </w:tcPr>
          <w:p w14:paraId="730CF5A7"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外购</w:t>
            </w:r>
          </w:p>
        </w:tc>
        <w:tc>
          <w:tcPr>
            <w:tcW w:w="884" w:type="dxa"/>
            <w:vAlign w:val="center"/>
          </w:tcPr>
          <w:p w14:paraId="5338F7D6"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原料</w:t>
            </w:r>
          </w:p>
        </w:tc>
      </w:tr>
      <w:tr w:rsidR="009219A0" w14:paraId="21B8F975" w14:textId="77777777">
        <w:tc>
          <w:tcPr>
            <w:tcW w:w="9072" w:type="dxa"/>
            <w:gridSpan w:val="8"/>
            <w:vAlign w:val="center"/>
          </w:tcPr>
          <w:p w14:paraId="53F2B93B"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中试车间</w:t>
            </w:r>
          </w:p>
        </w:tc>
      </w:tr>
      <w:tr w:rsidR="009219A0" w14:paraId="796ECE8F" w14:textId="77777777">
        <w:tc>
          <w:tcPr>
            <w:tcW w:w="927" w:type="dxa"/>
            <w:vMerge w:val="restart"/>
            <w:vAlign w:val="center"/>
          </w:tcPr>
          <w:p w14:paraId="5046BBFE"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proofErr w:type="gramStart"/>
            <w:r>
              <w:rPr>
                <w:rFonts w:asciiTheme="minorEastAsia" w:eastAsiaTheme="minorEastAsia" w:hAnsiTheme="minorEastAsia" w:cs="Microsoft JhengHei" w:hint="eastAsia"/>
                <w:bCs/>
                <w:color w:val="auto"/>
                <w:kern w:val="0"/>
                <w:sz w:val="21"/>
                <w:szCs w:val="21"/>
              </w:rPr>
              <w:t>铁粉脱杂中试</w:t>
            </w:r>
            <w:proofErr w:type="gramEnd"/>
          </w:p>
        </w:tc>
        <w:tc>
          <w:tcPr>
            <w:tcW w:w="1283" w:type="dxa"/>
            <w:vAlign w:val="center"/>
          </w:tcPr>
          <w:p w14:paraId="44A6EBD8"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铁粉</w:t>
            </w:r>
          </w:p>
        </w:tc>
        <w:tc>
          <w:tcPr>
            <w:tcW w:w="1442" w:type="dxa"/>
            <w:vAlign w:val="center"/>
          </w:tcPr>
          <w:p w14:paraId="52B29EE0"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992" w:type="dxa"/>
            <w:vAlign w:val="center"/>
          </w:tcPr>
          <w:p w14:paraId="2985D650"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24600t</w:t>
            </w:r>
          </w:p>
        </w:tc>
        <w:tc>
          <w:tcPr>
            <w:tcW w:w="1276" w:type="dxa"/>
            <w:vAlign w:val="center"/>
          </w:tcPr>
          <w:p w14:paraId="0E7B73DD"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10000t</w:t>
            </w:r>
          </w:p>
        </w:tc>
        <w:tc>
          <w:tcPr>
            <w:tcW w:w="1276" w:type="dxa"/>
            <w:vAlign w:val="center"/>
          </w:tcPr>
          <w:p w14:paraId="31188CA0"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原料堆放区</w:t>
            </w:r>
          </w:p>
        </w:tc>
        <w:tc>
          <w:tcPr>
            <w:tcW w:w="992" w:type="dxa"/>
            <w:vAlign w:val="center"/>
          </w:tcPr>
          <w:p w14:paraId="15D79777"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自产</w:t>
            </w:r>
          </w:p>
        </w:tc>
        <w:tc>
          <w:tcPr>
            <w:tcW w:w="884" w:type="dxa"/>
            <w:vAlign w:val="center"/>
          </w:tcPr>
          <w:p w14:paraId="0ADA72B2"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原料</w:t>
            </w:r>
          </w:p>
        </w:tc>
      </w:tr>
      <w:tr w:rsidR="009219A0" w14:paraId="5CF131CF" w14:textId="77777777">
        <w:tc>
          <w:tcPr>
            <w:tcW w:w="927" w:type="dxa"/>
            <w:vMerge/>
            <w:vAlign w:val="center"/>
          </w:tcPr>
          <w:p w14:paraId="2AF7311F" w14:textId="77777777" w:rsidR="009219A0" w:rsidRDefault="009219A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p>
        </w:tc>
        <w:tc>
          <w:tcPr>
            <w:tcW w:w="1283" w:type="dxa"/>
            <w:vAlign w:val="center"/>
          </w:tcPr>
          <w:p w14:paraId="68243EC3"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硫酸</w:t>
            </w:r>
          </w:p>
        </w:tc>
        <w:tc>
          <w:tcPr>
            <w:tcW w:w="1442" w:type="dxa"/>
            <w:vAlign w:val="center"/>
          </w:tcPr>
          <w:p w14:paraId="5188AA23"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98%</w:t>
            </w:r>
          </w:p>
        </w:tc>
        <w:tc>
          <w:tcPr>
            <w:tcW w:w="992" w:type="dxa"/>
            <w:vAlign w:val="center"/>
          </w:tcPr>
          <w:p w14:paraId="02F3DEC1"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313.78t</w:t>
            </w:r>
          </w:p>
        </w:tc>
        <w:tc>
          <w:tcPr>
            <w:tcW w:w="1276" w:type="dxa"/>
            <w:vAlign w:val="center"/>
          </w:tcPr>
          <w:p w14:paraId="60B54404"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27.6t</w:t>
            </w:r>
          </w:p>
        </w:tc>
        <w:tc>
          <w:tcPr>
            <w:tcW w:w="1276" w:type="dxa"/>
            <w:vAlign w:val="center"/>
          </w:tcPr>
          <w:p w14:paraId="24FF263F"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储罐</w:t>
            </w:r>
          </w:p>
        </w:tc>
        <w:tc>
          <w:tcPr>
            <w:tcW w:w="992" w:type="dxa"/>
            <w:vAlign w:val="center"/>
          </w:tcPr>
          <w:p w14:paraId="6B6B12BB"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自产</w:t>
            </w:r>
          </w:p>
        </w:tc>
        <w:tc>
          <w:tcPr>
            <w:tcW w:w="884" w:type="dxa"/>
            <w:vAlign w:val="center"/>
          </w:tcPr>
          <w:p w14:paraId="05BA7398"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辅料</w:t>
            </w:r>
          </w:p>
        </w:tc>
      </w:tr>
      <w:tr w:rsidR="009219A0" w14:paraId="45542DB2" w14:textId="77777777">
        <w:tc>
          <w:tcPr>
            <w:tcW w:w="927" w:type="dxa"/>
            <w:vMerge/>
            <w:vAlign w:val="center"/>
          </w:tcPr>
          <w:p w14:paraId="2C10B6C1" w14:textId="77777777" w:rsidR="009219A0" w:rsidRDefault="009219A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p>
        </w:tc>
        <w:tc>
          <w:tcPr>
            <w:tcW w:w="1283" w:type="dxa"/>
            <w:vAlign w:val="center"/>
          </w:tcPr>
          <w:p w14:paraId="183FDAD0"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氧化钙</w:t>
            </w:r>
          </w:p>
        </w:tc>
        <w:tc>
          <w:tcPr>
            <w:tcW w:w="1442" w:type="dxa"/>
            <w:vAlign w:val="center"/>
          </w:tcPr>
          <w:p w14:paraId="64BA2917"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992" w:type="dxa"/>
            <w:vAlign w:val="center"/>
          </w:tcPr>
          <w:p w14:paraId="54C734CA"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182.27t</w:t>
            </w:r>
          </w:p>
        </w:tc>
        <w:tc>
          <w:tcPr>
            <w:tcW w:w="1276" w:type="dxa"/>
            <w:vAlign w:val="center"/>
          </w:tcPr>
          <w:p w14:paraId="794116A0"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2t</w:t>
            </w:r>
          </w:p>
        </w:tc>
        <w:tc>
          <w:tcPr>
            <w:tcW w:w="1276" w:type="dxa"/>
            <w:vAlign w:val="center"/>
          </w:tcPr>
          <w:p w14:paraId="510DF1E2"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原料堆放区</w:t>
            </w:r>
          </w:p>
        </w:tc>
        <w:tc>
          <w:tcPr>
            <w:tcW w:w="992" w:type="dxa"/>
            <w:vAlign w:val="center"/>
          </w:tcPr>
          <w:p w14:paraId="1F054B63"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外购</w:t>
            </w:r>
          </w:p>
        </w:tc>
        <w:tc>
          <w:tcPr>
            <w:tcW w:w="884" w:type="dxa"/>
            <w:vAlign w:val="center"/>
          </w:tcPr>
          <w:p w14:paraId="2929D81A"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中和</w:t>
            </w:r>
          </w:p>
        </w:tc>
      </w:tr>
      <w:tr w:rsidR="009219A0" w14:paraId="330D6E78" w14:textId="77777777">
        <w:tc>
          <w:tcPr>
            <w:tcW w:w="927" w:type="dxa"/>
            <w:vMerge w:val="restart"/>
            <w:vAlign w:val="center"/>
          </w:tcPr>
          <w:p w14:paraId="4969CDBF"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硫铁矿脱砷中试</w:t>
            </w:r>
          </w:p>
        </w:tc>
        <w:tc>
          <w:tcPr>
            <w:tcW w:w="1283" w:type="dxa"/>
            <w:vAlign w:val="center"/>
          </w:tcPr>
          <w:p w14:paraId="7B06E82F"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硫铁矿</w:t>
            </w:r>
          </w:p>
        </w:tc>
        <w:tc>
          <w:tcPr>
            <w:tcW w:w="1442" w:type="dxa"/>
            <w:vAlign w:val="center"/>
          </w:tcPr>
          <w:p w14:paraId="53063E12"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992" w:type="dxa"/>
            <w:vAlign w:val="center"/>
          </w:tcPr>
          <w:p w14:paraId="31882111"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40000t</w:t>
            </w:r>
          </w:p>
        </w:tc>
        <w:tc>
          <w:tcPr>
            <w:tcW w:w="1276" w:type="dxa"/>
            <w:vAlign w:val="center"/>
          </w:tcPr>
          <w:p w14:paraId="4E694B90"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10000t</w:t>
            </w:r>
          </w:p>
        </w:tc>
        <w:tc>
          <w:tcPr>
            <w:tcW w:w="1276" w:type="dxa"/>
            <w:vAlign w:val="center"/>
          </w:tcPr>
          <w:p w14:paraId="3884AA9B"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原料堆放区</w:t>
            </w:r>
          </w:p>
        </w:tc>
        <w:tc>
          <w:tcPr>
            <w:tcW w:w="992" w:type="dxa"/>
            <w:vAlign w:val="center"/>
          </w:tcPr>
          <w:p w14:paraId="5491C73C"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外购</w:t>
            </w:r>
          </w:p>
        </w:tc>
        <w:tc>
          <w:tcPr>
            <w:tcW w:w="884" w:type="dxa"/>
            <w:vAlign w:val="center"/>
          </w:tcPr>
          <w:p w14:paraId="77953B36"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原料</w:t>
            </w:r>
          </w:p>
        </w:tc>
      </w:tr>
      <w:tr w:rsidR="009219A0" w14:paraId="78FB0E4D" w14:textId="77777777">
        <w:tc>
          <w:tcPr>
            <w:tcW w:w="927" w:type="dxa"/>
            <w:vMerge/>
            <w:vAlign w:val="center"/>
          </w:tcPr>
          <w:p w14:paraId="2553C225" w14:textId="77777777" w:rsidR="009219A0" w:rsidRDefault="009219A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p>
        </w:tc>
        <w:tc>
          <w:tcPr>
            <w:tcW w:w="1283" w:type="dxa"/>
            <w:vAlign w:val="center"/>
          </w:tcPr>
          <w:p w14:paraId="194BC309"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硫酸</w:t>
            </w:r>
          </w:p>
        </w:tc>
        <w:tc>
          <w:tcPr>
            <w:tcW w:w="1442" w:type="dxa"/>
            <w:vAlign w:val="center"/>
          </w:tcPr>
          <w:p w14:paraId="0A85EF96"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98%</w:t>
            </w:r>
          </w:p>
        </w:tc>
        <w:tc>
          <w:tcPr>
            <w:tcW w:w="992" w:type="dxa"/>
            <w:vAlign w:val="center"/>
          </w:tcPr>
          <w:p w14:paraId="4F4513A0"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2800t</w:t>
            </w:r>
          </w:p>
        </w:tc>
        <w:tc>
          <w:tcPr>
            <w:tcW w:w="1276" w:type="dxa"/>
            <w:vAlign w:val="center"/>
          </w:tcPr>
          <w:p w14:paraId="280EBB91"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27.6t</w:t>
            </w:r>
          </w:p>
        </w:tc>
        <w:tc>
          <w:tcPr>
            <w:tcW w:w="1276" w:type="dxa"/>
            <w:vAlign w:val="center"/>
          </w:tcPr>
          <w:p w14:paraId="583E665E"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储罐</w:t>
            </w:r>
          </w:p>
        </w:tc>
        <w:tc>
          <w:tcPr>
            <w:tcW w:w="992" w:type="dxa"/>
            <w:vAlign w:val="center"/>
          </w:tcPr>
          <w:p w14:paraId="6CEA02EE"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自产</w:t>
            </w:r>
          </w:p>
        </w:tc>
        <w:tc>
          <w:tcPr>
            <w:tcW w:w="884" w:type="dxa"/>
            <w:vAlign w:val="center"/>
          </w:tcPr>
          <w:p w14:paraId="687F5C0B"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辅料</w:t>
            </w:r>
          </w:p>
        </w:tc>
      </w:tr>
      <w:tr w:rsidR="009219A0" w14:paraId="6A6F50B3" w14:textId="77777777">
        <w:tc>
          <w:tcPr>
            <w:tcW w:w="927" w:type="dxa"/>
            <w:vMerge/>
            <w:vAlign w:val="center"/>
          </w:tcPr>
          <w:p w14:paraId="526086EC" w14:textId="77777777" w:rsidR="009219A0" w:rsidRDefault="009219A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p>
        </w:tc>
        <w:tc>
          <w:tcPr>
            <w:tcW w:w="1283" w:type="dxa"/>
            <w:vAlign w:val="center"/>
          </w:tcPr>
          <w:p w14:paraId="5C24FBC0"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30%盐酸</w:t>
            </w:r>
          </w:p>
        </w:tc>
        <w:tc>
          <w:tcPr>
            <w:tcW w:w="1442" w:type="dxa"/>
            <w:vAlign w:val="center"/>
          </w:tcPr>
          <w:p w14:paraId="11DAE3CC"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992" w:type="dxa"/>
            <w:vAlign w:val="center"/>
          </w:tcPr>
          <w:p w14:paraId="1561C3EE"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670t</w:t>
            </w:r>
          </w:p>
        </w:tc>
        <w:tc>
          <w:tcPr>
            <w:tcW w:w="1276" w:type="dxa"/>
            <w:vAlign w:val="center"/>
          </w:tcPr>
          <w:p w14:paraId="62A64B7D"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68.94t</w:t>
            </w:r>
          </w:p>
        </w:tc>
        <w:tc>
          <w:tcPr>
            <w:tcW w:w="1276" w:type="dxa"/>
            <w:vAlign w:val="center"/>
          </w:tcPr>
          <w:p w14:paraId="20AAE5EF"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储罐</w:t>
            </w:r>
          </w:p>
        </w:tc>
        <w:tc>
          <w:tcPr>
            <w:tcW w:w="992" w:type="dxa"/>
            <w:vAlign w:val="center"/>
          </w:tcPr>
          <w:p w14:paraId="5743CE66"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外购</w:t>
            </w:r>
          </w:p>
        </w:tc>
        <w:tc>
          <w:tcPr>
            <w:tcW w:w="884" w:type="dxa"/>
            <w:vAlign w:val="center"/>
          </w:tcPr>
          <w:p w14:paraId="5F521152"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辅料</w:t>
            </w:r>
          </w:p>
        </w:tc>
      </w:tr>
      <w:tr w:rsidR="009219A0" w14:paraId="2ADF17C4" w14:textId="77777777">
        <w:tc>
          <w:tcPr>
            <w:tcW w:w="927" w:type="dxa"/>
            <w:vMerge/>
            <w:vAlign w:val="center"/>
          </w:tcPr>
          <w:p w14:paraId="4B77E208" w14:textId="77777777" w:rsidR="009219A0" w:rsidRDefault="009219A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p>
        </w:tc>
        <w:tc>
          <w:tcPr>
            <w:tcW w:w="1283" w:type="dxa"/>
            <w:vAlign w:val="center"/>
          </w:tcPr>
          <w:p w14:paraId="5127222D"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氯化钠</w:t>
            </w:r>
          </w:p>
        </w:tc>
        <w:tc>
          <w:tcPr>
            <w:tcW w:w="1442" w:type="dxa"/>
            <w:vAlign w:val="center"/>
          </w:tcPr>
          <w:p w14:paraId="6556E6F2"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992" w:type="dxa"/>
            <w:vAlign w:val="center"/>
          </w:tcPr>
          <w:p w14:paraId="51E6C082"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167.5t</w:t>
            </w:r>
          </w:p>
        </w:tc>
        <w:tc>
          <w:tcPr>
            <w:tcW w:w="1276" w:type="dxa"/>
            <w:vAlign w:val="center"/>
          </w:tcPr>
          <w:p w14:paraId="1C7418F7"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1276" w:type="dxa"/>
            <w:vAlign w:val="center"/>
          </w:tcPr>
          <w:p w14:paraId="2CEE7820"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原料仓库</w:t>
            </w:r>
          </w:p>
        </w:tc>
        <w:tc>
          <w:tcPr>
            <w:tcW w:w="992" w:type="dxa"/>
            <w:vAlign w:val="center"/>
          </w:tcPr>
          <w:p w14:paraId="53832689"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外购</w:t>
            </w:r>
          </w:p>
        </w:tc>
        <w:tc>
          <w:tcPr>
            <w:tcW w:w="884" w:type="dxa"/>
            <w:vAlign w:val="center"/>
          </w:tcPr>
          <w:p w14:paraId="696A3779"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辅料</w:t>
            </w:r>
          </w:p>
        </w:tc>
      </w:tr>
      <w:tr w:rsidR="009219A0" w14:paraId="359595B7" w14:textId="77777777">
        <w:tc>
          <w:tcPr>
            <w:tcW w:w="927" w:type="dxa"/>
            <w:vMerge/>
            <w:vAlign w:val="center"/>
          </w:tcPr>
          <w:p w14:paraId="4B9F88E1" w14:textId="77777777" w:rsidR="009219A0" w:rsidRDefault="009219A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p>
        </w:tc>
        <w:tc>
          <w:tcPr>
            <w:tcW w:w="1283" w:type="dxa"/>
            <w:vAlign w:val="center"/>
          </w:tcPr>
          <w:p w14:paraId="4252EEF0"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硫化钙</w:t>
            </w:r>
          </w:p>
        </w:tc>
        <w:tc>
          <w:tcPr>
            <w:tcW w:w="1442" w:type="dxa"/>
            <w:vAlign w:val="center"/>
          </w:tcPr>
          <w:p w14:paraId="02A546CE"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w:t>
            </w:r>
          </w:p>
        </w:tc>
        <w:tc>
          <w:tcPr>
            <w:tcW w:w="992" w:type="dxa"/>
            <w:vAlign w:val="center"/>
          </w:tcPr>
          <w:p w14:paraId="199A099B"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207.62t</w:t>
            </w:r>
          </w:p>
        </w:tc>
        <w:tc>
          <w:tcPr>
            <w:tcW w:w="1276" w:type="dxa"/>
            <w:vAlign w:val="center"/>
          </w:tcPr>
          <w:p w14:paraId="456F3EB3"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2t</w:t>
            </w:r>
          </w:p>
        </w:tc>
        <w:tc>
          <w:tcPr>
            <w:tcW w:w="1276" w:type="dxa"/>
            <w:vAlign w:val="center"/>
          </w:tcPr>
          <w:p w14:paraId="57C53D21"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原料堆放区</w:t>
            </w:r>
          </w:p>
        </w:tc>
        <w:tc>
          <w:tcPr>
            <w:tcW w:w="992" w:type="dxa"/>
            <w:vAlign w:val="center"/>
          </w:tcPr>
          <w:p w14:paraId="44C70E9A"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外购</w:t>
            </w:r>
          </w:p>
        </w:tc>
        <w:tc>
          <w:tcPr>
            <w:tcW w:w="884" w:type="dxa"/>
            <w:vAlign w:val="center"/>
          </w:tcPr>
          <w:p w14:paraId="23880E34" w14:textId="77777777" w:rsidR="009219A0" w:rsidRDefault="00000000">
            <w:pPr>
              <w:adjustRightInd/>
              <w:snapToGrid/>
              <w:spacing w:line="240" w:lineRule="auto"/>
              <w:ind w:firstLineChars="0" w:firstLine="0"/>
              <w:jc w:val="center"/>
              <w:rPr>
                <w:rFonts w:asciiTheme="minorEastAsia" w:eastAsiaTheme="minorEastAsia" w:hAnsiTheme="minorEastAsia" w:cs="Microsoft JhengHei" w:hint="eastAsia"/>
                <w:bCs/>
                <w:color w:val="auto"/>
                <w:kern w:val="0"/>
                <w:sz w:val="21"/>
                <w:szCs w:val="21"/>
              </w:rPr>
            </w:pPr>
            <w:r>
              <w:rPr>
                <w:rFonts w:asciiTheme="minorEastAsia" w:eastAsiaTheme="minorEastAsia" w:hAnsiTheme="minorEastAsia" w:cs="Microsoft JhengHei" w:hint="eastAsia"/>
                <w:bCs/>
                <w:color w:val="auto"/>
                <w:kern w:val="0"/>
                <w:sz w:val="21"/>
                <w:szCs w:val="21"/>
              </w:rPr>
              <w:t>辅料</w:t>
            </w:r>
          </w:p>
        </w:tc>
      </w:tr>
      <w:bookmarkEnd w:id="66"/>
    </w:tbl>
    <w:p w14:paraId="469D697E" w14:textId="77777777" w:rsidR="009219A0" w:rsidRDefault="009219A0">
      <w:pPr>
        <w:adjustRightInd/>
        <w:snapToGrid/>
        <w:ind w:firstLineChars="0" w:firstLine="573"/>
        <w:rPr>
          <w:color w:val="auto"/>
          <w:kern w:val="0"/>
          <w:szCs w:val="28"/>
        </w:rPr>
      </w:pPr>
    </w:p>
    <w:p w14:paraId="1FE4E2B6" w14:textId="77777777" w:rsidR="009219A0" w:rsidRDefault="00000000">
      <w:pPr>
        <w:adjustRightInd/>
        <w:snapToGrid/>
        <w:ind w:firstLineChars="0" w:firstLine="573"/>
        <w:jc w:val="center"/>
        <w:rPr>
          <w:color w:val="auto"/>
          <w:kern w:val="0"/>
          <w:szCs w:val="28"/>
        </w:rPr>
      </w:pPr>
      <w:r>
        <w:rPr>
          <w:rFonts w:hint="eastAsia"/>
          <w:color w:val="auto"/>
          <w:kern w:val="0"/>
          <w:szCs w:val="28"/>
        </w:rPr>
        <w:t>表</w:t>
      </w:r>
      <w:r>
        <w:rPr>
          <w:rFonts w:hint="eastAsia"/>
          <w:color w:val="auto"/>
          <w:kern w:val="0"/>
          <w:szCs w:val="28"/>
        </w:rPr>
        <w:t xml:space="preserve">2.2-5 </w:t>
      </w:r>
      <w:r>
        <w:rPr>
          <w:rFonts w:hint="eastAsia"/>
          <w:color w:val="auto"/>
          <w:kern w:val="0"/>
          <w:szCs w:val="28"/>
        </w:rPr>
        <w:t>铁粉主要化学成分及含量</w:t>
      </w:r>
    </w:p>
    <w:tbl>
      <w:tblPr>
        <w:tblStyle w:val="afb"/>
        <w:tblW w:w="9072" w:type="dxa"/>
        <w:tblLook w:val="04A0" w:firstRow="1" w:lastRow="0" w:firstColumn="1" w:lastColumn="0" w:noHBand="0" w:noVBand="1"/>
      </w:tblPr>
      <w:tblGrid>
        <w:gridCol w:w="1101"/>
        <w:gridCol w:w="567"/>
        <w:gridCol w:w="515"/>
        <w:gridCol w:w="731"/>
        <w:gridCol w:w="731"/>
        <w:gridCol w:w="742"/>
        <w:gridCol w:w="742"/>
        <w:gridCol w:w="742"/>
        <w:gridCol w:w="742"/>
        <w:gridCol w:w="754"/>
        <w:gridCol w:w="951"/>
        <w:gridCol w:w="754"/>
      </w:tblGrid>
      <w:tr w:rsidR="009219A0" w14:paraId="29A4421F" w14:textId="77777777">
        <w:tc>
          <w:tcPr>
            <w:tcW w:w="1101" w:type="dxa"/>
            <w:vAlign w:val="center"/>
          </w:tcPr>
          <w:p w14:paraId="2ADA3516"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组分</w:t>
            </w:r>
          </w:p>
        </w:tc>
        <w:tc>
          <w:tcPr>
            <w:tcW w:w="567" w:type="dxa"/>
            <w:vAlign w:val="center"/>
          </w:tcPr>
          <w:p w14:paraId="10336616"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Fe</w:t>
            </w:r>
          </w:p>
        </w:tc>
        <w:tc>
          <w:tcPr>
            <w:tcW w:w="515" w:type="dxa"/>
            <w:vAlign w:val="center"/>
          </w:tcPr>
          <w:p w14:paraId="1EE00C59"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S</w:t>
            </w:r>
            <w:r>
              <w:rPr>
                <w:rFonts w:asciiTheme="minorEastAsia" w:eastAsiaTheme="minorEastAsia" w:hAnsiTheme="minorEastAsia" w:hint="eastAsia"/>
                <w:b/>
                <w:bCs/>
                <w:color w:val="auto"/>
                <w:kern w:val="0"/>
                <w:sz w:val="21"/>
                <w:szCs w:val="21"/>
                <w:vertAlign w:val="subscript"/>
              </w:rPr>
              <w:t>金</w:t>
            </w:r>
          </w:p>
        </w:tc>
        <w:tc>
          <w:tcPr>
            <w:tcW w:w="731" w:type="dxa"/>
            <w:vAlign w:val="center"/>
          </w:tcPr>
          <w:p w14:paraId="14466835"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As</w:t>
            </w:r>
          </w:p>
        </w:tc>
        <w:tc>
          <w:tcPr>
            <w:tcW w:w="731" w:type="dxa"/>
            <w:vAlign w:val="center"/>
          </w:tcPr>
          <w:p w14:paraId="6C1883BB"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Zn</w:t>
            </w:r>
          </w:p>
        </w:tc>
        <w:tc>
          <w:tcPr>
            <w:tcW w:w="742" w:type="dxa"/>
            <w:vAlign w:val="center"/>
          </w:tcPr>
          <w:p w14:paraId="03828BE8"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Pb</w:t>
            </w:r>
          </w:p>
        </w:tc>
        <w:tc>
          <w:tcPr>
            <w:tcW w:w="742" w:type="dxa"/>
            <w:vAlign w:val="center"/>
          </w:tcPr>
          <w:p w14:paraId="423DF735"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Cu</w:t>
            </w:r>
          </w:p>
        </w:tc>
        <w:tc>
          <w:tcPr>
            <w:tcW w:w="742" w:type="dxa"/>
            <w:vAlign w:val="center"/>
          </w:tcPr>
          <w:p w14:paraId="5E41815F"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Sn</w:t>
            </w:r>
          </w:p>
        </w:tc>
        <w:tc>
          <w:tcPr>
            <w:tcW w:w="742" w:type="dxa"/>
            <w:vAlign w:val="center"/>
          </w:tcPr>
          <w:p w14:paraId="120D008B"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Cl</w:t>
            </w:r>
          </w:p>
        </w:tc>
        <w:tc>
          <w:tcPr>
            <w:tcW w:w="754" w:type="dxa"/>
            <w:vAlign w:val="center"/>
          </w:tcPr>
          <w:p w14:paraId="17DA7E9C"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SiO</w:t>
            </w:r>
            <w:r>
              <w:rPr>
                <w:rFonts w:asciiTheme="minorEastAsia" w:eastAsiaTheme="minorEastAsia" w:hAnsiTheme="minorEastAsia" w:hint="eastAsia"/>
                <w:b/>
                <w:bCs/>
                <w:color w:val="auto"/>
                <w:kern w:val="0"/>
                <w:sz w:val="21"/>
                <w:szCs w:val="21"/>
                <w:vertAlign w:val="subscript"/>
              </w:rPr>
              <w:t>2</w:t>
            </w:r>
          </w:p>
        </w:tc>
        <w:tc>
          <w:tcPr>
            <w:tcW w:w="951" w:type="dxa"/>
            <w:vAlign w:val="center"/>
          </w:tcPr>
          <w:p w14:paraId="3437DD4C"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CaO</w:t>
            </w:r>
          </w:p>
        </w:tc>
        <w:tc>
          <w:tcPr>
            <w:tcW w:w="754" w:type="dxa"/>
            <w:vAlign w:val="center"/>
          </w:tcPr>
          <w:p w14:paraId="5E31700B"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H</w:t>
            </w:r>
            <w:r>
              <w:rPr>
                <w:rFonts w:asciiTheme="minorEastAsia" w:eastAsiaTheme="minorEastAsia" w:hAnsiTheme="minorEastAsia" w:hint="eastAsia"/>
                <w:b/>
                <w:bCs/>
                <w:color w:val="auto"/>
                <w:kern w:val="0"/>
                <w:sz w:val="21"/>
                <w:szCs w:val="21"/>
                <w:vertAlign w:val="subscript"/>
              </w:rPr>
              <w:t>2</w:t>
            </w:r>
            <w:r>
              <w:rPr>
                <w:rFonts w:asciiTheme="minorEastAsia" w:eastAsiaTheme="minorEastAsia" w:hAnsiTheme="minorEastAsia" w:hint="eastAsia"/>
                <w:b/>
                <w:bCs/>
                <w:color w:val="auto"/>
                <w:kern w:val="0"/>
                <w:sz w:val="21"/>
                <w:szCs w:val="21"/>
              </w:rPr>
              <w:t>O</w:t>
            </w:r>
          </w:p>
        </w:tc>
      </w:tr>
      <w:tr w:rsidR="009219A0" w14:paraId="1BA50737" w14:textId="77777777">
        <w:tc>
          <w:tcPr>
            <w:tcW w:w="1101" w:type="dxa"/>
            <w:vAlign w:val="center"/>
          </w:tcPr>
          <w:p w14:paraId="1D8956DC"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%（重量）</w:t>
            </w:r>
          </w:p>
        </w:tc>
        <w:tc>
          <w:tcPr>
            <w:tcW w:w="567" w:type="dxa"/>
            <w:vAlign w:val="center"/>
          </w:tcPr>
          <w:p w14:paraId="38D60738"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55</w:t>
            </w:r>
          </w:p>
        </w:tc>
        <w:tc>
          <w:tcPr>
            <w:tcW w:w="515" w:type="dxa"/>
            <w:vAlign w:val="center"/>
          </w:tcPr>
          <w:p w14:paraId="05DFCC42"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1</w:t>
            </w:r>
          </w:p>
        </w:tc>
        <w:tc>
          <w:tcPr>
            <w:tcW w:w="731" w:type="dxa"/>
            <w:vAlign w:val="center"/>
          </w:tcPr>
          <w:p w14:paraId="75ABBC71"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0.6</w:t>
            </w:r>
          </w:p>
        </w:tc>
        <w:tc>
          <w:tcPr>
            <w:tcW w:w="731" w:type="dxa"/>
            <w:vAlign w:val="center"/>
          </w:tcPr>
          <w:p w14:paraId="58692B4B"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0.3</w:t>
            </w:r>
          </w:p>
        </w:tc>
        <w:tc>
          <w:tcPr>
            <w:tcW w:w="742" w:type="dxa"/>
            <w:vAlign w:val="center"/>
          </w:tcPr>
          <w:p w14:paraId="55AEB9FB"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0.36</w:t>
            </w:r>
          </w:p>
        </w:tc>
        <w:tc>
          <w:tcPr>
            <w:tcW w:w="742" w:type="dxa"/>
            <w:vAlign w:val="center"/>
          </w:tcPr>
          <w:p w14:paraId="2B21B4F1"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0.32</w:t>
            </w:r>
          </w:p>
        </w:tc>
        <w:tc>
          <w:tcPr>
            <w:tcW w:w="742" w:type="dxa"/>
            <w:vAlign w:val="center"/>
          </w:tcPr>
          <w:p w14:paraId="47274476"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0.08</w:t>
            </w:r>
          </w:p>
        </w:tc>
        <w:tc>
          <w:tcPr>
            <w:tcW w:w="742" w:type="dxa"/>
            <w:vAlign w:val="center"/>
          </w:tcPr>
          <w:p w14:paraId="487A4493"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0.38</w:t>
            </w:r>
          </w:p>
        </w:tc>
        <w:tc>
          <w:tcPr>
            <w:tcW w:w="754" w:type="dxa"/>
            <w:vAlign w:val="center"/>
          </w:tcPr>
          <w:p w14:paraId="15A58FD9"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1.5-3</w:t>
            </w:r>
          </w:p>
        </w:tc>
        <w:tc>
          <w:tcPr>
            <w:tcW w:w="951" w:type="dxa"/>
            <w:vAlign w:val="center"/>
          </w:tcPr>
          <w:p w14:paraId="0B8C4683"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1.5-1.8</w:t>
            </w:r>
          </w:p>
        </w:tc>
        <w:tc>
          <w:tcPr>
            <w:tcW w:w="754" w:type="dxa"/>
            <w:vAlign w:val="center"/>
          </w:tcPr>
          <w:p w14:paraId="1F79B86E"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12-15</w:t>
            </w:r>
          </w:p>
        </w:tc>
      </w:tr>
    </w:tbl>
    <w:p w14:paraId="251285C0" w14:textId="77777777" w:rsidR="009219A0" w:rsidRDefault="009219A0">
      <w:pPr>
        <w:adjustRightInd/>
        <w:snapToGrid/>
        <w:ind w:firstLineChars="0" w:firstLine="573"/>
        <w:jc w:val="center"/>
        <w:rPr>
          <w:color w:val="auto"/>
          <w:kern w:val="0"/>
          <w:szCs w:val="28"/>
        </w:rPr>
      </w:pPr>
    </w:p>
    <w:p w14:paraId="52A1D623" w14:textId="77777777" w:rsidR="009219A0" w:rsidRDefault="00000000">
      <w:pPr>
        <w:adjustRightInd/>
        <w:snapToGrid/>
        <w:ind w:firstLineChars="0" w:firstLine="573"/>
        <w:jc w:val="center"/>
        <w:rPr>
          <w:color w:val="auto"/>
          <w:kern w:val="0"/>
          <w:szCs w:val="28"/>
        </w:rPr>
      </w:pPr>
      <w:r>
        <w:rPr>
          <w:rFonts w:hint="eastAsia"/>
          <w:color w:val="auto"/>
          <w:kern w:val="0"/>
          <w:szCs w:val="28"/>
        </w:rPr>
        <w:t>表</w:t>
      </w:r>
      <w:r>
        <w:rPr>
          <w:rFonts w:hint="eastAsia"/>
          <w:color w:val="auto"/>
          <w:kern w:val="0"/>
          <w:szCs w:val="28"/>
        </w:rPr>
        <w:t xml:space="preserve">2.2-6 </w:t>
      </w:r>
      <w:r>
        <w:rPr>
          <w:rFonts w:hint="eastAsia"/>
          <w:color w:val="auto"/>
          <w:kern w:val="0"/>
          <w:szCs w:val="28"/>
        </w:rPr>
        <w:t>硫铁矿主要化学成分及含量</w:t>
      </w:r>
    </w:p>
    <w:tbl>
      <w:tblPr>
        <w:tblStyle w:val="afb"/>
        <w:tblW w:w="9072" w:type="dxa"/>
        <w:tblLook w:val="04A0" w:firstRow="1" w:lastRow="0" w:firstColumn="1" w:lastColumn="0" w:noHBand="0" w:noVBand="1"/>
      </w:tblPr>
      <w:tblGrid>
        <w:gridCol w:w="1101"/>
        <w:gridCol w:w="567"/>
        <w:gridCol w:w="515"/>
        <w:gridCol w:w="731"/>
        <w:gridCol w:w="731"/>
        <w:gridCol w:w="742"/>
        <w:gridCol w:w="742"/>
        <w:gridCol w:w="742"/>
        <w:gridCol w:w="742"/>
        <w:gridCol w:w="754"/>
        <w:gridCol w:w="951"/>
        <w:gridCol w:w="754"/>
      </w:tblGrid>
      <w:tr w:rsidR="009219A0" w14:paraId="603D89B9" w14:textId="77777777">
        <w:tc>
          <w:tcPr>
            <w:tcW w:w="1101" w:type="dxa"/>
            <w:vAlign w:val="center"/>
          </w:tcPr>
          <w:p w14:paraId="25A0F02E"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组分</w:t>
            </w:r>
          </w:p>
        </w:tc>
        <w:tc>
          <w:tcPr>
            <w:tcW w:w="567" w:type="dxa"/>
            <w:vAlign w:val="center"/>
          </w:tcPr>
          <w:p w14:paraId="2A2AEB08"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Fe</w:t>
            </w:r>
          </w:p>
        </w:tc>
        <w:tc>
          <w:tcPr>
            <w:tcW w:w="515" w:type="dxa"/>
            <w:vAlign w:val="center"/>
          </w:tcPr>
          <w:p w14:paraId="4B874EF9"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S</w:t>
            </w:r>
            <w:r>
              <w:rPr>
                <w:rFonts w:asciiTheme="minorEastAsia" w:eastAsiaTheme="minorEastAsia" w:hAnsiTheme="minorEastAsia" w:hint="eastAsia"/>
                <w:b/>
                <w:bCs/>
                <w:color w:val="auto"/>
                <w:kern w:val="0"/>
                <w:sz w:val="21"/>
                <w:szCs w:val="21"/>
                <w:vertAlign w:val="subscript"/>
              </w:rPr>
              <w:t>金</w:t>
            </w:r>
          </w:p>
        </w:tc>
        <w:tc>
          <w:tcPr>
            <w:tcW w:w="731" w:type="dxa"/>
            <w:vAlign w:val="center"/>
          </w:tcPr>
          <w:p w14:paraId="20ED81B9"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As</w:t>
            </w:r>
          </w:p>
        </w:tc>
        <w:tc>
          <w:tcPr>
            <w:tcW w:w="731" w:type="dxa"/>
            <w:vAlign w:val="center"/>
          </w:tcPr>
          <w:p w14:paraId="529652D3"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Zn</w:t>
            </w:r>
          </w:p>
        </w:tc>
        <w:tc>
          <w:tcPr>
            <w:tcW w:w="742" w:type="dxa"/>
            <w:vAlign w:val="center"/>
          </w:tcPr>
          <w:p w14:paraId="6BF44077"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Pb</w:t>
            </w:r>
          </w:p>
        </w:tc>
        <w:tc>
          <w:tcPr>
            <w:tcW w:w="742" w:type="dxa"/>
            <w:vAlign w:val="center"/>
          </w:tcPr>
          <w:p w14:paraId="145A10F1"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Cu</w:t>
            </w:r>
          </w:p>
        </w:tc>
        <w:tc>
          <w:tcPr>
            <w:tcW w:w="742" w:type="dxa"/>
            <w:vAlign w:val="center"/>
          </w:tcPr>
          <w:p w14:paraId="5E489CD4"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Cl</w:t>
            </w:r>
          </w:p>
        </w:tc>
        <w:tc>
          <w:tcPr>
            <w:tcW w:w="742" w:type="dxa"/>
            <w:vAlign w:val="center"/>
          </w:tcPr>
          <w:p w14:paraId="22B56276"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CaO</w:t>
            </w:r>
          </w:p>
        </w:tc>
        <w:tc>
          <w:tcPr>
            <w:tcW w:w="754" w:type="dxa"/>
            <w:vAlign w:val="center"/>
          </w:tcPr>
          <w:p w14:paraId="238EFC7F"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SiO</w:t>
            </w:r>
            <w:r>
              <w:rPr>
                <w:rFonts w:asciiTheme="minorEastAsia" w:eastAsiaTheme="minorEastAsia" w:hAnsiTheme="minorEastAsia" w:hint="eastAsia"/>
                <w:b/>
                <w:bCs/>
                <w:color w:val="auto"/>
                <w:kern w:val="0"/>
                <w:sz w:val="21"/>
                <w:szCs w:val="21"/>
                <w:vertAlign w:val="subscript"/>
              </w:rPr>
              <w:t>2</w:t>
            </w:r>
          </w:p>
        </w:tc>
        <w:tc>
          <w:tcPr>
            <w:tcW w:w="951" w:type="dxa"/>
            <w:vAlign w:val="center"/>
          </w:tcPr>
          <w:p w14:paraId="3F794D62"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Tl</w:t>
            </w:r>
          </w:p>
        </w:tc>
        <w:tc>
          <w:tcPr>
            <w:tcW w:w="754" w:type="dxa"/>
            <w:vAlign w:val="center"/>
          </w:tcPr>
          <w:p w14:paraId="2B9A79C0"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H</w:t>
            </w:r>
            <w:r>
              <w:rPr>
                <w:rFonts w:asciiTheme="minorEastAsia" w:eastAsiaTheme="minorEastAsia" w:hAnsiTheme="minorEastAsia" w:hint="eastAsia"/>
                <w:b/>
                <w:bCs/>
                <w:color w:val="auto"/>
                <w:kern w:val="0"/>
                <w:sz w:val="21"/>
                <w:szCs w:val="21"/>
                <w:vertAlign w:val="subscript"/>
              </w:rPr>
              <w:t>2</w:t>
            </w:r>
            <w:r>
              <w:rPr>
                <w:rFonts w:asciiTheme="minorEastAsia" w:eastAsiaTheme="minorEastAsia" w:hAnsiTheme="minorEastAsia" w:hint="eastAsia"/>
                <w:b/>
                <w:bCs/>
                <w:color w:val="auto"/>
                <w:kern w:val="0"/>
                <w:sz w:val="21"/>
                <w:szCs w:val="21"/>
              </w:rPr>
              <w:t>O</w:t>
            </w:r>
          </w:p>
        </w:tc>
      </w:tr>
      <w:tr w:rsidR="009219A0" w14:paraId="2CF8C2FF" w14:textId="77777777">
        <w:tc>
          <w:tcPr>
            <w:tcW w:w="1101" w:type="dxa"/>
            <w:vAlign w:val="center"/>
          </w:tcPr>
          <w:p w14:paraId="33D96948"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%（重量）</w:t>
            </w:r>
          </w:p>
        </w:tc>
        <w:tc>
          <w:tcPr>
            <w:tcW w:w="567" w:type="dxa"/>
            <w:vAlign w:val="center"/>
          </w:tcPr>
          <w:p w14:paraId="36A8B84A"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39</w:t>
            </w:r>
          </w:p>
        </w:tc>
        <w:tc>
          <w:tcPr>
            <w:tcW w:w="515" w:type="dxa"/>
            <w:vAlign w:val="center"/>
          </w:tcPr>
          <w:p w14:paraId="01B2AD27"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45</w:t>
            </w:r>
          </w:p>
        </w:tc>
        <w:tc>
          <w:tcPr>
            <w:tcW w:w="731" w:type="dxa"/>
            <w:vAlign w:val="center"/>
          </w:tcPr>
          <w:p w14:paraId="3EA96279"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0.4</w:t>
            </w:r>
          </w:p>
        </w:tc>
        <w:tc>
          <w:tcPr>
            <w:tcW w:w="731" w:type="dxa"/>
            <w:vAlign w:val="center"/>
          </w:tcPr>
          <w:p w14:paraId="0333835F"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0.57</w:t>
            </w:r>
          </w:p>
        </w:tc>
        <w:tc>
          <w:tcPr>
            <w:tcW w:w="742" w:type="dxa"/>
            <w:vAlign w:val="center"/>
          </w:tcPr>
          <w:p w14:paraId="6A437B99"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0.1</w:t>
            </w:r>
          </w:p>
        </w:tc>
        <w:tc>
          <w:tcPr>
            <w:tcW w:w="742" w:type="dxa"/>
            <w:vAlign w:val="center"/>
          </w:tcPr>
          <w:p w14:paraId="39E97D3E"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0.2</w:t>
            </w:r>
          </w:p>
        </w:tc>
        <w:tc>
          <w:tcPr>
            <w:tcW w:w="742" w:type="dxa"/>
            <w:vAlign w:val="center"/>
          </w:tcPr>
          <w:p w14:paraId="4D768A24"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0.4</w:t>
            </w:r>
          </w:p>
        </w:tc>
        <w:tc>
          <w:tcPr>
            <w:tcW w:w="742" w:type="dxa"/>
            <w:vAlign w:val="center"/>
          </w:tcPr>
          <w:p w14:paraId="579E6004"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1-1.5</w:t>
            </w:r>
          </w:p>
        </w:tc>
        <w:tc>
          <w:tcPr>
            <w:tcW w:w="754" w:type="dxa"/>
            <w:vAlign w:val="center"/>
          </w:tcPr>
          <w:p w14:paraId="71D66A98"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2-4</w:t>
            </w:r>
          </w:p>
        </w:tc>
        <w:tc>
          <w:tcPr>
            <w:tcW w:w="951" w:type="dxa"/>
            <w:vAlign w:val="center"/>
          </w:tcPr>
          <w:p w14:paraId="49C42DB3"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未检出</w:t>
            </w:r>
          </w:p>
        </w:tc>
        <w:tc>
          <w:tcPr>
            <w:tcW w:w="754" w:type="dxa"/>
            <w:vAlign w:val="center"/>
          </w:tcPr>
          <w:p w14:paraId="0619F5D6"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10-15</w:t>
            </w:r>
          </w:p>
        </w:tc>
      </w:tr>
    </w:tbl>
    <w:p w14:paraId="5E5D8993" w14:textId="77777777" w:rsidR="009219A0" w:rsidRDefault="00000000">
      <w:pPr>
        <w:adjustRightInd/>
        <w:snapToGrid/>
        <w:ind w:firstLineChars="0" w:firstLine="573"/>
        <w:jc w:val="center"/>
        <w:rPr>
          <w:color w:val="auto"/>
          <w:kern w:val="0"/>
          <w:szCs w:val="28"/>
        </w:rPr>
      </w:pPr>
      <w:r>
        <w:rPr>
          <w:rFonts w:hint="eastAsia"/>
          <w:color w:val="auto"/>
          <w:kern w:val="0"/>
          <w:szCs w:val="28"/>
        </w:rPr>
        <w:lastRenderedPageBreak/>
        <w:t>表</w:t>
      </w:r>
      <w:r>
        <w:rPr>
          <w:rFonts w:hint="eastAsia"/>
          <w:color w:val="auto"/>
          <w:kern w:val="0"/>
          <w:szCs w:val="28"/>
        </w:rPr>
        <w:t xml:space="preserve">2.2-7 </w:t>
      </w:r>
      <w:r>
        <w:rPr>
          <w:rFonts w:hint="eastAsia"/>
          <w:color w:val="auto"/>
          <w:kern w:val="0"/>
          <w:szCs w:val="28"/>
        </w:rPr>
        <w:t>硫酸主要成分</w:t>
      </w:r>
    </w:p>
    <w:tbl>
      <w:tblPr>
        <w:tblStyle w:val="afb"/>
        <w:tblW w:w="9072" w:type="dxa"/>
        <w:tblLook w:val="04A0" w:firstRow="1" w:lastRow="0" w:firstColumn="1" w:lastColumn="0" w:noHBand="0" w:noVBand="1"/>
      </w:tblPr>
      <w:tblGrid>
        <w:gridCol w:w="959"/>
        <w:gridCol w:w="1276"/>
        <w:gridCol w:w="1417"/>
        <w:gridCol w:w="992"/>
        <w:gridCol w:w="1220"/>
        <w:gridCol w:w="1066"/>
        <w:gridCol w:w="1066"/>
        <w:gridCol w:w="1076"/>
      </w:tblGrid>
      <w:tr w:rsidR="009219A0" w14:paraId="2060F41D" w14:textId="77777777">
        <w:tc>
          <w:tcPr>
            <w:tcW w:w="959" w:type="dxa"/>
            <w:vAlign w:val="center"/>
          </w:tcPr>
          <w:p w14:paraId="4573BD8B"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组分</w:t>
            </w:r>
          </w:p>
        </w:tc>
        <w:tc>
          <w:tcPr>
            <w:tcW w:w="1276" w:type="dxa"/>
            <w:vAlign w:val="center"/>
          </w:tcPr>
          <w:p w14:paraId="043B61FB"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H</w:t>
            </w:r>
            <w:r>
              <w:rPr>
                <w:rFonts w:asciiTheme="minorEastAsia" w:eastAsiaTheme="minorEastAsia" w:hAnsiTheme="minorEastAsia" w:hint="eastAsia"/>
                <w:b/>
                <w:bCs/>
                <w:color w:val="auto"/>
                <w:kern w:val="0"/>
                <w:sz w:val="21"/>
                <w:szCs w:val="21"/>
                <w:vertAlign w:val="subscript"/>
              </w:rPr>
              <w:t>2</w:t>
            </w:r>
            <w:r>
              <w:rPr>
                <w:rFonts w:asciiTheme="minorEastAsia" w:eastAsiaTheme="minorEastAsia" w:hAnsiTheme="minorEastAsia" w:hint="eastAsia"/>
                <w:b/>
                <w:bCs/>
                <w:color w:val="auto"/>
                <w:kern w:val="0"/>
                <w:sz w:val="21"/>
                <w:szCs w:val="21"/>
              </w:rPr>
              <w:t>SO</w:t>
            </w:r>
            <w:r>
              <w:rPr>
                <w:rFonts w:asciiTheme="minorEastAsia" w:eastAsiaTheme="minorEastAsia" w:hAnsiTheme="minorEastAsia" w:hint="eastAsia"/>
                <w:b/>
                <w:bCs/>
                <w:color w:val="auto"/>
                <w:kern w:val="0"/>
                <w:sz w:val="21"/>
                <w:szCs w:val="21"/>
                <w:vertAlign w:val="subscript"/>
              </w:rPr>
              <w:t>4</w:t>
            </w:r>
          </w:p>
        </w:tc>
        <w:tc>
          <w:tcPr>
            <w:tcW w:w="1417" w:type="dxa"/>
            <w:vAlign w:val="center"/>
          </w:tcPr>
          <w:p w14:paraId="752A7D8C"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Fe</w:t>
            </w:r>
          </w:p>
        </w:tc>
        <w:tc>
          <w:tcPr>
            <w:tcW w:w="992" w:type="dxa"/>
            <w:vAlign w:val="center"/>
          </w:tcPr>
          <w:p w14:paraId="7A1F59DE"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As</w:t>
            </w:r>
          </w:p>
        </w:tc>
        <w:tc>
          <w:tcPr>
            <w:tcW w:w="1220" w:type="dxa"/>
            <w:vAlign w:val="center"/>
          </w:tcPr>
          <w:p w14:paraId="1FC79D26"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Pb</w:t>
            </w:r>
          </w:p>
        </w:tc>
        <w:tc>
          <w:tcPr>
            <w:tcW w:w="1066" w:type="dxa"/>
            <w:vAlign w:val="center"/>
          </w:tcPr>
          <w:p w14:paraId="47E48C40"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灰分</w:t>
            </w:r>
          </w:p>
        </w:tc>
        <w:tc>
          <w:tcPr>
            <w:tcW w:w="1066" w:type="dxa"/>
            <w:vAlign w:val="center"/>
          </w:tcPr>
          <w:p w14:paraId="25E55E1A"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Hg</w:t>
            </w:r>
          </w:p>
        </w:tc>
        <w:tc>
          <w:tcPr>
            <w:tcW w:w="1076" w:type="dxa"/>
            <w:vAlign w:val="center"/>
          </w:tcPr>
          <w:p w14:paraId="6B57BFAB" w14:textId="77777777" w:rsidR="009219A0" w:rsidRDefault="00000000">
            <w:pPr>
              <w:adjustRightInd/>
              <w:snapToGrid/>
              <w:ind w:firstLineChars="0" w:firstLine="0"/>
              <w:jc w:val="center"/>
              <w:rPr>
                <w:rFonts w:asciiTheme="minorEastAsia" w:eastAsiaTheme="minorEastAsia" w:hAnsiTheme="minorEastAsia" w:hint="eastAsia"/>
                <w:b/>
                <w:bCs/>
                <w:color w:val="auto"/>
                <w:kern w:val="0"/>
                <w:sz w:val="21"/>
                <w:szCs w:val="21"/>
              </w:rPr>
            </w:pPr>
            <w:r>
              <w:rPr>
                <w:rFonts w:asciiTheme="minorEastAsia" w:eastAsiaTheme="minorEastAsia" w:hAnsiTheme="minorEastAsia" w:hint="eastAsia"/>
                <w:b/>
                <w:bCs/>
                <w:color w:val="auto"/>
                <w:kern w:val="0"/>
                <w:sz w:val="21"/>
                <w:szCs w:val="21"/>
              </w:rPr>
              <w:t>透明度</w:t>
            </w:r>
          </w:p>
        </w:tc>
      </w:tr>
      <w:tr w:rsidR="009219A0" w14:paraId="496E8FFE" w14:textId="77777777">
        <w:tc>
          <w:tcPr>
            <w:tcW w:w="959" w:type="dxa"/>
            <w:vAlign w:val="center"/>
          </w:tcPr>
          <w:p w14:paraId="4281D314"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w:t>
            </w:r>
          </w:p>
        </w:tc>
        <w:tc>
          <w:tcPr>
            <w:tcW w:w="1276" w:type="dxa"/>
            <w:vAlign w:val="center"/>
          </w:tcPr>
          <w:p w14:paraId="098B783E"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≥98</w:t>
            </w:r>
          </w:p>
        </w:tc>
        <w:tc>
          <w:tcPr>
            <w:tcW w:w="1417" w:type="dxa"/>
            <w:vAlign w:val="center"/>
          </w:tcPr>
          <w:p w14:paraId="46908B0F"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≤0.0010</w:t>
            </w:r>
          </w:p>
        </w:tc>
        <w:tc>
          <w:tcPr>
            <w:tcW w:w="992" w:type="dxa"/>
            <w:vAlign w:val="center"/>
          </w:tcPr>
          <w:p w14:paraId="3233A28E"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≤0.001</w:t>
            </w:r>
          </w:p>
        </w:tc>
        <w:tc>
          <w:tcPr>
            <w:tcW w:w="1220" w:type="dxa"/>
            <w:vAlign w:val="center"/>
          </w:tcPr>
          <w:p w14:paraId="01EFEED7"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≤0.02</w:t>
            </w:r>
          </w:p>
        </w:tc>
        <w:tc>
          <w:tcPr>
            <w:tcW w:w="1066" w:type="dxa"/>
            <w:vAlign w:val="center"/>
          </w:tcPr>
          <w:p w14:paraId="6CAA6BFE"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≤0.003</w:t>
            </w:r>
          </w:p>
        </w:tc>
        <w:tc>
          <w:tcPr>
            <w:tcW w:w="1066" w:type="dxa"/>
            <w:vAlign w:val="center"/>
          </w:tcPr>
          <w:p w14:paraId="60FDF0D3"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≤0.01</w:t>
            </w:r>
          </w:p>
        </w:tc>
        <w:tc>
          <w:tcPr>
            <w:tcW w:w="1076" w:type="dxa"/>
            <w:vAlign w:val="center"/>
          </w:tcPr>
          <w:p w14:paraId="090CC1AC" w14:textId="77777777" w:rsidR="009219A0" w:rsidRDefault="00000000">
            <w:pPr>
              <w:adjustRightInd/>
              <w:snapToGrid/>
              <w:ind w:firstLineChars="0" w:firstLine="0"/>
              <w:jc w:val="center"/>
              <w:rPr>
                <w:rFonts w:asciiTheme="minorEastAsia" w:eastAsiaTheme="minorEastAsia" w:hAnsiTheme="minorEastAsia" w:hint="eastAsia"/>
                <w:color w:val="auto"/>
                <w:kern w:val="0"/>
                <w:sz w:val="21"/>
                <w:szCs w:val="21"/>
              </w:rPr>
            </w:pPr>
            <w:r>
              <w:rPr>
                <w:rFonts w:asciiTheme="minorEastAsia" w:eastAsiaTheme="minorEastAsia" w:hAnsiTheme="minorEastAsia" w:hint="eastAsia"/>
                <w:color w:val="auto"/>
                <w:kern w:val="0"/>
                <w:sz w:val="21"/>
                <w:szCs w:val="21"/>
              </w:rPr>
              <w:t>≥50mm</w:t>
            </w:r>
          </w:p>
        </w:tc>
      </w:tr>
    </w:tbl>
    <w:p w14:paraId="3196D911" w14:textId="77777777" w:rsidR="009219A0" w:rsidRDefault="009219A0">
      <w:pPr>
        <w:adjustRightInd/>
        <w:snapToGrid/>
        <w:ind w:firstLineChars="0" w:firstLine="573"/>
        <w:jc w:val="center"/>
        <w:rPr>
          <w:color w:val="auto"/>
          <w:kern w:val="0"/>
          <w:szCs w:val="28"/>
        </w:rPr>
      </w:pPr>
    </w:p>
    <w:p w14:paraId="03123A32" w14:textId="77777777" w:rsidR="009219A0" w:rsidRDefault="00000000">
      <w:pPr>
        <w:pStyle w:val="3"/>
        <w:rPr>
          <w:rFonts w:hint="eastAsia"/>
        </w:rPr>
      </w:pPr>
      <w:bookmarkStart w:id="67" w:name="_Toc211950411"/>
      <w:r>
        <w:rPr>
          <w:rFonts w:hint="eastAsia"/>
        </w:rPr>
        <w:t>2.2.9 工艺流程</w:t>
      </w:r>
      <w:bookmarkEnd w:id="67"/>
    </w:p>
    <w:p w14:paraId="6D4F3B8C" w14:textId="77777777" w:rsidR="009219A0" w:rsidRDefault="00000000">
      <w:pPr>
        <w:ind w:firstLine="560"/>
        <w:outlineLvl w:val="3"/>
      </w:pPr>
      <w:r>
        <w:rPr>
          <w:rFonts w:hint="eastAsia"/>
        </w:rPr>
        <w:t xml:space="preserve">2.2.9.1 </w:t>
      </w:r>
      <w:r>
        <w:rPr>
          <w:rFonts w:hint="eastAsia"/>
        </w:rPr>
        <w:t>研发中心工艺流程</w:t>
      </w:r>
    </w:p>
    <w:p w14:paraId="13AC4A39" w14:textId="77777777" w:rsidR="009219A0" w:rsidRDefault="00000000">
      <w:pPr>
        <w:adjustRightInd/>
        <w:snapToGrid/>
        <w:spacing w:line="500" w:lineRule="exact"/>
        <w:ind w:firstLine="560"/>
        <w:rPr>
          <w:rFonts w:ascii="宋体" w:hAnsi="宋体" w:hint="eastAsia"/>
          <w:color w:val="auto"/>
          <w:szCs w:val="22"/>
        </w:rPr>
      </w:pPr>
      <w:r>
        <w:rPr>
          <w:rFonts w:ascii="宋体" w:hAnsi="宋体" w:hint="eastAsia"/>
          <w:color w:val="auto"/>
          <w:szCs w:val="22"/>
        </w:rPr>
        <w:t>研发中心主要在实验室进行</w:t>
      </w:r>
      <w:proofErr w:type="gramStart"/>
      <w:r>
        <w:rPr>
          <w:rFonts w:ascii="宋体" w:hAnsi="宋体" w:hint="eastAsia"/>
          <w:color w:val="auto"/>
          <w:szCs w:val="22"/>
        </w:rPr>
        <w:t>与创源公司</w:t>
      </w:r>
      <w:proofErr w:type="gramEnd"/>
      <w:r>
        <w:rPr>
          <w:rFonts w:ascii="宋体" w:hAnsi="宋体" w:hint="eastAsia"/>
          <w:color w:val="auto"/>
          <w:szCs w:val="22"/>
        </w:rPr>
        <w:t>项目有关的研究探索、工艺优化，设计试验技术路线和反应条件后在实验室进行备料、计量、反应。研发中心工作人员通过调整反应温度、反应时间、物料配比、试验方法等得到工艺参数和技术方法。研发中心实验内容均为小试实验，主要目的为获取铁粉脱杂、硫铁矿脱砷的技术路线和工艺参数，所用各种试验原料使用量较小。</w:t>
      </w:r>
    </w:p>
    <w:p w14:paraId="53A82786" w14:textId="77777777" w:rsidR="009219A0" w:rsidRDefault="00000000">
      <w:pPr>
        <w:ind w:firstLine="560"/>
      </w:pPr>
      <w:r>
        <w:rPr>
          <w:rFonts w:ascii="宋体" w:hAnsi="宋体" w:hint="eastAsia"/>
          <w:color w:val="auto"/>
          <w:szCs w:val="22"/>
        </w:rPr>
        <w:t>（1）</w:t>
      </w:r>
      <w:proofErr w:type="gramStart"/>
      <w:r>
        <w:rPr>
          <w:rFonts w:ascii="宋体" w:hAnsi="宋体" w:hint="eastAsia"/>
          <w:color w:val="auto"/>
          <w:szCs w:val="22"/>
        </w:rPr>
        <w:t>铁粉脱杂小试</w:t>
      </w:r>
      <w:proofErr w:type="gramEnd"/>
    </w:p>
    <w:p w14:paraId="75013012" w14:textId="77777777" w:rsidR="009219A0" w:rsidRDefault="00000000">
      <w:pPr>
        <w:ind w:firstLineChars="0" w:firstLine="0"/>
        <w:jc w:val="center"/>
      </w:pPr>
      <w:r>
        <w:rPr>
          <w:noProof/>
          <w:color w:val="auto"/>
          <w:szCs w:val="22"/>
        </w:rPr>
        <w:drawing>
          <wp:inline distT="0" distB="0" distL="0" distR="0" wp14:anchorId="297A478C" wp14:editId="531783C0">
            <wp:extent cx="5581650" cy="1800225"/>
            <wp:effectExtent l="0" t="0" r="0" b="9525"/>
            <wp:docPr id="12" name="图片 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581650" cy="1800225"/>
                    </a:xfrm>
                    <a:prstGeom prst="rect">
                      <a:avLst/>
                    </a:prstGeom>
                    <a:noFill/>
                    <a:ln>
                      <a:noFill/>
                    </a:ln>
                  </pic:spPr>
                </pic:pic>
              </a:graphicData>
            </a:graphic>
          </wp:inline>
        </w:drawing>
      </w:r>
    </w:p>
    <w:p w14:paraId="499E0E10" w14:textId="77777777" w:rsidR="009219A0" w:rsidRDefault="00000000">
      <w:pPr>
        <w:pStyle w:val="Default1"/>
        <w:spacing w:line="360" w:lineRule="auto"/>
        <w:jc w:val="center"/>
        <w:rPr>
          <w:rFonts w:ascii="宋体" w:hAnsi="宋体"/>
          <w:sz w:val="28"/>
          <w:szCs w:val="28"/>
        </w:rPr>
      </w:pPr>
      <w:r>
        <w:rPr>
          <w:rFonts w:ascii="宋体" w:hAnsi="宋体"/>
          <w:sz w:val="28"/>
          <w:szCs w:val="28"/>
        </w:rPr>
        <w:t xml:space="preserve">图2.2-3 </w:t>
      </w:r>
      <w:proofErr w:type="gramStart"/>
      <w:r>
        <w:rPr>
          <w:rFonts w:ascii="宋体" w:hAnsi="宋体"/>
          <w:sz w:val="28"/>
          <w:szCs w:val="28"/>
        </w:rPr>
        <w:t>铁粉脱杂小试</w:t>
      </w:r>
      <w:proofErr w:type="gramEnd"/>
      <w:r>
        <w:rPr>
          <w:rFonts w:ascii="宋体" w:hAnsi="宋体"/>
          <w:sz w:val="28"/>
          <w:szCs w:val="28"/>
        </w:rPr>
        <w:t>实验流程图</w:t>
      </w:r>
    </w:p>
    <w:p w14:paraId="4F8E4877"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流程简述</w:t>
      </w:r>
    </w:p>
    <w:p w14:paraId="207ED01A"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1）实验准备：准备 5000mL的烧杯若干，铁粉、硫酸、电子天平、PH试纸等。</w:t>
      </w:r>
    </w:p>
    <w:p w14:paraId="3C024B3D"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2）配制浸出液：称取500g铁粉放入烧杯中备用，配制浸出液，称取适量 98%硫酸与水在烧杯中配制稀硫酸，稀硫酸浓度约10-30g/L，调整铁粉与浸出液</w:t>
      </w:r>
      <w:proofErr w:type="gramStart"/>
      <w:r>
        <w:rPr>
          <w:rFonts w:ascii="宋体" w:hAnsi="宋体"/>
          <w:sz w:val="28"/>
          <w:szCs w:val="28"/>
        </w:rPr>
        <w:t>质量固液比</w:t>
      </w:r>
      <w:proofErr w:type="gramEnd"/>
      <w:r>
        <w:rPr>
          <w:rFonts w:ascii="宋体" w:hAnsi="宋体"/>
          <w:sz w:val="28"/>
          <w:szCs w:val="28"/>
        </w:rPr>
        <w:t>。</w:t>
      </w:r>
    </w:p>
    <w:p w14:paraId="3F0D3C2D"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3）搅拌浸出：烧杯放在电炉自动加温搅拌试验台上边加热边搅拌，加</w:t>
      </w:r>
      <w:r>
        <w:rPr>
          <w:rFonts w:ascii="宋体" w:hAnsi="宋体"/>
          <w:sz w:val="28"/>
          <w:szCs w:val="28"/>
        </w:rPr>
        <w:lastRenderedPageBreak/>
        <w:t>热至40-50℃。单次反应时间约为90min，反应结束后用真空过滤机进行固液分离，脱砷后的铁粉通过干燥箱干燥，经研发中心人员在检验室对其成分进行分析检测合格后</w:t>
      </w:r>
      <w:proofErr w:type="gramStart"/>
      <w:r>
        <w:rPr>
          <w:rFonts w:ascii="宋体" w:hAnsi="宋体"/>
          <w:sz w:val="28"/>
          <w:szCs w:val="28"/>
        </w:rPr>
        <w:t>返回创源公司</w:t>
      </w:r>
      <w:proofErr w:type="gramEnd"/>
      <w:r>
        <w:rPr>
          <w:rFonts w:ascii="宋体" w:hAnsi="宋体"/>
          <w:sz w:val="28"/>
          <w:szCs w:val="28"/>
        </w:rPr>
        <w:t>制酸系统与硫铁矿配比进入沸腾炉，废渣（脱杂、脱砷反应不彻底的铁粉）返回原料仓库。</w:t>
      </w:r>
    </w:p>
    <w:p w14:paraId="79CA5C17"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浸出液使用 98%硫酸调整硫酸浓度后用于第二次浸出，重复以上搅拌浸出实验步骤，如此反应6次后收集废水。小试实验产生的废水拿桶收集后送入研发中心实验楼南侧的废水收集池，进入中试实验废水处理工序，与中试实验废水一起处理后返回中试车间进行浸出液的配制，不外排。</w:t>
      </w:r>
    </w:p>
    <w:p w14:paraId="633BE513"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（2）硫铁矿脱砷小试</w:t>
      </w:r>
    </w:p>
    <w:p w14:paraId="0BCFFA86" w14:textId="77777777" w:rsidR="009219A0" w:rsidRDefault="00000000">
      <w:pPr>
        <w:pStyle w:val="Default1"/>
        <w:spacing w:line="360" w:lineRule="auto"/>
        <w:jc w:val="center"/>
        <w:rPr>
          <w:rFonts w:hint="default"/>
        </w:rPr>
      </w:pPr>
      <w:r>
        <w:rPr>
          <w:rFonts w:hint="default"/>
          <w:noProof/>
        </w:rPr>
        <w:drawing>
          <wp:inline distT="0" distB="0" distL="0" distR="0" wp14:anchorId="482637F0" wp14:editId="7D3CCE32">
            <wp:extent cx="5584190" cy="17983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584190" cy="1798320"/>
                    </a:xfrm>
                    <a:prstGeom prst="rect">
                      <a:avLst/>
                    </a:prstGeom>
                    <a:noFill/>
                  </pic:spPr>
                </pic:pic>
              </a:graphicData>
            </a:graphic>
          </wp:inline>
        </w:drawing>
      </w:r>
    </w:p>
    <w:p w14:paraId="44CA9A61" w14:textId="77777777" w:rsidR="009219A0" w:rsidRDefault="00000000">
      <w:pPr>
        <w:pStyle w:val="Default1"/>
        <w:spacing w:line="360" w:lineRule="auto"/>
        <w:ind w:firstLineChars="200" w:firstLine="560"/>
        <w:jc w:val="center"/>
        <w:rPr>
          <w:rFonts w:ascii="宋体" w:hAnsi="宋体"/>
          <w:sz w:val="28"/>
          <w:szCs w:val="28"/>
        </w:rPr>
      </w:pPr>
      <w:r>
        <w:rPr>
          <w:rFonts w:ascii="宋体" w:hAnsi="宋体"/>
          <w:sz w:val="28"/>
          <w:szCs w:val="28"/>
        </w:rPr>
        <w:t>图2.2-4硫铁矿脱砷小试实验流程图</w:t>
      </w:r>
    </w:p>
    <w:p w14:paraId="2B9161D1"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流程简述</w:t>
      </w:r>
    </w:p>
    <w:p w14:paraId="03625BF5"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1）实验准备：准备5000mL的烧杯若干，硫铁矿、硫酸、盐酸、氯化钠、电子天平、PH试纸等。</w:t>
      </w:r>
    </w:p>
    <w:p w14:paraId="6F6E6EFD"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2）配制浸出液：称取500g硫铁矿放入烧杯中备用，配制浸出液，称取适量98%硫酸、30%盐酸、氯化钠与水在烧杯中配制浸出液，浸出液中稀硫酸浓度约10-30g/L，盐酸浓度约为30-50g/L，氯化钠浓度约为 40-60g/L。调整硫铁矿与浸出液</w:t>
      </w:r>
      <w:proofErr w:type="gramStart"/>
      <w:r>
        <w:rPr>
          <w:rFonts w:ascii="宋体" w:hAnsi="宋体"/>
          <w:sz w:val="28"/>
          <w:szCs w:val="28"/>
        </w:rPr>
        <w:t>质量固液比</w:t>
      </w:r>
      <w:proofErr w:type="gramEnd"/>
      <w:r>
        <w:rPr>
          <w:rFonts w:ascii="宋体" w:hAnsi="宋体"/>
          <w:sz w:val="28"/>
          <w:szCs w:val="28"/>
        </w:rPr>
        <w:t>。</w:t>
      </w:r>
    </w:p>
    <w:p w14:paraId="7AA4C775"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3）搅拌浸出：烧杯放在电炉自动加温搅拌试验台上边加热边搅拌，加热至40-50℃。单次反应时间约为120min，反应结束后用真空过滤机进行固液分离，脱砷后的硫铁矿通过干燥箱干燥，经研发中心人员在检验室对其</w:t>
      </w:r>
      <w:r>
        <w:rPr>
          <w:rFonts w:ascii="宋体" w:hAnsi="宋体"/>
          <w:sz w:val="28"/>
          <w:szCs w:val="28"/>
        </w:rPr>
        <w:lastRenderedPageBreak/>
        <w:t>成分进行分析检测合格后</w:t>
      </w:r>
      <w:proofErr w:type="gramStart"/>
      <w:r>
        <w:rPr>
          <w:rFonts w:ascii="宋体" w:hAnsi="宋体"/>
          <w:sz w:val="28"/>
          <w:szCs w:val="28"/>
        </w:rPr>
        <w:t>返回创源公司</w:t>
      </w:r>
      <w:proofErr w:type="gramEnd"/>
      <w:r>
        <w:rPr>
          <w:rFonts w:ascii="宋体" w:hAnsi="宋体"/>
          <w:sz w:val="28"/>
          <w:szCs w:val="28"/>
        </w:rPr>
        <w:t>制酸系统进入沸腾炉燃烧制硫酸，废渣（脱杂、脱砷反应不彻底的硫铁矿）返回原料仓库。</w:t>
      </w:r>
    </w:p>
    <w:p w14:paraId="1E84D4E8"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浸出液使用98%硫酸、氯化钠、30%盐酸调整浓度后用于第二次浸出，重复以上搅拌浸出实验步骤，如此反应6次后收集废水。小试实验产生的废水拿桶收集后送入研发中心实验楼南侧的废水收集池，进入中试实验废水处理工序，与中试实验废水一起处理后返回中试车间进行浸出液的配制，不外排。</w:t>
      </w:r>
    </w:p>
    <w:p w14:paraId="68E8966E" w14:textId="77777777" w:rsidR="009219A0" w:rsidRDefault="00000000">
      <w:pPr>
        <w:ind w:firstLine="560"/>
        <w:outlineLvl w:val="3"/>
      </w:pPr>
      <w:r>
        <w:t>2.2.9.2</w:t>
      </w:r>
      <w:r>
        <w:rPr>
          <w:rFonts w:hint="eastAsia"/>
        </w:rPr>
        <w:t>中试工艺流程</w:t>
      </w:r>
    </w:p>
    <w:p w14:paraId="3DDFE51C"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本项目中试车间共设计有铁粉脱杂、硫铁矿脱砷2种中试，2种中试均使用同一套设备，</w:t>
      </w:r>
      <w:proofErr w:type="gramStart"/>
      <w:r>
        <w:rPr>
          <w:rFonts w:ascii="宋体" w:hAnsi="宋体"/>
          <w:sz w:val="28"/>
          <w:szCs w:val="28"/>
        </w:rPr>
        <w:t>铁粉脱杂中试</w:t>
      </w:r>
      <w:proofErr w:type="gramEnd"/>
      <w:r>
        <w:rPr>
          <w:rFonts w:ascii="宋体" w:hAnsi="宋体"/>
          <w:sz w:val="28"/>
          <w:szCs w:val="28"/>
        </w:rPr>
        <w:t>和硫铁矿脱砷中试不在同一时间段进行，先进行</w:t>
      </w:r>
      <w:proofErr w:type="gramStart"/>
      <w:r>
        <w:rPr>
          <w:rFonts w:ascii="宋体" w:hAnsi="宋体"/>
          <w:sz w:val="28"/>
          <w:szCs w:val="28"/>
        </w:rPr>
        <w:t>铁粉脱杂中试</w:t>
      </w:r>
      <w:proofErr w:type="gramEnd"/>
      <w:r>
        <w:rPr>
          <w:rFonts w:ascii="宋体" w:hAnsi="宋体"/>
          <w:sz w:val="28"/>
          <w:szCs w:val="28"/>
        </w:rPr>
        <w:t>，</w:t>
      </w:r>
      <w:proofErr w:type="gramStart"/>
      <w:r>
        <w:rPr>
          <w:rFonts w:ascii="宋体" w:hAnsi="宋体"/>
          <w:sz w:val="28"/>
          <w:szCs w:val="28"/>
        </w:rPr>
        <w:t>铁粉脱杂中试</w:t>
      </w:r>
      <w:proofErr w:type="gramEnd"/>
      <w:r>
        <w:rPr>
          <w:rFonts w:ascii="宋体" w:hAnsi="宋体"/>
          <w:sz w:val="28"/>
          <w:szCs w:val="28"/>
        </w:rPr>
        <w:t>实验结束后在进行硫铁矿脱砷中试。</w:t>
      </w:r>
    </w:p>
    <w:p w14:paraId="51653345"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（1）</w:t>
      </w:r>
      <w:proofErr w:type="gramStart"/>
      <w:r>
        <w:rPr>
          <w:rFonts w:ascii="宋体" w:hAnsi="宋体"/>
          <w:sz w:val="28"/>
          <w:szCs w:val="28"/>
        </w:rPr>
        <w:t>铁粉脱杂中试</w:t>
      </w:r>
      <w:proofErr w:type="gramEnd"/>
      <w:r>
        <w:rPr>
          <w:rFonts w:ascii="宋体" w:hAnsi="宋体"/>
          <w:sz w:val="28"/>
          <w:szCs w:val="28"/>
        </w:rPr>
        <w:t>工艺流程</w:t>
      </w:r>
    </w:p>
    <w:p w14:paraId="326CBE93" w14:textId="77777777" w:rsidR="009219A0" w:rsidRDefault="00000000">
      <w:pPr>
        <w:pStyle w:val="Default1"/>
        <w:spacing w:line="360" w:lineRule="auto"/>
        <w:ind w:firstLineChars="200" w:firstLine="560"/>
        <w:jc w:val="both"/>
        <w:rPr>
          <w:rFonts w:hint="default"/>
          <w:sz w:val="28"/>
          <w:szCs w:val="28"/>
        </w:rPr>
      </w:pPr>
      <w:r>
        <w:rPr>
          <w:rFonts w:hint="default"/>
          <w:noProof/>
          <w:sz w:val="28"/>
          <w:szCs w:val="28"/>
        </w:rPr>
        <w:lastRenderedPageBreak/>
        <w:drawing>
          <wp:inline distT="0" distB="0" distL="0" distR="0" wp14:anchorId="20BF5677" wp14:editId="6764E846">
            <wp:extent cx="5401310" cy="5041900"/>
            <wp:effectExtent l="0" t="0" r="889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401310" cy="5041900"/>
                    </a:xfrm>
                    <a:prstGeom prst="rect">
                      <a:avLst/>
                    </a:prstGeom>
                    <a:noFill/>
                  </pic:spPr>
                </pic:pic>
              </a:graphicData>
            </a:graphic>
          </wp:inline>
        </w:drawing>
      </w:r>
    </w:p>
    <w:p w14:paraId="10D7E572" w14:textId="77777777" w:rsidR="009219A0" w:rsidRDefault="00000000">
      <w:pPr>
        <w:pStyle w:val="Default1"/>
        <w:spacing w:line="360" w:lineRule="auto"/>
        <w:ind w:firstLineChars="200" w:firstLine="560"/>
        <w:jc w:val="center"/>
        <w:rPr>
          <w:rFonts w:ascii="宋体" w:hAnsi="宋体"/>
          <w:sz w:val="28"/>
          <w:szCs w:val="28"/>
        </w:rPr>
      </w:pPr>
      <w:r>
        <w:rPr>
          <w:rFonts w:ascii="宋体" w:hAnsi="宋体"/>
          <w:sz w:val="28"/>
          <w:szCs w:val="28"/>
        </w:rPr>
        <w:t>图2.2-5</w:t>
      </w:r>
      <w:proofErr w:type="gramStart"/>
      <w:r>
        <w:rPr>
          <w:rFonts w:ascii="宋体" w:hAnsi="宋体"/>
          <w:sz w:val="28"/>
          <w:szCs w:val="28"/>
        </w:rPr>
        <w:t>铁粉脱杂中试</w:t>
      </w:r>
      <w:proofErr w:type="gramEnd"/>
      <w:r>
        <w:rPr>
          <w:rFonts w:ascii="宋体" w:hAnsi="宋体"/>
          <w:sz w:val="28"/>
          <w:szCs w:val="28"/>
        </w:rPr>
        <w:t>工艺流程图</w:t>
      </w:r>
    </w:p>
    <w:p w14:paraId="458A0A4D" w14:textId="77777777" w:rsidR="009219A0" w:rsidRDefault="00000000">
      <w:pPr>
        <w:adjustRightInd/>
        <w:snapToGrid/>
        <w:ind w:firstLine="560"/>
        <w:rPr>
          <w:rFonts w:ascii="Microsoft JhengHei" w:hAnsi="Microsoft JhengHei" w:cs="Microsoft JhengHei" w:hint="eastAsia"/>
          <w:bCs/>
          <w:color w:val="auto"/>
          <w:szCs w:val="28"/>
          <w:lang w:bidi="en-US"/>
        </w:rPr>
      </w:pPr>
      <w:r>
        <w:rPr>
          <w:rFonts w:ascii="Microsoft JhengHei" w:hAnsi="Microsoft JhengHei" w:cs="Microsoft JhengHei"/>
          <w:bCs/>
          <w:color w:val="auto"/>
          <w:szCs w:val="28"/>
          <w:lang w:bidi="en-US"/>
        </w:rPr>
        <w:t>流程简述</w:t>
      </w:r>
    </w:p>
    <w:p w14:paraId="5BB9F52D" w14:textId="77777777" w:rsidR="009219A0" w:rsidRDefault="00000000">
      <w:pPr>
        <w:adjustRightInd/>
        <w:snapToGrid/>
        <w:ind w:firstLine="560"/>
        <w:rPr>
          <w:rFonts w:ascii="宋体" w:hAnsi="宋体" w:cs="Microsoft JhengHei" w:hint="eastAsia"/>
          <w:bCs/>
          <w:color w:val="auto"/>
          <w:szCs w:val="28"/>
          <w:lang w:bidi="en-US"/>
        </w:rPr>
      </w:pPr>
      <w:proofErr w:type="gramStart"/>
      <w:r>
        <w:rPr>
          <w:rFonts w:ascii="宋体" w:hAnsi="宋体" w:cs="Microsoft JhengHei" w:hint="eastAsia"/>
          <w:bCs/>
          <w:color w:val="auto"/>
          <w:szCs w:val="28"/>
          <w:lang w:bidi="en-US"/>
        </w:rPr>
        <w:t>铁粉脱杂中试</w:t>
      </w:r>
      <w:proofErr w:type="gramEnd"/>
      <w:r>
        <w:rPr>
          <w:rFonts w:ascii="宋体" w:hAnsi="宋体" w:cs="Microsoft JhengHei" w:hint="eastAsia"/>
          <w:bCs/>
          <w:color w:val="auto"/>
          <w:szCs w:val="28"/>
          <w:lang w:bidi="en-US"/>
        </w:rPr>
        <w:t>包含备料、</w:t>
      </w:r>
      <w:proofErr w:type="gramStart"/>
      <w:r>
        <w:rPr>
          <w:rFonts w:ascii="宋体" w:hAnsi="宋体" w:cs="Microsoft JhengHei" w:hint="eastAsia"/>
          <w:bCs/>
          <w:color w:val="auto"/>
          <w:szCs w:val="28"/>
          <w:lang w:bidi="en-US"/>
        </w:rPr>
        <w:t>脱杂浸出</w:t>
      </w:r>
      <w:proofErr w:type="gramEnd"/>
      <w:r>
        <w:rPr>
          <w:rFonts w:ascii="宋体" w:hAnsi="宋体" w:cs="Microsoft JhengHei" w:hint="eastAsia"/>
          <w:bCs/>
          <w:color w:val="auto"/>
          <w:szCs w:val="28"/>
          <w:lang w:bidi="en-US"/>
        </w:rPr>
        <w:t>反应、真空过滤、脱砷废水处理等过程，中试反应在常温常压下进行，</w:t>
      </w:r>
      <w:proofErr w:type="gramStart"/>
      <w:r>
        <w:rPr>
          <w:rFonts w:ascii="宋体" w:hAnsi="宋体" w:cs="Microsoft JhengHei" w:hint="eastAsia"/>
          <w:bCs/>
          <w:color w:val="auto"/>
          <w:szCs w:val="28"/>
          <w:lang w:bidi="en-US"/>
        </w:rPr>
        <w:t>铁粉脱杂中试</w:t>
      </w:r>
      <w:proofErr w:type="gramEnd"/>
      <w:r>
        <w:rPr>
          <w:rFonts w:ascii="宋体" w:hAnsi="宋体" w:cs="Microsoft JhengHei" w:hint="eastAsia"/>
          <w:bCs/>
          <w:color w:val="auto"/>
          <w:szCs w:val="28"/>
          <w:lang w:bidi="en-US"/>
        </w:rPr>
        <w:t>规模为处理铁粉300t/d，分为6个批次，每个批次50t，每天三班倒（早、中、晚），一班处理2个批次100t/d。</w:t>
      </w:r>
    </w:p>
    <w:p w14:paraId="07FFAAF3"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1）备料</w:t>
      </w:r>
    </w:p>
    <w:p w14:paraId="764DD975"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铁粉原料经计量后在原料筛分机上筛分均匀后投入圆盘给料机。</w:t>
      </w:r>
    </w:p>
    <w:p w14:paraId="239C4BA7"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2）</w:t>
      </w:r>
      <w:proofErr w:type="gramStart"/>
      <w:r>
        <w:rPr>
          <w:rFonts w:ascii="宋体" w:hAnsi="宋体" w:cs="Microsoft JhengHei" w:hint="eastAsia"/>
          <w:bCs/>
          <w:color w:val="auto"/>
          <w:szCs w:val="28"/>
          <w:lang w:bidi="en-US"/>
        </w:rPr>
        <w:t>脱杂浸出</w:t>
      </w:r>
      <w:proofErr w:type="gramEnd"/>
    </w:p>
    <w:p w14:paraId="3E0EF9BE" w14:textId="77777777" w:rsidR="009219A0" w:rsidRDefault="00000000">
      <w:pPr>
        <w:adjustRightInd/>
        <w:snapToGrid/>
        <w:ind w:firstLine="560"/>
        <w:rPr>
          <w:rFonts w:ascii="宋体" w:hAnsi="宋体" w:cs="Microsoft JhengHei" w:hint="eastAsia"/>
          <w:bCs/>
          <w:color w:val="auto"/>
          <w:szCs w:val="28"/>
          <w:lang w:bidi="en-US"/>
        </w:rPr>
      </w:pPr>
      <w:proofErr w:type="gramStart"/>
      <w:r>
        <w:rPr>
          <w:rFonts w:ascii="宋体" w:hAnsi="宋体" w:cs="Microsoft JhengHei" w:hint="eastAsia"/>
          <w:bCs/>
          <w:color w:val="auto"/>
          <w:szCs w:val="28"/>
          <w:lang w:bidi="en-US"/>
        </w:rPr>
        <w:t>铁粉脱杂浸出</w:t>
      </w:r>
      <w:proofErr w:type="gramEnd"/>
      <w:r>
        <w:rPr>
          <w:rFonts w:ascii="宋体" w:hAnsi="宋体" w:cs="Microsoft JhengHei" w:hint="eastAsia"/>
          <w:bCs/>
          <w:color w:val="auto"/>
          <w:szCs w:val="28"/>
          <w:lang w:bidi="en-US"/>
        </w:rPr>
        <w:t>反应在不锈钢循环槽中进行，常温常压反应条件。浸出</w:t>
      </w:r>
      <w:r>
        <w:rPr>
          <w:rFonts w:ascii="宋体" w:hAnsi="宋体" w:cs="Microsoft JhengHei" w:hint="eastAsia"/>
          <w:bCs/>
          <w:color w:val="auto"/>
          <w:szCs w:val="28"/>
          <w:lang w:bidi="en-US"/>
        </w:rPr>
        <w:lastRenderedPageBreak/>
        <w:t>液</w:t>
      </w:r>
      <w:proofErr w:type="gramStart"/>
      <w:r>
        <w:rPr>
          <w:rFonts w:ascii="宋体" w:hAnsi="宋体" w:cs="Microsoft JhengHei" w:hint="eastAsia"/>
          <w:bCs/>
          <w:color w:val="auto"/>
          <w:szCs w:val="28"/>
          <w:lang w:bidi="en-US"/>
        </w:rPr>
        <w:t>由创源公司</w:t>
      </w:r>
      <w:proofErr w:type="gramEnd"/>
      <w:r>
        <w:rPr>
          <w:rFonts w:ascii="宋体" w:hAnsi="宋体" w:cs="Microsoft JhengHei" w:hint="eastAsia"/>
          <w:bCs/>
          <w:color w:val="auto"/>
          <w:szCs w:val="28"/>
          <w:lang w:bidi="en-US"/>
        </w:rPr>
        <w:t>自产98%浓硫酸与</w:t>
      </w:r>
      <w:proofErr w:type="gramStart"/>
      <w:r>
        <w:rPr>
          <w:rFonts w:ascii="宋体" w:hAnsi="宋体" w:cs="Microsoft JhengHei" w:hint="eastAsia"/>
          <w:bCs/>
          <w:color w:val="auto"/>
          <w:szCs w:val="28"/>
          <w:lang w:bidi="en-US"/>
        </w:rPr>
        <w:t>新鲜水在</w:t>
      </w:r>
      <w:proofErr w:type="gramEnd"/>
      <w:r>
        <w:rPr>
          <w:rFonts w:ascii="宋体" w:hAnsi="宋体" w:cs="Microsoft JhengHei" w:hint="eastAsia"/>
          <w:bCs/>
          <w:color w:val="auto"/>
          <w:szCs w:val="28"/>
          <w:lang w:bidi="en-US"/>
        </w:rPr>
        <w:t>不锈钢循环</w:t>
      </w:r>
      <w:proofErr w:type="gramStart"/>
      <w:r>
        <w:rPr>
          <w:rFonts w:ascii="宋体" w:hAnsi="宋体" w:cs="Microsoft JhengHei" w:hint="eastAsia"/>
          <w:bCs/>
          <w:color w:val="auto"/>
          <w:szCs w:val="28"/>
          <w:lang w:bidi="en-US"/>
        </w:rPr>
        <w:t>槽中配至硫酸</w:t>
      </w:r>
      <w:proofErr w:type="gramEnd"/>
      <w:r>
        <w:rPr>
          <w:rFonts w:ascii="宋体" w:hAnsi="宋体" w:cs="Microsoft JhengHei" w:hint="eastAsia"/>
          <w:bCs/>
          <w:color w:val="auto"/>
          <w:szCs w:val="28"/>
          <w:lang w:bidi="en-US"/>
        </w:rPr>
        <w:t>浓度（30g/L，3%），后向不锈钢循环槽中投入铁粉原料。浸出液与铁粉原料液固比为2.5:1，铁粉原料投入给料机后经由皮带运输机送入不锈钢循环槽中，浸出反应过程中不断进行搅拌。中试车间配置有1台鼓风机、1台空压机配合使用将空气通入密闭的不锈钢循环槽中。在中试车间设置有 4 台不锈钢循环</w:t>
      </w:r>
      <w:proofErr w:type="gramStart"/>
      <w:r>
        <w:rPr>
          <w:rFonts w:ascii="宋体" w:hAnsi="宋体" w:cs="Microsoft JhengHei" w:hint="eastAsia"/>
          <w:bCs/>
          <w:color w:val="auto"/>
          <w:szCs w:val="28"/>
          <w:lang w:bidi="en-US"/>
        </w:rPr>
        <w:t>槽同时进行脱杂</w:t>
      </w:r>
      <w:proofErr w:type="gramEnd"/>
      <w:r>
        <w:rPr>
          <w:rFonts w:ascii="宋体" w:hAnsi="宋体" w:cs="Microsoft JhengHei" w:hint="eastAsia"/>
          <w:bCs/>
          <w:color w:val="auto"/>
          <w:szCs w:val="28"/>
          <w:lang w:bidi="en-US"/>
        </w:rPr>
        <w:t>反应，单次浸出反应时间约 60min。</w:t>
      </w:r>
    </w:p>
    <w:p w14:paraId="5F8FD114"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根据建设单位提供的资料，铁粉中主要成分是氧化铁和氧化亚铁，铁粉与稀硫酸反应后溶液中存在 Fe</w:t>
      </w:r>
      <w:r>
        <w:rPr>
          <w:rFonts w:ascii="宋体" w:hAnsi="宋体" w:cs="Microsoft JhengHei" w:hint="eastAsia"/>
          <w:bCs/>
          <w:color w:val="auto"/>
          <w:szCs w:val="28"/>
          <w:vertAlign w:val="superscript"/>
          <w:lang w:bidi="en-US"/>
        </w:rPr>
        <w:t>3+</w:t>
      </w:r>
      <w:r>
        <w:rPr>
          <w:rFonts w:ascii="宋体" w:hAnsi="宋体" w:cs="Microsoft JhengHei" w:hint="eastAsia"/>
          <w:bCs/>
          <w:color w:val="auto"/>
          <w:szCs w:val="28"/>
          <w:lang w:bidi="en-US"/>
        </w:rPr>
        <w:t>、Fe</w:t>
      </w:r>
      <w:r>
        <w:rPr>
          <w:rFonts w:ascii="宋体" w:hAnsi="宋体" w:cs="Microsoft JhengHei" w:hint="eastAsia"/>
          <w:bCs/>
          <w:color w:val="auto"/>
          <w:szCs w:val="28"/>
          <w:vertAlign w:val="superscript"/>
          <w:lang w:bidi="en-US"/>
        </w:rPr>
        <w:t>2+</w:t>
      </w:r>
      <w:r>
        <w:rPr>
          <w:rFonts w:ascii="宋体" w:hAnsi="宋体" w:cs="Microsoft JhengHei" w:hint="eastAsia"/>
          <w:bCs/>
          <w:color w:val="auto"/>
          <w:szCs w:val="28"/>
          <w:lang w:bidi="en-US"/>
        </w:rPr>
        <w:t>等离子。</w:t>
      </w:r>
    </w:p>
    <w:p w14:paraId="2B54CB0D"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Fe</w:t>
      </w:r>
      <w:r>
        <w:rPr>
          <w:rFonts w:ascii="宋体" w:hAnsi="宋体" w:cs="Microsoft JhengHei" w:hint="eastAsia"/>
          <w:bCs/>
          <w:color w:val="auto"/>
          <w:szCs w:val="28"/>
          <w:vertAlign w:val="subscript"/>
          <w:lang w:bidi="en-US"/>
        </w:rPr>
        <w:t>2</w:t>
      </w:r>
      <w:r>
        <w:rPr>
          <w:rFonts w:ascii="宋体" w:hAnsi="宋体" w:cs="Microsoft JhengHei" w:hint="eastAsia"/>
          <w:bCs/>
          <w:color w:val="auto"/>
          <w:szCs w:val="28"/>
          <w:lang w:bidi="en-US"/>
        </w:rPr>
        <w:t>O</w:t>
      </w:r>
      <w:r>
        <w:rPr>
          <w:rFonts w:ascii="宋体" w:hAnsi="宋体" w:cs="Microsoft JhengHei" w:hint="eastAsia"/>
          <w:bCs/>
          <w:color w:val="auto"/>
          <w:szCs w:val="28"/>
          <w:vertAlign w:val="subscript"/>
          <w:lang w:bidi="en-US"/>
        </w:rPr>
        <w:t>3</w:t>
      </w:r>
      <w:r>
        <w:rPr>
          <w:rFonts w:ascii="宋体" w:hAnsi="宋体" w:cs="Microsoft JhengHei" w:hint="eastAsia"/>
          <w:bCs/>
          <w:color w:val="auto"/>
          <w:szCs w:val="28"/>
          <w:lang w:bidi="en-US"/>
        </w:rPr>
        <w:t>+ H</w:t>
      </w:r>
      <w:r>
        <w:rPr>
          <w:rFonts w:ascii="宋体" w:hAnsi="宋体" w:cs="Microsoft JhengHei" w:hint="eastAsia"/>
          <w:bCs/>
          <w:color w:val="auto"/>
          <w:szCs w:val="28"/>
          <w:vertAlign w:val="subscript"/>
          <w:lang w:bidi="en-US"/>
        </w:rPr>
        <w:t>2</w:t>
      </w:r>
      <w:r>
        <w:rPr>
          <w:rFonts w:ascii="宋体" w:hAnsi="宋体" w:cs="Microsoft JhengHei" w:hint="eastAsia"/>
          <w:bCs/>
          <w:color w:val="auto"/>
          <w:szCs w:val="28"/>
          <w:lang w:bidi="en-US"/>
        </w:rPr>
        <w:t>SO</w:t>
      </w:r>
      <w:r>
        <w:rPr>
          <w:rFonts w:ascii="宋体" w:hAnsi="宋体" w:cs="Microsoft JhengHei" w:hint="eastAsia"/>
          <w:bCs/>
          <w:color w:val="auto"/>
          <w:szCs w:val="28"/>
          <w:vertAlign w:val="subscript"/>
          <w:lang w:bidi="en-US"/>
        </w:rPr>
        <w:t>4</w:t>
      </w:r>
      <w:r>
        <w:rPr>
          <w:rFonts w:ascii="宋体" w:hAnsi="宋体" w:cs="Microsoft JhengHei" w:hint="eastAsia"/>
          <w:bCs/>
          <w:color w:val="auto"/>
          <w:szCs w:val="28"/>
          <w:lang w:bidi="en-US"/>
        </w:rPr>
        <w:t xml:space="preserve"> → Fe</w:t>
      </w:r>
      <w:r>
        <w:rPr>
          <w:rFonts w:ascii="宋体" w:hAnsi="宋体" w:cs="Microsoft JhengHei" w:hint="eastAsia"/>
          <w:bCs/>
          <w:color w:val="auto"/>
          <w:szCs w:val="28"/>
          <w:vertAlign w:val="subscript"/>
          <w:lang w:bidi="en-US"/>
        </w:rPr>
        <w:t>2</w:t>
      </w:r>
      <w:r>
        <w:rPr>
          <w:rFonts w:ascii="宋体" w:hAnsi="宋体" w:cs="Microsoft JhengHei" w:hint="eastAsia"/>
          <w:bCs/>
          <w:color w:val="auto"/>
          <w:szCs w:val="28"/>
          <w:lang w:bidi="en-US"/>
        </w:rPr>
        <w:t>(SO4)</w:t>
      </w:r>
      <w:r>
        <w:rPr>
          <w:rFonts w:ascii="宋体" w:hAnsi="宋体" w:cs="Microsoft JhengHei" w:hint="eastAsia"/>
          <w:bCs/>
          <w:color w:val="auto"/>
          <w:szCs w:val="28"/>
          <w:vertAlign w:val="subscript"/>
          <w:lang w:bidi="en-US"/>
        </w:rPr>
        <w:t>3</w:t>
      </w:r>
      <w:r>
        <w:rPr>
          <w:rFonts w:ascii="宋体" w:hAnsi="宋体" w:cs="Microsoft JhengHei" w:hint="eastAsia"/>
          <w:bCs/>
          <w:color w:val="auto"/>
          <w:szCs w:val="28"/>
          <w:lang w:bidi="en-US"/>
        </w:rPr>
        <w:t xml:space="preserve"> + H</w:t>
      </w:r>
      <w:r>
        <w:rPr>
          <w:rFonts w:ascii="宋体" w:hAnsi="宋体" w:cs="Microsoft JhengHei" w:hint="eastAsia"/>
          <w:bCs/>
          <w:color w:val="auto"/>
          <w:szCs w:val="28"/>
          <w:vertAlign w:val="subscript"/>
          <w:lang w:bidi="en-US"/>
        </w:rPr>
        <w:t>2</w:t>
      </w:r>
      <w:r>
        <w:rPr>
          <w:rFonts w:ascii="宋体" w:hAnsi="宋体" w:cs="Microsoft JhengHei" w:hint="eastAsia"/>
          <w:bCs/>
          <w:color w:val="auto"/>
          <w:szCs w:val="28"/>
          <w:lang w:bidi="en-US"/>
        </w:rPr>
        <w:t>O</w:t>
      </w:r>
    </w:p>
    <w:p w14:paraId="6EFE82F1" w14:textId="77777777" w:rsidR="009219A0" w:rsidRDefault="00000000">
      <w:pPr>
        <w:adjustRightInd/>
        <w:snapToGrid/>
        <w:ind w:firstLine="560"/>
        <w:rPr>
          <w:rFonts w:ascii="宋体" w:hAnsi="宋体" w:cs="Microsoft JhengHei" w:hint="eastAsia"/>
          <w:bCs/>
          <w:color w:val="auto"/>
          <w:szCs w:val="28"/>
          <w:lang w:bidi="en-US"/>
        </w:rPr>
      </w:pPr>
      <w:proofErr w:type="spellStart"/>
      <w:r>
        <w:rPr>
          <w:rFonts w:ascii="宋体" w:hAnsi="宋体" w:cs="Microsoft JhengHei" w:hint="eastAsia"/>
          <w:bCs/>
          <w:color w:val="auto"/>
          <w:szCs w:val="28"/>
          <w:lang w:bidi="en-US"/>
        </w:rPr>
        <w:t>FeO</w:t>
      </w:r>
      <w:proofErr w:type="spellEnd"/>
      <w:r>
        <w:rPr>
          <w:rFonts w:ascii="宋体" w:hAnsi="宋体" w:cs="Microsoft JhengHei" w:hint="eastAsia"/>
          <w:bCs/>
          <w:color w:val="auto"/>
          <w:szCs w:val="28"/>
          <w:lang w:bidi="en-US"/>
        </w:rPr>
        <w:t>+ H</w:t>
      </w:r>
      <w:r>
        <w:rPr>
          <w:rFonts w:ascii="宋体" w:hAnsi="宋体" w:cs="Microsoft JhengHei" w:hint="eastAsia"/>
          <w:bCs/>
          <w:color w:val="auto"/>
          <w:szCs w:val="28"/>
          <w:vertAlign w:val="subscript"/>
          <w:lang w:bidi="en-US"/>
        </w:rPr>
        <w:t>2</w:t>
      </w:r>
      <w:r>
        <w:rPr>
          <w:rFonts w:ascii="宋体" w:hAnsi="宋体" w:cs="Microsoft JhengHei" w:hint="eastAsia"/>
          <w:bCs/>
          <w:color w:val="auto"/>
          <w:szCs w:val="28"/>
          <w:lang w:bidi="en-US"/>
        </w:rPr>
        <w:t>SO</w:t>
      </w:r>
      <w:r>
        <w:rPr>
          <w:rFonts w:ascii="宋体" w:hAnsi="宋体" w:cs="Microsoft JhengHei" w:hint="eastAsia"/>
          <w:bCs/>
          <w:color w:val="auto"/>
          <w:szCs w:val="28"/>
          <w:vertAlign w:val="subscript"/>
          <w:lang w:bidi="en-US"/>
        </w:rPr>
        <w:t>4</w:t>
      </w:r>
      <w:r>
        <w:rPr>
          <w:rFonts w:ascii="宋体" w:hAnsi="宋体" w:cs="Microsoft JhengHei" w:hint="eastAsia"/>
          <w:bCs/>
          <w:color w:val="auto"/>
          <w:szCs w:val="28"/>
          <w:lang w:bidi="en-US"/>
        </w:rPr>
        <w:t>→FeSO</w:t>
      </w:r>
      <w:r>
        <w:rPr>
          <w:rFonts w:ascii="宋体" w:hAnsi="宋体" w:cs="Microsoft JhengHei" w:hint="eastAsia"/>
          <w:bCs/>
          <w:color w:val="auto"/>
          <w:szCs w:val="28"/>
          <w:vertAlign w:val="subscript"/>
          <w:lang w:bidi="en-US"/>
        </w:rPr>
        <w:t>4</w:t>
      </w:r>
      <w:r>
        <w:rPr>
          <w:rFonts w:ascii="宋体" w:hAnsi="宋体" w:cs="Microsoft JhengHei" w:hint="eastAsia"/>
          <w:bCs/>
          <w:color w:val="auto"/>
          <w:szCs w:val="28"/>
          <w:lang w:bidi="en-US"/>
        </w:rPr>
        <w:t>+ H</w:t>
      </w:r>
      <w:r>
        <w:rPr>
          <w:rFonts w:ascii="宋体" w:hAnsi="宋体" w:cs="Microsoft JhengHei" w:hint="eastAsia"/>
          <w:bCs/>
          <w:color w:val="auto"/>
          <w:szCs w:val="28"/>
          <w:vertAlign w:val="subscript"/>
          <w:lang w:bidi="en-US"/>
        </w:rPr>
        <w:t>2</w:t>
      </w:r>
      <w:r>
        <w:rPr>
          <w:rFonts w:ascii="宋体" w:hAnsi="宋体" w:cs="Microsoft JhengHei" w:hint="eastAsia"/>
          <w:bCs/>
          <w:color w:val="auto"/>
          <w:szCs w:val="28"/>
          <w:lang w:bidi="en-US"/>
        </w:rPr>
        <w:t>O</w:t>
      </w:r>
    </w:p>
    <w:p w14:paraId="34F253DC"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4Fe</w:t>
      </w:r>
      <w:r>
        <w:rPr>
          <w:rFonts w:ascii="宋体" w:hAnsi="宋体" w:cs="Microsoft JhengHei" w:hint="eastAsia"/>
          <w:bCs/>
          <w:color w:val="auto"/>
          <w:szCs w:val="28"/>
          <w:vertAlign w:val="superscript"/>
          <w:lang w:bidi="en-US"/>
        </w:rPr>
        <w:t>2+</w:t>
      </w:r>
      <w:r>
        <w:rPr>
          <w:rFonts w:ascii="宋体" w:hAnsi="宋体" w:cs="Microsoft JhengHei" w:hint="eastAsia"/>
          <w:bCs/>
          <w:color w:val="auto"/>
          <w:szCs w:val="28"/>
          <w:lang w:bidi="en-US"/>
        </w:rPr>
        <w:t>+O</w:t>
      </w:r>
      <w:r>
        <w:rPr>
          <w:rFonts w:ascii="宋体" w:hAnsi="宋体" w:cs="Microsoft JhengHei" w:hint="eastAsia"/>
          <w:bCs/>
          <w:color w:val="auto"/>
          <w:szCs w:val="28"/>
          <w:vertAlign w:val="subscript"/>
          <w:lang w:bidi="en-US"/>
        </w:rPr>
        <w:t>2</w:t>
      </w:r>
      <w:r>
        <w:rPr>
          <w:rFonts w:ascii="宋体" w:hAnsi="宋体" w:cs="Microsoft JhengHei" w:hint="eastAsia"/>
          <w:bCs/>
          <w:color w:val="auto"/>
          <w:szCs w:val="28"/>
          <w:lang w:bidi="en-US"/>
        </w:rPr>
        <w:t>+2H</w:t>
      </w:r>
      <w:r>
        <w:rPr>
          <w:rFonts w:ascii="宋体" w:hAnsi="宋体" w:cs="Microsoft JhengHei" w:hint="eastAsia"/>
          <w:bCs/>
          <w:color w:val="auto"/>
          <w:szCs w:val="28"/>
          <w:vertAlign w:val="subscript"/>
          <w:lang w:bidi="en-US"/>
        </w:rPr>
        <w:t>2</w:t>
      </w:r>
      <w:r>
        <w:rPr>
          <w:rFonts w:ascii="宋体" w:hAnsi="宋体" w:cs="Microsoft JhengHei" w:hint="eastAsia"/>
          <w:bCs/>
          <w:color w:val="auto"/>
          <w:szCs w:val="28"/>
          <w:lang w:bidi="en-US"/>
        </w:rPr>
        <w:t>O → 4Fe</w:t>
      </w:r>
      <w:r>
        <w:rPr>
          <w:rFonts w:ascii="宋体" w:hAnsi="宋体" w:cs="Microsoft JhengHei" w:hint="eastAsia"/>
          <w:bCs/>
          <w:color w:val="auto"/>
          <w:szCs w:val="28"/>
          <w:vertAlign w:val="superscript"/>
          <w:lang w:bidi="en-US"/>
        </w:rPr>
        <w:t>3+</w:t>
      </w:r>
      <w:r>
        <w:rPr>
          <w:rFonts w:ascii="宋体" w:hAnsi="宋体" w:cs="Microsoft JhengHei" w:hint="eastAsia"/>
          <w:bCs/>
          <w:color w:val="auto"/>
          <w:szCs w:val="28"/>
          <w:lang w:bidi="en-US"/>
        </w:rPr>
        <w:t>+4OH</w:t>
      </w:r>
      <w:r>
        <w:rPr>
          <w:rFonts w:ascii="宋体" w:hAnsi="宋体" w:cs="Microsoft JhengHei" w:hint="eastAsia"/>
          <w:bCs/>
          <w:color w:val="auto"/>
          <w:szCs w:val="28"/>
          <w:vertAlign w:val="superscript"/>
          <w:lang w:bidi="en-US"/>
        </w:rPr>
        <w:t>-</w:t>
      </w:r>
    </w:p>
    <w:p w14:paraId="4F87DF96"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3）真空过滤</w:t>
      </w:r>
    </w:p>
    <w:p w14:paraId="2A994DF8"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浸出完成后使用</w:t>
      </w:r>
      <w:proofErr w:type="gramStart"/>
      <w:r>
        <w:rPr>
          <w:rFonts w:ascii="宋体" w:hAnsi="宋体" w:cs="Microsoft JhengHei" w:hint="eastAsia"/>
          <w:bCs/>
          <w:color w:val="auto"/>
          <w:szCs w:val="28"/>
          <w:lang w:bidi="en-US"/>
        </w:rPr>
        <w:t>砂浆泵将铁粉浆</w:t>
      </w:r>
      <w:proofErr w:type="gramEnd"/>
      <w:r>
        <w:rPr>
          <w:rFonts w:ascii="宋体" w:hAnsi="宋体" w:cs="Microsoft JhengHei" w:hint="eastAsia"/>
          <w:bCs/>
          <w:color w:val="auto"/>
          <w:szCs w:val="28"/>
          <w:lang w:bidi="en-US"/>
        </w:rPr>
        <w:t>抽至盘式真空过滤机进行固液分离，固体部分</w:t>
      </w:r>
      <w:proofErr w:type="gramStart"/>
      <w:r>
        <w:rPr>
          <w:rFonts w:ascii="宋体" w:hAnsi="宋体" w:cs="Microsoft JhengHei" w:hint="eastAsia"/>
          <w:bCs/>
          <w:color w:val="auto"/>
          <w:szCs w:val="28"/>
          <w:lang w:bidi="en-US"/>
        </w:rPr>
        <w:t>为脱杂后</w:t>
      </w:r>
      <w:proofErr w:type="gramEnd"/>
      <w:r>
        <w:rPr>
          <w:rFonts w:ascii="宋体" w:hAnsi="宋体" w:cs="Microsoft JhengHei" w:hint="eastAsia"/>
          <w:bCs/>
          <w:color w:val="auto"/>
          <w:szCs w:val="28"/>
          <w:lang w:bidi="en-US"/>
        </w:rPr>
        <w:t>铁粉（产物），</w:t>
      </w:r>
      <w:proofErr w:type="gramStart"/>
      <w:r>
        <w:rPr>
          <w:rFonts w:ascii="宋体" w:hAnsi="宋体" w:cs="Microsoft JhengHei" w:hint="eastAsia"/>
          <w:bCs/>
          <w:color w:val="auto"/>
          <w:szCs w:val="28"/>
          <w:lang w:bidi="en-US"/>
        </w:rPr>
        <w:t>脱杂后</w:t>
      </w:r>
      <w:proofErr w:type="gramEnd"/>
      <w:r>
        <w:rPr>
          <w:rFonts w:ascii="宋体" w:hAnsi="宋体" w:cs="Microsoft JhengHei" w:hint="eastAsia"/>
          <w:bCs/>
          <w:color w:val="auto"/>
          <w:szCs w:val="28"/>
          <w:lang w:bidi="en-US"/>
        </w:rPr>
        <w:t>铁粉和硫铁矿配比后进入沸腾炉燃烧制硫酸，固液分离后的</w:t>
      </w:r>
      <w:proofErr w:type="gramStart"/>
      <w:r>
        <w:rPr>
          <w:rFonts w:ascii="宋体" w:hAnsi="宋体" w:cs="Microsoft JhengHei" w:hint="eastAsia"/>
          <w:bCs/>
          <w:color w:val="auto"/>
          <w:szCs w:val="28"/>
          <w:lang w:bidi="en-US"/>
        </w:rPr>
        <w:t>浸出后液返回</w:t>
      </w:r>
      <w:proofErr w:type="gramEnd"/>
      <w:r>
        <w:rPr>
          <w:rFonts w:ascii="宋体" w:hAnsi="宋体" w:cs="Microsoft JhengHei" w:hint="eastAsia"/>
          <w:bCs/>
          <w:color w:val="auto"/>
          <w:szCs w:val="28"/>
          <w:lang w:bidi="en-US"/>
        </w:rPr>
        <w:t>不锈钢反应槽用于配制浸出液进行下一批次的</w:t>
      </w:r>
      <w:proofErr w:type="gramStart"/>
      <w:r>
        <w:rPr>
          <w:rFonts w:ascii="宋体" w:hAnsi="宋体" w:cs="Microsoft JhengHei" w:hint="eastAsia"/>
          <w:bCs/>
          <w:color w:val="auto"/>
          <w:szCs w:val="28"/>
          <w:lang w:bidi="en-US"/>
        </w:rPr>
        <w:t>铁粉脱杂试验</w:t>
      </w:r>
      <w:proofErr w:type="gramEnd"/>
      <w:r>
        <w:rPr>
          <w:rFonts w:ascii="宋体" w:hAnsi="宋体" w:cs="Microsoft JhengHei" w:hint="eastAsia"/>
          <w:bCs/>
          <w:color w:val="auto"/>
          <w:szCs w:val="28"/>
          <w:lang w:bidi="en-US"/>
        </w:rPr>
        <w:t>，浸出液经6次循环浸出反应后，</w:t>
      </w:r>
      <w:proofErr w:type="gramStart"/>
      <w:r>
        <w:rPr>
          <w:rFonts w:ascii="宋体" w:hAnsi="宋体" w:cs="Microsoft JhengHei" w:hint="eastAsia"/>
          <w:bCs/>
          <w:color w:val="auto"/>
          <w:szCs w:val="28"/>
          <w:lang w:bidi="en-US"/>
        </w:rPr>
        <w:t>浸出后液中</w:t>
      </w:r>
      <w:proofErr w:type="gramEnd"/>
      <w:r>
        <w:rPr>
          <w:rFonts w:ascii="宋体" w:hAnsi="宋体" w:cs="Microsoft JhengHei" w:hint="eastAsia"/>
          <w:bCs/>
          <w:color w:val="auto"/>
          <w:szCs w:val="28"/>
          <w:lang w:bidi="en-US"/>
        </w:rPr>
        <w:t>含砷浓度较高，为脱砷废水，脱砷废水进入废水收集池进行收集（利用厂区闲置水池550m</w:t>
      </w:r>
      <w:r>
        <w:rPr>
          <w:rFonts w:ascii="宋体" w:hAnsi="宋体" w:cs="Microsoft JhengHei" w:hint="eastAsia"/>
          <w:bCs/>
          <w:color w:val="auto"/>
          <w:szCs w:val="28"/>
          <w:vertAlign w:val="superscript"/>
          <w:lang w:bidi="en-US"/>
        </w:rPr>
        <w:t>3</w:t>
      </w:r>
      <w:r>
        <w:rPr>
          <w:rFonts w:ascii="宋体" w:hAnsi="宋体" w:cs="Microsoft JhengHei" w:hint="eastAsia"/>
          <w:bCs/>
          <w:color w:val="auto"/>
          <w:szCs w:val="28"/>
          <w:lang w:bidi="en-US"/>
        </w:rPr>
        <w:t>），随后排入中和水池（利用厂区闲置水池300m</w:t>
      </w:r>
      <w:r>
        <w:rPr>
          <w:rFonts w:ascii="宋体" w:hAnsi="宋体" w:cs="Microsoft JhengHei" w:hint="eastAsia"/>
          <w:bCs/>
          <w:color w:val="auto"/>
          <w:szCs w:val="28"/>
          <w:vertAlign w:val="superscript"/>
          <w:lang w:bidi="en-US"/>
        </w:rPr>
        <w:t>3</w:t>
      </w:r>
      <w:r>
        <w:rPr>
          <w:rFonts w:ascii="宋体" w:hAnsi="宋体" w:cs="Microsoft JhengHei" w:hint="eastAsia"/>
          <w:bCs/>
          <w:color w:val="auto"/>
          <w:szCs w:val="28"/>
          <w:lang w:bidi="en-US"/>
        </w:rPr>
        <w:t>）进行废水中和脱砷处理。</w:t>
      </w:r>
    </w:p>
    <w:p w14:paraId="5650D9B7"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4）脱砷废水处理</w:t>
      </w:r>
    </w:p>
    <w:p w14:paraId="76BD2B47"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铁离子作为絮凝剂与氧化钙联合絮凝共沉淀法去除废水中的砷等重金属离子。在中和水池中加入氧化钙将脱砷废水的pH调到适当的值，随着溶液pH的升高，三价铁在水溶液中会水解生成氢氧化铁，氢氧化铁聚集发生絮凝作用。在此过程中可以吸附水中的亚砷酸分子，砷酸根离子以及亚砷酸根离子，从而有效去除脱砷废水中的砷离子。</w:t>
      </w:r>
    </w:p>
    <w:p w14:paraId="52322EEA"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lastRenderedPageBreak/>
        <w:t>2CaO+2H</w:t>
      </w:r>
      <w:r>
        <w:rPr>
          <w:rFonts w:ascii="宋体" w:hAnsi="宋体" w:cs="Microsoft JhengHei" w:hint="eastAsia"/>
          <w:bCs/>
          <w:color w:val="auto"/>
          <w:szCs w:val="28"/>
          <w:vertAlign w:val="subscript"/>
          <w:lang w:bidi="en-US"/>
        </w:rPr>
        <w:t>2</w:t>
      </w:r>
      <w:r>
        <w:rPr>
          <w:rFonts w:ascii="宋体" w:hAnsi="宋体" w:cs="Microsoft JhengHei" w:hint="eastAsia"/>
          <w:bCs/>
          <w:color w:val="auto"/>
          <w:szCs w:val="28"/>
          <w:lang w:bidi="en-US"/>
        </w:rPr>
        <w:t>O→2Ca(OH)</w:t>
      </w:r>
      <w:r>
        <w:rPr>
          <w:rFonts w:ascii="宋体" w:hAnsi="宋体" w:cs="Microsoft JhengHei" w:hint="eastAsia"/>
          <w:bCs/>
          <w:color w:val="auto"/>
          <w:szCs w:val="28"/>
          <w:vertAlign w:val="subscript"/>
          <w:lang w:bidi="en-US"/>
        </w:rPr>
        <w:t>2</w:t>
      </w:r>
    </w:p>
    <w:p w14:paraId="6A3EA50A"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2AsO</w:t>
      </w:r>
      <w:r>
        <w:rPr>
          <w:rFonts w:ascii="宋体" w:hAnsi="宋体" w:cs="Microsoft JhengHei" w:hint="eastAsia"/>
          <w:bCs/>
          <w:color w:val="auto"/>
          <w:szCs w:val="28"/>
          <w:vertAlign w:val="subscript"/>
          <w:lang w:bidi="en-US"/>
        </w:rPr>
        <w:t>2</w:t>
      </w:r>
      <w:r>
        <w:rPr>
          <w:rFonts w:ascii="宋体" w:hAnsi="宋体" w:cs="Microsoft JhengHei" w:hint="eastAsia"/>
          <w:bCs/>
          <w:color w:val="auto"/>
          <w:szCs w:val="28"/>
          <w:vertAlign w:val="superscript"/>
          <w:lang w:bidi="en-US"/>
        </w:rPr>
        <w:t>-</w:t>
      </w:r>
      <w:r>
        <w:rPr>
          <w:rFonts w:ascii="宋体" w:hAnsi="宋体" w:cs="Microsoft JhengHei" w:hint="eastAsia"/>
          <w:bCs/>
          <w:color w:val="auto"/>
          <w:szCs w:val="28"/>
          <w:lang w:bidi="en-US"/>
        </w:rPr>
        <w:t>+O</w:t>
      </w:r>
      <w:r>
        <w:rPr>
          <w:rFonts w:ascii="宋体" w:hAnsi="宋体" w:cs="Microsoft JhengHei" w:hint="eastAsia"/>
          <w:bCs/>
          <w:color w:val="auto"/>
          <w:szCs w:val="28"/>
          <w:vertAlign w:val="subscript"/>
          <w:lang w:bidi="en-US"/>
        </w:rPr>
        <w:t>2</w:t>
      </w:r>
      <w:r>
        <w:rPr>
          <w:rFonts w:ascii="宋体" w:hAnsi="宋体" w:cs="Microsoft JhengHei" w:hint="eastAsia"/>
          <w:bCs/>
          <w:color w:val="auto"/>
          <w:szCs w:val="28"/>
          <w:lang w:bidi="en-US"/>
        </w:rPr>
        <w:t>+4OH</w:t>
      </w:r>
      <w:r>
        <w:rPr>
          <w:rFonts w:ascii="宋体" w:hAnsi="宋体" w:cs="Microsoft JhengHei" w:hint="eastAsia"/>
          <w:bCs/>
          <w:color w:val="auto"/>
          <w:szCs w:val="28"/>
          <w:vertAlign w:val="superscript"/>
          <w:lang w:bidi="en-US"/>
        </w:rPr>
        <w:t>-</w:t>
      </w:r>
      <w:r>
        <w:rPr>
          <w:rFonts w:ascii="宋体" w:hAnsi="宋体" w:cs="Microsoft JhengHei" w:hint="eastAsia"/>
          <w:bCs/>
          <w:color w:val="auto"/>
          <w:szCs w:val="28"/>
          <w:lang w:bidi="en-US"/>
        </w:rPr>
        <w:t xml:space="preserve"> → 2A</w:t>
      </w:r>
      <w:r>
        <w:rPr>
          <w:rFonts w:ascii="宋体" w:hAnsi="宋体" w:cs="Microsoft JhengHei" w:hint="eastAsia"/>
          <w:bCs/>
          <w:color w:val="auto"/>
          <w:szCs w:val="28"/>
          <w:vertAlign w:val="subscript"/>
          <w:lang w:bidi="en-US"/>
        </w:rPr>
        <w:t>S</w:t>
      </w:r>
      <w:r>
        <w:rPr>
          <w:rFonts w:ascii="宋体" w:hAnsi="宋体" w:cs="Microsoft JhengHei" w:hint="eastAsia"/>
          <w:bCs/>
          <w:color w:val="auto"/>
          <w:szCs w:val="28"/>
          <w:lang w:bidi="en-US"/>
        </w:rPr>
        <w:t>O</w:t>
      </w:r>
      <w:r>
        <w:rPr>
          <w:rFonts w:ascii="宋体" w:hAnsi="宋体" w:cs="Microsoft JhengHei" w:hint="eastAsia"/>
          <w:bCs/>
          <w:color w:val="auto"/>
          <w:szCs w:val="28"/>
          <w:vertAlign w:val="subscript"/>
          <w:lang w:bidi="en-US"/>
        </w:rPr>
        <w:t>4</w:t>
      </w:r>
      <w:r>
        <w:rPr>
          <w:rFonts w:ascii="宋体" w:hAnsi="宋体" w:cs="Microsoft JhengHei" w:hint="eastAsia"/>
          <w:bCs/>
          <w:color w:val="auto"/>
          <w:szCs w:val="28"/>
          <w:vertAlign w:val="superscript"/>
          <w:lang w:bidi="en-US"/>
        </w:rPr>
        <w:t>3-</w:t>
      </w:r>
      <w:r>
        <w:rPr>
          <w:rFonts w:ascii="宋体" w:hAnsi="宋体" w:cs="Microsoft JhengHei" w:hint="eastAsia"/>
          <w:bCs/>
          <w:color w:val="auto"/>
          <w:szCs w:val="28"/>
          <w:lang w:bidi="en-US"/>
        </w:rPr>
        <w:t>+2H</w:t>
      </w:r>
      <w:r>
        <w:rPr>
          <w:rFonts w:ascii="宋体" w:hAnsi="宋体" w:cs="Microsoft JhengHei" w:hint="eastAsia"/>
          <w:bCs/>
          <w:color w:val="auto"/>
          <w:szCs w:val="28"/>
          <w:vertAlign w:val="subscript"/>
          <w:lang w:bidi="en-US"/>
        </w:rPr>
        <w:t>2</w:t>
      </w:r>
      <w:r>
        <w:rPr>
          <w:rFonts w:ascii="宋体" w:hAnsi="宋体" w:cs="Microsoft JhengHei" w:hint="eastAsia"/>
          <w:bCs/>
          <w:color w:val="auto"/>
          <w:szCs w:val="28"/>
          <w:lang w:bidi="en-US"/>
        </w:rPr>
        <w:t>O</w:t>
      </w:r>
    </w:p>
    <w:p w14:paraId="004E6F44"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Fe</w:t>
      </w:r>
      <w:r>
        <w:rPr>
          <w:rFonts w:ascii="宋体" w:hAnsi="宋体" w:cs="Microsoft JhengHei" w:hint="eastAsia"/>
          <w:bCs/>
          <w:color w:val="auto"/>
          <w:szCs w:val="28"/>
          <w:vertAlign w:val="superscript"/>
          <w:lang w:bidi="en-US"/>
        </w:rPr>
        <w:t>3+</w:t>
      </w:r>
      <w:r>
        <w:rPr>
          <w:rFonts w:ascii="宋体" w:hAnsi="宋体" w:cs="Microsoft JhengHei" w:hint="eastAsia"/>
          <w:bCs/>
          <w:color w:val="auto"/>
          <w:szCs w:val="28"/>
          <w:lang w:bidi="en-US"/>
        </w:rPr>
        <w:t xml:space="preserve"> +3H</w:t>
      </w:r>
      <w:r>
        <w:rPr>
          <w:rFonts w:ascii="宋体" w:hAnsi="宋体" w:cs="Microsoft JhengHei" w:hint="eastAsia"/>
          <w:bCs/>
          <w:color w:val="auto"/>
          <w:szCs w:val="28"/>
          <w:vertAlign w:val="subscript"/>
          <w:lang w:bidi="en-US"/>
        </w:rPr>
        <w:t>2</w:t>
      </w:r>
      <w:r>
        <w:rPr>
          <w:rFonts w:ascii="宋体" w:hAnsi="宋体" w:cs="Microsoft JhengHei" w:hint="eastAsia"/>
          <w:bCs/>
          <w:color w:val="auto"/>
          <w:szCs w:val="28"/>
          <w:lang w:bidi="en-US"/>
        </w:rPr>
        <w:t>O=可逆=Fe(OH)</w:t>
      </w:r>
      <w:r>
        <w:rPr>
          <w:rFonts w:ascii="宋体" w:hAnsi="宋体" w:cs="Microsoft JhengHei" w:hint="eastAsia"/>
          <w:bCs/>
          <w:color w:val="auto"/>
          <w:szCs w:val="28"/>
          <w:vertAlign w:val="subscript"/>
          <w:lang w:bidi="en-US"/>
        </w:rPr>
        <w:t>3</w:t>
      </w:r>
      <w:r>
        <w:rPr>
          <w:rFonts w:ascii="宋体" w:hAnsi="宋体" w:cs="Microsoft JhengHei" w:hint="eastAsia"/>
          <w:bCs/>
          <w:color w:val="auto"/>
          <w:szCs w:val="28"/>
          <w:lang w:bidi="en-US"/>
        </w:rPr>
        <w:t>+3H</w:t>
      </w:r>
      <w:r>
        <w:rPr>
          <w:rFonts w:ascii="宋体" w:hAnsi="宋体" w:cs="Microsoft JhengHei" w:hint="eastAsia"/>
          <w:bCs/>
          <w:color w:val="auto"/>
          <w:szCs w:val="28"/>
          <w:vertAlign w:val="superscript"/>
          <w:lang w:bidi="en-US"/>
        </w:rPr>
        <w:t>+</w:t>
      </w:r>
    </w:p>
    <w:p w14:paraId="5C0F3621"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Ca(OH)</w:t>
      </w:r>
      <w:r>
        <w:rPr>
          <w:rFonts w:ascii="宋体" w:hAnsi="宋体" w:cs="Microsoft JhengHei" w:hint="eastAsia"/>
          <w:bCs/>
          <w:color w:val="auto"/>
          <w:szCs w:val="28"/>
          <w:vertAlign w:val="subscript"/>
          <w:lang w:bidi="en-US"/>
        </w:rPr>
        <w:t>2</w:t>
      </w:r>
      <w:r>
        <w:rPr>
          <w:rFonts w:ascii="宋体" w:hAnsi="宋体" w:cs="Microsoft JhengHei" w:hint="eastAsia"/>
          <w:bCs/>
          <w:color w:val="auto"/>
          <w:szCs w:val="28"/>
          <w:lang w:bidi="en-US"/>
        </w:rPr>
        <w:t xml:space="preserve"> +Fe</w:t>
      </w:r>
      <w:r>
        <w:rPr>
          <w:rFonts w:ascii="宋体" w:hAnsi="宋体" w:cs="Microsoft JhengHei" w:hint="eastAsia"/>
          <w:bCs/>
          <w:color w:val="auto"/>
          <w:szCs w:val="28"/>
          <w:vertAlign w:val="subscript"/>
          <w:lang w:bidi="en-US"/>
        </w:rPr>
        <w:t>2</w:t>
      </w:r>
      <w:r>
        <w:rPr>
          <w:rFonts w:ascii="宋体" w:hAnsi="宋体" w:cs="Microsoft JhengHei" w:hint="eastAsia"/>
          <w:bCs/>
          <w:color w:val="auto"/>
          <w:szCs w:val="28"/>
          <w:lang w:bidi="en-US"/>
        </w:rPr>
        <w:t>(SO4)</w:t>
      </w:r>
      <w:r>
        <w:rPr>
          <w:rFonts w:ascii="宋体" w:hAnsi="宋体" w:cs="Microsoft JhengHei" w:hint="eastAsia"/>
          <w:bCs/>
          <w:color w:val="auto"/>
          <w:szCs w:val="28"/>
          <w:vertAlign w:val="subscript"/>
          <w:lang w:bidi="en-US"/>
        </w:rPr>
        <w:t>3</w:t>
      </w:r>
      <w:r>
        <w:rPr>
          <w:rFonts w:ascii="宋体" w:hAnsi="宋体" w:cs="Microsoft JhengHei" w:hint="eastAsia"/>
          <w:bCs/>
          <w:color w:val="auto"/>
          <w:szCs w:val="28"/>
          <w:lang w:bidi="en-US"/>
        </w:rPr>
        <w:t>=CaSO</w:t>
      </w:r>
      <w:r>
        <w:rPr>
          <w:rFonts w:ascii="宋体" w:hAnsi="宋体" w:cs="Microsoft JhengHei" w:hint="eastAsia"/>
          <w:bCs/>
          <w:color w:val="auto"/>
          <w:szCs w:val="28"/>
          <w:vertAlign w:val="subscript"/>
          <w:lang w:bidi="en-US"/>
        </w:rPr>
        <w:t>4</w:t>
      </w:r>
      <w:r>
        <w:rPr>
          <w:rFonts w:ascii="宋体" w:hAnsi="宋体" w:cs="Microsoft JhengHei" w:hint="eastAsia"/>
          <w:bCs/>
          <w:color w:val="auto"/>
          <w:szCs w:val="28"/>
          <w:lang w:bidi="en-US"/>
        </w:rPr>
        <w:t>↓+Fe(OH)</w:t>
      </w:r>
      <w:r>
        <w:rPr>
          <w:rFonts w:ascii="宋体" w:hAnsi="宋体" w:cs="Microsoft JhengHei" w:hint="eastAsia"/>
          <w:bCs/>
          <w:color w:val="auto"/>
          <w:szCs w:val="28"/>
          <w:vertAlign w:val="subscript"/>
          <w:lang w:bidi="en-US"/>
        </w:rPr>
        <w:t>3</w:t>
      </w:r>
    </w:p>
    <w:p w14:paraId="4E9C7332"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①当溶液中pH＜1.99时，没有 Fe(OH)</w:t>
      </w:r>
      <w:r>
        <w:rPr>
          <w:rFonts w:ascii="宋体" w:hAnsi="宋体" w:cs="Microsoft JhengHei" w:hint="eastAsia"/>
          <w:bCs/>
          <w:color w:val="auto"/>
          <w:szCs w:val="28"/>
          <w:vertAlign w:val="subscript"/>
          <w:lang w:bidi="en-US"/>
        </w:rPr>
        <w:t>3</w:t>
      </w:r>
      <w:r>
        <w:rPr>
          <w:rFonts w:ascii="宋体" w:hAnsi="宋体" w:cs="Microsoft JhengHei" w:hint="eastAsia"/>
          <w:bCs/>
          <w:color w:val="auto"/>
          <w:szCs w:val="28"/>
          <w:lang w:bidi="en-US"/>
        </w:rPr>
        <w:t>生成，随着铁离子的水解，混合液pH降低，此时没有沉淀生成，</w:t>
      </w:r>
      <w:proofErr w:type="gramStart"/>
      <w:r>
        <w:rPr>
          <w:rFonts w:ascii="宋体" w:hAnsi="宋体" w:cs="Microsoft JhengHei" w:hint="eastAsia"/>
          <w:bCs/>
          <w:color w:val="auto"/>
          <w:szCs w:val="28"/>
          <w:lang w:bidi="en-US"/>
        </w:rPr>
        <w:t>砷没有</w:t>
      </w:r>
      <w:proofErr w:type="gramEnd"/>
      <w:r>
        <w:rPr>
          <w:rFonts w:ascii="宋体" w:hAnsi="宋体" w:cs="Microsoft JhengHei" w:hint="eastAsia"/>
          <w:bCs/>
          <w:color w:val="auto"/>
          <w:szCs w:val="28"/>
          <w:lang w:bidi="en-US"/>
        </w:rPr>
        <w:t>被去除。</w:t>
      </w:r>
    </w:p>
    <w:p w14:paraId="62FC19E8"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②当溶液中pH 处于1.99--3.20时，有Fe(OH)</w:t>
      </w:r>
      <w:r>
        <w:rPr>
          <w:rFonts w:ascii="宋体" w:hAnsi="宋体" w:cs="Microsoft JhengHei" w:hint="eastAsia"/>
          <w:bCs/>
          <w:color w:val="auto"/>
          <w:szCs w:val="28"/>
          <w:vertAlign w:val="subscript"/>
          <w:lang w:bidi="en-US"/>
        </w:rPr>
        <w:t>3</w:t>
      </w:r>
      <w:r>
        <w:rPr>
          <w:rFonts w:ascii="宋体" w:hAnsi="宋体" w:cs="Microsoft JhengHei" w:hint="eastAsia"/>
          <w:bCs/>
          <w:color w:val="auto"/>
          <w:szCs w:val="28"/>
          <w:lang w:bidi="en-US"/>
        </w:rPr>
        <w:t xml:space="preserve"> 沉淀生成，不会有亚砷酸铁生成，生成的 Fe(OH)</w:t>
      </w:r>
      <w:r>
        <w:rPr>
          <w:rFonts w:ascii="宋体" w:hAnsi="宋体" w:cs="Microsoft JhengHei" w:hint="eastAsia"/>
          <w:bCs/>
          <w:color w:val="auto"/>
          <w:szCs w:val="28"/>
          <w:vertAlign w:val="subscript"/>
          <w:lang w:bidi="en-US"/>
        </w:rPr>
        <w:t>3</w:t>
      </w:r>
      <w:r>
        <w:rPr>
          <w:rFonts w:ascii="宋体" w:hAnsi="宋体" w:cs="Microsoft JhengHei" w:hint="eastAsia"/>
          <w:bCs/>
          <w:color w:val="auto"/>
          <w:szCs w:val="28"/>
          <w:lang w:bidi="en-US"/>
        </w:rPr>
        <w:t xml:space="preserve"> 带正电荷会吸附部分 H</w:t>
      </w:r>
      <w:r>
        <w:rPr>
          <w:rFonts w:ascii="宋体" w:hAnsi="宋体" w:cs="Microsoft JhengHei" w:hint="eastAsia"/>
          <w:bCs/>
          <w:color w:val="auto"/>
          <w:szCs w:val="28"/>
          <w:vertAlign w:val="subscript"/>
          <w:lang w:bidi="en-US"/>
        </w:rPr>
        <w:t>3</w:t>
      </w:r>
      <w:r>
        <w:rPr>
          <w:rFonts w:ascii="宋体" w:hAnsi="宋体" w:cs="Microsoft JhengHei" w:hint="eastAsia"/>
          <w:bCs/>
          <w:color w:val="auto"/>
          <w:szCs w:val="28"/>
          <w:lang w:bidi="en-US"/>
        </w:rPr>
        <w:t>AsO</w:t>
      </w:r>
      <w:r>
        <w:rPr>
          <w:rFonts w:ascii="宋体" w:hAnsi="宋体" w:cs="Microsoft JhengHei" w:hint="eastAsia"/>
          <w:bCs/>
          <w:color w:val="auto"/>
          <w:szCs w:val="28"/>
          <w:vertAlign w:val="subscript"/>
          <w:lang w:bidi="en-US"/>
        </w:rPr>
        <w:t>4</w:t>
      </w:r>
      <w:r>
        <w:rPr>
          <w:rFonts w:ascii="宋体" w:hAnsi="宋体" w:cs="Microsoft JhengHei" w:hint="eastAsia"/>
          <w:bCs/>
          <w:color w:val="auto"/>
          <w:szCs w:val="28"/>
          <w:lang w:bidi="en-US"/>
        </w:rPr>
        <w:t>，使得</w:t>
      </w:r>
      <w:proofErr w:type="gramStart"/>
      <w:r>
        <w:rPr>
          <w:rFonts w:ascii="宋体" w:hAnsi="宋体" w:cs="Microsoft JhengHei" w:hint="eastAsia"/>
          <w:bCs/>
          <w:color w:val="auto"/>
          <w:szCs w:val="28"/>
          <w:lang w:bidi="en-US"/>
        </w:rPr>
        <w:t>砷</w:t>
      </w:r>
      <w:proofErr w:type="gramEnd"/>
      <w:r>
        <w:rPr>
          <w:rFonts w:ascii="宋体" w:hAnsi="宋体" w:cs="Microsoft JhengHei" w:hint="eastAsia"/>
          <w:bCs/>
          <w:color w:val="auto"/>
          <w:szCs w:val="28"/>
          <w:lang w:bidi="en-US"/>
        </w:rPr>
        <w:t>部分去除。</w:t>
      </w:r>
    </w:p>
    <w:p w14:paraId="7C7AC3D3"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③当溶液中pH处于3.20--6.61 时，Fe(OH)</w:t>
      </w:r>
      <w:r>
        <w:rPr>
          <w:rFonts w:ascii="宋体" w:hAnsi="宋体" w:cs="Microsoft JhengHei" w:hint="eastAsia"/>
          <w:bCs/>
          <w:color w:val="auto"/>
          <w:szCs w:val="28"/>
          <w:vertAlign w:val="subscript"/>
          <w:lang w:bidi="en-US"/>
        </w:rPr>
        <w:t>3</w:t>
      </w:r>
      <w:r>
        <w:rPr>
          <w:rFonts w:ascii="宋体" w:hAnsi="宋体" w:cs="Microsoft JhengHei" w:hint="eastAsia"/>
          <w:bCs/>
          <w:color w:val="auto"/>
          <w:szCs w:val="28"/>
          <w:lang w:bidi="en-US"/>
        </w:rPr>
        <w:t xml:space="preserve"> 发生了絮凝产生大量沉淀，在其沉降过程中会吸附卷</w:t>
      </w:r>
      <w:proofErr w:type="gramStart"/>
      <w:r>
        <w:rPr>
          <w:rFonts w:ascii="宋体" w:hAnsi="宋体" w:cs="Microsoft JhengHei" w:hint="eastAsia"/>
          <w:bCs/>
          <w:color w:val="auto"/>
          <w:szCs w:val="28"/>
          <w:lang w:bidi="en-US"/>
        </w:rPr>
        <w:t>扫大量</w:t>
      </w:r>
      <w:proofErr w:type="gramEnd"/>
      <w:r>
        <w:rPr>
          <w:rFonts w:ascii="宋体" w:hAnsi="宋体" w:cs="Microsoft JhengHei" w:hint="eastAsia"/>
          <w:bCs/>
          <w:color w:val="auto"/>
          <w:szCs w:val="28"/>
          <w:lang w:bidi="en-US"/>
        </w:rPr>
        <w:t>溶液中的 H</w:t>
      </w:r>
      <w:r>
        <w:rPr>
          <w:rFonts w:ascii="宋体" w:hAnsi="宋体" w:cs="Microsoft JhengHei" w:hint="eastAsia"/>
          <w:bCs/>
          <w:color w:val="auto"/>
          <w:szCs w:val="28"/>
          <w:vertAlign w:val="subscript"/>
          <w:lang w:bidi="en-US"/>
        </w:rPr>
        <w:t>3</w:t>
      </w:r>
      <w:r>
        <w:rPr>
          <w:rFonts w:ascii="宋体" w:hAnsi="宋体" w:cs="Microsoft JhengHei" w:hint="eastAsia"/>
          <w:bCs/>
          <w:color w:val="auto"/>
          <w:szCs w:val="28"/>
          <w:lang w:bidi="en-US"/>
        </w:rPr>
        <w:t>AsO</w:t>
      </w:r>
      <w:r>
        <w:rPr>
          <w:rFonts w:ascii="宋体" w:hAnsi="宋体" w:cs="Microsoft JhengHei" w:hint="eastAsia"/>
          <w:bCs/>
          <w:color w:val="auto"/>
          <w:szCs w:val="28"/>
          <w:vertAlign w:val="subscript"/>
          <w:lang w:bidi="en-US"/>
        </w:rPr>
        <w:t>4</w:t>
      </w:r>
      <w:r>
        <w:rPr>
          <w:rFonts w:ascii="宋体" w:hAnsi="宋体" w:cs="Microsoft JhengHei" w:hint="eastAsia"/>
          <w:bCs/>
          <w:color w:val="auto"/>
          <w:szCs w:val="28"/>
          <w:lang w:bidi="en-US"/>
        </w:rPr>
        <w:t>，使得</w:t>
      </w:r>
      <w:proofErr w:type="gramStart"/>
      <w:r>
        <w:rPr>
          <w:rFonts w:ascii="宋体" w:hAnsi="宋体" w:cs="Microsoft JhengHei" w:hint="eastAsia"/>
          <w:bCs/>
          <w:color w:val="auto"/>
          <w:szCs w:val="28"/>
          <w:lang w:bidi="en-US"/>
        </w:rPr>
        <w:t>砷</w:t>
      </w:r>
      <w:proofErr w:type="gramEnd"/>
      <w:r>
        <w:rPr>
          <w:rFonts w:ascii="宋体" w:hAnsi="宋体" w:cs="Microsoft JhengHei" w:hint="eastAsia"/>
          <w:bCs/>
          <w:color w:val="auto"/>
          <w:szCs w:val="28"/>
          <w:lang w:bidi="en-US"/>
        </w:rPr>
        <w:t>大量去除。此pH范围若有三</w:t>
      </w:r>
      <w:proofErr w:type="gramStart"/>
      <w:r>
        <w:rPr>
          <w:rFonts w:ascii="宋体" w:hAnsi="宋体" w:cs="Microsoft JhengHei" w:hint="eastAsia"/>
          <w:bCs/>
          <w:color w:val="auto"/>
          <w:szCs w:val="28"/>
          <w:lang w:bidi="en-US"/>
        </w:rPr>
        <w:t>价砷氧化成</w:t>
      </w:r>
      <w:proofErr w:type="gramEnd"/>
      <w:r>
        <w:rPr>
          <w:rFonts w:ascii="宋体" w:hAnsi="宋体" w:cs="Microsoft JhengHei" w:hint="eastAsia"/>
          <w:bCs/>
          <w:color w:val="auto"/>
          <w:szCs w:val="28"/>
          <w:lang w:bidi="en-US"/>
        </w:rPr>
        <w:t>五</w:t>
      </w:r>
      <w:proofErr w:type="gramStart"/>
      <w:r>
        <w:rPr>
          <w:rFonts w:ascii="宋体" w:hAnsi="宋体" w:cs="Microsoft JhengHei" w:hint="eastAsia"/>
          <w:bCs/>
          <w:color w:val="auto"/>
          <w:szCs w:val="28"/>
          <w:lang w:bidi="en-US"/>
        </w:rPr>
        <w:t>价砷则会</w:t>
      </w:r>
      <w:proofErr w:type="gramEnd"/>
      <w:r>
        <w:rPr>
          <w:rFonts w:ascii="宋体" w:hAnsi="宋体" w:cs="Microsoft JhengHei" w:hint="eastAsia"/>
          <w:bCs/>
          <w:color w:val="auto"/>
          <w:szCs w:val="28"/>
          <w:lang w:bidi="en-US"/>
        </w:rPr>
        <w:t>有 FeAsO</w:t>
      </w:r>
      <w:r>
        <w:rPr>
          <w:rFonts w:ascii="宋体" w:hAnsi="宋体" w:cs="Microsoft JhengHei" w:hint="eastAsia"/>
          <w:bCs/>
          <w:color w:val="auto"/>
          <w:szCs w:val="28"/>
          <w:vertAlign w:val="subscript"/>
          <w:lang w:bidi="en-US"/>
        </w:rPr>
        <w:t>4</w:t>
      </w:r>
      <w:r>
        <w:rPr>
          <w:rFonts w:ascii="宋体" w:hAnsi="宋体" w:cs="Microsoft JhengHei" w:hint="eastAsia"/>
          <w:bCs/>
          <w:color w:val="auto"/>
          <w:szCs w:val="28"/>
          <w:lang w:bidi="en-US"/>
        </w:rPr>
        <w:t xml:space="preserve"> 沉淀生成，但因铁主要参与水解反应，因此不易生成FeAsO</w:t>
      </w:r>
      <w:r>
        <w:rPr>
          <w:rFonts w:ascii="宋体" w:hAnsi="宋体" w:cs="Microsoft JhengHei" w:hint="eastAsia"/>
          <w:bCs/>
          <w:color w:val="auto"/>
          <w:szCs w:val="28"/>
          <w:vertAlign w:val="subscript"/>
          <w:lang w:bidi="en-US"/>
        </w:rPr>
        <w:t>4</w:t>
      </w:r>
      <w:r>
        <w:rPr>
          <w:rFonts w:ascii="宋体" w:hAnsi="宋体" w:cs="Microsoft JhengHei" w:hint="eastAsia"/>
          <w:bCs/>
          <w:color w:val="auto"/>
          <w:szCs w:val="28"/>
          <w:lang w:bidi="en-US"/>
        </w:rPr>
        <w:t>。</w:t>
      </w:r>
    </w:p>
    <w:p w14:paraId="0CB78119"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④当溶液中pH处于6.61--10时，没有FeAsO</w:t>
      </w:r>
      <w:r>
        <w:rPr>
          <w:rFonts w:ascii="宋体" w:hAnsi="宋体" w:cs="Microsoft JhengHei" w:hint="eastAsia"/>
          <w:bCs/>
          <w:color w:val="auto"/>
          <w:szCs w:val="28"/>
          <w:vertAlign w:val="subscript"/>
          <w:lang w:bidi="en-US"/>
        </w:rPr>
        <w:t>4</w:t>
      </w:r>
      <w:r>
        <w:rPr>
          <w:rFonts w:ascii="宋体" w:hAnsi="宋体" w:cs="Microsoft JhengHei" w:hint="eastAsia"/>
          <w:bCs/>
          <w:color w:val="auto"/>
          <w:szCs w:val="28"/>
          <w:lang w:bidi="en-US"/>
        </w:rPr>
        <w:t>生成，Fe(OH)</w:t>
      </w:r>
      <w:r>
        <w:rPr>
          <w:rFonts w:ascii="宋体" w:hAnsi="宋体" w:cs="Microsoft JhengHei" w:hint="eastAsia"/>
          <w:bCs/>
          <w:color w:val="auto"/>
          <w:szCs w:val="28"/>
          <w:vertAlign w:val="subscript"/>
          <w:lang w:bidi="en-US"/>
        </w:rPr>
        <w:t>3</w:t>
      </w:r>
      <w:r>
        <w:rPr>
          <w:rFonts w:ascii="宋体" w:hAnsi="宋体" w:cs="Microsoft JhengHei" w:hint="eastAsia"/>
          <w:bCs/>
          <w:color w:val="auto"/>
          <w:szCs w:val="28"/>
          <w:lang w:bidi="en-US"/>
        </w:rPr>
        <w:t>的絮凝沉淀为主，但是随着pH的升高，Fe(OH)</w:t>
      </w:r>
      <w:r>
        <w:rPr>
          <w:rFonts w:ascii="宋体" w:hAnsi="宋体" w:cs="Microsoft JhengHei" w:hint="eastAsia"/>
          <w:bCs/>
          <w:color w:val="auto"/>
          <w:szCs w:val="28"/>
          <w:vertAlign w:val="subscript"/>
          <w:lang w:bidi="en-US"/>
        </w:rPr>
        <w:t>3</w:t>
      </w:r>
      <w:proofErr w:type="gramStart"/>
      <w:r>
        <w:rPr>
          <w:rFonts w:ascii="宋体" w:hAnsi="宋体" w:cs="Microsoft JhengHei" w:hint="eastAsia"/>
          <w:bCs/>
          <w:color w:val="auto"/>
          <w:szCs w:val="28"/>
          <w:lang w:bidi="en-US"/>
        </w:rPr>
        <w:t>逐渐带</w:t>
      </w:r>
      <w:proofErr w:type="gramEnd"/>
      <w:r>
        <w:rPr>
          <w:rFonts w:ascii="宋体" w:hAnsi="宋体" w:cs="Microsoft JhengHei" w:hint="eastAsia"/>
          <w:bCs/>
          <w:color w:val="auto"/>
          <w:szCs w:val="28"/>
          <w:lang w:bidi="en-US"/>
        </w:rPr>
        <w:t>负电荷，且会转换成 Fe(OH)</w:t>
      </w:r>
      <w:r>
        <w:rPr>
          <w:rFonts w:ascii="宋体" w:hAnsi="宋体" w:cs="Microsoft JhengHei" w:hint="eastAsia"/>
          <w:bCs/>
          <w:color w:val="auto"/>
          <w:szCs w:val="28"/>
          <w:vertAlign w:val="subscript"/>
          <w:lang w:bidi="en-US"/>
        </w:rPr>
        <w:t>4</w:t>
      </w:r>
      <w:r>
        <w:rPr>
          <w:rFonts w:ascii="宋体" w:hAnsi="宋体" w:cs="Microsoft JhengHei" w:hint="eastAsia"/>
          <w:bCs/>
          <w:color w:val="auto"/>
          <w:szCs w:val="28"/>
          <w:vertAlign w:val="superscript"/>
          <w:lang w:bidi="en-US"/>
        </w:rPr>
        <w:t>-</w:t>
      </w:r>
      <w:r>
        <w:rPr>
          <w:rFonts w:ascii="宋体" w:hAnsi="宋体" w:cs="Microsoft JhengHei" w:hint="eastAsia"/>
          <w:bCs/>
          <w:color w:val="auto"/>
          <w:szCs w:val="28"/>
          <w:lang w:bidi="en-US"/>
        </w:rPr>
        <w:t xml:space="preserve"> 逐渐溶解到溶液中，所以砷的去除率逐渐降低。</w:t>
      </w:r>
    </w:p>
    <w:p w14:paraId="76E050E7"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在上述反应时，由于硫酸钙的溶度积较大，溶液中存在一定的钙离子，因此：</w:t>
      </w:r>
    </w:p>
    <w:p w14:paraId="168CB04C"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3Ca</w:t>
      </w:r>
      <w:r>
        <w:rPr>
          <w:rFonts w:ascii="宋体" w:hAnsi="宋体" w:cs="Microsoft JhengHei" w:hint="eastAsia"/>
          <w:bCs/>
          <w:color w:val="auto"/>
          <w:szCs w:val="28"/>
          <w:vertAlign w:val="superscript"/>
          <w:lang w:bidi="en-US"/>
        </w:rPr>
        <w:t>2+</w:t>
      </w:r>
      <w:r>
        <w:rPr>
          <w:rFonts w:ascii="宋体" w:hAnsi="宋体" w:cs="Microsoft JhengHei" w:hint="eastAsia"/>
          <w:bCs/>
          <w:color w:val="auto"/>
          <w:szCs w:val="28"/>
          <w:lang w:bidi="en-US"/>
        </w:rPr>
        <w:t>+2AsO</w:t>
      </w:r>
      <w:r>
        <w:rPr>
          <w:rFonts w:ascii="宋体" w:hAnsi="宋体" w:cs="Microsoft JhengHei" w:hint="eastAsia"/>
          <w:bCs/>
          <w:color w:val="auto"/>
          <w:szCs w:val="28"/>
          <w:vertAlign w:val="subscript"/>
          <w:lang w:bidi="en-US"/>
        </w:rPr>
        <w:t>4</w:t>
      </w:r>
      <w:r>
        <w:rPr>
          <w:rFonts w:ascii="宋体" w:hAnsi="宋体" w:cs="Microsoft JhengHei" w:hint="eastAsia"/>
          <w:bCs/>
          <w:color w:val="auto"/>
          <w:szCs w:val="28"/>
          <w:vertAlign w:val="superscript"/>
          <w:lang w:bidi="en-US"/>
        </w:rPr>
        <w:t>3-</w:t>
      </w:r>
      <w:r>
        <w:rPr>
          <w:rFonts w:ascii="宋体" w:hAnsi="宋体" w:cs="Microsoft JhengHei" w:hint="eastAsia"/>
          <w:bCs/>
          <w:color w:val="auto"/>
          <w:szCs w:val="28"/>
          <w:lang w:bidi="en-US"/>
        </w:rPr>
        <w:t xml:space="preserve"> = Ca</w:t>
      </w:r>
      <w:r>
        <w:rPr>
          <w:rFonts w:ascii="宋体" w:hAnsi="宋体" w:cs="Microsoft JhengHei" w:hint="eastAsia"/>
          <w:bCs/>
          <w:color w:val="auto"/>
          <w:szCs w:val="28"/>
          <w:vertAlign w:val="subscript"/>
          <w:lang w:bidi="en-US"/>
        </w:rPr>
        <w:t>3</w:t>
      </w:r>
      <w:r>
        <w:rPr>
          <w:rFonts w:ascii="宋体" w:hAnsi="宋体" w:cs="Microsoft JhengHei" w:hint="eastAsia"/>
          <w:bCs/>
          <w:color w:val="auto"/>
          <w:szCs w:val="28"/>
          <w:lang w:bidi="en-US"/>
        </w:rPr>
        <w:t>(AsO</w:t>
      </w:r>
      <w:r>
        <w:rPr>
          <w:rFonts w:ascii="宋体" w:hAnsi="宋体" w:cs="Microsoft JhengHei" w:hint="eastAsia"/>
          <w:bCs/>
          <w:color w:val="auto"/>
          <w:szCs w:val="28"/>
          <w:vertAlign w:val="subscript"/>
          <w:lang w:bidi="en-US"/>
        </w:rPr>
        <w:t>4</w:t>
      </w:r>
      <w:r>
        <w:rPr>
          <w:rFonts w:ascii="宋体" w:hAnsi="宋体" w:cs="Microsoft JhengHei" w:hint="eastAsia"/>
          <w:bCs/>
          <w:color w:val="auto"/>
          <w:szCs w:val="28"/>
          <w:lang w:bidi="en-US"/>
        </w:rPr>
        <w:t>)2↓</w:t>
      </w:r>
    </w:p>
    <w:p w14:paraId="2E54092F"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在此废水处理工段铁离子作为絮凝剂与氧化钙联合絮凝共沉淀法去除了废水中大部分的亚砷酸分子，砷酸根离子以及锌、铅等离子，主要生成氢氧化铁胶体，硫酸钙沉淀、砷酸铁沉淀，反应结束后在板框过滤机（依托废水处理站）上进行固液分离。产生的中水中主要离子为铁离子以及少量的硫离子，其他污染物浓度较低。在回用水池沉淀处理后回用，返回中试车间进行浸出液配制，不外排。产生的中和渣含有少量的重金属砷，中</w:t>
      </w:r>
      <w:r>
        <w:rPr>
          <w:rFonts w:ascii="宋体" w:hAnsi="宋体" w:cs="Microsoft JhengHei" w:hint="eastAsia"/>
          <w:bCs/>
          <w:color w:val="auto"/>
          <w:szCs w:val="28"/>
          <w:lang w:bidi="en-US"/>
        </w:rPr>
        <w:lastRenderedPageBreak/>
        <w:t>和渣</w:t>
      </w:r>
      <w:proofErr w:type="gramStart"/>
      <w:r>
        <w:rPr>
          <w:rFonts w:ascii="宋体" w:hAnsi="宋体" w:cs="Microsoft JhengHei" w:hint="eastAsia"/>
          <w:bCs/>
          <w:color w:val="auto"/>
          <w:szCs w:val="28"/>
          <w:lang w:bidi="en-US"/>
        </w:rPr>
        <w:t>暂时按危废</w:t>
      </w:r>
      <w:proofErr w:type="gramEnd"/>
      <w:r>
        <w:rPr>
          <w:rFonts w:ascii="宋体" w:hAnsi="宋体" w:cs="Microsoft JhengHei" w:hint="eastAsia"/>
          <w:bCs/>
          <w:color w:val="auto"/>
          <w:szCs w:val="28"/>
          <w:lang w:bidi="en-US"/>
        </w:rPr>
        <w:t>进行管理，收集后送至厂区中和</w:t>
      </w:r>
      <w:proofErr w:type="gramStart"/>
      <w:r>
        <w:rPr>
          <w:rFonts w:ascii="宋体" w:hAnsi="宋体" w:cs="Microsoft JhengHei" w:hint="eastAsia"/>
          <w:bCs/>
          <w:color w:val="auto"/>
          <w:szCs w:val="28"/>
          <w:lang w:bidi="en-US"/>
        </w:rPr>
        <w:t>渣危废</w:t>
      </w:r>
      <w:proofErr w:type="gramEnd"/>
      <w:r>
        <w:rPr>
          <w:rFonts w:ascii="宋体" w:hAnsi="宋体" w:cs="Microsoft JhengHei" w:hint="eastAsia"/>
          <w:bCs/>
          <w:color w:val="auto"/>
          <w:szCs w:val="28"/>
          <w:lang w:bidi="en-US"/>
        </w:rPr>
        <w:t>暂存库（570m</w:t>
      </w:r>
      <w:r>
        <w:rPr>
          <w:rFonts w:ascii="宋体" w:hAnsi="宋体" w:cs="Microsoft JhengHei" w:hint="eastAsia"/>
          <w:bCs/>
          <w:color w:val="auto"/>
          <w:szCs w:val="28"/>
          <w:vertAlign w:val="superscript"/>
          <w:lang w:bidi="en-US"/>
        </w:rPr>
        <w:t>2</w:t>
      </w:r>
      <w:r>
        <w:rPr>
          <w:rFonts w:ascii="宋体" w:hAnsi="宋体" w:cs="Microsoft JhengHei" w:hint="eastAsia"/>
          <w:bCs/>
          <w:color w:val="auto"/>
          <w:szCs w:val="28"/>
          <w:lang w:bidi="en-US"/>
        </w:rPr>
        <w:t>)暂存，并委托有资质单位处置。</w:t>
      </w:r>
    </w:p>
    <w:p w14:paraId="68F1250A"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5）尾气处理</w:t>
      </w:r>
    </w:p>
    <w:p w14:paraId="0626F017" w14:textId="77777777" w:rsidR="009219A0" w:rsidRDefault="00000000">
      <w:pPr>
        <w:adjustRightInd/>
        <w:snapToGrid/>
        <w:ind w:firstLine="560"/>
        <w:rPr>
          <w:rFonts w:ascii="宋体" w:hAnsi="宋体" w:cs="Microsoft JhengHei" w:hint="eastAsia"/>
          <w:bCs/>
          <w:color w:val="auto"/>
          <w:szCs w:val="28"/>
          <w:lang w:bidi="en-US"/>
        </w:rPr>
      </w:pPr>
      <w:proofErr w:type="gramStart"/>
      <w:r>
        <w:rPr>
          <w:rFonts w:ascii="宋体" w:hAnsi="宋体" w:cs="Microsoft JhengHei" w:hint="eastAsia"/>
          <w:bCs/>
          <w:color w:val="auto"/>
          <w:szCs w:val="28"/>
          <w:lang w:bidi="en-US"/>
        </w:rPr>
        <w:t>铁粉脱杂中试</w:t>
      </w:r>
      <w:proofErr w:type="gramEnd"/>
      <w:r>
        <w:rPr>
          <w:rFonts w:ascii="宋体" w:hAnsi="宋体" w:cs="Microsoft JhengHei" w:hint="eastAsia"/>
          <w:bCs/>
          <w:color w:val="auto"/>
          <w:szCs w:val="28"/>
          <w:lang w:bidi="en-US"/>
        </w:rPr>
        <w:t>实验过程中不锈钢循环槽浸出反应过程和真空过滤工序产生的酸雾由风机形成负压进入二级碱液喷淋塔内，用3%氢氧化钠溶液循环吸收。气体由吸收塔由下而上开始升流，此时，</w:t>
      </w:r>
      <w:proofErr w:type="gramStart"/>
      <w:r>
        <w:rPr>
          <w:rFonts w:ascii="宋体" w:hAnsi="宋体" w:cs="Microsoft JhengHei" w:hint="eastAsia"/>
          <w:bCs/>
          <w:color w:val="auto"/>
          <w:szCs w:val="28"/>
          <w:lang w:bidi="en-US"/>
        </w:rPr>
        <w:t>碱泵将溶液</w:t>
      </w:r>
      <w:proofErr w:type="gramEnd"/>
      <w:r>
        <w:rPr>
          <w:rFonts w:ascii="宋体" w:hAnsi="宋体" w:cs="Microsoft JhengHei" w:hint="eastAsia"/>
          <w:bCs/>
          <w:color w:val="auto"/>
          <w:szCs w:val="28"/>
          <w:lang w:bidi="en-US"/>
        </w:rPr>
        <w:t>箱中的碱液送到吸收塔，</w:t>
      </w:r>
      <w:proofErr w:type="gramStart"/>
      <w:r>
        <w:rPr>
          <w:rFonts w:ascii="宋体" w:hAnsi="宋体" w:cs="Microsoft JhengHei" w:hint="eastAsia"/>
          <w:bCs/>
          <w:color w:val="auto"/>
          <w:szCs w:val="28"/>
          <w:lang w:bidi="en-US"/>
        </w:rPr>
        <w:t>泵产生</w:t>
      </w:r>
      <w:proofErr w:type="gramEnd"/>
      <w:r>
        <w:rPr>
          <w:rFonts w:ascii="宋体" w:hAnsi="宋体" w:cs="Microsoft JhengHei" w:hint="eastAsia"/>
          <w:bCs/>
          <w:color w:val="auto"/>
          <w:szCs w:val="28"/>
          <w:lang w:bidi="en-US"/>
        </w:rPr>
        <w:t>的高压碱液由塔顶喷嘴雾化喷洒，塔顶喷洒下的碱液在填料中与气体相互接触反应。废气经过一、二级吸收塔吸收后由二级吸收塔顶排气口达标排放。</w:t>
      </w:r>
    </w:p>
    <w:p w14:paraId="1ED554B6"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hint="eastAsia"/>
          <w:bCs/>
          <w:color w:val="auto"/>
          <w:szCs w:val="28"/>
          <w:lang w:bidi="en-US"/>
        </w:rPr>
        <w:t>碱液吸收酸雾的化学反应式如下：</w:t>
      </w:r>
    </w:p>
    <w:p w14:paraId="791F7FFD" w14:textId="77777777" w:rsidR="009219A0" w:rsidRDefault="00000000">
      <w:pPr>
        <w:adjustRightInd/>
        <w:snapToGrid/>
        <w:ind w:firstLine="560"/>
        <w:rPr>
          <w:rFonts w:ascii="宋体" w:hAnsi="宋体" w:cs="Microsoft JhengHei" w:hint="eastAsia"/>
          <w:bCs/>
          <w:color w:val="auto"/>
          <w:szCs w:val="28"/>
          <w:lang w:bidi="en-US"/>
        </w:rPr>
      </w:pPr>
      <w:r>
        <w:rPr>
          <w:rFonts w:ascii="宋体" w:hAnsi="宋体" w:cs="Microsoft JhengHei"/>
          <w:bCs/>
          <w:color w:val="auto"/>
          <w:szCs w:val="28"/>
          <w:lang w:bidi="en-US"/>
        </w:rPr>
        <w:t>H</w:t>
      </w:r>
      <w:r>
        <w:rPr>
          <w:rFonts w:ascii="宋体" w:hAnsi="宋体" w:cs="Microsoft JhengHei"/>
          <w:bCs/>
          <w:color w:val="auto"/>
          <w:szCs w:val="28"/>
          <w:vertAlign w:val="subscript"/>
          <w:lang w:bidi="en-US"/>
        </w:rPr>
        <w:t>2</w:t>
      </w:r>
      <w:r>
        <w:rPr>
          <w:rFonts w:ascii="宋体" w:hAnsi="宋体" w:cs="Microsoft JhengHei"/>
          <w:bCs/>
          <w:color w:val="auto"/>
          <w:szCs w:val="28"/>
          <w:lang w:bidi="en-US"/>
        </w:rPr>
        <w:t>SO</w:t>
      </w:r>
      <w:r>
        <w:rPr>
          <w:rFonts w:ascii="宋体" w:hAnsi="宋体" w:cs="Microsoft JhengHei"/>
          <w:bCs/>
          <w:color w:val="auto"/>
          <w:szCs w:val="28"/>
          <w:vertAlign w:val="subscript"/>
          <w:lang w:bidi="en-US"/>
        </w:rPr>
        <w:t>4</w:t>
      </w:r>
      <w:r>
        <w:rPr>
          <w:rFonts w:ascii="宋体" w:hAnsi="宋体" w:cs="Microsoft JhengHei"/>
          <w:bCs/>
          <w:color w:val="auto"/>
          <w:szCs w:val="28"/>
          <w:lang w:bidi="en-US"/>
        </w:rPr>
        <w:t>+2NaOH=Na</w:t>
      </w:r>
      <w:r>
        <w:rPr>
          <w:rFonts w:ascii="宋体" w:hAnsi="宋体" w:cs="Microsoft JhengHei"/>
          <w:bCs/>
          <w:color w:val="auto"/>
          <w:szCs w:val="28"/>
          <w:vertAlign w:val="subscript"/>
          <w:lang w:bidi="en-US"/>
        </w:rPr>
        <w:t>2</w:t>
      </w:r>
      <w:r>
        <w:rPr>
          <w:rFonts w:ascii="宋体" w:hAnsi="宋体" w:cs="Microsoft JhengHei"/>
          <w:bCs/>
          <w:color w:val="auto"/>
          <w:szCs w:val="28"/>
          <w:lang w:bidi="en-US"/>
        </w:rPr>
        <w:t>SO</w:t>
      </w:r>
      <w:r>
        <w:rPr>
          <w:rFonts w:ascii="宋体" w:hAnsi="宋体" w:cs="Microsoft JhengHei"/>
          <w:bCs/>
          <w:color w:val="auto"/>
          <w:szCs w:val="28"/>
          <w:vertAlign w:val="subscript"/>
          <w:lang w:bidi="en-US"/>
        </w:rPr>
        <w:t>4</w:t>
      </w:r>
      <w:r>
        <w:rPr>
          <w:rFonts w:ascii="宋体" w:hAnsi="宋体" w:cs="Microsoft JhengHei"/>
          <w:bCs/>
          <w:color w:val="auto"/>
          <w:szCs w:val="28"/>
          <w:lang w:bidi="en-US"/>
        </w:rPr>
        <w:t>+2H</w:t>
      </w:r>
      <w:r>
        <w:rPr>
          <w:rFonts w:ascii="宋体" w:hAnsi="宋体" w:cs="Microsoft JhengHei"/>
          <w:bCs/>
          <w:color w:val="auto"/>
          <w:szCs w:val="28"/>
          <w:vertAlign w:val="subscript"/>
          <w:lang w:bidi="en-US"/>
        </w:rPr>
        <w:t>2</w:t>
      </w:r>
      <w:r>
        <w:rPr>
          <w:rFonts w:ascii="宋体" w:hAnsi="宋体" w:cs="Microsoft JhengHei"/>
          <w:bCs/>
          <w:color w:val="auto"/>
          <w:szCs w:val="28"/>
          <w:lang w:bidi="en-US"/>
        </w:rPr>
        <w:t>O</w:t>
      </w:r>
    </w:p>
    <w:p w14:paraId="487DFDC1" w14:textId="77777777" w:rsidR="009219A0" w:rsidRDefault="00000000">
      <w:pPr>
        <w:pStyle w:val="Default1"/>
        <w:spacing w:line="360" w:lineRule="auto"/>
        <w:ind w:firstLineChars="200" w:firstLine="560"/>
        <w:jc w:val="both"/>
        <w:rPr>
          <w:rFonts w:ascii="宋体" w:hAnsi="宋体"/>
          <w:color w:val="auto"/>
          <w:kern w:val="2"/>
          <w:sz w:val="28"/>
          <w:szCs w:val="28"/>
        </w:rPr>
      </w:pPr>
      <w:r>
        <w:rPr>
          <w:rFonts w:ascii="宋体" w:hAnsi="宋体"/>
          <w:color w:val="auto"/>
          <w:kern w:val="2"/>
          <w:sz w:val="28"/>
          <w:szCs w:val="28"/>
        </w:rPr>
        <w:t>当pH值小于5时，将排出废水。喷淋塔废水依托厂区废水处理站处理后回</w:t>
      </w:r>
      <w:proofErr w:type="gramStart"/>
      <w:r>
        <w:rPr>
          <w:rFonts w:ascii="宋体" w:hAnsi="宋体"/>
          <w:color w:val="auto"/>
          <w:kern w:val="2"/>
          <w:sz w:val="28"/>
          <w:szCs w:val="28"/>
        </w:rPr>
        <w:t>用于创源硫酸</w:t>
      </w:r>
      <w:proofErr w:type="gramEnd"/>
      <w:r>
        <w:rPr>
          <w:rFonts w:ascii="宋体" w:hAnsi="宋体"/>
          <w:color w:val="auto"/>
          <w:kern w:val="2"/>
          <w:sz w:val="28"/>
          <w:szCs w:val="28"/>
        </w:rPr>
        <w:t>技改项目，不外排。</w:t>
      </w:r>
    </w:p>
    <w:p w14:paraId="247C9DDF"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（2）硫铁矿脱砷中试工艺流程</w:t>
      </w:r>
    </w:p>
    <w:p w14:paraId="5BC135CC" w14:textId="77777777" w:rsidR="009219A0" w:rsidRDefault="00000000">
      <w:pPr>
        <w:pStyle w:val="Default1"/>
        <w:spacing w:line="360" w:lineRule="auto"/>
        <w:ind w:firstLineChars="200" w:firstLine="560"/>
        <w:jc w:val="center"/>
        <w:rPr>
          <w:rFonts w:ascii="宋体" w:hAnsi="宋体"/>
          <w:sz w:val="28"/>
          <w:szCs w:val="28"/>
        </w:rPr>
      </w:pPr>
      <w:r>
        <w:rPr>
          <w:rFonts w:ascii="宋体" w:hAnsi="宋体" w:hint="default"/>
          <w:noProof/>
          <w:sz w:val="28"/>
          <w:szCs w:val="28"/>
        </w:rPr>
        <w:lastRenderedPageBreak/>
        <w:drawing>
          <wp:inline distT="0" distB="0" distL="0" distR="0" wp14:anchorId="252FA57D" wp14:editId="2FEC8101">
            <wp:extent cx="5401310" cy="5401310"/>
            <wp:effectExtent l="0" t="0" r="889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401310" cy="5401310"/>
                    </a:xfrm>
                    <a:prstGeom prst="rect">
                      <a:avLst/>
                    </a:prstGeom>
                    <a:noFill/>
                  </pic:spPr>
                </pic:pic>
              </a:graphicData>
            </a:graphic>
          </wp:inline>
        </w:drawing>
      </w:r>
    </w:p>
    <w:p w14:paraId="1E39BF62" w14:textId="77777777" w:rsidR="009219A0" w:rsidRDefault="00000000">
      <w:pPr>
        <w:pStyle w:val="Default1"/>
        <w:spacing w:line="360" w:lineRule="auto"/>
        <w:ind w:firstLineChars="200" w:firstLine="560"/>
        <w:jc w:val="center"/>
        <w:rPr>
          <w:rFonts w:ascii="宋体" w:hAnsi="宋体"/>
          <w:sz w:val="28"/>
          <w:szCs w:val="28"/>
        </w:rPr>
      </w:pPr>
      <w:r>
        <w:rPr>
          <w:rFonts w:ascii="宋体" w:hAnsi="宋体"/>
          <w:sz w:val="28"/>
          <w:szCs w:val="28"/>
        </w:rPr>
        <w:t>图2.2-6硫铁矿脱砷中试工艺流程图</w:t>
      </w:r>
    </w:p>
    <w:p w14:paraId="286FD823"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工艺流程简述：</w:t>
      </w:r>
    </w:p>
    <w:p w14:paraId="65C37FC5"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硫铁矿脱砷中试包含备料、氧化、浸出反应、过滤、废水处理等过程，中试反应在常温常压下进行，硫铁矿脱砷中试规模为处理硫铁矿300t/d，分为6个批次，每个批次50t，每天三班倒（早、中、晚），一班处理2个批次共100t/d。</w:t>
      </w:r>
    </w:p>
    <w:p w14:paraId="1809863B"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1）备料</w:t>
      </w:r>
    </w:p>
    <w:p w14:paraId="406F3ADC"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硫铁矿原料经计量后在原料筛分机上筛分均匀，后投入氧化槽。</w:t>
      </w:r>
    </w:p>
    <w:p w14:paraId="0631D0F5"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2）硫铁矿原料在筛分机上筛分均匀后投入密闭的氧化槽，在氧化槽内</w:t>
      </w:r>
      <w:r>
        <w:rPr>
          <w:rFonts w:ascii="宋体" w:hAnsi="宋体" w:hint="eastAsia"/>
          <w:color w:val="auto"/>
          <w:szCs w:val="28"/>
        </w:rPr>
        <w:lastRenderedPageBreak/>
        <w:t>加入98%的硫酸进行氧化。98%的硫酸与原料的配比约为0.07:1，硫酸与硫铁矿充分搅拌混合均匀，充分氧化后硫铁矿投入圆盘给料机，再由半封闭的皮带输送机输送至不锈钢循环搅拌槽。氧化槽上方设有排气管，产生的废气抽吸至二级碱液喷淋塔内处理。氧化反应时间为60min。氧化环节主要目的是脱出硫铁矿中的锌，硫酸与硫铁矿中的杂质</w:t>
      </w:r>
      <w:proofErr w:type="gramStart"/>
      <w:r>
        <w:rPr>
          <w:rFonts w:ascii="宋体" w:hAnsi="宋体" w:hint="eastAsia"/>
          <w:color w:val="auto"/>
          <w:szCs w:val="28"/>
        </w:rPr>
        <w:t>锌</w:t>
      </w:r>
      <w:proofErr w:type="gramEnd"/>
      <w:r>
        <w:rPr>
          <w:rFonts w:ascii="宋体" w:hAnsi="宋体" w:hint="eastAsia"/>
          <w:color w:val="auto"/>
          <w:szCs w:val="28"/>
        </w:rPr>
        <w:t>充分反应。主要反应式为：</w:t>
      </w:r>
    </w:p>
    <w:p w14:paraId="402A01F9" w14:textId="77777777" w:rsidR="009219A0" w:rsidRDefault="00000000">
      <w:pPr>
        <w:adjustRightInd/>
        <w:snapToGrid/>
        <w:ind w:firstLine="560"/>
        <w:rPr>
          <w:rFonts w:ascii="宋体" w:hAnsi="宋体" w:hint="eastAsia"/>
          <w:color w:val="auto"/>
          <w:szCs w:val="28"/>
        </w:rPr>
      </w:pPr>
      <w:r>
        <w:rPr>
          <w:rFonts w:ascii="宋体" w:hAnsi="宋体"/>
          <w:color w:val="auto"/>
          <w:szCs w:val="28"/>
        </w:rPr>
        <w:t>ZnO+H</w:t>
      </w:r>
      <w:r>
        <w:rPr>
          <w:rFonts w:ascii="宋体" w:hAnsi="宋体"/>
          <w:color w:val="auto"/>
          <w:szCs w:val="28"/>
          <w:vertAlign w:val="subscript"/>
        </w:rPr>
        <w:t>2</w:t>
      </w:r>
      <w:r>
        <w:rPr>
          <w:rFonts w:ascii="宋体" w:hAnsi="宋体"/>
          <w:color w:val="auto"/>
          <w:szCs w:val="28"/>
        </w:rPr>
        <w:t>SO</w:t>
      </w:r>
      <w:r>
        <w:rPr>
          <w:rFonts w:ascii="宋体" w:hAnsi="宋体"/>
          <w:color w:val="auto"/>
          <w:szCs w:val="28"/>
          <w:vertAlign w:val="subscript"/>
        </w:rPr>
        <w:t>4</w:t>
      </w:r>
      <w:r>
        <w:rPr>
          <w:rFonts w:ascii="宋体" w:hAnsi="宋体"/>
          <w:color w:val="auto"/>
          <w:szCs w:val="28"/>
        </w:rPr>
        <w:t xml:space="preserve"> =ZnSO</w:t>
      </w:r>
      <w:r>
        <w:rPr>
          <w:rFonts w:ascii="宋体" w:hAnsi="宋体"/>
          <w:color w:val="auto"/>
          <w:szCs w:val="28"/>
          <w:vertAlign w:val="subscript"/>
        </w:rPr>
        <w:t>4</w:t>
      </w:r>
      <w:r>
        <w:rPr>
          <w:rFonts w:ascii="宋体" w:hAnsi="宋体"/>
          <w:color w:val="auto"/>
          <w:szCs w:val="28"/>
        </w:rPr>
        <w:t>+H</w:t>
      </w:r>
      <w:r>
        <w:rPr>
          <w:rFonts w:ascii="宋体" w:hAnsi="宋体"/>
          <w:color w:val="auto"/>
          <w:szCs w:val="28"/>
          <w:vertAlign w:val="subscript"/>
        </w:rPr>
        <w:t>2</w:t>
      </w:r>
      <w:r>
        <w:rPr>
          <w:rFonts w:ascii="宋体" w:hAnsi="宋体"/>
          <w:color w:val="auto"/>
          <w:szCs w:val="28"/>
        </w:rPr>
        <w:t>O</w:t>
      </w:r>
    </w:p>
    <w:p w14:paraId="269A856D"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3）浸出反应</w:t>
      </w:r>
    </w:p>
    <w:p w14:paraId="10FD6384"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硫铁矿脱砷浸出反应在不锈钢循环槽中进行，在常温常压下进行。先在不锈钢循环槽中配置浸出液，浸出液与硫铁矿原料液固比为2.5:1。浸出液的配置方法为先在循环槽中加氯化钠使溶液中氯化钠浓度达10g/L，再加入30%盐酸使溶液中盐酸浓度为40g/L。配置好浸出液后投入硫铁矿原料，硫铁矿原料投入给料机后经由皮带运输机送入不锈钢循环槽中。在浸出反应过程中不断搅拌。在中试车间配置有1台鼓风机、1台空压机配合使用将空气通入密闭的不锈钢循环槽中。设置有4台不锈钢循环</w:t>
      </w:r>
      <w:proofErr w:type="gramStart"/>
      <w:r>
        <w:rPr>
          <w:rFonts w:ascii="宋体" w:hAnsi="宋体" w:hint="eastAsia"/>
          <w:color w:val="auto"/>
          <w:szCs w:val="28"/>
        </w:rPr>
        <w:t>槽同时进行脱杂</w:t>
      </w:r>
      <w:proofErr w:type="gramEnd"/>
      <w:r>
        <w:rPr>
          <w:rFonts w:ascii="宋体" w:hAnsi="宋体" w:hint="eastAsia"/>
          <w:color w:val="auto"/>
          <w:szCs w:val="28"/>
        </w:rPr>
        <w:t>反应，单次浸出反应时间约120min。硫铁矿中主要含有二硫化亚铁。硫铁矿与稀盐酸反应生成少量的硫化氢气体，浸出液配制与浸出反应过程中将产生少量氯化氢、硫化氢气体，产生的废气由连接的管道送入碱液喷淋塔中处理。</w:t>
      </w:r>
    </w:p>
    <w:p w14:paraId="63DF8C47" w14:textId="77777777" w:rsidR="009219A0" w:rsidRDefault="00000000">
      <w:pPr>
        <w:adjustRightInd/>
        <w:snapToGrid/>
        <w:ind w:firstLine="560"/>
        <w:rPr>
          <w:rFonts w:ascii="宋体" w:hAnsi="宋体" w:hint="eastAsia"/>
          <w:color w:val="auto"/>
          <w:szCs w:val="28"/>
        </w:rPr>
      </w:pPr>
      <w:r>
        <w:rPr>
          <w:rFonts w:ascii="宋体" w:hAnsi="宋体"/>
          <w:color w:val="auto"/>
          <w:szCs w:val="28"/>
        </w:rPr>
        <w:t>FeS</w:t>
      </w:r>
      <w:r>
        <w:rPr>
          <w:rFonts w:ascii="宋体" w:hAnsi="宋体"/>
          <w:color w:val="auto"/>
          <w:szCs w:val="28"/>
          <w:vertAlign w:val="subscript"/>
        </w:rPr>
        <w:t>2</w:t>
      </w:r>
      <w:r>
        <w:rPr>
          <w:rFonts w:ascii="宋体" w:hAnsi="宋体" w:hint="eastAsia"/>
          <w:color w:val="auto"/>
          <w:szCs w:val="28"/>
        </w:rPr>
        <w:t>+</w:t>
      </w:r>
      <w:r>
        <w:rPr>
          <w:rFonts w:ascii="宋体" w:hAnsi="宋体"/>
          <w:color w:val="auto"/>
          <w:szCs w:val="28"/>
        </w:rPr>
        <w:t>2HCl= FeCl</w:t>
      </w:r>
      <w:r>
        <w:rPr>
          <w:rFonts w:ascii="宋体" w:hAnsi="宋体"/>
          <w:color w:val="auto"/>
          <w:szCs w:val="28"/>
          <w:vertAlign w:val="subscript"/>
        </w:rPr>
        <w:t>2</w:t>
      </w:r>
      <w:r>
        <w:rPr>
          <w:rFonts w:ascii="宋体" w:hAnsi="宋体"/>
          <w:color w:val="auto"/>
          <w:szCs w:val="28"/>
        </w:rPr>
        <w:t xml:space="preserve"> +H</w:t>
      </w:r>
      <w:r>
        <w:rPr>
          <w:rFonts w:ascii="宋体" w:hAnsi="宋体"/>
          <w:color w:val="auto"/>
          <w:szCs w:val="28"/>
          <w:vertAlign w:val="subscript"/>
        </w:rPr>
        <w:t>2</w:t>
      </w:r>
      <w:r>
        <w:rPr>
          <w:rFonts w:ascii="宋体" w:hAnsi="宋体"/>
          <w:color w:val="auto"/>
          <w:szCs w:val="28"/>
        </w:rPr>
        <w:t>S</w:t>
      </w:r>
      <w:r>
        <w:rPr>
          <w:rFonts w:ascii="宋体" w:hAnsi="宋体"/>
          <w:color w:val="auto"/>
          <w:szCs w:val="28"/>
          <w:vertAlign w:val="subscript"/>
        </w:rPr>
        <w:t>2</w:t>
      </w:r>
    </w:p>
    <w:p w14:paraId="12156B05" w14:textId="77777777" w:rsidR="009219A0" w:rsidRDefault="00000000">
      <w:pPr>
        <w:adjustRightInd/>
        <w:snapToGrid/>
        <w:ind w:firstLine="560"/>
        <w:rPr>
          <w:rFonts w:ascii="宋体" w:hAnsi="宋体" w:hint="eastAsia"/>
          <w:color w:val="auto"/>
          <w:szCs w:val="28"/>
        </w:rPr>
      </w:pPr>
      <w:r>
        <w:rPr>
          <w:rFonts w:ascii="宋体" w:hAnsi="宋体"/>
          <w:color w:val="auto"/>
          <w:szCs w:val="28"/>
        </w:rPr>
        <w:t>4Fe</w:t>
      </w:r>
      <w:r>
        <w:rPr>
          <w:rFonts w:ascii="宋体" w:hAnsi="宋体"/>
          <w:color w:val="auto"/>
          <w:szCs w:val="28"/>
          <w:vertAlign w:val="superscript"/>
        </w:rPr>
        <w:t>2+</w:t>
      </w:r>
      <w:r>
        <w:rPr>
          <w:rFonts w:ascii="宋体" w:hAnsi="宋体"/>
          <w:color w:val="auto"/>
          <w:szCs w:val="28"/>
        </w:rPr>
        <w:t>+O</w:t>
      </w:r>
      <w:r>
        <w:rPr>
          <w:rFonts w:ascii="宋体" w:hAnsi="宋体"/>
          <w:color w:val="auto"/>
          <w:szCs w:val="28"/>
          <w:vertAlign w:val="subscript"/>
        </w:rPr>
        <w:t>2</w:t>
      </w:r>
      <w:r>
        <w:rPr>
          <w:rFonts w:ascii="宋体" w:hAnsi="宋体"/>
          <w:color w:val="auto"/>
          <w:szCs w:val="28"/>
        </w:rPr>
        <w:t>+2H</w:t>
      </w:r>
      <w:r>
        <w:rPr>
          <w:rFonts w:ascii="宋体" w:hAnsi="宋体"/>
          <w:color w:val="auto"/>
          <w:szCs w:val="28"/>
          <w:vertAlign w:val="subscript"/>
        </w:rPr>
        <w:t>2</w:t>
      </w:r>
      <w:r>
        <w:rPr>
          <w:rFonts w:ascii="宋体" w:hAnsi="宋体"/>
          <w:color w:val="auto"/>
          <w:szCs w:val="28"/>
        </w:rPr>
        <w:t>O =4Fe</w:t>
      </w:r>
      <w:r>
        <w:rPr>
          <w:rFonts w:ascii="宋体" w:hAnsi="宋体"/>
          <w:color w:val="auto"/>
          <w:szCs w:val="28"/>
          <w:vertAlign w:val="superscript"/>
        </w:rPr>
        <w:t>3+</w:t>
      </w:r>
      <w:r>
        <w:rPr>
          <w:rFonts w:ascii="宋体" w:hAnsi="宋体"/>
          <w:color w:val="auto"/>
          <w:szCs w:val="28"/>
        </w:rPr>
        <w:t>+4OH</w:t>
      </w:r>
      <w:r>
        <w:rPr>
          <w:rFonts w:ascii="宋体" w:hAnsi="宋体"/>
          <w:color w:val="auto"/>
          <w:szCs w:val="28"/>
          <w:vertAlign w:val="superscript"/>
        </w:rPr>
        <w:t>-</w:t>
      </w:r>
    </w:p>
    <w:p w14:paraId="5AB74F85" w14:textId="77777777" w:rsidR="009219A0" w:rsidRDefault="00000000">
      <w:pPr>
        <w:adjustRightInd/>
        <w:snapToGrid/>
        <w:ind w:firstLine="560"/>
        <w:rPr>
          <w:rFonts w:ascii="宋体" w:hAnsi="宋体" w:hint="eastAsia"/>
          <w:color w:val="auto"/>
          <w:szCs w:val="28"/>
        </w:rPr>
      </w:pPr>
      <w:r>
        <w:rPr>
          <w:rFonts w:ascii="宋体" w:hAnsi="宋体"/>
          <w:color w:val="auto"/>
          <w:szCs w:val="28"/>
        </w:rPr>
        <w:t>As</w:t>
      </w:r>
      <w:r>
        <w:rPr>
          <w:rFonts w:ascii="宋体" w:hAnsi="宋体"/>
          <w:color w:val="auto"/>
          <w:szCs w:val="28"/>
          <w:vertAlign w:val="subscript"/>
        </w:rPr>
        <w:t>2</w:t>
      </w:r>
      <w:r>
        <w:rPr>
          <w:rFonts w:ascii="宋体" w:hAnsi="宋体"/>
          <w:color w:val="auto"/>
          <w:szCs w:val="28"/>
        </w:rPr>
        <w:t>O</w:t>
      </w:r>
      <w:r>
        <w:rPr>
          <w:rFonts w:ascii="宋体" w:hAnsi="宋体"/>
          <w:color w:val="auto"/>
          <w:szCs w:val="28"/>
          <w:vertAlign w:val="subscript"/>
        </w:rPr>
        <w:t>3</w:t>
      </w:r>
      <w:r>
        <w:rPr>
          <w:rFonts w:ascii="宋体" w:hAnsi="宋体" w:hint="eastAsia"/>
          <w:color w:val="auto"/>
          <w:szCs w:val="28"/>
        </w:rPr>
        <w:t>+</w:t>
      </w:r>
      <w:r>
        <w:rPr>
          <w:rFonts w:ascii="宋体" w:hAnsi="宋体"/>
          <w:color w:val="auto"/>
          <w:szCs w:val="28"/>
        </w:rPr>
        <w:t>6HCl = 2AsCl</w:t>
      </w:r>
      <w:r>
        <w:rPr>
          <w:rFonts w:ascii="宋体" w:hAnsi="宋体"/>
          <w:color w:val="auto"/>
          <w:szCs w:val="28"/>
          <w:vertAlign w:val="subscript"/>
        </w:rPr>
        <w:t>3</w:t>
      </w:r>
      <w:r>
        <w:rPr>
          <w:rFonts w:ascii="宋体" w:hAnsi="宋体"/>
          <w:color w:val="auto"/>
          <w:szCs w:val="28"/>
        </w:rPr>
        <w:t xml:space="preserve"> + 3H</w:t>
      </w:r>
      <w:r>
        <w:rPr>
          <w:rFonts w:ascii="宋体" w:hAnsi="宋体"/>
          <w:color w:val="auto"/>
          <w:szCs w:val="28"/>
          <w:vertAlign w:val="subscript"/>
        </w:rPr>
        <w:t>2</w:t>
      </w:r>
      <w:r>
        <w:rPr>
          <w:rFonts w:ascii="宋体" w:hAnsi="宋体"/>
          <w:color w:val="auto"/>
          <w:szCs w:val="28"/>
        </w:rPr>
        <w:t>O</w:t>
      </w:r>
    </w:p>
    <w:p w14:paraId="45727DB4"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FeCl</w:t>
      </w:r>
      <w:r>
        <w:rPr>
          <w:rFonts w:ascii="宋体" w:hAnsi="宋体" w:hint="eastAsia"/>
          <w:color w:val="auto"/>
          <w:szCs w:val="28"/>
          <w:vertAlign w:val="subscript"/>
        </w:rPr>
        <w:t>3</w:t>
      </w:r>
      <w:r>
        <w:rPr>
          <w:rFonts w:ascii="宋体" w:hAnsi="宋体" w:hint="eastAsia"/>
          <w:color w:val="auto"/>
          <w:szCs w:val="28"/>
        </w:rPr>
        <w:t>为强酸弱碱盐，铁离子易水解而生成氢氧化铁，因此，在浸出液中加盐酸能防止 FeCl</w:t>
      </w:r>
      <w:r>
        <w:rPr>
          <w:rFonts w:ascii="宋体" w:hAnsi="宋体" w:hint="eastAsia"/>
          <w:color w:val="auto"/>
          <w:szCs w:val="28"/>
          <w:vertAlign w:val="subscript"/>
        </w:rPr>
        <w:t>3</w:t>
      </w:r>
      <w:r>
        <w:rPr>
          <w:rFonts w:ascii="宋体" w:hAnsi="宋体" w:hint="eastAsia"/>
          <w:color w:val="auto"/>
          <w:szCs w:val="28"/>
        </w:rPr>
        <w:t>水解生成氢氧化铁和氯化氢。同时加盐酸</w:t>
      </w:r>
      <w:proofErr w:type="gramStart"/>
      <w:r>
        <w:rPr>
          <w:rFonts w:ascii="宋体" w:hAnsi="宋体" w:hint="eastAsia"/>
          <w:color w:val="auto"/>
          <w:szCs w:val="28"/>
        </w:rPr>
        <w:t>能把砷从硫铁矿</w:t>
      </w:r>
      <w:proofErr w:type="gramEnd"/>
      <w:r>
        <w:rPr>
          <w:rFonts w:ascii="宋体" w:hAnsi="宋体" w:hint="eastAsia"/>
          <w:color w:val="auto"/>
          <w:szCs w:val="28"/>
        </w:rPr>
        <w:t>中脱除出来，砷在溶液中以三价离子的形态存在，因此浸出反应后溶</w:t>
      </w:r>
      <w:r>
        <w:rPr>
          <w:rFonts w:ascii="宋体" w:hAnsi="宋体" w:hint="eastAsia"/>
          <w:color w:val="auto"/>
          <w:szCs w:val="28"/>
        </w:rPr>
        <w:lastRenderedPageBreak/>
        <w:t>液中主要含有Zn</w:t>
      </w:r>
      <w:r>
        <w:rPr>
          <w:rFonts w:ascii="宋体" w:hAnsi="宋体" w:hint="eastAsia"/>
          <w:color w:val="auto"/>
          <w:szCs w:val="28"/>
          <w:vertAlign w:val="superscript"/>
        </w:rPr>
        <w:t>2+</w:t>
      </w:r>
      <w:r>
        <w:rPr>
          <w:rFonts w:ascii="宋体" w:hAnsi="宋体" w:hint="eastAsia"/>
          <w:color w:val="auto"/>
          <w:szCs w:val="28"/>
        </w:rPr>
        <w:t>、AS</w:t>
      </w:r>
      <w:r>
        <w:rPr>
          <w:rFonts w:ascii="宋体" w:hAnsi="宋体" w:hint="eastAsia"/>
          <w:color w:val="auto"/>
          <w:szCs w:val="28"/>
          <w:vertAlign w:val="superscript"/>
        </w:rPr>
        <w:t>3+</w:t>
      </w:r>
      <w:r>
        <w:rPr>
          <w:rFonts w:ascii="宋体" w:hAnsi="宋体" w:hint="eastAsia"/>
          <w:color w:val="auto"/>
          <w:szCs w:val="28"/>
        </w:rPr>
        <w:t>、Na</w:t>
      </w:r>
      <w:r>
        <w:rPr>
          <w:rFonts w:ascii="宋体" w:hAnsi="宋体" w:hint="eastAsia"/>
          <w:color w:val="auto"/>
          <w:szCs w:val="28"/>
          <w:vertAlign w:val="superscript"/>
        </w:rPr>
        <w:t>+</w:t>
      </w:r>
      <w:r>
        <w:rPr>
          <w:rFonts w:ascii="宋体" w:hAnsi="宋体" w:hint="eastAsia"/>
          <w:color w:val="auto"/>
          <w:szCs w:val="28"/>
        </w:rPr>
        <w:t>、Cl</w:t>
      </w:r>
      <w:r>
        <w:rPr>
          <w:rFonts w:ascii="宋体" w:hAnsi="宋体" w:hint="eastAsia"/>
          <w:color w:val="auto"/>
          <w:szCs w:val="28"/>
          <w:vertAlign w:val="superscript"/>
        </w:rPr>
        <w:t>-</w:t>
      </w:r>
      <w:r>
        <w:rPr>
          <w:rFonts w:ascii="宋体" w:hAnsi="宋体" w:hint="eastAsia"/>
          <w:color w:val="auto"/>
          <w:szCs w:val="28"/>
        </w:rPr>
        <w:t>、Fe</w:t>
      </w:r>
      <w:r>
        <w:rPr>
          <w:rFonts w:ascii="宋体" w:hAnsi="宋体" w:hint="eastAsia"/>
          <w:color w:val="auto"/>
          <w:szCs w:val="28"/>
          <w:vertAlign w:val="superscript"/>
        </w:rPr>
        <w:t>3+</w:t>
      </w:r>
      <w:r>
        <w:rPr>
          <w:rFonts w:ascii="宋体" w:hAnsi="宋体" w:hint="eastAsia"/>
          <w:color w:val="auto"/>
          <w:szCs w:val="28"/>
        </w:rPr>
        <w:t>等离子，溶液中PH值小于 1。</w:t>
      </w:r>
    </w:p>
    <w:p w14:paraId="544D3ACE"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4）板框压滤</w:t>
      </w:r>
    </w:p>
    <w:p w14:paraId="31D5D790"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硫铁矿脱砷反应完成后使用</w:t>
      </w:r>
      <w:proofErr w:type="gramStart"/>
      <w:r>
        <w:rPr>
          <w:rFonts w:ascii="宋体" w:hAnsi="宋体" w:hint="eastAsia"/>
          <w:color w:val="auto"/>
          <w:szCs w:val="28"/>
        </w:rPr>
        <w:t>砂浆泵将矿浆</w:t>
      </w:r>
      <w:proofErr w:type="gramEnd"/>
      <w:r>
        <w:rPr>
          <w:rFonts w:ascii="宋体" w:hAnsi="宋体" w:hint="eastAsia"/>
          <w:color w:val="auto"/>
          <w:szCs w:val="28"/>
        </w:rPr>
        <w:t>抽至板框压滤机上进行固液分离，固体部分为</w:t>
      </w:r>
      <w:proofErr w:type="gramStart"/>
      <w:r>
        <w:rPr>
          <w:rFonts w:ascii="宋体" w:hAnsi="宋体" w:hint="eastAsia"/>
          <w:color w:val="auto"/>
          <w:szCs w:val="28"/>
        </w:rPr>
        <w:t>脱砷脱杂后</w:t>
      </w:r>
      <w:proofErr w:type="gramEnd"/>
      <w:r>
        <w:rPr>
          <w:rFonts w:ascii="宋体" w:hAnsi="宋体" w:hint="eastAsia"/>
          <w:color w:val="auto"/>
          <w:szCs w:val="28"/>
        </w:rPr>
        <w:t>的硫铁矿，脱砷、</w:t>
      </w:r>
      <w:proofErr w:type="gramStart"/>
      <w:r>
        <w:rPr>
          <w:rFonts w:ascii="宋体" w:hAnsi="宋体" w:hint="eastAsia"/>
          <w:color w:val="auto"/>
          <w:szCs w:val="28"/>
        </w:rPr>
        <w:t>锌后的</w:t>
      </w:r>
      <w:proofErr w:type="gramEnd"/>
      <w:r>
        <w:rPr>
          <w:rFonts w:ascii="宋体" w:hAnsi="宋体" w:hint="eastAsia"/>
          <w:color w:val="auto"/>
          <w:szCs w:val="28"/>
        </w:rPr>
        <w:t>硫铁矿与公司购买的优质硫铁矿配比后</w:t>
      </w:r>
      <w:proofErr w:type="gramStart"/>
      <w:r>
        <w:rPr>
          <w:rFonts w:ascii="宋体" w:hAnsi="宋体" w:hint="eastAsia"/>
          <w:color w:val="auto"/>
          <w:szCs w:val="28"/>
        </w:rPr>
        <w:t>返回创源公司</w:t>
      </w:r>
      <w:proofErr w:type="gramEnd"/>
      <w:r>
        <w:rPr>
          <w:rFonts w:ascii="宋体" w:hAnsi="宋体" w:hint="eastAsia"/>
          <w:color w:val="auto"/>
          <w:szCs w:val="28"/>
        </w:rPr>
        <w:t>制酸系统，固液分离后的</w:t>
      </w:r>
      <w:proofErr w:type="gramStart"/>
      <w:r>
        <w:rPr>
          <w:rFonts w:ascii="宋体" w:hAnsi="宋体" w:hint="eastAsia"/>
          <w:color w:val="auto"/>
          <w:szCs w:val="28"/>
        </w:rPr>
        <w:t>浸出后液返回</w:t>
      </w:r>
      <w:proofErr w:type="gramEnd"/>
      <w:r>
        <w:rPr>
          <w:rFonts w:ascii="宋体" w:hAnsi="宋体" w:hint="eastAsia"/>
          <w:color w:val="auto"/>
          <w:szCs w:val="28"/>
        </w:rPr>
        <w:t>不锈钢反应槽用于配制浸出液进行下一批次的硫铁矿脱砷反应，浸出液经6次循环浸出反应后，</w:t>
      </w:r>
      <w:proofErr w:type="gramStart"/>
      <w:r>
        <w:rPr>
          <w:rFonts w:ascii="宋体" w:hAnsi="宋体" w:hint="eastAsia"/>
          <w:color w:val="auto"/>
          <w:szCs w:val="28"/>
        </w:rPr>
        <w:t>浸出后液中</w:t>
      </w:r>
      <w:proofErr w:type="gramEnd"/>
      <w:r>
        <w:rPr>
          <w:rFonts w:ascii="宋体" w:hAnsi="宋体" w:hint="eastAsia"/>
          <w:color w:val="auto"/>
          <w:szCs w:val="28"/>
        </w:rPr>
        <w:t>含砷、锌等浓度较高，为脱砷废水，利用厂区闲置的废水收集池（550m</w:t>
      </w:r>
      <w:r>
        <w:rPr>
          <w:rFonts w:ascii="宋体" w:hAnsi="宋体" w:hint="eastAsia"/>
          <w:color w:val="auto"/>
          <w:szCs w:val="28"/>
          <w:vertAlign w:val="superscript"/>
        </w:rPr>
        <w:t>3</w:t>
      </w:r>
      <w:r>
        <w:rPr>
          <w:rFonts w:ascii="宋体" w:hAnsi="宋体" w:hint="eastAsia"/>
          <w:color w:val="auto"/>
          <w:szCs w:val="28"/>
        </w:rPr>
        <w:t>）进行收集，后进入中和水池处理。</w:t>
      </w:r>
    </w:p>
    <w:p w14:paraId="73BB8A46"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5）废水处理</w:t>
      </w:r>
    </w:p>
    <w:p w14:paraId="7CB48CE6"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在中和水池中加入硫化钙，硫化钙遇水微水解生成氢氧化钙和</w:t>
      </w:r>
      <w:proofErr w:type="gramStart"/>
      <w:r>
        <w:rPr>
          <w:rFonts w:ascii="宋体" w:hAnsi="宋体" w:hint="eastAsia"/>
          <w:color w:val="auto"/>
          <w:szCs w:val="28"/>
        </w:rPr>
        <w:t>硫氢化钙</w:t>
      </w:r>
      <w:proofErr w:type="gramEnd"/>
      <w:r>
        <w:rPr>
          <w:rFonts w:ascii="宋体" w:hAnsi="宋体" w:hint="eastAsia"/>
          <w:color w:val="auto"/>
          <w:szCs w:val="28"/>
        </w:rPr>
        <w:t>，硫化钙与溶液中的锌离子反应，置换出锌，生成硫化锌沉淀，从而有效去除溶液中锌等重金属。</w:t>
      </w:r>
    </w:p>
    <w:p w14:paraId="358E3BEE"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2CaS+2H</w:t>
      </w:r>
      <w:r>
        <w:rPr>
          <w:rFonts w:ascii="宋体" w:hAnsi="宋体" w:hint="eastAsia"/>
          <w:color w:val="auto"/>
          <w:szCs w:val="28"/>
          <w:vertAlign w:val="subscript"/>
        </w:rPr>
        <w:t>2</w:t>
      </w:r>
      <w:r>
        <w:rPr>
          <w:rFonts w:ascii="宋体" w:hAnsi="宋体" w:hint="eastAsia"/>
          <w:color w:val="auto"/>
          <w:szCs w:val="28"/>
        </w:rPr>
        <w:t>O=Ca(OH)</w:t>
      </w:r>
      <w:r>
        <w:rPr>
          <w:rFonts w:ascii="宋体" w:hAnsi="宋体" w:hint="eastAsia"/>
          <w:color w:val="auto"/>
          <w:szCs w:val="28"/>
          <w:vertAlign w:val="subscript"/>
        </w:rPr>
        <w:t>2</w:t>
      </w:r>
      <w:r>
        <w:rPr>
          <w:rFonts w:ascii="宋体" w:hAnsi="宋体" w:hint="eastAsia"/>
          <w:color w:val="auto"/>
          <w:szCs w:val="28"/>
        </w:rPr>
        <w:t>+Ca(HS)</w:t>
      </w:r>
      <w:r>
        <w:rPr>
          <w:rFonts w:ascii="宋体" w:hAnsi="宋体" w:hint="eastAsia"/>
          <w:color w:val="auto"/>
          <w:szCs w:val="28"/>
          <w:vertAlign w:val="subscript"/>
        </w:rPr>
        <w:t>2</w:t>
      </w:r>
      <w:r>
        <w:rPr>
          <w:rFonts w:ascii="宋体" w:hAnsi="宋体" w:hint="eastAsia"/>
          <w:color w:val="auto"/>
          <w:szCs w:val="28"/>
        </w:rPr>
        <w:t>（微量水解）</w:t>
      </w:r>
    </w:p>
    <w:p w14:paraId="2C9DF45A"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CaS+ZnSO</w:t>
      </w:r>
      <w:r>
        <w:rPr>
          <w:rFonts w:ascii="宋体" w:hAnsi="宋体" w:hint="eastAsia"/>
          <w:color w:val="auto"/>
          <w:szCs w:val="28"/>
          <w:vertAlign w:val="subscript"/>
        </w:rPr>
        <w:t>4</w:t>
      </w:r>
      <w:r>
        <w:rPr>
          <w:rFonts w:ascii="宋体" w:hAnsi="宋体" w:hint="eastAsia"/>
          <w:color w:val="auto"/>
          <w:szCs w:val="28"/>
        </w:rPr>
        <w:t>=CaSO</w:t>
      </w:r>
      <w:r>
        <w:rPr>
          <w:rFonts w:ascii="宋体" w:hAnsi="宋体" w:hint="eastAsia"/>
          <w:color w:val="auto"/>
          <w:szCs w:val="28"/>
          <w:vertAlign w:val="subscript"/>
        </w:rPr>
        <w:t>4</w:t>
      </w:r>
      <w:r>
        <w:rPr>
          <w:rFonts w:ascii="宋体" w:hAnsi="宋体" w:hint="eastAsia"/>
          <w:color w:val="auto"/>
          <w:szCs w:val="28"/>
        </w:rPr>
        <w:t>+ZnS↓</w:t>
      </w:r>
    </w:p>
    <w:p w14:paraId="42B3E0D6"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3CaS+2AsCl</w:t>
      </w:r>
      <w:r>
        <w:rPr>
          <w:rFonts w:ascii="宋体" w:hAnsi="宋体" w:hint="eastAsia"/>
          <w:color w:val="auto"/>
          <w:szCs w:val="28"/>
          <w:vertAlign w:val="subscript"/>
        </w:rPr>
        <w:t>3</w:t>
      </w:r>
      <w:r>
        <w:rPr>
          <w:rFonts w:ascii="宋体" w:hAnsi="宋体" w:hint="eastAsia"/>
          <w:color w:val="auto"/>
          <w:szCs w:val="28"/>
        </w:rPr>
        <w:t>=3CaCl</w:t>
      </w:r>
      <w:r>
        <w:rPr>
          <w:rFonts w:ascii="宋体" w:hAnsi="宋体" w:hint="eastAsia"/>
          <w:color w:val="auto"/>
          <w:szCs w:val="28"/>
          <w:vertAlign w:val="subscript"/>
        </w:rPr>
        <w:t>2</w:t>
      </w:r>
      <w:r>
        <w:rPr>
          <w:rFonts w:ascii="宋体" w:hAnsi="宋体" w:hint="eastAsia"/>
          <w:color w:val="auto"/>
          <w:szCs w:val="28"/>
        </w:rPr>
        <w:t>+As</w:t>
      </w:r>
      <w:r>
        <w:rPr>
          <w:rFonts w:ascii="宋体" w:hAnsi="宋体" w:hint="eastAsia"/>
          <w:color w:val="auto"/>
          <w:szCs w:val="28"/>
          <w:vertAlign w:val="subscript"/>
        </w:rPr>
        <w:t>2</w:t>
      </w:r>
      <w:r>
        <w:rPr>
          <w:rFonts w:ascii="宋体" w:hAnsi="宋体" w:hint="eastAsia"/>
          <w:color w:val="auto"/>
          <w:szCs w:val="28"/>
        </w:rPr>
        <w:t>S</w:t>
      </w:r>
      <w:r>
        <w:rPr>
          <w:rFonts w:ascii="宋体" w:hAnsi="宋体" w:hint="eastAsia"/>
          <w:color w:val="auto"/>
          <w:szCs w:val="28"/>
          <w:vertAlign w:val="subscript"/>
        </w:rPr>
        <w:t>3</w:t>
      </w:r>
      <w:r>
        <w:rPr>
          <w:rFonts w:ascii="宋体" w:hAnsi="宋体" w:hint="eastAsia"/>
          <w:color w:val="auto"/>
          <w:szCs w:val="28"/>
        </w:rPr>
        <w:t>↓</w:t>
      </w:r>
    </w:p>
    <w:p w14:paraId="09C537CE"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Ca(OH)</w:t>
      </w:r>
      <w:r>
        <w:rPr>
          <w:rFonts w:ascii="宋体" w:hAnsi="宋体" w:hint="eastAsia"/>
          <w:color w:val="auto"/>
          <w:szCs w:val="28"/>
          <w:vertAlign w:val="subscript"/>
        </w:rPr>
        <w:t>2</w:t>
      </w:r>
      <w:r>
        <w:rPr>
          <w:rFonts w:ascii="宋体" w:hAnsi="宋体" w:hint="eastAsia"/>
          <w:color w:val="auto"/>
          <w:szCs w:val="28"/>
        </w:rPr>
        <w:t>+ZnSO</w:t>
      </w:r>
      <w:r>
        <w:rPr>
          <w:rFonts w:ascii="宋体" w:hAnsi="宋体" w:hint="eastAsia"/>
          <w:color w:val="auto"/>
          <w:szCs w:val="28"/>
          <w:vertAlign w:val="subscript"/>
        </w:rPr>
        <w:t>4</w:t>
      </w:r>
      <w:r>
        <w:rPr>
          <w:rFonts w:ascii="宋体" w:hAnsi="宋体" w:hint="eastAsia"/>
          <w:color w:val="auto"/>
          <w:szCs w:val="28"/>
        </w:rPr>
        <w:t>=Zn(OH)</w:t>
      </w:r>
      <w:r>
        <w:rPr>
          <w:rFonts w:ascii="宋体" w:hAnsi="宋体" w:hint="eastAsia"/>
          <w:color w:val="auto"/>
          <w:szCs w:val="28"/>
          <w:vertAlign w:val="subscript"/>
        </w:rPr>
        <w:t>2</w:t>
      </w:r>
      <w:r>
        <w:rPr>
          <w:rFonts w:ascii="宋体" w:hAnsi="宋体" w:hint="eastAsia"/>
          <w:color w:val="auto"/>
          <w:szCs w:val="28"/>
        </w:rPr>
        <w:t>↓+CaSO</w:t>
      </w:r>
      <w:r>
        <w:rPr>
          <w:rFonts w:ascii="宋体" w:hAnsi="宋体" w:hint="eastAsia"/>
          <w:color w:val="auto"/>
          <w:szCs w:val="28"/>
          <w:vertAlign w:val="subscript"/>
        </w:rPr>
        <w:t>4</w:t>
      </w:r>
    </w:p>
    <w:p w14:paraId="6DFA86F1"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在此废水处理工段使用硫化沉淀法去除废水中的砷、锌等离子，在弱碱性条件下，利用重金属离子之间的亲和力，生成溶度积极小的硫化物沉淀而从溶液中除去。溶液中</w:t>
      </w:r>
      <w:proofErr w:type="gramStart"/>
      <w:r>
        <w:rPr>
          <w:rFonts w:ascii="宋体" w:hAnsi="宋体" w:hint="eastAsia"/>
          <w:color w:val="auto"/>
          <w:szCs w:val="28"/>
        </w:rPr>
        <w:t>三价锌离子</w:t>
      </w:r>
      <w:proofErr w:type="gramEnd"/>
      <w:r>
        <w:rPr>
          <w:rFonts w:ascii="宋体" w:hAnsi="宋体" w:hint="eastAsia"/>
          <w:color w:val="auto"/>
          <w:szCs w:val="28"/>
        </w:rPr>
        <w:t>与硫化钙生产硫化锌沉淀，三价砷离子与硫化钙生成三硫化二砷沉淀，废水中和处理后生成硫化锌沉淀、三硫化二砷、氢氧化锌、硫酸钙等沉淀。之后在板框过滤机（依托废水处理站板框过滤机）上进行固液分离。产生的中水中主要存在少量的铁离子、硫离子、钠离子和氯离子等，污染物浓度较低，在回用水池沉淀处理后返回中试车间进行浸出液配制，不外排。产生的中和渣收集后送至厂区中和</w:t>
      </w:r>
      <w:proofErr w:type="gramStart"/>
      <w:r>
        <w:rPr>
          <w:rFonts w:ascii="宋体" w:hAnsi="宋体" w:hint="eastAsia"/>
          <w:color w:val="auto"/>
          <w:szCs w:val="28"/>
        </w:rPr>
        <w:t>渣危废</w:t>
      </w:r>
      <w:proofErr w:type="gramEnd"/>
      <w:r>
        <w:rPr>
          <w:rFonts w:ascii="宋体" w:hAnsi="宋体" w:hint="eastAsia"/>
          <w:color w:val="auto"/>
          <w:szCs w:val="28"/>
        </w:rPr>
        <w:t>暂存库（570m</w:t>
      </w:r>
      <w:r>
        <w:rPr>
          <w:rFonts w:ascii="宋体" w:hAnsi="宋体" w:hint="eastAsia"/>
          <w:color w:val="auto"/>
          <w:szCs w:val="28"/>
          <w:vertAlign w:val="superscript"/>
        </w:rPr>
        <w:t>2</w:t>
      </w:r>
      <w:r>
        <w:rPr>
          <w:rFonts w:ascii="宋体" w:hAnsi="宋体" w:hint="eastAsia"/>
          <w:color w:val="auto"/>
          <w:szCs w:val="28"/>
        </w:rPr>
        <w:t>)暂存，并委托有资质单位处置。</w:t>
      </w:r>
    </w:p>
    <w:p w14:paraId="3F17B2BA"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lastRenderedPageBreak/>
        <w:t>6）尾气处理</w:t>
      </w:r>
    </w:p>
    <w:p w14:paraId="0B30680F"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硫铁矿脱砷中试实验过程中主要是在氧化阶段产生少量酸雾以及在浸出反应阶段产生少量的硫化氢、氯化氢气体。废气由尾气风机形成负压进入二级碱液喷淋塔，用3%氢氧化钠溶液循环吸收。气体由吸收塔由下而上开始升流，此时，</w:t>
      </w:r>
      <w:proofErr w:type="gramStart"/>
      <w:r>
        <w:rPr>
          <w:rFonts w:ascii="宋体" w:hAnsi="宋体" w:hint="eastAsia"/>
          <w:color w:val="auto"/>
          <w:szCs w:val="28"/>
        </w:rPr>
        <w:t>碱泵将溶液</w:t>
      </w:r>
      <w:proofErr w:type="gramEnd"/>
      <w:r>
        <w:rPr>
          <w:rFonts w:ascii="宋体" w:hAnsi="宋体" w:hint="eastAsia"/>
          <w:color w:val="auto"/>
          <w:szCs w:val="28"/>
        </w:rPr>
        <w:t>箱中的碱液送到吸收塔，</w:t>
      </w:r>
      <w:proofErr w:type="gramStart"/>
      <w:r>
        <w:rPr>
          <w:rFonts w:ascii="宋体" w:hAnsi="宋体" w:hint="eastAsia"/>
          <w:color w:val="auto"/>
          <w:szCs w:val="28"/>
        </w:rPr>
        <w:t>泵产生</w:t>
      </w:r>
      <w:proofErr w:type="gramEnd"/>
      <w:r>
        <w:rPr>
          <w:rFonts w:ascii="宋体" w:hAnsi="宋体" w:hint="eastAsia"/>
          <w:color w:val="auto"/>
          <w:szCs w:val="28"/>
        </w:rPr>
        <w:t>的高压碱液由塔顶喷嘴雾化喷洒，塔顶喷洒下的碱液在填料中与气体相互接触反应。废气经过一、二级吸收塔吸收后由二级吸收塔顶排气口达标排放。</w:t>
      </w:r>
    </w:p>
    <w:p w14:paraId="5B14BCCC" w14:textId="77777777" w:rsidR="009219A0" w:rsidRDefault="00000000">
      <w:pPr>
        <w:adjustRightInd/>
        <w:snapToGrid/>
        <w:ind w:firstLine="560"/>
        <w:rPr>
          <w:rFonts w:ascii="宋体" w:hAnsi="宋体" w:hint="eastAsia"/>
          <w:color w:val="auto"/>
          <w:szCs w:val="28"/>
        </w:rPr>
      </w:pPr>
      <w:r>
        <w:rPr>
          <w:rFonts w:ascii="宋体" w:hAnsi="宋体" w:hint="eastAsia"/>
          <w:color w:val="auto"/>
          <w:szCs w:val="28"/>
        </w:rPr>
        <w:t>碱液吸收酸雾、硫化氢、氯化氢气体的化学反应式如下：</w:t>
      </w:r>
    </w:p>
    <w:p w14:paraId="459BC489" w14:textId="77777777" w:rsidR="009219A0" w:rsidRDefault="00000000">
      <w:pPr>
        <w:adjustRightInd/>
        <w:snapToGrid/>
        <w:ind w:firstLine="560"/>
        <w:rPr>
          <w:rFonts w:ascii="宋体" w:hAnsi="宋体" w:hint="eastAsia"/>
          <w:color w:val="auto"/>
          <w:szCs w:val="28"/>
        </w:rPr>
      </w:pPr>
      <w:r>
        <w:rPr>
          <w:rFonts w:ascii="宋体" w:hAnsi="宋体"/>
          <w:color w:val="auto"/>
          <w:szCs w:val="28"/>
        </w:rPr>
        <w:t>H</w:t>
      </w:r>
      <w:r>
        <w:rPr>
          <w:rFonts w:ascii="宋体" w:hAnsi="宋体"/>
          <w:color w:val="auto"/>
          <w:szCs w:val="28"/>
          <w:vertAlign w:val="subscript"/>
        </w:rPr>
        <w:t>2</w:t>
      </w:r>
      <w:r>
        <w:rPr>
          <w:rFonts w:ascii="宋体" w:hAnsi="宋体"/>
          <w:color w:val="auto"/>
          <w:szCs w:val="28"/>
        </w:rPr>
        <w:t>SO</w:t>
      </w:r>
      <w:r>
        <w:rPr>
          <w:rFonts w:ascii="宋体" w:hAnsi="宋体"/>
          <w:color w:val="auto"/>
          <w:szCs w:val="28"/>
          <w:vertAlign w:val="subscript"/>
        </w:rPr>
        <w:t>4</w:t>
      </w:r>
      <w:r>
        <w:rPr>
          <w:rFonts w:ascii="宋体" w:hAnsi="宋体"/>
          <w:color w:val="auto"/>
          <w:szCs w:val="28"/>
        </w:rPr>
        <w:t>+2NaOH=Na</w:t>
      </w:r>
      <w:r>
        <w:rPr>
          <w:rFonts w:ascii="宋体" w:hAnsi="宋体"/>
          <w:color w:val="auto"/>
          <w:szCs w:val="28"/>
          <w:vertAlign w:val="subscript"/>
        </w:rPr>
        <w:t>2</w:t>
      </w:r>
      <w:r>
        <w:rPr>
          <w:rFonts w:ascii="宋体" w:hAnsi="宋体"/>
          <w:color w:val="auto"/>
          <w:szCs w:val="28"/>
        </w:rPr>
        <w:t>SO</w:t>
      </w:r>
      <w:r>
        <w:rPr>
          <w:rFonts w:ascii="宋体" w:hAnsi="宋体"/>
          <w:color w:val="auto"/>
          <w:szCs w:val="28"/>
          <w:vertAlign w:val="subscript"/>
        </w:rPr>
        <w:t>4</w:t>
      </w:r>
      <w:r>
        <w:rPr>
          <w:rFonts w:ascii="宋体" w:hAnsi="宋体"/>
          <w:color w:val="auto"/>
          <w:szCs w:val="28"/>
        </w:rPr>
        <w:t>+2H</w:t>
      </w:r>
      <w:r>
        <w:rPr>
          <w:rFonts w:ascii="宋体" w:hAnsi="宋体"/>
          <w:color w:val="auto"/>
          <w:szCs w:val="28"/>
          <w:vertAlign w:val="subscript"/>
        </w:rPr>
        <w:t>2</w:t>
      </w:r>
      <w:r>
        <w:rPr>
          <w:rFonts w:ascii="宋体" w:hAnsi="宋体"/>
          <w:color w:val="auto"/>
          <w:szCs w:val="28"/>
        </w:rPr>
        <w:t>O</w:t>
      </w:r>
    </w:p>
    <w:p w14:paraId="03CFA13A" w14:textId="77777777" w:rsidR="009219A0" w:rsidRDefault="00000000">
      <w:pPr>
        <w:adjustRightInd/>
        <w:snapToGrid/>
        <w:ind w:firstLine="560"/>
        <w:rPr>
          <w:rFonts w:ascii="宋体" w:hAnsi="宋体" w:hint="eastAsia"/>
          <w:color w:val="auto"/>
          <w:szCs w:val="28"/>
        </w:rPr>
      </w:pPr>
      <w:r>
        <w:rPr>
          <w:rFonts w:ascii="宋体" w:hAnsi="宋体"/>
          <w:color w:val="auto"/>
          <w:szCs w:val="28"/>
        </w:rPr>
        <w:t>H</w:t>
      </w:r>
      <w:r>
        <w:rPr>
          <w:rFonts w:ascii="宋体" w:hAnsi="宋体"/>
          <w:color w:val="auto"/>
          <w:szCs w:val="28"/>
          <w:vertAlign w:val="subscript"/>
        </w:rPr>
        <w:t>2</w:t>
      </w:r>
      <w:r>
        <w:rPr>
          <w:rFonts w:ascii="宋体" w:hAnsi="宋体"/>
          <w:color w:val="auto"/>
          <w:szCs w:val="28"/>
        </w:rPr>
        <w:t>S+2NaOH=Na</w:t>
      </w:r>
      <w:r>
        <w:rPr>
          <w:rFonts w:ascii="宋体" w:hAnsi="宋体"/>
          <w:color w:val="auto"/>
          <w:szCs w:val="28"/>
          <w:vertAlign w:val="subscript"/>
        </w:rPr>
        <w:t>2</w:t>
      </w:r>
      <w:r>
        <w:rPr>
          <w:rFonts w:ascii="宋体" w:hAnsi="宋体"/>
          <w:color w:val="auto"/>
          <w:szCs w:val="28"/>
        </w:rPr>
        <w:t>S+2H</w:t>
      </w:r>
      <w:r>
        <w:rPr>
          <w:rFonts w:ascii="宋体" w:hAnsi="宋体"/>
          <w:color w:val="auto"/>
          <w:szCs w:val="28"/>
          <w:vertAlign w:val="subscript"/>
        </w:rPr>
        <w:t>2</w:t>
      </w:r>
      <w:r>
        <w:rPr>
          <w:rFonts w:ascii="宋体" w:hAnsi="宋体"/>
          <w:color w:val="auto"/>
          <w:szCs w:val="28"/>
        </w:rPr>
        <w:t>O</w:t>
      </w:r>
    </w:p>
    <w:p w14:paraId="4F68DF4C" w14:textId="77777777" w:rsidR="009219A0" w:rsidRDefault="00000000">
      <w:pPr>
        <w:pStyle w:val="Default1"/>
        <w:spacing w:line="360" w:lineRule="auto"/>
        <w:ind w:firstLineChars="200" w:firstLine="560"/>
        <w:jc w:val="both"/>
        <w:rPr>
          <w:rFonts w:ascii="宋体" w:hAnsi="宋体"/>
          <w:sz w:val="28"/>
          <w:szCs w:val="28"/>
        </w:rPr>
      </w:pPr>
      <w:proofErr w:type="spellStart"/>
      <w:r>
        <w:rPr>
          <w:rFonts w:ascii="宋体" w:hAnsi="宋体"/>
          <w:color w:val="auto"/>
          <w:kern w:val="2"/>
          <w:sz w:val="28"/>
          <w:szCs w:val="28"/>
        </w:rPr>
        <w:t>HCl+NaOH</w:t>
      </w:r>
      <w:proofErr w:type="spellEnd"/>
      <w:r>
        <w:rPr>
          <w:rFonts w:ascii="宋体" w:hAnsi="宋体"/>
          <w:color w:val="auto"/>
          <w:kern w:val="2"/>
          <w:sz w:val="28"/>
          <w:szCs w:val="28"/>
        </w:rPr>
        <w:t>=NaCl+H</w:t>
      </w:r>
      <w:r>
        <w:rPr>
          <w:rFonts w:ascii="宋体" w:hAnsi="宋体"/>
          <w:color w:val="auto"/>
          <w:kern w:val="2"/>
          <w:sz w:val="28"/>
          <w:szCs w:val="28"/>
          <w:vertAlign w:val="subscript"/>
        </w:rPr>
        <w:t>2</w:t>
      </w:r>
      <w:r>
        <w:rPr>
          <w:rFonts w:ascii="宋体" w:hAnsi="宋体"/>
          <w:color w:val="auto"/>
          <w:kern w:val="2"/>
          <w:sz w:val="28"/>
          <w:szCs w:val="28"/>
        </w:rPr>
        <w:t>O</w:t>
      </w:r>
    </w:p>
    <w:p w14:paraId="054B4D6A" w14:textId="77777777" w:rsidR="009219A0" w:rsidRDefault="00000000">
      <w:pPr>
        <w:pStyle w:val="3"/>
        <w:rPr>
          <w:rFonts w:hint="eastAsia"/>
        </w:rPr>
      </w:pPr>
      <w:bookmarkStart w:id="68" w:name="_Toc211950412"/>
      <w:r>
        <w:t>2.</w:t>
      </w:r>
      <w:r>
        <w:rPr>
          <w:rFonts w:hint="eastAsia"/>
        </w:rPr>
        <w:t>2</w:t>
      </w:r>
      <w:r>
        <w:t>.</w:t>
      </w:r>
      <w:r>
        <w:rPr>
          <w:rFonts w:hint="eastAsia"/>
        </w:rPr>
        <w:t>10 主要设备、设施</w:t>
      </w:r>
      <w:bookmarkEnd w:id="68"/>
    </w:p>
    <w:p w14:paraId="34E59714" w14:textId="77777777" w:rsidR="009219A0" w:rsidRDefault="00000000">
      <w:pPr>
        <w:pStyle w:val="4"/>
        <w:keepNext w:val="0"/>
        <w:ind w:firstLineChars="200" w:firstLine="562"/>
        <w:rPr>
          <w:rFonts w:eastAsia="宋体" w:hint="eastAsia"/>
          <w:b/>
          <w:szCs w:val="20"/>
        </w:rPr>
      </w:pPr>
      <w:r>
        <w:rPr>
          <w:rFonts w:eastAsia="宋体"/>
          <w:b/>
          <w:szCs w:val="20"/>
        </w:rPr>
        <w:t>2.</w:t>
      </w:r>
      <w:r>
        <w:rPr>
          <w:rFonts w:eastAsia="宋体" w:hint="eastAsia"/>
          <w:b/>
          <w:szCs w:val="20"/>
        </w:rPr>
        <w:t>2</w:t>
      </w:r>
      <w:r>
        <w:rPr>
          <w:rFonts w:eastAsia="宋体"/>
          <w:b/>
          <w:szCs w:val="20"/>
        </w:rPr>
        <w:t>.</w:t>
      </w:r>
      <w:r>
        <w:rPr>
          <w:rFonts w:eastAsia="宋体" w:hint="eastAsia"/>
          <w:b/>
          <w:szCs w:val="20"/>
        </w:rPr>
        <w:t>10.1 主要设备</w:t>
      </w:r>
    </w:p>
    <w:p w14:paraId="66E19D40" w14:textId="77777777" w:rsidR="009219A0" w:rsidRDefault="00000000">
      <w:pPr>
        <w:widowControl/>
        <w:topLinePunct/>
        <w:spacing w:beforeLines="50" w:before="120"/>
        <w:ind w:firstLine="560"/>
        <w:textAlignment w:val="baseline"/>
        <w:rPr>
          <w:rFonts w:ascii="宋体" w:hAnsi="宋体" w:hint="eastAsia"/>
        </w:rPr>
      </w:pPr>
      <w:r>
        <w:rPr>
          <w:rFonts w:ascii="宋体" w:hAnsi="宋体" w:hint="eastAsia"/>
          <w:color w:val="auto"/>
        </w:rPr>
        <w:t>本项目大部分设备为2019年建设《铁粉中和净化水及尾气吸收参数考察中试装置项目》时，由有生产资质的厂家购入的合格产品，经企业安全管理人员、工艺技术人员、设备管理人员及施工人员等相关人员检测评估后用于本项目，</w:t>
      </w:r>
      <w:proofErr w:type="gramStart"/>
      <w:r>
        <w:rPr>
          <w:rFonts w:ascii="宋体" w:hAnsi="宋体" w:hint="eastAsia"/>
          <w:color w:val="auto"/>
        </w:rPr>
        <w:t>利旧设备</w:t>
      </w:r>
      <w:proofErr w:type="gramEnd"/>
      <w:r>
        <w:rPr>
          <w:rFonts w:ascii="宋体" w:hAnsi="宋体" w:hint="eastAsia"/>
          <w:color w:val="auto"/>
        </w:rPr>
        <w:t>经安装调试后进行试生产，试生产过程中未发生安全事故，可满足本项目的工艺和安全要求。</w:t>
      </w:r>
    </w:p>
    <w:p w14:paraId="785A88EC" w14:textId="77777777" w:rsidR="009219A0" w:rsidRDefault="00000000">
      <w:pPr>
        <w:widowControl/>
        <w:topLinePunct/>
        <w:spacing w:beforeLines="50" w:before="120"/>
        <w:ind w:firstLine="560"/>
        <w:jc w:val="center"/>
        <w:textAlignment w:val="baseline"/>
        <w:rPr>
          <w:rFonts w:ascii="宋体" w:hAnsi="宋体" w:hint="eastAsia"/>
          <w:color w:val="auto"/>
          <w:szCs w:val="28"/>
        </w:rPr>
      </w:pPr>
      <w:r>
        <w:rPr>
          <w:rFonts w:ascii="宋体" w:hAnsi="宋体"/>
        </w:rPr>
        <w:t>表</w:t>
      </w:r>
      <w:r>
        <w:rPr>
          <w:rFonts w:ascii="宋体" w:hAnsi="宋体" w:hint="eastAsia"/>
        </w:rPr>
        <w:t>2.2-8  项目主要设备、设施一览表</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3009"/>
        <w:gridCol w:w="709"/>
        <w:gridCol w:w="850"/>
        <w:gridCol w:w="2835"/>
        <w:gridCol w:w="1135"/>
      </w:tblGrid>
      <w:tr w:rsidR="009219A0" w14:paraId="7441A978" w14:textId="77777777">
        <w:trPr>
          <w:trHeight w:val="284"/>
        </w:trPr>
        <w:tc>
          <w:tcPr>
            <w:tcW w:w="643" w:type="dxa"/>
            <w:vAlign w:val="center"/>
          </w:tcPr>
          <w:p w14:paraId="4443BC6C" w14:textId="77777777" w:rsidR="009219A0" w:rsidRDefault="00000000">
            <w:pPr>
              <w:adjustRightInd/>
              <w:snapToGrid/>
              <w:spacing w:line="500" w:lineRule="exact"/>
              <w:ind w:firstLineChars="0" w:firstLine="0"/>
              <w:jc w:val="center"/>
              <w:rPr>
                <w:rFonts w:ascii="宋体" w:hAnsi="宋体" w:hint="eastAsia"/>
                <w:b/>
                <w:color w:val="auto"/>
                <w:sz w:val="21"/>
                <w:szCs w:val="21"/>
              </w:rPr>
            </w:pPr>
            <w:bookmarkStart w:id="69" w:name="_Hlk211243988"/>
            <w:r>
              <w:rPr>
                <w:rFonts w:ascii="宋体" w:hAnsi="宋体" w:hint="eastAsia"/>
                <w:b/>
                <w:color w:val="auto"/>
                <w:sz w:val="21"/>
                <w:szCs w:val="21"/>
              </w:rPr>
              <w:t>序号</w:t>
            </w:r>
          </w:p>
        </w:tc>
        <w:tc>
          <w:tcPr>
            <w:tcW w:w="3009" w:type="dxa"/>
            <w:vAlign w:val="center"/>
          </w:tcPr>
          <w:p w14:paraId="75A04A48" w14:textId="77777777" w:rsidR="009219A0" w:rsidRDefault="00000000">
            <w:pPr>
              <w:adjustRightInd/>
              <w:snapToGrid/>
              <w:spacing w:line="500" w:lineRule="exact"/>
              <w:ind w:firstLineChars="0" w:firstLine="0"/>
              <w:jc w:val="center"/>
              <w:rPr>
                <w:rFonts w:ascii="宋体" w:hAnsi="宋体" w:hint="eastAsia"/>
                <w:b/>
                <w:color w:val="auto"/>
                <w:sz w:val="21"/>
                <w:szCs w:val="21"/>
              </w:rPr>
            </w:pPr>
            <w:r>
              <w:rPr>
                <w:rFonts w:ascii="宋体" w:hAnsi="宋体" w:hint="eastAsia"/>
                <w:b/>
                <w:color w:val="auto"/>
                <w:sz w:val="21"/>
                <w:szCs w:val="21"/>
              </w:rPr>
              <w:t>设备/仪器名称</w:t>
            </w:r>
          </w:p>
        </w:tc>
        <w:tc>
          <w:tcPr>
            <w:tcW w:w="709" w:type="dxa"/>
            <w:vAlign w:val="center"/>
          </w:tcPr>
          <w:p w14:paraId="214E9E33" w14:textId="77777777" w:rsidR="009219A0" w:rsidRDefault="00000000">
            <w:pPr>
              <w:adjustRightInd/>
              <w:snapToGrid/>
              <w:spacing w:line="500" w:lineRule="exact"/>
              <w:ind w:firstLineChars="0" w:firstLine="0"/>
              <w:jc w:val="center"/>
              <w:rPr>
                <w:rFonts w:ascii="宋体" w:hAnsi="宋体" w:hint="eastAsia"/>
                <w:b/>
                <w:color w:val="auto"/>
                <w:sz w:val="21"/>
                <w:szCs w:val="21"/>
              </w:rPr>
            </w:pPr>
            <w:r>
              <w:rPr>
                <w:rFonts w:ascii="宋体" w:hAnsi="宋体" w:hint="eastAsia"/>
                <w:b/>
                <w:color w:val="auto"/>
                <w:sz w:val="21"/>
                <w:szCs w:val="21"/>
              </w:rPr>
              <w:t>数量</w:t>
            </w:r>
          </w:p>
        </w:tc>
        <w:tc>
          <w:tcPr>
            <w:tcW w:w="850" w:type="dxa"/>
            <w:vAlign w:val="center"/>
          </w:tcPr>
          <w:p w14:paraId="6017CFAF" w14:textId="77777777" w:rsidR="009219A0" w:rsidRDefault="00000000">
            <w:pPr>
              <w:adjustRightInd/>
              <w:snapToGrid/>
              <w:spacing w:line="500" w:lineRule="exact"/>
              <w:ind w:firstLineChars="0" w:firstLine="0"/>
              <w:jc w:val="center"/>
              <w:rPr>
                <w:rFonts w:ascii="宋体" w:hAnsi="宋体" w:hint="eastAsia"/>
                <w:b/>
                <w:color w:val="auto"/>
                <w:sz w:val="21"/>
                <w:szCs w:val="21"/>
              </w:rPr>
            </w:pPr>
            <w:r>
              <w:rPr>
                <w:rFonts w:ascii="宋体" w:hAnsi="宋体" w:hint="eastAsia"/>
                <w:b/>
                <w:color w:val="auto"/>
                <w:sz w:val="21"/>
                <w:szCs w:val="21"/>
              </w:rPr>
              <w:t>单位</w:t>
            </w:r>
          </w:p>
        </w:tc>
        <w:tc>
          <w:tcPr>
            <w:tcW w:w="2835" w:type="dxa"/>
            <w:vAlign w:val="center"/>
          </w:tcPr>
          <w:p w14:paraId="0C875F85" w14:textId="77777777" w:rsidR="009219A0" w:rsidRDefault="00000000">
            <w:pPr>
              <w:adjustRightInd/>
              <w:snapToGrid/>
              <w:spacing w:line="500" w:lineRule="exact"/>
              <w:ind w:firstLineChars="0" w:firstLine="0"/>
              <w:jc w:val="center"/>
              <w:rPr>
                <w:rFonts w:ascii="宋体" w:hAnsi="宋体" w:hint="eastAsia"/>
                <w:b/>
                <w:color w:val="auto"/>
                <w:sz w:val="21"/>
                <w:szCs w:val="21"/>
              </w:rPr>
            </w:pPr>
            <w:r>
              <w:rPr>
                <w:rFonts w:ascii="宋体" w:hAnsi="宋体" w:hint="eastAsia"/>
                <w:b/>
                <w:color w:val="auto"/>
                <w:sz w:val="21"/>
                <w:szCs w:val="21"/>
              </w:rPr>
              <w:t>规格及型号</w:t>
            </w:r>
          </w:p>
        </w:tc>
        <w:tc>
          <w:tcPr>
            <w:tcW w:w="1135" w:type="dxa"/>
            <w:vAlign w:val="center"/>
          </w:tcPr>
          <w:p w14:paraId="406816DB" w14:textId="77777777" w:rsidR="009219A0" w:rsidRDefault="00000000">
            <w:pPr>
              <w:adjustRightInd/>
              <w:snapToGrid/>
              <w:spacing w:line="500" w:lineRule="exact"/>
              <w:ind w:firstLineChars="0" w:firstLine="0"/>
              <w:jc w:val="center"/>
              <w:rPr>
                <w:rFonts w:ascii="宋体" w:hAnsi="宋体" w:hint="eastAsia"/>
                <w:b/>
                <w:color w:val="auto"/>
                <w:sz w:val="21"/>
                <w:szCs w:val="21"/>
              </w:rPr>
            </w:pPr>
            <w:r>
              <w:rPr>
                <w:rFonts w:ascii="宋体" w:hAnsi="宋体" w:hint="eastAsia"/>
                <w:b/>
                <w:color w:val="auto"/>
                <w:sz w:val="21"/>
                <w:szCs w:val="21"/>
              </w:rPr>
              <w:t>备注</w:t>
            </w:r>
          </w:p>
        </w:tc>
      </w:tr>
      <w:tr w:rsidR="009219A0" w14:paraId="66D345EC" w14:textId="77777777">
        <w:trPr>
          <w:trHeight w:val="284"/>
        </w:trPr>
        <w:tc>
          <w:tcPr>
            <w:tcW w:w="9181" w:type="dxa"/>
            <w:gridSpan w:val="6"/>
            <w:vAlign w:val="center"/>
          </w:tcPr>
          <w:p w14:paraId="160F5F9A" w14:textId="77777777" w:rsidR="009219A0" w:rsidRDefault="00000000">
            <w:pPr>
              <w:adjustRightInd/>
              <w:snapToGrid/>
              <w:spacing w:line="500" w:lineRule="exact"/>
              <w:ind w:firstLineChars="0" w:firstLine="0"/>
              <w:jc w:val="center"/>
              <w:rPr>
                <w:rFonts w:ascii="宋体" w:hAnsi="宋体" w:hint="eastAsia"/>
                <w:b/>
                <w:color w:val="auto"/>
                <w:sz w:val="21"/>
                <w:szCs w:val="21"/>
              </w:rPr>
            </w:pPr>
            <w:r>
              <w:rPr>
                <w:rFonts w:ascii="宋体" w:hAnsi="宋体" w:hint="eastAsia"/>
                <w:b/>
                <w:color w:val="auto"/>
                <w:sz w:val="21"/>
                <w:szCs w:val="21"/>
              </w:rPr>
              <w:t>研发中心</w:t>
            </w:r>
          </w:p>
        </w:tc>
      </w:tr>
      <w:tr w:rsidR="009219A0" w14:paraId="679014E0" w14:textId="77777777">
        <w:trPr>
          <w:trHeight w:val="284"/>
        </w:trPr>
        <w:tc>
          <w:tcPr>
            <w:tcW w:w="643" w:type="dxa"/>
            <w:vAlign w:val="center"/>
          </w:tcPr>
          <w:p w14:paraId="522E6AAA"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3009" w:type="dxa"/>
            <w:vAlign w:val="center"/>
          </w:tcPr>
          <w:p w14:paraId="59BEE63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微波高温烧结炉</w:t>
            </w:r>
          </w:p>
        </w:tc>
        <w:tc>
          <w:tcPr>
            <w:tcW w:w="709" w:type="dxa"/>
            <w:vAlign w:val="center"/>
          </w:tcPr>
          <w:p w14:paraId="0B93438C"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2B930AB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430F7C9A"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ZY-4HO</w:t>
            </w:r>
          </w:p>
        </w:tc>
        <w:tc>
          <w:tcPr>
            <w:tcW w:w="1135" w:type="dxa"/>
          </w:tcPr>
          <w:p w14:paraId="442C0386"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78CE75C1" w14:textId="77777777">
        <w:trPr>
          <w:trHeight w:val="284"/>
        </w:trPr>
        <w:tc>
          <w:tcPr>
            <w:tcW w:w="643" w:type="dxa"/>
            <w:vAlign w:val="center"/>
          </w:tcPr>
          <w:p w14:paraId="1D7DD67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2</w:t>
            </w:r>
          </w:p>
        </w:tc>
        <w:tc>
          <w:tcPr>
            <w:tcW w:w="3009" w:type="dxa"/>
            <w:vAlign w:val="center"/>
          </w:tcPr>
          <w:p w14:paraId="7F99DEE2"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XQM系列行星球磨机</w:t>
            </w:r>
          </w:p>
        </w:tc>
        <w:tc>
          <w:tcPr>
            <w:tcW w:w="709" w:type="dxa"/>
            <w:vAlign w:val="center"/>
          </w:tcPr>
          <w:p w14:paraId="4D0878C4"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590DC9FF"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010B30D4"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LZQM12L</w:t>
            </w:r>
          </w:p>
        </w:tc>
        <w:tc>
          <w:tcPr>
            <w:tcW w:w="1135" w:type="dxa"/>
          </w:tcPr>
          <w:p w14:paraId="255CEBCA"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50F366D7" w14:textId="77777777">
        <w:trPr>
          <w:trHeight w:val="284"/>
        </w:trPr>
        <w:tc>
          <w:tcPr>
            <w:tcW w:w="643" w:type="dxa"/>
            <w:vAlign w:val="center"/>
          </w:tcPr>
          <w:p w14:paraId="23885C7F"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3</w:t>
            </w:r>
          </w:p>
        </w:tc>
        <w:tc>
          <w:tcPr>
            <w:tcW w:w="3009" w:type="dxa"/>
            <w:vAlign w:val="center"/>
          </w:tcPr>
          <w:p w14:paraId="41513B3E"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LZMQ型实验棒磨机</w:t>
            </w:r>
          </w:p>
        </w:tc>
        <w:tc>
          <w:tcPr>
            <w:tcW w:w="709" w:type="dxa"/>
            <w:vAlign w:val="center"/>
          </w:tcPr>
          <w:p w14:paraId="645AA1D2"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03FEEF80"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6636BECA"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LZMQ-68</w:t>
            </w:r>
          </w:p>
        </w:tc>
        <w:tc>
          <w:tcPr>
            <w:tcW w:w="1135" w:type="dxa"/>
          </w:tcPr>
          <w:p w14:paraId="5D423B8D"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1800C507" w14:textId="77777777">
        <w:trPr>
          <w:trHeight w:val="284"/>
        </w:trPr>
        <w:tc>
          <w:tcPr>
            <w:tcW w:w="643" w:type="dxa"/>
            <w:vAlign w:val="center"/>
          </w:tcPr>
          <w:p w14:paraId="24BD1F0C"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4</w:t>
            </w:r>
          </w:p>
        </w:tc>
        <w:tc>
          <w:tcPr>
            <w:tcW w:w="3009" w:type="dxa"/>
            <w:vAlign w:val="center"/>
          </w:tcPr>
          <w:p w14:paraId="065CDA24"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SX系列高温式电阻炉</w:t>
            </w:r>
          </w:p>
        </w:tc>
        <w:tc>
          <w:tcPr>
            <w:tcW w:w="709" w:type="dxa"/>
            <w:vAlign w:val="center"/>
          </w:tcPr>
          <w:p w14:paraId="33295532"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53B628E5"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0E4BA8D8"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SX-8-16</w:t>
            </w:r>
          </w:p>
        </w:tc>
        <w:tc>
          <w:tcPr>
            <w:tcW w:w="1135" w:type="dxa"/>
          </w:tcPr>
          <w:p w14:paraId="07991D2C"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31228A14" w14:textId="77777777">
        <w:trPr>
          <w:trHeight w:val="284"/>
        </w:trPr>
        <w:tc>
          <w:tcPr>
            <w:tcW w:w="643" w:type="dxa"/>
            <w:vAlign w:val="center"/>
          </w:tcPr>
          <w:p w14:paraId="70935F2D"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lastRenderedPageBreak/>
              <w:t>5</w:t>
            </w:r>
          </w:p>
        </w:tc>
        <w:tc>
          <w:tcPr>
            <w:tcW w:w="3009" w:type="dxa"/>
            <w:vAlign w:val="center"/>
          </w:tcPr>
          <w:p w14:paraId="60B7460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微波马弗炉</w:t>
            </w:r>
          </w:p>
        </w:tc>
        <w:tc>
          <w:tcPr>
            <w:tcW w:w="709" w:type="dxa"/>
            <w:vAlign w:val="center"/>
          </w:tcPr>
          <w:p w14:paraId="72070835"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12D2CEE5"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3C57E190"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INNOV-CS-03m1600</w:t>
            </w:r>
          </w:p>
        </w:tc>
        <w:tc>
          <w:tcPr>
            <w:tcW w:w="1135" w:type="dxa"/>
          </w:tcPr>
          <w:p w14:paraId="127517E6"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2A701DE9" w14:textId="77777777">
        <w:trPr>
          <w:trHeight w:val="284"/>
        </w:trPr>
        <w:tc>
          <w:tcPr>
            <w:tcW w:w="643" w:type="dxa"/>
            <w:vAlign w:val="center"/>
          </w:tcPr>
          <w:p w14:paraId="1517EB99"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6</w:t>
            </w:r>
          </w:p>
        </w:tc>
        <w:tc>
          <w:tcPr>
            <w:tcW w:w="3009" w:type="dxa"/>
            <w:vAlign w:val="center"/>
          </w:tcPr>
          <w:p w14:paraId="51B60740"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制氧机</w:t>
            </w:r>
          </w:p>
        </w:tc>
        <w:tc>
          <w:tcPr>
            <w:tcW w:w="709" w:type="dxa"/>
            <w:vAlign w:val="center"/>
          </w:tcPr>
          <w:p w14:paraId="4F4104B5"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0C5E6129"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1BC2075C"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JMC5ANi</w:t>
            </w:r>
          </w:p>
        </w:tc>
        <w:tc>
          <w:tcPr>
            <w:tcW w:w="1135" w:type="dxa"/>
          </w:tcPr>
          <w:p w14:paraId="7DA1275D"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56862F57" w14:textId="77777777">
        <w:trPr>
          <w:trHeight w:val="284"/>
        </w:trPr>
        <w:tc>
          <w:tcPr>
            <w:tcW w:w="643" w:type="dxa"/>
            <w:vAlign w:val="center"/>
          </w:tcPr>
          <w:p w14:paraId="2A3848B1"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7</w:t>
            </w:r>
          </w:p>
        </w:tc>
        <w:tc>
          <w:tcPr>
            <w:tcW w:w="3009" w:type="dxa"/>
            <w:vAlign w:val="center"/>
          </w:tcPr>
          <w:p w14:paraId="4C4967FF"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电炉自动加温搅拌试验台</w:t>
            </w:r>
          </w:p>
        </w:tc>
        <w:tc>
          <w:tcPr>
            <w:tcW w:w="709" w:type="dxa"/>
            <w:vAlign w:val="center"/>
          </w:tcPr>
          <w:p w14:paraId="3727763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6</w:t>
            </w:r>
          </w:p>
        </w:tc>
        <w:tc>
          <w:tcPr>
            <w:tcW w:w="850" w:type="dxa"/>
            <w:vAlign w:val="center"/>
          </w:tcPr>
          <w:p w14:paraId="7FEF920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24C29D52"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w:t>
            </w:r>
          </w:p>
        </w:tc>
        <w:tc>
          <w:tcPr>
            <w:tcW w:w="1135" w:type="dxa"/>
          </w:tcPr>
          <w:p w14:paraId="591A06DD"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193D4393" w14:textId="77777777">
        <w:trPr>
          <w:trHeight w:val="284"/>
        </w:trPr>
        <w:tc>
          <w:tcPr>
            <w:tcW w:w="643" w:type="dxa"/>
            <w:vAlign w:val="center"/>
          </w:tcPr>
          <w:p w14:paraId="74D2FB63"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8</w:t>
            </w:r>
          </w:p>
        </w:tc>
        <w:tc>
          <w:tcPr>
            <w:tcW w:w="3009" w:type="dxa"/>
            <w:vAlign w:val="center"/>
          </w:tcPr>
          <w:p w14:paraId="5D02FC8D"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电子天平</w:t>
            </w:r>
          </w:p>
        </w:tc>
        <w:tc>
          <w:tcPr>
            <w:tcW w:w="709" w:type="dxa"/>
            <w:vAlign w:val="center"/>
          </w:tcPr>
          <w:p w14:paraId="569F832A"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4077C936"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4E6EE61F"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w:t>
            </w:r>
          </w:p>
        </w:tc>
        <w:tc>
          <w:tcPr>
            <w:tcW w:w="1135" w:type="dxa"/>
          </w:tcPr>
          <w:p w14:paraId="0F7F145F"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4F42C3E8" w14:textId="77777777">
        <w:trPr>
          <w:trHeight w:val="284"/>
        </w:trPr>
        <w:tc>
          <w:tcPr>
            <w:tcW w:w="643" w:type="dxa"/>
            <w:vAlign w:val="center"/>
          </w:tcPr>
          <w:p w14:paraId="5E5627AE"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9</w:t>
            </w:r>
          </w:p>
        </w:tc>
        <w:tc>
          <w:tcPr>
            <w:tcW w:w="3009" w:type="dxa"/>
            <w:vAlign w:val="center"/>
          </w:tcPr>
          <w:p w14:paraId="2A3D30C7"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5000mL 烧杯</w:t>
            </w:r>
          </w:p>
        </w:tc>
        <w:tc>
          <w:tcPr>
            <w:tcW w:w="709" w:type="dxa"/>
            <w:vAlign w:val="center"/>
          </w:tcPr>
          <w:p w14:paraId="088511B8"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10</w:t>
            </w:r>
          </w:p>
        </w:tc>
        <w:tc>
          <w:tcPr>
            <w:tcW w:w="850" w:type="dxa"/>
            <w:vAlign w:val="center"/>
          </w:tcPr>
          <w:p w14:paraId="740587FF"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个</w:t>
            </w:r>
            <w:proofErr w:type="gramEnd"/>
          </w:p>
        </w:tc>
        <w:tc>
          <w:tcPr>
            <w:tcW w:w="2835" w:type="dxa"/>
            <w:vAlign w:val="center"/>
          </w:tcPr>
          <w:p w14:paraId="133F3EC5"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w:t>
            </w:r>
          </w:p>
        </w:tc>
        <w:tc>
          <w:tcPr>
            <w:tcW w:w="1135" w:type="dxa"/>
          </w:tcPr>
          <w:p w14:paraId="7C57CC3A"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2045AF12" w14:textId="77777777">
        <w:trPr>
          <w:trHeight w:val="284"/>
        </w:trPr>
        <w:tc>
          <w:tcPr>
            <w:tcW w:w="643" w:type="dxa"/>
            <w:vAlign w:val="center"/>
          </w:tcPr>
          <w:p w14:paraId="4F62786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10</w:t>
            </w:r>
          </w:p>
        </w:tc>
        <w:tc>
          <w:tcPr>
            <w:tcW w:w="3009" w:type="dxa"/>
            <w:vAlign w:val="center"/>
          </w:tcPr>
          <w:p w14:paraId="0FB2723F"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真空过滤机</w:t>
            </w:r>
          </w:p>
        </w:tc>
        <w:tc>
          <w:tcPr>
            <w:tcW w:w="709" w:type="dxa"/>
            <w:vAlign w:val="center"/>
          </w:tcPr>
          <w:p w14:paraId="4BD59867"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1</w:t>
            </w:r>
          </w:p>
        </w:tc>
        <w:tc>
          <w:tcPr>
            <w:tcW w:w="850" w:type="dxa"/>
            <w:vAlign w:val="center"/>
          </w:tcPr>
          <w:p w14:paraId="5C448620"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4BDA6A3E" w14:textId="77777777" w:rsidR="009219A0" w:rsidRDefault="00000000">
            <w:pPr>
              <w:adjustRightInd/>
              <w:snapToGrid/>
              <w:spacing w:line="500" w:lineRule="exact"/>
              <w:ind w:firstLineChars="95" w:firstLine="199"/>
              <w:jc w:val="center"/>
              <w:rPr>
                <w:rFonts w:ascii="宋体" w:hAnsi="宋体" w:hint="eastAsia"/>
                <w:color w:val="auto"/>
                <w:sz w:val="21"/>
                <w:szCs w:val="21"/>
              </w:rPr>
            </w:pPr>
            <w:r>
              <w:rPr>
                <w:rFonts w:ascii="宋体" w:hAnsi="宋体"/>
                <w:color w:val="auto"/>
                <w:sz w:val="21"/>
                <w:szCs w:val="21"/>
              </w:rPr>
              <w:t>XZ-3</w:t>
            </w:r>
          </w:p>
        </w:tc>
        <w:tc>
          <w:tcPr>
            <w:tcW w:w="1135" w:type="dxa"/>
            <w:vAlign w:val="center"/>
          </w:tcPr>
          <w:p w14:paraId="152AA697"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1CA78E4F" w14:textId="77777777">
        <w:trPr>
          <w:trHeight w:val="284"/>
        </w:trPr>
        <w:tc>
          <w:tcPr>
            <w:tcW w:w="643" w:type="dxa"/>
            <w:vAlign w:val="center"/>
          </w:tcPr>
          <w:p w14:paraId="2C5A1291"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11</w:t>
            </w:r>
          </w:p>
        </w:tc>
        <w:tc>
          <w:tcPr>
            <w:tcW w:w="3009" w:type="dxa"/>
            <w:vAlign w:val="center"/>
          </w:tcPr>
          <w:p w14:paraId="16871407"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干燥箱</w:t>
            </w:r>
          </w:p>
        </w:tc>
        <w:tc>
          <w:tcPr>
            <w:tcW w:w="709" w:type="dxa"/>
            <w:vAlign w:val="center"/>
          </w:tcPr>
          <w:p w14:paraId="571811BB" w14:textId="77777777" w:rsidR="009219A0" w:rsidRDefault="009219A0">
            <w:pPr>
              <w:adjustRightInd/>
              <w:snapToGrid/>
              <w:spacing w:line="500" w:lineRule="exact"/>
              <w:ind w:firstLineChars="0" w:firstLine="0"/>
              <w:jc w:val="center"/>
              <w:rPr>
                <w:rFonts w:ascii="宋体" w:hAnsi="宋体" w:hint="eastAsia"/>
                <w:color w:val="auto"/>
                <w:sz w:val="21"/>
                <w:szCs w:val="21"/>
              </w:rPr>
            </w:pPr>
          </w:p>
        </w:tc>
        <w:tc>
          <w:tcPr>
            <w:tcW w:w="850" w:type="dxa"/>
            <w:vAlign w:val="center"/>
          </w:tcPr>
          <w:p w14:paraId="516D0DD2"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个</w:t>
            </w:r>
            <w:proofErr w:type="gramEnd"/>
          </w:p>
        </w:tc>
        <w:tc>
          <w:tcPr>
            <w:tcW w:w="2835" w:type="dxa"/>
            <w:vAlign w:val="center"/>
          </w:tcPr>
          <w:p w14:paraId="5FB817CA" w14:textId="77777777" w:rsidR="009219A0" w:rsidRDefault="00000000">
            <w:pPr>
              <w:adjustRightInd/>
              <w:snapToGrid/>
              <w:spacing w:line="500" w:lineRule="exact"/>
              <w:ind w:firstLineChars="95" w:firstLine="199"/>
              <w:jc w:val="center"/>
              <w:rPr>
                <w:rFonts w:ascii="宋体" w:hAnsi="宋体" w:hint="eastAsia"/>
                <w:color w:val="auto"/>
                <w:sz w:val="21"/>
                <w:szCs w:val="21"/>
              </w:rPr>
            </w:pPr>
            <w:r>
              <w:rPr>
                <w:rFonts w:ascii="宋体" w:hAnsi="宋体" w:hint="eastAsia"/>
                <w:color w:val="auto"/>
                <w:sz w:val="21"/>
                <w:szCs w:val="21"/>
              </w:rPr>
              <w:t>/</w:t>
            </w:r>
          </w:p>
        </w:tc>
        <w:tc>
          <w:tcPr>
            <w:tcW w:w="1135" w:type="dxa"/>
            <w:vAlign w:val="center"/>
          </w:tcPr>
          <w:p w14:paraId="34758CCE"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09DC5823" w14:textId="77777777">
        <w:trPr>
          <w:trHeight w:val="284"/>
        </w:trPr>
        <w:tc>
          <w:tcPr>
            <w:tcW w:w="643" w:type="dxa"/>
            <w:vAlign w:val="center"/>
          </w:tcPr>
          <w:p w14:paraId="630B2D83"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12</w:t>
            </w:r>
          </w:p>
        </w:tc>
        <w:tc>
          <w:tcPr>
            <w:tcW w:w="3009" w:type="dxa"/>
            <w:vAlign w:val="center"/>
          </w:tcPr>
          <w:p w14:paraId="3EDDD900"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试验台抽风机</w:t>
            </w:r>
          </w:p>
        </w:tc>
        <w:tc>
          <w:tcPr>
            <w:tcW w:w="709" w:type="dxa"/>
            <w:vAlign w:val="center"/>
          </w:tcPr>
          <w:p w14:paraId="5FDAA9BE"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1</w:t>
            </w:r>
          </w:p>
        </w:tc>
        <w:tc>
          <w:tcPr>
            <w:tcW w:w="850" w:type="dxa"/>
            <w:vAlign w:val="center"/>
          </w:tcPr>
          <w:p w14:paraId="62AEC892"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套</w:t>
            </w:r>
          </w:p>
        </w:tc>
        <w:tc>
          <w:tcPr>
            <w:tcW w:w="2835" w:type="dxa"/>
            <w:vAlign w:val="center"/>
          </w:tcPr>
          <w:p w14:paraId="66516E1E" w14:textId="77777777" w:rsidR="009219A0" w:rsidRDefault="00000000">
            <w:pPr>
              <w:adjustRightInd/>
              <w:snapToGrid/>
              <w:spacing w:line="500" w:lineRule="exact"/>
              <w:ind w:firstLineChars="95" w:firstLine="199"/>
              <w:jc w:val="center"/>
              <w:rPr>
                <w:rFonts w:ascii="宋体" w:hAnsi="宋体" w:hint="eastAsia"/>
                <w:color w:val="auto"/>
                <w:sz w:val="21"/>
                <w:szCs w:val="21"/>
              </w:rPr>
            </w:pPr>
            <w:r>
              <w:rPr>
                <w:rFonts w:ascii="宋体" w:hAnsi="宋体" w:hint="eastAsia"/>
                <w:color w:val="auto"/>
                <w:sz w:val="21"/>
                <w:szCs w:val="21"/>
              </w:rPr>
              <w:t>/</w:t>
            </w:r>
          </w:p>
        </w:tc>
        <w:tc>
          <w:tcPr>
            <w:tcW w:w="1135" w:type="dxa"/>
            <w:vAlign w:val="center"/>
          </w:tcPr>
          <w:p w14:paraId="5CFA5003"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新增</w:t>
            </w:r>
          </w:p>
        </w:tc>
      </w:tr>
      <w:tr w:rsidR="009219A0" w14:paraId="1D2AEF46" w14:textId="77777777">
        <w:trPr>
          <w:trHeight w:val="284"/>
        </w:trPr>
        <w:tc>
          <w:tcPr>
            <w:tcW w:w="8046" w:type="dxa"/>
            <w:gridSpan w:val="5"/>
            <w:vAlign w:val="center"/>
          </w:tcPr>
          <w:p w14:paraId="652DF068" w14:textId="77777777" w:rsidR="009219A0" w:rsidRDefault="00000000">
            <w:pPr>
              <w:adjustRightInd/>
              <w:snapToGrid/>
              <w:spacing w:line="500" w:lineRule="exact"/>
              <w:ind w:firstLineChars="0" w:firstLine="0"/>
              <w:jc w:val="center"/>
              <w:rPr>
                <w:rFonts w:ascii="宋体" w:hAnsi="宋体" w:hint="eastAsia"/>
                <w:b/>
                <w:color w:val="auto"/>
                <w:sz w:val="21"/>
                <w:szCs w:val="21"/>
              </w:rPr>
            </w:pPr>
            <w:r>
              <w:rPr>
                <w:rFonts w:ascii="宋体" w:hAnsi="宋体" w:hint="eastAsia"/>
                <w:b/>
                <w:color w:val="auto"/>
                <w:sz w:val="21"/>
                <w:szCs w:val="21"/>
              </w:rPr>
              <w:t>中试车间</w:t>
            </w:r>
          </w:p>
        </w:tc>
        <w:tc>
          <w:tcPr>
            <w:tcW w:w="1135" w:type="dxa"/>
          </w:tcPr>
          <w:p w14:paraId="2E6CC0BD" w14:textId="77777777" w:rsidR="009219A0" w:rsidRDefault="009219A0">
            <w:pPr>
              <w:adjustRightInd/>
              <w:snapToGrid/>
              <w:spacing w:line="500" w:lineRule="exact"/>
              <w:ind w:firstLineChars="0" w:firstLine="0"/>
              <w:jc w:val="center"/>
              <w:rPr>
                <w:rFonts w:ascii="宋体" w:hAnsi="宋体" w:hint="eastAsia"/>
                <w:b/>
                <w:color w:val="auto"/>
                <w:sz w:val="21"/>
                <w:szCs w:val="21"/>
              </w:rPr>
            </w:pPr>
          </w:p>
        </w:tc>
      </w:tr>
      <w:tr w:rsidR="009219A0" w14:paraId="29C92156" w14:textId="77777777">
        <w:trPr>
          <w:trHeight w:val="284"/>
        </w:trPr>
        <w:tc>
          <w:tcPr>
            <w:tcW w:w="643" w:type="dxa"/>
            <w:vAlign w:val="center"/>
          </w:tcPr>
          <w:p w14:paraId="132A1764"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13</w:t>
            </w:r>
          </w:p>
        </w:tc>
        <w:tc>
          <w:tcPr>
            <w:tcW w:w="3009" w:type="dxa"/>
            <w:vAlign w:val="center"/>
          </w:tcPr>
          <w:p w14:paraId="50D00B54"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盘式真空过滤机（含泄水器、</w:t>
            </w:r>
          </w:p>
          <w:p w14:paraId="584F719A"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罗茨风机、真空泵）</w:t>
            </w:r>
          </w:p>
        </w:tc>
        <w:tc>
          <w:tcPr>
            <w:tcW w:w="709" w:type="dxa"/>
            <w:vAlign w:val="center"/>
          </w:tcPr>
          <w:p w14:paraId="7AC603D9"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1</w:t>
            </w:r>
          </w:p>
        </w:tc>
        <w:tc>
          <w:tcPr>
            <w:tcW w:w="850" w:type="dxa"/>
            <w:vAlign w:val="center"/>
          </w:tcPr>
          <w:p w14:paraId="198E930C"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套</w:t>
            </w:r>
          </w:p>
        </w:tc>
        <w:tc>
          <w:tcPr>
            <w:tcW w:w="2835" w:type="dxa"/>
            <w:vAlign w:val="center"/>
          </w:tcPr>
          <w:p w14:paraId="0DABE68A"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ZPG50-10</w:t>
            </w:r>
          </w:p>
        </w:tc>
        <w:tc>
          <w:tcPr>
            <w:tcW w:w="1135" w:type="dxa"/>
            <w:vAlign w:val="center"/>
          </w:tcPr>
          <w:p w14:paraId="16B7F1EF"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0E5FE945" w14:textId="77777777">
        <w:trPr>
          <w:trHeight w:val="284"/>
        </w:trPr>
        <w:tc>
          <w:tcPr>
            <w:tcW w:w="643" w:type="dxa"/>
            <w:vAlign w:val="center"/>
          </w:tcPr>
          <w:p w14:paraId="2410ACF9"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14</w:t>
            </w:r>
          </w:p>
        </w:tc>
        <w:tc>
          <w:tcPr>
            <w:tcW w:w="3009" w:type="dxa"/>
            <w:vAlign w:val="center"/>
          </w:tcPr>
          <w:p w14:paraId="2EC87FEF"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电动葫芦</w:t>
            </w:r>
          </w:p>
        </w:tc>
        <w:tc>
          <w:tcPr>
            <w:tcW w:w="709" w:type="dxa"/>
            <w:vAlign w:val="center"/>
          </w:tcPr>
          <w:p w14:paraId="5CE0C57F"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36057287"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0A077346"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2</w:t>
            </w:r>
            <w:r>
              <w:rPr>
                <w:rFonts w:ascii="宋体" w:hAnsi="宋体"/>
                <w:color w:val="auto"/>
                <w:sz w:val="21"/>
                <w:szCs w:val="21"/>
              </w:rPr>
              <w:t>t</w:t>
            </w:r>
          </w:p>
        </w:tc>
        <w:tc>
          <w:tcPr>
            <w:tcW w:w="1135" w:type="dxa"/>
          </w:tcPr>
          <w:p w14:paraId="5ADDE9D1"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1CCB7F1F" w14:textId="77777777">
        <w:trPr>
          <w:trHeight w:val="284"/>
        </w:trPr>
        <w:tc>
          <w:tcPr>
            <w:tcW w:w="643" w:type="dxa"/>
            <w:vAlign w:val="center"/>
          </w:tcPr>
          <w:p w14:paraId="1084B697"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15</w:t>
            </w:r>
          </w:p>
        </w:tc>
        <w:tc>
          <w:tcPr>
            <w:tcW w:w="3009" w:type="dxa"/>
            <w:vAlign w:val="center"/>
          </w:tcPr>
          <w:p w14:paraId="4E5D6D03"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离心风机</w:t>
            </w:r>
          </w:p>
        </w:tc>
        <w:tc>
          <w:tcPr>
            <w:tcW w:w="709" w:type="dxa"/>
            <w:vAlign w:val="center"/>
          </w:tcPr>
          <w:p w14:paraId="712BE1B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3B7FB460"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2D37A104"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Y6-51 13 5D</w:t>
            </w:r>
          </w:p>
        </w:tc>
        <w:tc>
          <w:tcPr>
            <w:tcW w:w="1135" w:type="dxa"/>
          </w:tcPr>
          <w:p w14:paraId="4A28DDA2"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0940A7F0" w14:textId="77777777">
        <w:trPr>
          <w:trHeight w:val="284"/>
        </w:trPr>
        <w:tc>
          <w:tcPr>
            <w:tcW w:w="643" w:type="dxa"/>
            <w:vAlign w:val="center"/>
          </w:tcPr>
          <w:p w14:paraId="45D897FC"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16</w:t>
            </w:r>
          </w:p>
        </w:tc>
        <w:tc>
          <w:tcPr>
            <w:tcW w:w="3009" w:type="dxa"/>
            <w:vAlign w:val="center"/>
          </w:tcPr>
          <w:p w14:paraId="214B8294"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循环槽进料斜面皮带运输机</w:t>
            </w:r>
          </w:p>
        </w:tc>
        <w:tc>
          <w:tcPr>
            <w:tcW w:w="709" w:type="dxa"/>
            <w:vAlign w:val="center"/>
          </w:tcPr>
          <w:p w14:paraId="68DD2E0C"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083C6ABD"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10D7891D"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w:t>
            </w:r>
          </w:p>
        </w:tc>
        <w:tc>
          <w:tcPr>
            <w:tcW w:w="1135" w:type="dxa"/>
          </w:tcPr>
          <w:p w14:paraId="37B3D6B5"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711AF7F1" w14:textId="77777777">
        <w:trPr>
          <w:trHeight w:val="284"/>
        </w:trPr>
        <w:tc>
          <w:tcPr>
            <w:tcW w:w="643" w:type="dxa"/>
            <w:vAlign w:val="center"/>
          </w:tcPr>
          <w:p w14:paraId="10774EEC"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17</w:t>
            </w:r>
          </w:p>
        </w:tc>
        <w:tc>
          <w:tcPr>
            <w:tcW w:w="3009" w:type="dxa"/>
            <w:vAlign w:val="center"/>
          </w:tcPr>
          <w:p w14:paraId="4C1B7812"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过滤机出料斜面皮带运输机</w:t>
            </w:r>
          </w:p>
        </w:tc>
        <w:tc>
          <w:tcPr>
            <w:tcW w:w="709" w:type="dxa"/>
            <w:vAlign w:val="center"/>
          </w:tcPr>
          <w:p w14:paraId="54DA1731"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4DB885AC"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3AECED47"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w:t>
            </w:r>
          </w:p>
        </w:tc>
        <w:tc>
          <w:tcPr>
            <w:tcW w:w="1135" w:type="dxa"/>
          </w:tcPr>
          <w:p w14:paraId="2E5795CF"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7B59D66A" w14:textId="77777777">
        <w:trPr>
          <w:trHeight w:val="284"/>
        </w:trPr>
        <w:tc>
          <w:tcPr>
            <w:tcW w:w="643" w:type="dxa"/>
            <w:vAlign w:val="center"/>
          </w:tcPr>
          <w:p w14:paraId="32A6DF46"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18</w:t>
            </w:r>
          </w:p>
        </w:tc>
        <w:tc>
          <w:tcPr>
            <w:tcW w:w="3009" w:type="dxa"/>
            <w:vAlign w:val="center"/>
          </w:tcPr>
          <w:p w14:paraId="46D04AAF"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过滤机出料水平皮带运输机</w:t>
            </w:r>
          </w:p>
        </w:tc>
        <w:tc>
          <w:tcPr>
            <w:tcW w:w="709" w:type="dxa"/>
            <w:vAlign w:val="center"/>
          </w:tcPr>
          <w:p w14:paraId="3FCDF5A3"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5B5554CA"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73A2BCC5"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w:t>
            </w:r>
          </w:p>
        </w:tc>
        <w:tc>
          <w:tcPr>
            <w:tcW w:w="1135" w:type="dxa"/>
          </w:tcPr>
          <w:p w14:paraId="4530C747"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7448705B" w14:textId="77777777">
        <w:trPr>
          <w:trHeight w:val="284"/>
        </w:trPr>
        <w:tc>
          <w:tcPr>
            <w:tcW w:w="643" w:type="dxa"/>
            <w:vAlign w:val="center"/>
          </w:tcPr>
          <w:p w14:paraId="4083A8BA"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19</w:t>
            </w:r>
          </w:p>
        </w:tc>
        <w:tc>
          <w:tcPr>
            <w:tcW w:w="3009" w:type="dxa"/>
            <w:vAlign w:val="center"/>
          </w:tcPr>
          <w:p w14:paraId="15ECCA1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罗茨鼓风机</w:t>
            </w:r>
          </w:p>
        </w:tc>
        <w:tc>
          <w:tcPr>
            <w:tcW w:w="709" w:type="dxa"/>
            <w:vAlign w:val="center"/>
          </w:tcPr>
          <w:p w14:paraId="38121BD1"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29C1E8A2"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0F06622D"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RRG－400</w:t>
            </w:r>
          </w:p>
        </w:tc>
        <w:tc>
          <w:tcPr>
            <w:tcW w:w="1135" w:type="dxa"/>
          </w:tcPr>
          <w:p w14:paraId="02F10B3A"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50F9B3E8" w14:textId="77777777">
        <w:trPr>
          <w:trHeight w:val="284"/>
        </w:trPr>
        <w:tc>
          <w:tcPr>
            <w:tcW w:w="643" w:type="dxa"/>
            <w:vAlign w:val="center"/>
          </w:tcPr>
          <w:p w14:paraId="1A0B4D6C"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20</w:t>
            </w:r>
          </w:p>
        </w:tc>
        <w:tc>
          <w:tcPr>
            <w:tcW w:w="3009" w:type="dxa"/>
            <w:vAlign w:val="center"/>
          </w:tcPr>
          <w:p w14:paraId="3EA5E41A"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螺杆空压机</w:t>
            </w:r>
          </w:p>
        </w:tc>
        <w:tc>
          <w:tcPr>
            <w:tcW w:w="709" w:type="dxa"/>
            <w:vAlign w:val="center"/>
          </w:tcPr>
          <w:p w14:paraId="7D2C984D"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32DBC087"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3375CCF1"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JN160-33/8-11</w:t>
            </w:r>
          </w:p>
        </w:tc>
        <w:tc>
          <w:tcPr>
            <w:tcW w:w="1135" w:type="dxa"/>
          </w:tcPr>
          <w:p w14:paraId="4944017B"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0D40CCB6" w14:textId="77777777">
        <w:trPr>
          <w:trHeight w:val="284"/>
        </w:trPr>
        <w:tc>
          <w:tcPr>
            <w:tcW w:w="643" w:type="dxa"/>
            <w:vAlign w:val="center"/>
          </w:tcPr>
          <w:p w14:paraId="1677BE86"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21</w:t>
            </w:r>
          </w:p>
        </w:tc>
        <w:tc>
          <w:tcPr>
            <w:tcW w:w="3009" w:type="dxa"/>
            <w:vAlign w:val="center"/>
          </w:tcPr>
          <w:p w14:paraId="0AD4DC18"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冷却塔</w:t>
            </w:r>
          </w:p>
        </w:tc>
        <w:tc>
          <w:tcPr>
            <w:tcW w:w="709" w:type="dxa"/>
            <w:vAlign w:val="center"/>
          </w:tcPr>
          <w:p w14:paraId="230C4E27"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2A1EE1F2"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7DCEC818"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DBNL3-20T</w:t>
            </w:r>
          </w:p>
        </w:tc>
        <w:tc>
          <w:tcPr>
            <w:tcW w:w="1135" w:type="dxa"/>
            <w:vAlign w:val="center"/>
          </w:tcPr>
          <w:p w14:paraId="00DF2FFE"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新增</w:t>
            </w:r>
          </w:p>
        </w:tc>
      </w:tr>
      <w:tr w:rsidR="009219A0" w14:paraId="6FFD7D7F" w14:textId="77777777">
        <w:trPr>
          <w:trHeight w:val="284"/>
        </w:trPr>
        <w:tc>
          <w:tcPr>
            <w:tcW w:w="643" w:type="dxa"/>
            <w:vAlign w:val="center"/>
          </w:tcPr>
          <w:p w14:paraId="09FA26C2"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22</w:t>
            </w:r>
          </w:p>
        </w:tc>
        <w:tc>
          <w:tcPr>
            <w:tcW w:w="3009" w:type="dxa"/>
            <w:vAlign w:val="center"/>
          </w:tcPr>
          <w:p w14:paraId="5CAD87C6"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尾气吸收塔</w:t>
            </w:r>
          </w:p>
        </w:tc>
        <w:tc>
          <w:tcPr>
            <w:tcW w:w="709" w:type="dxa"/>
            <w:vAlign w:val="center"/>
          </w:tcPr>
          <w:p w14:paraId="083EAE55"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67B2A42E"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4B51667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F4-72-6C</w:t>
            </w:r>
          </w:p>
        </w:tc>
        <w:tc>
          <w:tcPr>
            <w:tcW w:w="1135" w:type="dxa"/>
          </w:tcPr>
          <w:p w14:paraId="0CD55A7F"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新增</w:t>
            </w:r>
          </w:p>
        </w:tc>
      </w:tr>
      <w:tr w:rsidR="009219A0" w14:paraId="4F030318" w14:textId="77777777">
        <w:trPr>
          <w:trHeight w:val="284"/>
        </w:trPr>
        <w:tc>
          <w:tcPr>
            <w:tcW w:w="643" w:type="dxa"/>
            <w:vAlign w:val="center"/>
          </w:tcPr>
          <w:p w14:paraId="6AC4564A"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23</w:t>
            </w:r>
          </w:p>
        </w:tc>
        <w:tc>
          <w:tcPr>
            <w:tcW w:w="3009" w:type="dxa"/>
            <w:vAlign w:val="center"/>
          </w:tcPr>
          <w:p w14:paraId="092F371E"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卧式硫酸槽</w:t>
            </w:r>
          </w:p>
        </w:tc>
        <w:tc>
          <w:tcPr>
            <w:tcW w:w="709" w:type="dxa"/>
            <w:vAlign w:val="center"/>
          </w:tcPr>
          <w:p w14:paraId="73623277"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193704C1"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个</w:t>
            </w:r>
            <w:proofErr w:type="gramEnd"/>
          </w:p>
        </w:tc>
        <w:tc>
          <w:tcPr>
            <w:tcW w:w="2835" w:type="dxa"/>
            <w:vAlign w:val="center"/>
          </w:tcPr>
          <w:p w14:paraId="6EBE2DF6"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15m</w:t>
            </w:r>
            <w:r>
              <w:rPr>
                <w:rFonts w:ascii="宋体" w:hAnsi="宋体" w:hint="eastAsia"/>
                <w:color w:val="auto"/>
                <w:sz w:val="21"/>
                <w:szCs w:val="21"/>
                <w:vertAlign w:val="superscript"/>
              </w:rPr>
              <w:t>3</w:t>
            </w:r>
            <w:r>
              <w:rPr>
                <w:rFonts w:ascii="宋体" w:hAnsi="宋体"/>
                <w:color w:val="auto"/>
                <w:sz w:val="21"/>
                <w:szCs w:val="21"/>
              </w:rPr>
              <w:t>，材质为玻璃钢</w:t>
            </w:r>
          </w:p>
        </w:tc>
        <w:tc>
          <w:tcPr>
            <w:tcW w:w="1135" w:type="dxa"/>
          </w:tcPr>
          <w:p w14:paraId="10F62C02"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新增</w:t>
            </w:r>
          </w:p>
        </w:tc>
      </w:tr>
      <w:tr w:rsidR="009219A0" w14:paraId="28A50E99" w14:textId="77777777">
        <w:trPr>
          <w:trHeight w:val="284"/>
        </w:trPr>
        <w:tc>
          <w:tcPr>
            <w:tcW w:w="643" w:type="dxa"/>
            <w:vAlign w:val="center"/>
          </w:tcPr>
          <w:p w14:paraId="419A9CAA"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24</w:t>
            </w:r>
          </w:p>
        </w:tc>
        <w:tc>
          <w:tcPr>
            <w:tcW w:w="3009" w:type="dxa"/>
            <w:vAlign w:val="center"/>
          </w:tcPr>
          <w:p w14:paraId="637903A4"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盐酸计量槽</w:t>
            </w:r>
          </w:p>
        </w:tc>
        <w:tc>
          <w:tcPr>
            <w:tcW w:w="709" w:type="dxa"/>
            <w:vAlign w:val="center"/>
          </w:tcPr>
          <w:p w14:paraId="348D9B45"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378A8719"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个</w:t>
            </w:r>
            <w:proofErr w:type="gramEnd"/>
          </w:p>
        </w:tc>
        <w:tc>
          <w:tcPr>
            <w:tcW w:w="2835" w:type="dxa"/>
            <w:vAlign w:val="center"/>
          </w:tcPr>
          <w:p w14:paraId="586DAC89"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6m</w:t>
            </w:r>
            <w:r>
              <w:rPr>
                <w:rFonts w:ascii="宋体" w:hAnsi="宋体" w:hint="eastAsia"/>
                <w:color w:val="auto"/>
                <w:sz w:val="21"/>
                <w:szCs w:val="21"/>
                <w:vertAlign w:val="superscript"/>
              </w:rPr>
              <w:t>3</w:t>
            </w:r>
            <w:r>
              <w:rPr>
                <w:rFonts w:ascii="宋体" w:hAnsi="宋体" w:hint="eastAsia"/>
                <w:color w:val="auto"/>
                <w:sz w:val="21"/>
                <w:szCs w:val="21"/>
              </w:rPr>
              <w:t>，</w:t>
            </w:r>
            <w:r>
              <w:rPr>
                <w:rFonts w:ascii="宋体" w:hAnsi="宋体"/>
                <w:color w:val="auto"/>
                <w:sz w:val="21"/>
                <w:szCs w:val="21"/>
              </w:rPr>
              <w:t>材质为玻璃钢</w:t>
            </w:r>
          </w:p>
        </w:tc>
        <w:tc>
          <w:tcPr>
            <w:tcW w:w="1135" w:type="dxa"/>
          </w:tcPr>
          <w:p w14:paraId="0280F78A"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新增</w:t>
            </w:r>
          </w:p>
        </w:tc>
      </w:tr>
      <w:tr w:rsidR="009219A0" w14:paraId="6B7E95DB" w14:textId="77777777">
        <w:trPr>
          <w:trHeight w:val="284"/>
        </w:trPr>
        <w:tc>
          <w:tcPr>
            <w:tcW w:w="643" w:type="dxa"/>
            <w:vAlign w:val="center"/>
          </w:tcPr>
          <w:p w14:paraId="5F2DD687"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25</w:t>
            </w:r>
          </w:p>
        </w:tc>
        <w:tc>
          <w:tcPr>
            <w:tcW w:w="3009" w:type="dxa"/>
            <w:vAlign w:val="center"/>
          </w:tcPr>
          <w:p w14:paraId="7C8BECCE"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氧化槽</w:t>
            </w:r>
          </w:p>
        </w:tc>
        <w:tc>
          <w:tcPr>
            <w:tcW w:w="709" w:type="dxa"/>
            <w:vAlign w:val="center"/>
          </w:tcPr>
          <w:p w14:paraId="1F088D07"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2617187E"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个</w:t>
            </w:r>
            <w:proofErr w:type="gramEnd"/>
          </w:p>
        </w:tc>
        <w:tc>
          <w:tcPr>
            <w:tcW w:w="2835" w:type="dxa"/>
            <w:vAlign w:val="center"/>
          </w:tcPr>
          <w:p w14:paraId="5F13502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1800*2000</w:t>
            </w:r>
          </w:p>
        </w:tc>
        <w:tc>
          <w:tcPr>
            <w:tcW w:w="1135" w:type="dxa"/>
          </w:tcPr>
          <w:p w14:paraId="02F77CE2"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新增</w:t>
            </w:r>
          </w:p>
        </w:tc>
      </w:tr>
      <w:tr w:rsidR="009219A0" w14:paraId="61E8471D" w14:textId="77777777">
        <w:trPr>
          <w:trHeight w:val="284"/>
        </w:trPr>
        <w:tc>
          <w:tcPr>
            <w:tcW w:w="643" w:type="dxa"/>
            <w:vAlign w:val="center"/>
          </w:tcPr>
          <w:p w14:paraId="7247F5C2"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26</w:t>
            </w:r>
          </w:p>
        </w:tc>
        <w:tc>
          <w:tcPr>
            <w:tcW w:w="3009" w:type="dxa"/>
            <w:vAlign w:val="center"/>
          </w:tcPr>
          <w:p w14:paraId="4DAC0657"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盐酸储罐</w:t>
            </w:r>
          </w:p>
        </w:tc>
        <w:tc>
          <w:tcPr>
            <w:tcW w:w="709" w:type="dxa"/>
            <w:vAlign w:val="center"/>
          </w:tcPr>
          <w:p w14:paraId="5B7C22FA"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4456B5D3"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个</w:t>
            </w:r>
            <w:proofErr w:type="gramEnd"/>
          </w:p>
        </w:tc>
        <w:tc>
          <w:tcPr>
            <w:tcW w:w="2835" w:type="dxa"/>
            <w:vAlign w:val="center"/>
          </w:tcPr>
          <w:p w14:paraId="4D8A33CC"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60m</w:t>
            </w:r>
            <w:r>
              <w:rPr>
                <w:rFonts w:ascii="宋体" w:hAnsi="宋体" w:hint="eastAsia"/>
                <w:color w:val="auto"/>
                <w:sz w:val="21"/>
                <w:szCs w:val="21"/>
                <w:vertAlign w:val="superscript"/>
              </w:rPr>
              <w:t>3</w:t>
            </w:r>
          </w:p>
        </w:tc>
        <w:tc>
          <w:tcPr>
            <w:tcW w:w="1135" w:type="dxa"/>
          </w:tcPr>
          <w:p w14:paraId="49F1F246"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新增</w:t>
            </w:r>
          </w:p>
        </w:tc>
      </w:tr>
      <w:tr w:rsidR="009219A0" w14:paraId="1C688313" w14:textId="77777777">
        <w:trPr>
          <w:trHeight w:val="284"/>
        </w:trPr>
        <w:tc>
          <w:tcPr>
            <w:tcW w:w="643" w:type="dxa"/>
            <w:vAlign w:val="center"/>
          </w:tcPr>
          <w:p w14:paraId="26FCFBA7"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27</w:t>
            </w:r>
          </w:p>
        </w:tc>
        <w:tc>
          <w:tcPr>
            <w:tcW w:w="3009" w:type="dxa"/>
            <w:vAlign w:val="center"/>
          </w:tcPr>
          <w:p w14:paraId="524F0085"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一号循环槽</w:t>
            </w:r>
          </w:p>
        </w:tc>
        <w:tc>
          <w:tcPr>
            <w:tcW w:w="709" w:type="dxa"/>
            <w:vAlign w:val="center"/>
          </w:tcPr>
          <w:p w14:paraId="3BD3D9C4"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4955F9D0"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个</w:t>
            </w:r>
            <w:proofErr w:type="gramEnd"/>
          </w:p>
        </w:tc>
        <w:tc>
          <w:tcPr>
            <w:tcW w:w="2835" w:type="dxa"/>
            <w:vAlign w:val="center"/>
          </w:tcPr>
          <w:p w14:paraId="025D7097"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4016*4500*8/6</w:t>
            </w:r>
          </w:p>
        </w:tc>
        <w:tc>
          <w:tcPr>
            <w:tcW w:w="1135" w:type="dxa"/>
          </w:tcPr>
          <w:p w14:paraId="55B50408"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1F78F56C" w14:textId="77777777">
        <w:trPr>
          <w:trHeight w:val="284"/>
        </w:trPr>
        <w:tc>
          <w:tcPr>
            <w:tcW w:w="643" w:type="dxa"/>
            <w:vAlign w:val="center"/>
          </w:tcPr>
          <w:p w14:paraId="7079240D"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28</w:t>
            </w:r>
          </w:p>
        </w:tc>
        <w:tc>
          <w:tcPr>
            <w:tcW w:w="3009" w:type="dxa"/>
            <w:vAlign w:val="center"/>
          </w:tcPr>
          <w:p w14:paraId="7268F0BE"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二号循环槽</w:t>
            </w:r>
          </w:p>
        </w:tc>
        <w:tc>
          <w:tcPr>
            <w:tcW w:w="709" w:type="dxa"/>
            <w:vAlign w:val="center"/>
          </w:tcPr>
          <w:p w14:paraId="3EE8AA20"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7ED36643"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个</w:t>
            </w:r>
            <w:proofErr w:type="gramEnd"/>
          </w:p>
        </w:tc>
        <w:tc>
          <w:tcPr>
            <w:tcW w:w="2835" w:type="dxa"/>
            <w:vAlign w:val="center"/>
          </w:tcPr>
          <w:p w14:paraId="0F0713FA"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4016*4500*8/6</w:t>
            </w:r>
          </w:p>
        </w:tc>
        <w:tc>
          <w:tcPr>
            <w:tcW w:w="1135" w:type="dxa"/>
          </w:tcPr>
          <w:p w14:paraId="1D960636"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49BAEB24" w14:textId="77777777">
        <w:trPr>
          <w:trHeight w:val="284"/>
        </w:trPr>
        <w:tc>
          <w:tcPr>
            <w:tcW w:w="643" w:type="dxa"/>
            <w:vAlign w:val="center"/>
          </w:tcPr>
          <w:p w14:paraId="7E6C05B9"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29</w:t>
            </w:r>
          </w:p>
        </w:tc>
        <w:tc>
          <w:tcPr>
            <w:tcW w:w="3009" w:type="dxa"/>
            <w:vAlign w:val="center"/>
          </w:tcPr>
          <w:p w14:paraId="11249414"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三号循环槽</w:t>
            </w:r>
          </w:p>
        </w:tc>
        <w:tc>
          <w:tcPr>
            <w:tcW w:w="709" w:type="dxa"/>
            <w:vAlign w:val="center"/>
          </w:tcPr>
          <w:p w14:paraId="43517F22"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28871A36"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个</w:t>
            </w:r>
            <w:proofErr w:type="gramEnd"/>
          </w:p>
        </w:tc>
        <w:tc>
          <w:tcPr>
            <w:tcW w:w="2835" w:type="dxa"/>
            <w:vAlign w:val="center"/>
          </w:tcPr>
          <w:p w14:paraId="620561CE"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4016*4500*8/6</w:t>
            </w:r>
          </w:p>
        </w:tc>
        <w:tc>
          <w:tcPr>
            <w:tcW w:w="1135" w:type="dxa"/>
          </w:tcPr>
          <w:p w14:paraId="03861406"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13B68A17" w14:textId="77777777">
        <w:trPr>
          <w:trHeight w:val="284"/>
        </w:trPr>
        <w:tc>
          <w:tcPr>
            <w:tcW w:w="643" w:type="dxa"/>
            <w:vAlign w:val="center"/>
          </w:tcPr>
          <w:p w14:paraId="22DBB06D"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lastRenderedPageBreak/>
              <w:t>30</w:t>
            </w:r>
          </w:p>
        </w:tc>
        <w:tc>
          <w:tcPr>
            <w:tcW w:w="3009" w:type="dxa"/>
            <w:vAlign w:val="center"/>
          </w:tcPr>
          <w:p w14:paraId="610C1219"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四号循环槽</w:t>
            </w:r>
          </w:p>
        </w:tc>
        <w:tc>
          <w:tcPr>
            <w:tcW w:w="709" w:type="dxa"/>
            <w:vAlign w:val="center"/>
          </w:tcPr>
          <w:p w14:paraId="271F3462"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73294B45"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个</w:t>
            </w:r>
            <w:proofErr w:type="gramEnd"/>
          </w:p>
        </w:tc>
        <w:tc>
          <w:tcPr>
            <w:tcW w:w="2835" w:type="dxa"/>
            <w:vAlign w:val="center"/>
          </w:tcPr>
          <w:p w14:paraId="123994B3"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4016*4500*8/6</w:t>
            </w:r>
          </w:p>
        </w:tc>
        <w:tc>
          <w:tcPr>
            <w:tcW w:w="1135" w:type="dxa"/>
          </w:tcPr>
          <w:p w14:paraId="460A499B"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0ADEB1FC" w14:textId="77777777">
        <w:trPr>
          <w:trHeight w:val="284"/>
        </w:trPr>
        <w:tc>
          <w:tcPr>
            <w:tcW w:w="643" w:type="dxa"/>
            <w:vAlign w:val="center"/>
          </w:tcPr>
          <w:p w14:paraId="5CDC5278"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31</w:t>
            </w:r>
          </w:p>
        </w:tc>
        <w:tc>
          <w:tcPr>
            <w:tcW w:w="3009" w:type="dxa"/>
            <w:vAlign w:val="center"/>
          </w:tcPr>
          <w:p w14:paraId="0B54B5B1"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 搅拌机</w:t>
            </w:r>
          </w:p>
        </w:tc>
        <w:tc>
          <w:tcPr>
            <w:tcW w:w="709" w:type="dxa"/>
            <w:vAlign w:val="center"/>
          </w:tcPr>
          <w:p w14:paraId="4BCAF096"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437C878E"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1B691CFE"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37KW</w:t>
            </w:r>
          </w:p>
        </w:tc>
        <w:tc>
          <w:tcPr>
            <w:tcW w:w="1135" w:type="dxa"/>
          </w:tcPr>
          <w:p w14:paraId="2A89FDEA"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276A33F7" w14:textId="77777777">
        <w:trPr>
          <w:trHeight w:val="284"/>
        </w:trPr>
        <w:tc>
          <w:tcPr>
            <w:tcW w:w="643" w:type="dxa"/>
            <w:vAlign w:val="center"/>
          </w:tcPr>
          <w:p w14:paraId="1C5EB7F6"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32</w:t>
            </w:r>
          </w:p>
        </w:tc>
        <w:tc>
          <w:tcPr>
            <w:tcW w:w="3009" w:type="dxa"/>
            <w:vAlign w:val="center"/>
          </w:tcPr>
          <w:p w14:paraId="78C420A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2# 搅拌机</w:t>
            </w:r>
          </w:p>
        </w:tc>
        <w:tc>
          <w:tcPr>
            <w:tcW w:w="709" w:type="dxa"/>
            <w:vAlign w:val="center"/>
          </w:tcPr>
          <w:p w14:paraId="17264B31"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331F4F13"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53294F30"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11KW</w:t>
            </w:r>
          </w:p>
        </w:tc>
        <w:tc>
          <w:tcPr>
            <w:tcW w:w="1135" w:type="dxa"/>
          </w:tcPr>
          <w:p w14:paraId="72CFC29F"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2FFB474C" w14:textId="77777777">
        <w:trPr>
          <w:trHeight w:val="284"/>
        </w:trPr>
        <w:tc>
          <w:tcPr>
            <w:tcW w:w="643" w:type="dxa"/>
            <w:vAlign w:val="center"/>
          </w:tcPr>
          <w:p w14:paraId="30585B48"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33</w:t>
            </w:r>
          </w:p>
        </w:tc>
        <w:tc>
          <w:tcPr>
            <w:tcW w:w="3009" w:type="dxa"/>
            <w:vAlign w:val="center"/>
          </w:tcPr>
          <w:p w14:paraId="48B296BF"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3# 搅拌机</w:t>
            </w:r>
          </w:p>
        </w:tc>
        <w:tc>
          <w:tcPr>
            <w:tcW w:w="709" w:type="dxa"/>
            <w:vAlign w:val="center"/>
          </w:tcPr>
          <w:p w14:paraId="064E0311"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79D8694E"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7E4CD622"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11KW</w:t>
            </w:r>
          </w:p>
        </w:tc>
        <w:tc>
          <w:tcPr>
            <w:tcW w:w="1135" w:type="dxa"/>
          </w:tcPr>
          <w:p w14:paraId="64BFDFD8"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092B3F54" w14:textId="77777777">
        <w:trPr>
          <w:trHeight w:val="284"/>
        </w:trPr>
        <w:tc>
          <w:tcPr>
            <w:tcW w:w="643" w:type="dxa"/>
            <w:vAlign w:val="center"/>
          </w:tcPr>
          <w:p w14:paraId="55EB02AE"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34</w:t>
            </w:r>
          </w:p>
        </w:tc>
        <w:tc>
          <w:tcPr>
            <w:tcW w:w="3009" w:type="dxa"/>
            <w:vAlign w:val="center"/>
          </w:tcPr>
          <w:p w14:paraId="33D29F69"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4# 搅拌机</w:t>
            </w:r>
          </w:p>
        </w:tc>
        <w:tc>
          <w:tcPr>
            <w:tcW w:w="709" w:type="dxa"/>
            <w:vAlign w:val="center"/>
          </w:tcPr>
          <w:p w14:paraId="323A3C96"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7F331E3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671BB22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11KW</w:t>
            </w:r>
          </w:p>
        </w:tc>
        <w:tc>
          <w:tcPr>
            <w:tcW w:w="1135" w:type="dxa"/>
          </w:tcPr>
          <w:p w14:paraId="2C8F1BD3"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6CE04C1F" w14:textId="77777777">
        <w:trPr>
          <w:trHeight w:val="284"/>
        </w:trPr>
        <w:tc>
          <w:tcPr>
            <w:tcW w:w="643" w:type="dxa"/>
            <w:vAlign w:val="center"/>
          </w:tcPr>
          <w:p w14:paraId="5B292C8A"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35</w:t>
            </w:r>
          </w:p>
        </w:tc>
        <w:tc>
          <w:tcPr>
            <w:tcW w:w="3009" w:type="dxa"/>
            <w:vAlign w:val="center"/>
          </w:tcPr>
          <w:p w14:paraId="559E9EB8"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筛分机</w:t>
            </w:r>
          </w:p>
        </w:tc>
        <w:tc>
          <w:tcPr>
            <w:tcW w:w="709" w:type="dxa"/>
            <w:vAlign w:val="center"/>
          </w:tcPr>
          <w:p w14:paraId="413BEAF6"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32B1AB58"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65072FD9"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50 m</w:t>
            </w:r>
            <w:r>
              <w:rPr>
                <w:rFonts w:ascii="宋体" w:hAnsi="宋体"/>
                <w:color w:val="auto"/>
                <w:sz w:val="21"/>
                <w:szCs w:val="21"/>
                <w:vertAlign w:val="superscript"/>
              </w:rPr>
              <w:t>3</w:t>
            </w:r>
          </w:p>
        </w:tc>
        <w:tc>
          <w:tcPr>
            <w:tcW w:w="1135" w:type="dxa"/>
          </w:tcPr>
          <w:p w14:paraId="5FC392B6"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781F9B9E" w14:textId="77777777">
        <w:trPr>
          <w:trHeight w:val="284"/>
        </w:trPr>
        <w:tc>
          <w:tcPr>
            <w:tcW w:w="643" w:type="dxa"/>
            <w:vAlign w:val="center"/>
          </w:tcPr>
          <w:p w14:paraId="73D532B3"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36</w:t>
            </w:r>
          </w:p>
        </w:tc>
        <w:tc>
          <w:tcPr>
            <w:tcW w:w="3009" w:type="dxa"/>
            <w:vAlign w:val="center"/>
          </w:tcPr>
          <w:p w14:paraId="5506FD87"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圆盘给料机</w:t>
            </w:r>
          </w:p>
        </w:tc>
        <w:tc>
          <w:tcPr>
            <w:tcW w:w="709" w:type="dxa"/>
            <w:vAlign w:val="center"/>
          </w:tcPr>
          <w:p w14:paraId="083911A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106776A2"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6C3EF074"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KR1700</w:t>
            </w:r>
          </w:p>
        </w:tc>
        <w:tc>
          <w:tcPr>
            <w:tcW w:w="1135" w:type="dxa"/>
          </w:tcPr>
          <w:p w14:paraId="459B768B"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49C063F5" w14:textId="77777777">
        <w:trPr>
          <w:trHeight w:val="284"/>
        </w:trPr>
        <w:tc>
          <w:tcPr>
            <w:tcW w:w="643" w:type="dxa"/>
            <w:vAlign w:val="center"/>
          </w:tcPr>
          <w:p w14:paraId="6FA1F687"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37</w:t>
            </w:r>
          </w:p>
        </w:tc>
        <w:tc>
          <w:tcPr>
            <w:tcW w:w="3009" w:type="dxa"/>
            <w:vAlign w:val="center"/>
          </w:tcPr>
          <w:p w14:paraId="337B9C3E"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砂浆泵</w:t>
            </w:r>
          </w:p>
        </w:tc>
        <w:tc>
          <w:tcPr>
            <w:tcW w:w="709" w:type="dxa"/>
            <w:vAlign w:val="center"/>
          </w:tcPr>
          <w:p w14:paraId="2825D276"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4E07CDD6"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1C7063D6"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3/2C-AHR</w:t>
            </w:r>
          </w:p>
        </w:tc>
        <w:tc>
          <w:tcPr>
            <w:tcW w:w="1135" w:type="dxa"/>
          </w:tcPr>
          <w:p w14:paraId="1EB2BB19"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5BECA3EA" w14:textId="77777777">
        <w:trPr>
          <w:trHeight w:val="284"/>
        </w:trPr>
        <w:tc>
          <w:tcPr>
            <w:tcW w:w="643" w:type="dxa"/>
            <w:vAlign w:val="center"/>
          </w:tcPr>
          <w:p w14:paraId="74C7787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38</w:t>
            </w:r>
          </w:p>
        </w:tc>
        <w:tc>
          <w:tcPr>
            <w:tcW w:w="3009" w:type="dxa"/>
            <w:vAlign w:val="center"/>
          </w:tcPr>
          <w:p w14:paraId="2365F5A8"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地下砂浆泵</w:t>
            </w:r>
          </w:p>
        </w:tc>
        <w:tc>
          <w:tcPr>
            <w:tcW w:w="709" w:type="dxa"/>
            <w:vAlign w:val="center"/>
          </w:tcPr>
          <w:p w14:paraId="198DE1F6"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7322491F"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055C114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125-ZK100--30</w:t>
            </w:r>
          </w:p>
        </w:tc>
        <w:tc>
          <w:tcPr>
            <w:tcW w:w="1135" w:type="dxa"/>
          </w:tcPr>
          <w:p w14:paraId="3810146E"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38933ED8" w14:textId="77777777">
        <w:trPr>
          <w:trHeight w:val="284"/>
        </w:trPr>
        <w:tc>
          <w:tcPr>
            <w:tcW w:w="643" w:type="dxa"/>
            <w:vAlign w:val="center"/>
          </w:tcPr>
          <w:p w14:paraId="20592DB0"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39</w:t>
            </w:r>
          </w:p>
        </w:tc>
        <w:tc>
          <w:tcPr>
            <w:tcW w:w="3009" w:type="dxa"/>
            <w:vAlign w:val="center"/>
          </w:tcPr>
          <w:p w14:paraId="183A7F13"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单梁行车</w:t>
            </w:r>
          </w:p>
        </w:tc>
        <w:tc>
          <w:tcPr>
            <w:tcW w:w="709" w:type="dxa"/>
            <w:vAlign w:val="center"/>
          </w:tcPr>
          <w:p w14:paraId="1729AFFB"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3550ECE0"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7C9C2C28"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w:t>
            </w:r>
          </w:p>
        </w:tc>
        <w:tc>
          <w:tcPr>
            <w:tcW w:w="1135" w:type="dxa"/>
          </w:tcPr>
          <w:p w14:paraId="0E56F21F"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r w:rsidR="009219A0" w14:paraId="53EDD9E8" w14:textId="77777777">
        <w:trPr>
          <w:trHeight w:val="284"/>
        </w:trPr>
        <w:tc>
          <w:tcPr>
            <w:tcW w:w="643" w:type="dxa"/>
            <w:vAlign w:val="center"/>
          </w:tcPr>
          <w:p w14:paraId="03DEA510"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40</w:t>
            </w:r>
          </w:p>
        </w:tc>
        <w:tc>
          <w:tcPr>
            <w:tcW w:w="3009" w:type="dxa"/>
            <w:vAlign w:val="center"/>
          </w:tcPr>
          <w:p w14:paraId="0F6EF9F5"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板框压滤</w:t>
            </w:r>
          </w:p>
        </w:tc>
        <w:tc>
          <w:tcPr>
            <w:tcW w:w="709" w:type="dxa"/>
            <w:vAlign w:val="center"/>
          </w:tcPr>
          <w:p w14:paraId="2F77E6C0"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850" w:type="dxa"/>
            <w:vAlign w:val="center"/>
          </w:tcPr>
          <w:p w14:paraId="25DC16D0"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hint="eastAsia"/>
                <w:color w:val="auto"/>
                <w:sz w:val="21"/>
                <w:szCs w:val="21"/>
              </w:rPr>
              <w:t>台</w:t>
            </w:r>
          </w:p>
        </w:tc>
        <w:tc>
          <w:tcPr>
            <w:tcW w:w="2835" w:type="dxa"/>
            <w:vAlign w:val="center"/>
          </w:tcPr>
          <w:p w14:paraId="0763F2D9" w14:textId="77777777" w:rsidR="009219A0" w:rsidRDefault="00000000">
            <w:pPr>
              <w:adjustRightInd/>
              <w:snapToGrid/>
              <w:spacing w:line="500" w:lineRule="exact"/>
              <w:ind w:firstLineChars="0" w:firstLine="0"/>
              <w:jc w:val="center"/>
              <w:rPr>
                <w:rFonts w:ascii="宋体" w:hAnsi="宋体" w:hint="eastAsia"/>
                <w:color w:val="auto"/>
                <w:sz w:val="21"/>
                <w:szCs w:val="21"/>
              </w:rPr>
            </w:pPr>
            <w:r>
              <w:rPr>
                <w:rFonts w:ascii="宋体" w:hAnsi="宋体"/>
                <w:color w:val="auto"/>
                <w:sz w:val="21"/>
                <w:szCs w:val="21"/>
              </w:rPr>
              <w:t>100m</w:t>
            </w:r>
            <w:r>
              <w:rPr>
                <w:rFonts w:ascii="宋体" w:hAnsi="宋体"/>
                <w:color w:val="auto"/>
                <w:sz w:val="21"/>
                <w:szCs w:val="21"/>
                <w:vertAlign w:val="superscript"/>
              </w:rPr>
              <w:t>3</w:t>
            </w:r>
          </w:p>
        </w:tc>
        <w:tc>
          <w:tcPr>
            <w:tcW w:w="1135" w:type="dxa"/>
          </w:tcPr>
          <w:p w14:paraId="206814AC" w14:textId="77777777" w:rsidR="009219A0" w:rsidRDefault="00000000">
            <w:pPr>
              <w:adjustRightInd/>
              <w:snapToGrid/>
              <w:spacing w:line="500" w:lineRule="exact"/>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利旧</w:t>
            </w:r>
            <w:proofErr w:type="gramEnd"/>
          </w:p>
        </w:tc>
      </w:tr>
    </w:tbl>
    <w:bookmarkEnd w:id="69"/>
    <w:p w14:paraId="66CD87CC" w14:textId="77777777" w:rsidR="009219A0" w:rsidRDefault="00000000">
      <w:pPr>
        <w:widowControl/>
        <w:adjustRightInd/>
        <w:snapToGrid/>
        <w:spacing w:line="240" w:lineRule="auto"/>
        <w:ind w:firstLineChars="0" w:firstLine="0"/>
        <w:jc w:val="left"/>
        <w:rPr>
          <w:b/>
          <w:szCs w:val="20"/>
        </w:rPr>
      </w:pPr>
      <w:r>
        <w:rPr>
          <w:b/>
          <w:szCs w:val="20"/>
        </w:rPr>
        <w:t xml:space="preserve">2.2.10.2 </w:t>
      </w:r>
      <w:r>
        <w:rPr>
          <w:b/>
          <w:szCs w:val="20"/>
        </w:rPr>
        <w:t>特种设备</w:t>
      </w:r>
    </w:p>
    <w:p w14:paraId="75DF9A3D" w14:textId="77777777" w:rsidR="009219A0" w:rsidRDefault="00000000">
      <w:pPr>
        <w:ind w:firstLine="560"/>
        <w:rPr>
          <w:color w:val="auto"/>
        </w:rPr>
      </w:pPr>
      <w:r>
        <w:rPr>
          <w:rFonts w:hint="eastAsia"/>
          <w:color w:val="auto"/>
        </w:rPr>
        <w:t>根据《固定式压力容器安全技术监察规程》（</w:t>
      </w:r>
      <w:r>
        <w:rPr>
          <w:rFonts w:hint="eastAsia"/>
          <w:color w:val="auto"/>
        </w:rPr>
        <w:t>TSG21-2016</w:t>
      </w:r>
      <w:r>
        <w:rPr>
          <w:rFonts w:hint="eastAsia"/>
          <w:color w:val="auto"/>
        </w:rPr>
        <w:t>）可知：本项目中试过程中使用到的压缩空气储罐属于固定式压力容器。特种设备使用登记证书情况见下表。</w:t>
      </w:r>
    </w:p>
    <w:p w14:paraId="1E2CFD0A" w14:textId="77777777" w:rsidR="009219A0" w:rsidRDefault="00000000">
      <w:pPr>
        <w:pStyle w:val="Default1"/>
        <w:jc w:val="center"/>
        <w:rPr>
          <w:rFonts w:ascii="宋体" w:hAnsi="宋体"/>
          <w:sz w:val="28"/>
          <w:szCs w:val="28"/>
        </w:rPr>
      </w:pPr>
      <w:r>
        <w:rPr>
          <w:rFonts w:ascii="宋体" w:hAnsi="宋体"/>
          <w:sz w:val="28"/>
          <w:szCs w:val="28"/>
        </w:rPr>
        <w:t>表2.2-9 特种设备使用登记证书情况表</w:t>
      </w:r>
    </w:p>
    <w:tbl>
      <w:tblPr>
        <w:tblStyle w:val="afb"/>
        <w:tblW w:w="9072" w:type="dxa"/>
        <w:tblLook w:val="04A0" w:firstRow="1" w:lastRow="0" w:firstColumn="1" w:lastColumn="0" w:noHBand="0" w:noVBand="1"/>
      </w:tblPr>
      <w:tblGrid>
        <w:gridCol w:w="1242"/>
        <w:gridCol w:w="1843"/>
        <w:gridCol w:w="1418"/>
        <w:gridCol w:w="2126"/>
        <w:gridCol w:w="2443"/>
      </w:tblGrid>
      <w:tr w:rsidR="009219A0" w14:paraId="41B75607" w14:textId="77777777">
        <w:trPr>
          <w:trHeight w:val="451"/>
        </w:trPr>
        <w:tc>
          <w:tcPr>
            <w:tcW w:w="1242" w:type="dxa"/>
            <w:vAlign w:val="center"/>
          </w:tcPr>
          <w:p w14:paraId="3EF42B3F" w14:textId="77777777" w:rsidR="009219A0" w:rsidRDefault="00000000">
            <w:pPr>
              <w:pStyle w:val="Default1"/>
              <w:jc w:val="center"/>
              <w:rPr>
                <w:rFonts w:ascii="宋体" w:hAnsi="宋体"/>
                <w:b/>
                <w:sz w:val="21"/>
                <w:szCs w:val="21"/>
              </w:rPr>
            </w:pPr>
            <w:r>
              <w:rPr>
                <w:rFonts w:ascii="宋体" w:hAnsi="宋体" w:hint="default"/>
                <w:b/>
                <w:sz w:val="21"/>
                <w:szCs w:val="21"/>
              </w:rPr>
              <w:t>设备种类</w:t>
            </w:r>
          </w:p>
        </w:tc>
        <w:tc>
          <w:tcPr>
            <w:tcW w:w="1843" w:type="dxa"/>
            <w:vAlign w:val="center"/>
          </w:tcPr>
          <w:p w14:paraId="382BD5B8" w14:textId="77777777" w:rsidR="009219A0" w:rsidRDefault="00000000">
            <w:pPr>
              <w:pStyle w:val="Default1"/>
              <w:jc w:val="center"/>
              <w:rPr>
                <w:rFonts w:ascii="宋体" w:hAnsi="宋体"/>
                <w:b/>
                <w:sz w:val="21"/>
                <w:szCs w:val="21"/>
              </w:rPr>
            </w:pPr>
            <w:r>
              <w:rPr>
                <w:rFonts w:ascii="宋体" w:hAnsi="宋体" w:hint="default"/>
                <w:b/>
                <w:sz w:val="21"/>
                <w:szCs w:val="21"/>
              </w:rPr>
              <w:t>设备类别</w:t>
            </w:r>
          </w:p>
        </w:tc>
        <w:tc>
          <w:tcPr>
            <w:tcW w:w="1418" w:type="dxa"/>
            <w:vAlign w:val="center"/>
          </w:tcPr>
          <w:p w14:paraId="04B2D8C7" w14:textId="77777777" w:rsidR="009219A0" w:rsidRDefault="00000000">
            <w:pPr>
              <w:pStyle w:val="Default1"/>
              <w:jc w:val="center"/>
              <w:rPr>
                <w:rFonts w:ascii="宋体" w:hAnsi="宋体"/>
                <w:b/>
                <w:sz w:val="21"/>
                <w:szCs w:val="21"/>
              </w:rPr>
            </w:pPr>
            <w:r>
              <w:rPr>
                <w:rFonts w:ascii="宋体" w:hAnsi="宋体" w:hint="default"/>
                <w:b/>
                <w:sz w:val="21"/>
                <w:szCs w:val="21"/>
              </w:rPr>
              <w:t>产品编号</w:t>
            </w:r>
          </w:p>
        </w:tc>
        <w:tc>
          <w:tcPr>
            <w:tcW w:w="2126" w:type="dxa"/>
            <w:vAlign w:val="center"/>
          </w:tcPr>
          <w:p w14:paraId="5C32F11B" w14:textId="77777777" w:rsidR="009219A0" w:rsidRDefault="00000000">
            <w:pPr>
              <w:pStyle w:val="Default1"/>
              <w:jc w:val="center"/>
              <w:rPr>
                <w:rFonts w:ascii="宋体" w:hAnsi="宋体"/>
                <w:b/>
                <w:sz w:val="21"/>
                <w:szCs w:val="21"/>
              </w:rPr>
            </w:pPr>
            <w:r>
              <w:rPr>
                <w:rFonts w:ascii="宋体" w:hAnsi="宋体" w:hint="default"/>
                <w:b/>
                <w:sz w:val="21"/>
                <w:szCs w:val="21"/>
              </w:rPr>
              <w:t>使用登记证编号</w:t>
            </w:r>
          </w:p>
        </w:tc>
        <w:tc>
          <w:tcPr>
            <w:tcW w:w="2443" w:type="dxa"/>
            <w:vAlign w:val="center"/>
          </w:tcPr>
          <w:p w14:paraId="29587619" w14:textId="77777777" w:rsidR="009219A0" w:rsidRDefault="00000000">
            <w:pPr>
              <w:pStyle w:val="Default1"/>
              <w:jc w:val="center"/>
              <w:rPr>
                <w:rFonts w:ascii="宋体" w:hAnsi="宋体"/>
                <w:b/>
                <w:sz w:val="21"/>
                <w:szCs w:val="21"/>
              </w:rPr>
            </w:pPr>
            <w:r>
              <w:rPr>
                <w:rFonts w:ascii="宋体" w:hAnsi="宋体" w:hint="default"/>
                <w:b/>
                <w:sz w:val="21"/>
                <w:szCs w:val="21"/>
              </w:rPr>
              <w:t>发证机关</w:t>
            </w:r>
          </w:p>
        </w:tc>
      </w:tr>
      <w:tr w:rsidR="009219A0" w14:paraId="6F63E17C" w14:textId="77777777">
        <w:trPr>
          <w:trHeight w:val="428"/>
        </w:trPr>
        <w:tc>
          <w:tcPr>
            <w:tcW w:w="1242" w:type="dxa"/>
            <w:vAlign w:val="center"/>
          </w:tcPr>
          <w:p w14:paraId="316C262E" w14:textId="77777777" w:rsidR="009219A0" w:rsidRDefault="00000000">
            <w:pPr>
              <w:pStyle w:val="Default1"/>
              <w:jc w:val="center"/>
              <w:rPr>
                <w:rFonts w:ascii="宋体" w:hAnsi="宋体"/>
                <w:sz w:val="21"/>
                <w:szCs w:val="21"/>
              </w:rPr>
            </w:pPr>
            <w:r>
              <w:rPr>
                <w:rFonts w:ascii="宋体" w:hAnsi="宋体" w:hint="default"/>
                <w:sz w:val="21"/>
                <w:szCs w:val="21"/>
              </w:rPr>
              <w:t>压力容器</w:t>
            </w:r>
          </w:p>
        </w:tc>
        <w:tc>
          <w:tcPr>
            <w:tcW w:w="1843" w:type="dxa"/>
            <w:vAlign w:val="center"/>
          </w:tcPr>
          <w:p w14:paraId="1D01922C" w14:textId="77777777" w:rsidR="009219A0" w:rsidRDefault="00000000">
            <w:pPr>
              <w:pStyle w:val="Default1"/>
              <w:jc w:val="center"/>
              <w:rPr>
                <w:rFonts w:ascii="宋体" w:hAnsi="宋体"/>
                <w:sz w:val="21"/>
                <w:szCs w:val="21"/>
              </w:rPr>
            </w:pPr>
            <w:r>
              <w:rPr>
                <w:rFonts w:ascii="宋体" w:hAnsi="宋体" w:hint="default"/>
                <w:sz w:val="21"/>
                <w:szCs w:val="21"/>
              </w:rPr>
              <w:t>固定式压力容器</w:t>
            </w:r>
          </w:p>
        </w:tc>
        <w:tc>
          <w:tcPr>
            <w:tcW w:w="1418" w:type="dxa"/>
            <w:vAlign w:val="center"/>
          </w:tcPr>
          <w:p w14:paraId="60516532" w14:textId="77777777" w:rsidR="009219A0" w:rsidRDefault="00000000">
            <w:pPr>
              <w:pStyle w:val="Default1"/>
              <w:jc w:val="center"/>
              <w:rPr>
                <w:rFonts w:ascii="宋体" w:hAnsi="宋体"/>
                <w:sz w:val="21"/>
                <w:szCs w:val="21"/>
              </w:rPr>
            </w:pPr>
            <w:r>
              <w:rPr>
                <w:rFonts w:ascii="宋体" w:hAnsi="宋体"/>
                <w:sz w:val="21"/>
                <w:szCs w:val="21"/>
              </w:rPr>
              <w:t>R23043020</w:t>
            </w:r>
          </w:p>
        </w:tc>
        <w:tc>
          <w:tcPr>
            <w:tcW w:w="2126" w:type="dxa"/>
            <w:vAlign w:val="center"/>
          </w:tcPr>
          <w:p w14:paraId="2DA40662" w14:textId="77777777" w:rsidR="009219A0" w:rsidRDefault="00000000">
            <w:pPr>
              <w:pStyle w:val="Default1"/>
              <w:jc w:val="center"/>
              <w:rPr>
                <w:rFonts w:ascii="宋体" w:hAnsi="宋体"/>
                <w:sz w:val="21"/>
                <w:szCs w:val="21"/>
              </w:rPr>
            </w:pPr>
            <w:r>
              <w:rPr>
                <w:rFonts w:ascii="宋体" w:hAnsi="宋体" w:hint="default"/>
                <w:sz w:val="21"/>
                <w:szCs w:val="21"/>
              </w:rPr>
              <w:t>容</w:t>
            </w:r>
            <w:r>
              <w:rPr>
                <w:rFonts w:ascii="宋体" w:hAnsi="宋体"/>
                <w:sz w:val="21"/>
                <w:szCs w:val="21"/>
              </w:rPr>
              <w:t>17滇F00567（24）</w:t>
            </w:r>
          </w:p>
        </w:tc>
        <w:tc>
          <w:tcPr>
            <w:tcW w:w="2443" w:type="dxa"/>
            <w:vAlign w:val="center"/>
          </w:tcPr>
          <w:p w14:paraId="0895A191" w14:textId="77777777" w:rsidR="009219A0" w:rsidRDefault="00000000">
            <w:pPr>
              <w:pStyle w:val="Default1"/>
              <w:jc w:val="center"/>
              <w:rPr>
                <w:rFonts w:ascii="宋体" w:hAnsi="宋体"/>
                <w:sz w:val="21"/>
                <w:szCs w:val="21"/>
              </w:rPr>
            </w:pPr>
            <w:r>
              <w:rPr>
                <w:rFonts w:ascii="宋体" w:hAnsi="宋体" w:hint="default"/>
                <w:sz w:val="21"/>
                <w:szCs w:val="21"/>
              </w:rPr>
              <w:t>个旧市市场监督管理局</w:t>
            </w:r>
          </w:p>
        </w:tc>
      </w:tr>
    </w:tbl>
    <w:p w14:paraId="65CE3985" w14:textId="77777777" w:rsidR="009219A0" w:rsidRDefault="009219A0">
      <w:pPr>
        <w:pStyle w:val="Default1"/>
        <w:jc w:val="center"/>
        <w:rPr>
          <w:rFonts w:ascii="宋体" w:hAnsi="宋体"/>
          <w:sz w:val="28"/>
          <w:szCs w:val="28"/>
        </w:rPr>
      </w:pPr>
    </w:p>
    <w:p w14:paraId="33819DAD" w14:textId="77777777" w:rsidR="009219A0" w:rsidRDefault="009219A0">
      <w:pPr>
        <w:pStyle w:val="Default1"/>
        <w:rPr>
          <w:rFonts w:hint="default"/>
        </w:rPr>
      </w:pPr>
    </w:p>
    <w:p w14:paraId="0E8AC114" w14:textId="77777777" w:rsidR="009219A0" w:rsidRDefault="00000000">
      <w:pPr>
        <w:pStyle w:val="3"/>
        <w:ind w:firstLineChars="300" w:firstLine="843"/>
        <w:rPr>
          <w:rFonts w:hint="eastAsia"/>
        </w:rPr>
      </w:pPr>
      <w:bookmarkStart w:id="70" w:name="_Toc211950413"/>
      <w:r>
        <w:t>2.</w:t>
      </w:r>
      <w:r>
        <w:rPr>
          <w:rFonts w:hint="eastAsia"/>
        </w:rPr>
        <w:t>2</w:t>
      </w:r>
      <w:r>
        <w:t>.</w:t>
      </w:r>
      <w:r>
        <w:rPr>
          <w:rFonts w:hint="eastAsia"/>
        </w:rPr>
        <w:t>11 主要建构筑物</w:t>
      </w:r>
      <w:bookmarkEnd w:id="70"/>
    </w:p>
    <w:p w14:paraId="7C1DDDD3" w14:textId="77777777" w:rsidR="009219A0" w:rsidRDefault="00000000">
      <w:pPr>
        <w:ind w:firstLine="560"/>
        <w:rPr>
          <w:rFonts w:ascii="宋体" w:hAnsi="宋体" w:hint="eastAsia"/>
          <w:color w:val="auto"/>
        </w:rPr>
      </w:pPr>
      <w:r>
        <w:rPr>
          <w:rFonts w:ascii="宋体" w:hAnsi="宋体"/>
          <w:color w:val="auto"/>
        </w:rPr>
        <w:t>本项目主要建构筑物见下表</w:t>
      </w:r>
      <w:r>
        <w:rPr>
          <w:rFonts w:ascii="宋体" w:hAnsi="宋体" w:hint="eastAsia"/>
          <w:color w:val="auto"/>
        </w:rPr>
        <w:t>2.2-10</w:t>
      </w:r>
      <w:r>
        <w:rPr>
          <w:rFonts w:ascii="宋体" w:hAnsi="宋体"/>
          <w:color w:val="auto"/>
        </w:rPr>
        <w:t>：</w:t>
      </w:r>
    </w:p>
    <w:p w14:paraId="20D3E562" w14:textId="77777777" w:rsidR="009219A0" w:rsidRDefault="00000000">
      <w:pPr>
        <w:ind w:firstLineChars="0" w:firstLine="0"/>
        <w:jc w:val="center"/>
        <w:rPr>
          <w:rFonts w:ascii="宋体" w:hAnsi="宋体" w:hint="eastAsia"/>
          <w:color w:val="auto"/>
          <w:kern w:val="0"/>
          <w:szCs w:val="28"/>
        </w:rPr>
      </w:pPr>
      <w:r>
        <w:rPr>
          <w:rFonts w:ascii="宋体" w:hAnsi="宋体" w:hint="eastAsia"/>
          <w:color w:val="auto"/>
          <w:kern w:val="0"/>
          <w:szCs w:val="28"/>
        </w:rPr>
        <w:t xml:space="preserve">表2.2-10  </w:t>
      </w:r>
      <w:r>
        <w:rPr>
          <w:rFonts w:ascii="宋体" w:hAnsi="宋体"/>
          <w:color w:val="auto"/>
        </w:rPr>
        <w:t>主要建构筑物一览表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1395"/>
        <w:gridCol w:w="709"/>
        <w:gridCol w:w="1276"/>
        <w:gridCol w:w="1134"/>
        <w:gridCol w:w="850"/>
        <w:gridCol w:w="1134"/>
        <w:gridCol w:w="1169"/>
        <w:gridCol w:w="849"/>
      </w:tblGrid>
      <w:tr w:rsidR="009219A0" w14:paraId="7FE2BE41" w14:textId="77777777">
        <w:trPr>
          <w:cantSplit/>
          <w:trHeight w:val="1061"/>
          <w:jc w:val="center"/>
        </w:trPr>
        <w:tc>
          <w:tcPr>
            <w:tcW w:w="556" w:type="dxa"/>
            <w:tcBorders>
              <w:top w:val="single" w:sz="4" w:space="0" w:color="auto"/>
              <w:left w:val="single" w:sz="4" w:space="0" w:color="auto"/>
              <w:bottom w:val="single" w:sz="4" w:space="0" w:color="auto"/>
              <w:right w:val="single" w:sz="4" w:space="0" w:color="auto"/>
            </w:tcBorders>
            <w:vAlign w:val="center"/>
          </w:tcPr>
          <w:p w14:paraId="7C13B2A5" w14:textId="77777777" w:rsidR="009219A0" w:rsidRDefault="00000000">
            <w:pPr>
              <w:adjustRightInd/>
              <w:snapToGrid/>
              <w:ind w:firstLineChars="0" w:firstLine="0"/>
              <w:jc w:val="center"/>
              <w:rPr>
                <w:rFonts w:ascii="宋体" w:hAnsi="宋体" w:hint="eastAsia"/>
                <w:b/>
                <w:color w:val="auto"/>
                <w:sz w:val="21"/>
                <w:szCs w:val="21"/>
              </w:rPr>
            </w:pPr>
            <w:r>
              <w:rPr>
                <w:rFonts w:ascii="宋体" w:hAnsi="宋体" w:hint="eastAsia"/>
                <w:b/>
                <w:color w:val="auto"/>
                <w:sz w:val="21"/>
                <w:szCs w:val="21"/>
              </w:rPr>
              <w:t>序号</w:t>
            </w:r>
          </w:p>
        </w:tc>
        <w:tc>
          <w:tcPr>
            <w:tcW w:w="1395" w:type="dxa"/>
            <w:tcBorders>
              <w:top w:val="single" w:sz="4" w:space="0" w:color="auto"/>
              <w:left w:val="single" w:sz="4" w:space="0" w:color="auto"/>
              <w:bottom w:val="single" w:sz="4" w:space="0" w:color="auto"/>
              <w:right w:val="single" w:sz="4" w:space="0" w:color="auto"/>
            </w:tcBorders>
            <w:vAlign w:val="center"/>
          </w:tcPr>
          <w:p w14:paraId="1AB9602D" w14:textId="77777777" w:rsidR="009219A0" w:rsidRDefault="00000000">
            <w:pPr>
              <w:adjustRightInd/>
              <w:snapToGrid/>
              <w:ind w:firstLineChars="0" w:firstLine="0"/>
              <w:jc w:val="center"/>
              <w:rPr>
                <w:rFonts w:ascii="宋体" w:hAnsi="宋体" w:hint="eastAsia"/>
                <w:b/>
                <w:color w:val="auto"/>
                <w:sz w:val="21"/>
                <w:szCs w:val="21"/>
              </w:rPr>
            </w:pPr>
            <w:r>
              <w:rPr>
                <w:rFonts w:ascii="宋体" w:hAnsi="宋体" w:hint="eastAsia"/>
                <w:b/>
                <w:color w:val="auto"/>
                <w:sz w:val="21"/>
                <w:szCs w:val="21"/>
              </w:rPr>
              <w:t>建构筑物名称</w:t>
            </w:r>
          </w:p>
        </w:tc>
        <w:tc>
          <w:tcPr>
            <w:tcW w:w="709" w:type="dxa"/>
            <w:tcBorders>
              <w:top w:val="single" w:sz="4" w:space="0" w:color="auto"/>
              <w:left w:val="single" w:sz="4" w:space="0" w:color="auto"/>
              <w:bottom w:val="single" w:sz="4" w:space="0" w:color="auto"/>
              <w:right w:val="single" w:sz="4" w:space="0" w:color="auto"/>
            </w:tcBorders>
            <w:vAlign w:val="center"/>
          </w:tcPr>
          <w:p w14:paraId="54AB581E" w14:textId="77777777" w:rsidR="009219A0" w:rsidRDefault="00000000">
            <w:pPr>
              <w:adjustRightInd/>
              <w:snapToGrid/>
              <w:ind w:firstLineChars="0" w:firstLine="0"/>
              <w:jc w:val="center"/>
              <w:rPr>
                <w:rFonts w:ascii="宋体" w:hAnsi="宋体" w:hint="eastAsia"/>
                <w:b/>
                <w:color w:val="auto"/>
                <w:sz w:val="21"/>
                <w:szCs w:val="21"/>
              </w:rPr>
            </w:pPr>
            <w:r>
              <w:rPr>
                <w:rFonts w:ascii="宋体" w:hAnsi="宋体" w:hint="eastAsia"/>
                <w:b/>
                <w:color w:val="auto"/>
                <w:sz w:val="21"/>
                <w:szCs w:val="21"/>
              </w:rPr>
              <w:t>楼层</w:t>
            </w:r>
          </w:p>
        </w:tc>
        <w:tc>
          <w:tcPr>
            <w:tcW w:w="1276" w:type="dxa"/>
            <w:tcBorders>
              <w:top w:val="single" w:sz="4" w:space="0" w:color="auto"/>
              <w:left w:val="single" w:sz="4" w:space="0" w:color="auto"/>
              <w:bottom w:val="single" w:sz="4" w:space="0" w:color="auto"/>
              <w:right w:val="single" w:sz="4" w:space="0" w:color="auto"/>
            </w:tcBorders>
            <w:vAlign w:val="center"/>
          </w:tcPr>
          <w:p w14:paraId="4C605276" w14:textId="77777777" w:rsidR="009219A0" w:rsidRDefault="00000000">
            <w:pPr>
              <w:adjustRightInd/>
              <w:snapToGrid/>
              <w:ind w:firstLineChars="0" w:firstLine="0"/>
              <w:jc w:val="center"/>
              <w:rPr>
                <w:rFonts w:ascii="宋体" w:hAnsi="宋体" w:hint="eastAsia"/>
                <w:b/>
                <w:color w:val="auto"/>
                <w:sz w:val="21"/>
                <w:szCs w:val="21"/>
              </w:rPr>
            </w:pPr>
            <w:r>
              <w:rPr>
                <w:rFonts w:ascii="宋体" w:hAnsi="宋体" w:hint="eastAsia"/>
                <w:b/>
                <w:color w:val="auto"/>
                <w:sz w:val="21"/>
                <w:szCs w:val="21"/>
              </w:rPr>
              <w:t>顶高(m)</w:t>
            </w:r>
          </w:p>
        </w:tc>
        <w:tc>
          <w:tcPr>
            <w:tcW w:w="1134" w:type="dxa"/>
            <w:tcBorders>
              <w:top w:val="single" w:sz="4" w:space="0" w:color="auto"/>
              <w:left w:val="single" w:sz="4" w:space="0" w:color="auto"/>
              <w:bottom w:val="single" w:sz="4" w:space="0" w:color="auto"/>
              <w:right w:val="single" w:sz="4" w:space="0" w:color="auto"/>
            </w:tcBorders>
            <w:vAlign w:val="center"/>
          </w:tcPr>
          <w:p w14:paraId="2648515C" w14:textId="77777777" w:rsidR="009219A0" w:rsidRDefault="00000000">
            <w:pPr>
              <w:adjustRightInd/>
              <w:snapToGrid/>
              <w:ind w:firstLineChars="0" w:firstLine="0"/>
              <w:jc w:val="center"/>
              <w:rPr>
                <w:rFonts w:ascii="宋体" w:hAnsi="宋体" w:hint="eastAsia"/>
                <w:b/>
                <w:color w:val="auto"/>
                <w:sz w:val="21"/>
                <w:szCs w:val="21"/>
              </w:rPr>
            </w:pPr>
            <w:r>
              <w:rPr>
                <w:rFonts w:ascii="宋体" w:hAnsi="宋体" w:hint="eastAsia"/>
                <w:b/>
                <w:color w:val="auto"/>
                <w:sz w:val="21"/>
                <w:szCs w:val="21"/>
              </w:rPr>
              <w:t>火灾危险性分类</w:t>
            </w:r>
          </w:p>
        </w:tc>
        <w:tc>
          <w:tcPr>
            <w:tcW w:w="850" w:type="dxa"/>
            <w:tcBorders>
              <w:top w:val="single" w:sz="4" w:space="0" w:color="auto"/>
              <w:left w:val="single" w:sz="4" w:space="0" w:color="auto"/>
              <w:bottom w:val="single" w:sz="4" w:space="0" w:color="auto"/>
              <w:right w:val="single" w:sz="4" w:space="0" w:color="auto"/>
            </w:tcBorders>
            <w:vAlign w:val="center"/>
          </w:tcPr>
          <w:p w14:paraId="3F65FDC1" w14:textId="77777777" w:rsidR="009219A0" w:rsidRDefault="00000000">
            <w:pPr>
              <w:adjustRightInd/>
              <w:snapToGrid/>
              <w:ind w:firstLineChars="0" w:firstLine="0"/>
              <w:jc w:val="center"/>
              <w:rPr>
                <w:rFonts w:ascii="宋体" w:hAnsi="宋体" w:hint="eastAsia"/>
                <w:b/>
                <w:color w:val="auto"/>
                <w:sz w:val="21"/>
                <w:szCs w:val="21"/>
              </w:rPr>
            </w:pPr>
            <w:r>
              <w:rPr>
                <w:rFonts w:ascii="宋体" w:hAnsi="宋体" w:hint="eastAsia"/>
                <w:b/>
                <w:color w:val="auto"/>
                <w:sz w:val="21"/>
                <w:szCs w:val="21"/>
              </w:rPr>
              <w:t>耐火等级</w:t>
            </w:r>
          </w:p>
        </w:tc>
        <w:tc>
          <w:tcPr>
            <w:tcW w:w="1134" w:type="dxa"/>
            <w:tcBorders>
              <w:top w:val="single" w:sz="4" w:space="0" w:color="auto"/>
              <w:left w:val="single" w:sz="4" w:space="0" w:color="auto"/>
              <w:bottom w:val="single" w:sz="4" w:space="0" w:color="auto"/>
              <w:right w:val="single" w:sz="4" w:space="0" w:color="auto"/>
            </w:tcBorders>
            <w:vAlign w:val="center"/>
          </w:tcPr>
          <w:p w14:paraId="46C4ABF5" w14:textId="77777777" w:rsidR="009219A0" w:rsidRDefault="00000000">
            <w:pPr>
              <w:adjustRightInd/>
              <w:snapToGrid/>
              <w:ind w:firstLineChars="0" w:firstLine="0"/>
              <w:jc w:val="center"/>
              <w:rPr>
                <w:rFonts w:ascii="宋体" w:hAnsi="宋体" w:hint="eastAsia"/>
                <w:b/>
                <w:color w:val="auto"/>
                <w:sz w:val="21"/>
                <w:szCs w:val="21"/>
              </w:rPr>
            </w:pPr>
            <w:r>
              <w:rPr>
                <w:rFonts w:ascii="宋体" w:hAnsi="宋体" w:hint="eastAsia"/>
                <w:b/>
                <w:color w:val="auto"/>
                <w:sz w:val="21"/>
                <w:szCs w:val="21"/>
              </w:rPr>
              <w:t>占地面积   （m²）</w:t>
            </w:r>
          </w:p>
        </w:tc>
        <w:tc>
          <w:tcPr>
            <w:tcW w:w="1169" w:type="dxa"/>
            <w:tcBorders>
              <w:top w:val="single" w:sz="4" w:space="0" w:color="auto"/>
              <w:left w:val="single" w:sz="4" w:space="0" w:color="auto"/>
              <w:bottom w:val="single" w:sz="4" w:space="0" w:color="auto"/>
              <w:right w:val="single" w:sz="4" w:space="0" w:color="auto"/>
            </w:tcBorders>
            <w:vAlign w:val="center"/>
          </w:tcPr>
          <w:p w14:paraId="02059D7D" w14:textId="77777777" w:rsidR="009219A0" w:rsidRDefault="00000000">
            <w:pPr>
              <w:adjustRightInd/>
              <w:snapToGrid/>
              <w:ind w:firstLineChars="0" w:firstLine="0"/>
              <w:jc w:val="center"/>
              <w:rPr>
                <w:rFonts w:ascii="宋体" w:hAnsi="宋体" w:hint="eastAsia"/>
                <w:b/>
                <w:color w:val="auto"/>
                <w:sz w:val="21"/>
                <w:szCs w:val="21"/>
              </w:rPr>
            </w:pPr>
            <w:r>
              <w:rPr>
                <w:rFonts w:ascii="宋体" w:hAnsi="宋体" w:hint="eastAsia"/>
                <w:b/>
                <w:color w:val="auto"/>
                <w:sz w:val="21"/>
                <w:szCs w:val="21"/>
              </w:rPr>
              <w:t>结构形式</w:t>
            </w:r>
          </w:p>
        </w:tc>
        <w:tc>
          <w:tcPr>
            <w:tcW w:w="849" w:type="dxa"/>
            <w:tcBorders>
              <w:top w:val="single" w:sz="4" w:space="0" w:color="auto"/>
              <w:left w:val="single" w:sz="4" w:space="0" w:color="auto"/>
              <w:bottom w:val="single" w:sz="4" w:space="0" w:color="auto"/>
              <w:right w:val="single" w:sz="4" w:space="0" w:color="auto"/>
            </w:tcBorders>
            <w:vAlign w:val="center"/>
          </w:tcPr>
          <w:p w14:paraId="2C7782D4" w14:textId="77777777" w:rsidR="009219A0" w:rsidRDefault="00000000">
            <w:pPr>
              <w:adjustRightInd/>
              <w:snapToGrid/>
              <w:ind w:firstLineChars="0" w:firstLine="0"/>
              <w:jc w:val="center"/>
              <w:rPr>
                <w:rFonts w:ascii="宋体" w:hAnsi="宋体" w:hint="eastAsia"/>
                <w:b/>
                <w:color w:val="auto"/>
                <w:sz w:val="21"/>
                <w:szCs w:val="21"/>
              </w:rPr>
            </w:pPr>
            <w:r>
              <w:rPr>
                <w:rFonts w:ascii="宋体" w:hAnsi="宋体" w:hint="eastAsia"/>
                <w:b/>
                <w:color w:val="auto"/>
                <w:sz w:val="21"/>
                <w:szCs w:val="21"/>
              </w:rPr>
              <w:t>备注</w:t>
            </w:r>
          </w:p>
        </w:tc>
      </w:tr>
      <w:tr w:rsidR="009219A0" w14:paraId="4BFBC1F9" w14:textId="77777777">
        <w:trPr>
          <w:cantSplit/>
          <w:trHeight w:val="705"/>
          <w:jc w:val="center"/>
        </w:trPr>
        <w:tc>
          <w:tcPr>
            <w:tcW w:w="556" w:type="dxa"/>
            <w:tcBorders>
              <w:top w:val="single" w:sz="4" w:space="0" w:color="auto"/>
              <w:left w:val="single" w:sz="4" w:space="0" w:color="auto"/>
              <w:bottom w:val="single" w:sz="4" w:space="0" w:color="auto"/>
              <w:right w:val="single" w:sz="4" w:space="0" w:color="auto"/>
            </w:tcBorders>
            <w:vAlign w:val="center"/>
          </w:tcPr>
          <w:p w14:paraId="38A9C025" w14:textId="77777777" w:rsidR="009219A0" w:rsidRDefault="00000000">
            <w:pPr>
              <w:adjustRightInd/>
              <w:snapToGrid/>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1395" w:type="dxa"/>
            <w:tcBorders>
              <w:top w:val="single" w:sz="4" w:space="0" w:color="auto"/>
              <w:left w:val="single" w:sz="4" w:space="0" w:color="auto"/>
              <w:bottom w:val="single" w:sz="4" w:space="0" w:color="auto"/>
              <w:right w:val="single" w:sz="4" w:space="0" w:color="auto"/>
            </w:tcBorders>
          </w:tcPr>
          <w:p w14:paraId="633D2115" w14:textId="77777777" w:rsidR="009219A0" w:rsidRDefault="00000000">
            <w:pPr>
              <w:spacing w:line="500" w:lineRule="exact"/>
              <w:ind w:firstLineChars="0" w:firstLine="0"/>
              <w:jc w:val="center"/>
              <w:rPr>
                <w:rFonts w:ascii="宋体" w:hAnsi="宋体" w:hint="eastAsia"/>
                <w:color w:val="auto"/>
                <w:kern w:val="0"/>
                <w:sz w:val="21"/>
                <w:szCs w:val="21"/>
              </w:rPr>
            </w:pPr>
            <w:r>
              <w:rPr>
                <w:rFonts w:ascii="宋体" w:hAnsi="宋体" w:hint="eastAsia"/>
                <w:color w:val="auto"/>
                <w:kern w:val="0"/>
                <w:sz w:val="21"/>
                <w:szCs w:val="21"/>
              </w:rPr>
              <w:t>中试车间</w:t>
            </w:r>
          </w:p>
        </w:tc>
        <w:tc>
          <w:tcPr>
            <w:tcW w:w="709" w:type="dxa"/>
            <w:tcBorders>
              <w:top w:val="single" w:sz="4" w:space="0" w:color="auto"/>
              <w:left w:val="single" w:sz="4" w:space="0" w:color="auto"/>
              <w:bottom w:val="single" w:sz="4" w:space="0" w:color="auto"/>
              <w:right w:val="single" w:sz="4" w:space="0" w:color="auto"/>
            </w:tcBorders>
          </w:tcPr>
          <w:p w14:paraId="3B2B1412" w14:textId="77777777" w:rsidR="009219A0" w:rsidRDefault="00000000">
            <w:pPr>
              <w:spacing w:line="500" w:lineRule="exact"/>
              <w:ind w:firstLineChars="0" w:firstLine="0"/>
              <w:jc w:val="center"/>
              <w:rPr>
                <w:rFonts w:ascii="宋体" w:hAnsi="宋体" w:hint="eastAsia"/>
                <w:color w:val="auto"/>
                <w:kern w:val="0"/>
                <w:sz w:val="21"/>
                <w:szCs w:val="21"/>
                <w:lang w:eastAsia="en-US"/>
              </w:rPr>
            </w:pPr>
            <w:r>
              <w:rPr>
                <w:rFonts w:ascii="宋体" w:hAnsi="宋体" w:cs="宋体" w:hint="eastAsia"/>
                <w:color w:val="auto"/>
                <w:kern w:val="0"/>
                <w:sz w:val="21"/>
                <w:szCs w:val="21"/>
              </w:rPr>
              <w:t>1F</w:t>
            </w:r>
          </w:p>
        </w:tc>
        <w:tc>
          <w:tcPr>
            <w:tcW w:w="1276" w:type="dxa"/>
            <w:tcBorders>
              <w:top w:val="single" w:sz="4" w:space="0" w:color="auto"/>
              <w:left w:val="single" w:sz="4" w:space="0" w:color="auto"/>
              <w:bottom w:val="single" w:sz="4" w:space="0" w:color="auto"/>
              <w:right w:val="single" w:sz="4" w:space="0" w:color="auto"/>
            </w:tcBorders>
            <w:vAlign w:val="center"/>
          </w:tcPr>
          <w:p w14:paraId="7EADD086" w14:textId="77777777" w:rsidR="009219A0" w:rsidRDefault="00000000">
            <w:pPr>
              <w:adjustRightInd/>
              <w:snapToGrid/>
              <w:ind w:firstLineChars="0" w:firstLine="0"/>
              <w:jc w:val="center"/>
              <w:rPr>
                <w:rFonts w:ascii="宋体" w:hAnsi="宋体" w:hint="eastAsia"/>
                <w:color w:val="auto"/>
                <w:sz w:val="21"/>
                <w:szCs w:val="21"/>
              </w:rPr>
            </w:pPr>
            <w:r>
              <w:rPr>
                <w:rFonts w:ascii="宋体" w:hAnsi="宋体" w:hint="eastAsia"/>
                <w:color w:val="auto"/>
                <w:sz w:val="21"/>
                <w:szCs w:val="21"/>
              </w:rPr>
              <w:t>16</w:t>
            </w:r>
          </w:p>
        </w:tc>
        <w:tc>
          <w:tcPr>
            <w:tcW w:w="1134" w:type="dxa"/>
            <w:tcBorders>
              <w:top w:val="single" w:sz="4" w:space="0" w:color="auto"/>
              <w:left w:val="single" w:sz="4" w:space="0" w:color="auto"/>
              <w:bottom w:val="single" w:sz="4" w:space="0" w:color="auto"/>
              <w:right w:val="single" w:sz="4" w:space="0" w:color="auto"/>
            </w:tcBorders>
            <w:vAlign w:val="center"/>
          </w:tcPr>
          <w:p w14:paraId="6D25AAA6" w14:textId="77777777" w:rsidR="009219A0" w:rsidRDefault="00000000">
            <w:pPr>
              <w:adjustRightInd/>
              <w:snapToGrid/>
              <w:ind w:firstLineChars="0" w:firstLine="0"/>
              <w:jc w:val="center"/>
              <w:rPr>
                <w:rFonts w:ascii="宋体" w:hAnsi="宋体" w:hint="eastAsia"/>
                <w:color w:val="auto"/>
                <w:sz w:val="21"/>
                <w:szCs w:val="21"/>
              </w:rPr>
            </w:pPr>
            <w:proofErr w:type="gramStart"/>
            <w:r>
              <w:rPr>
                <w:rFonts w:ascii="宋体" w:hAnsi="宋体" w:hint="eastAsia"/>
                <w:color w:val="auto"/>
                <w:sz w:val="21"/>
                <w:szCs w:val="21"/>
              </w:rPr>
              <w:t>戊类</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14:paraId="591099D0" w14:textId="77777777" w:rsidR="009219A0" w:rsidRDefault="00000000">
            <w:pPr>
              <w:adjustRightInd/>
              <w:snapToGrid/>
              <w:ind w:firstLineChars="0" w:firstLine="0"/>
              <w:jc w:val="center"/>
              <w:rPr>
                <w:rFonts w:ascii="宋体" w:hAnsi="宋体" w:hint="eastAsia"/>
                <w:color w:val="auto"/>
                <w:sz w:val="21"/>
                <w:szCs w:val="21"/>
              </w:rPr>
            </w:pPr>
            <w:r>
              <w:rPr>
                <w:rFonts w:ascii="宋体" w:hAnsi="宋体" w:hint="eastAsia"/>
                <w:color w:val="auto"/>
                <w:sz w:val="21"/>
                <w:szCs w:val="21"/>
              </w:rPr>
              <w:t>二级</w:t>
            </w:r>
          </w:p>
        </w:tc>
        <w:tc>
          <w:tcPr>
            <w:tcW w:w="1134" w:type="dxa"/>
            <w:tcBorders>
              <w:top w:val="single" w:sz="4" w:space="0" w:color="auto"/>
              <w:left w:val="single" w:sz="4" w:space="0" w:color="auto"/>
              <w:bottom w:val="single" w:sz="4" w:space="0" w:color="auto"/>
              <w:right w:val="single" w:sz="4" w:space="0" w:color="auto"/>
            </w:tcBorders>
          </w:tcPr>
          <w:p w14:paraId="6CE9B5F9" w14:textId="77777777" w:rsidR="009219A0" w:rsidRDefault="00000000">
            <w:pPr>
              <w:spacing w:line="500" w:lineRule="exact"/>
              <w:ind w:firstLineChars="0" w:firstLine="0"/>
              <w:jc w:val="center"/>
              <w:rPr>
                <w:rFonts w:ascii="宋体" w:hAnsi="宋体" w:hint="eastAsia"/>
                <w:color w:val="auto"/>
                <w:kern w:val="0"/>
                <w:sz w:val="21"/>
                <w:szCs w:val="21"/>
              </w:rPr>
            </w:pPr>
            <w:r>
              <w:rPr>
                <w:rFonts w:ascii="宋体" w:hAnsi="宋体" w:hint="eastAsia"/>
                <w:color w:val="auto"/>
                <w:kern w:val="0"/>
                <w:sz w:val="21"/>
                <w:szCs w:val="21"/>
              </w:rPr>
              <w:t>6500</w:t>
            </w:r>
          </w:p>
        </w:tc>
        <w:tc>
          <w:tcPr>
            <w:tcW w:w="1169" w:type="dxa"/>
            <w:tcBorders>
              <w:top w:val="single" w:sz="4" w:space="0" w:color="auto"/>
              <w:left w:val="single" w:sz="4" w:space="0" w:color="auto"/>
              <w:bottom w:val="single" w:sz="4" w:space="0" w:color="auto"/>
              <w:right w:val="single" w:sz="4" w:space="0" w:color="auto"/>
            </w:tcBorders>
          </w:tcPr>
          <w:p w14:paraId="5CF7037F" w14:textId="77777777" w:rsidR="009219A0" w:rsidRDefault="00000000">
            <w:pPr>
              <w:spacing w:line="500" w:lineRule="exact"/>
              <w:ind w:firstLineChars="0" w:firstLine="0"/>
              <w:jc w:val="center"/>
              <w:rPr>
                <w:rFonts w:ascii="宋体" w:hAnsi="宋体" w:hint="eastAsia"/>
                <w:color w:val="auto"/>
                <w:kern w:val="0"/>
                <w:sz w:val="21"/>
                <w:szCs w:val="21"/>
              </w:rPr>
            </w:pPr>
            <w:r>
              <w:rPr>
                <w:rFonts w:ascii="宋体" w:hAnsi="宋体" w:cs="宋体" w:hint="eastAsia"/>
                <w:color w:val="auto"/>
                <w:kern w:val="0"/>
                <w:sz w:val="21"/>
                <w:szCs w:val="21"/>
              </w:rPr>
              <w:t>门式钢架</w:t>
            </w:r>
          </w:p>
        </w:tc>
        <w:tc>
          <w:tcPr>
            <w:tcW w:w="849" w:type="dxa"/>
            <w:tcBorders>
              <w:top w:val="single" w:sz="4" w:space="0" w:color="auto"/>
              <w:left w:val="single" w:sz="4" w:space="0" w:color="auto"/>
              <w:bottom w:val="single" w:sz="4" w:space="0" w:color="auto"/>
              <w:right w:val="single" w:sz="4" w:space="0" w:color="auto"/>
            </w:tcBorders>
            <w:vAlign w:val="center"/>
          </w:tcPr>
          <w:p w14:paraId="0B4E0AAA" w14:textId="77777777" w:rsidR="009219A0" w:rsidRDefault="009219A0">
            <w:pPr>
              <w:adjustRightInd/>
              <w:snapToGrid/>
              <w:ind w:firstLineChars="0" w:firstLine="0"/>
              <w:jc w:val="center"/>
              <w:rPr>
                <w:rFonts w:ascii="宋体" w:hAnsi="宋体" w:hint="eastAsia"/>
                <w:color w:val="auto"/>
                <w:sz w:val="21"/>
                <w:szCs w:val="21"/>
              </w:rPr>
            </w:pPr>
          </w:p>
        </w:tc>
      </w:tr>
      <w:tr w:rsidR="009219A0" w14:paraId="5CD57483" w14:textId="77777777">
        <w:trPr>
          <w:cantSplit/>
          <w:trHeight w:val="705"/>
          <w:jc w:val="center"/>
        </w:trPr>
        <w:tc>
          <w:tcPr>
            <w:tcW w:w="556" w:type="dxa"/>
            <w:tcBorders>
              <w:top w:val="single" w:sz="4" w:space="0" w:color="auto"/>
              <w:left w:val="single" w:sz="4" w:space="0" w:color="auto"/>
              <w:bottom w:val="single" w:sz="4" w:space="0" w:color="auto"/>
              <w:right w:val="single" w:sz="4" w:space="0" w:color="auto"/>
            </w:tcBorders>
            <w:vAlign w:val="center"/>
          </w:tcPr>
          <w:p w14:paraId="144D395D" w14:textId="77777777" w:rsidR="009219A0" w:rsidRDefault="00000000">
            <w:pPr>
              <w:adjustRightInd/>
              <w:snapToGrid/>
              <w:ind w:firstLineChars="0" w:firstLine="0"/>
              <w:jc w:val="center"/>
              <w:rPr>
                <w:rFonts w:ascii="宋体" w:hAnsi="宋体" w:hint="eastAsia"/>
                <w:color w:val="auto"/>
                <w:sz w:val="21"/>
                <w:szCs w:val="21"/>
              </w:rPr>
            </w:pPr>
            <w:r>
              <w:rPr>
                <w:rFonts w:ascii="宋体" w:hAnsi="宋体" w:hint="eastAsia"/>
                <w:color w:val="auto"/>
                <w:sz w:val="21"/>
                <w:szCs w:val="21"/>
              </w:rPr>
              <w:t>2</w:t>
            </w:r>
          </w:p>
        </w:tc>
        <w:tc>
          <w:tcPr>
            <w:tcW w:w="1395" w:type="dxa"/>
            <w:tcBorders>
              <w:top w:val="single" w:sz="4" w:space="0" w:color="auto"/>
              <w:left w:val="single" w:sz="4" w:space="0" w:color="auto"/>
              <w:bottom w:val="single" w:sz="4" w:space="0" w:color="auto"/>
              <w:right w:val="single" w:sz="4" w:space="0" w:color="auto"/>
            </w:tcBorders>
          </w:tcPr>
          <w:p w14:paraId="719E5855" w14:textId="77777777" w:rsidR="009219A0" w:rsidRDefault="00000000">
            <w:pPr>
              <w:spacing w:line="500" w:lineRule="exact"/>
              <w:ind w:firstLineChars="0" w:firstLine="0"/>
              <w:jc w:val="center"/>
              <w:rPr>
                <w:rFonts w:ascii="宋体" w:hAnsi="宋体" w:hint="eastAsia"/>
                <w:color w:val="auto"/>
                <w:kern w:val="0"/>
                <w:sz w:val="21"/>
                <w:szCs w:val="21"/>
              </w:rPr>
            </w:pPr>
            <w:r>
              <w:rPr>
                <w:rFonts w:ascii="宋体" w:hAnsi="宋体" w:hint="eastAsia"/>
                <w:color w:val="auto"/>
                <w:kern w:val="0"/>
                <w:sz w:val="21"/>
                <w:szCs w:val="21"/>
              </w:rPr>
              <w:t>实验室</w:t>
            </w:r>
          </w:p>
        </w:tc>
        <w:tc>
          <w:tcPr>
            <w:tcW w:w="709" w:type="dxa"/>
            <w:tcBorders>
              <w:top w:val="single" w:sz="4" w:space="0" w:color="auto"/>
              <w:left w:val="single" w:sz="4" w:space="0" w:color="auto"/>
              <w:bottom w:val="single" w:sz="4" w:space="0" w:color="auto"/>
              <w:right w:val="single" w:sz="4" w:space="0" w:color="auto"/>
            </w:tcBorders>
          </w:tcPr>
          <w:p w14:paraId="62AFB3E1" w14:textId="77777777" w:rsidR="009219A0" w:rsidRDefault="00000000">
            <w:pPr>
              <w:spacing w:line="500" w:lineRule="exact"/>
              <w:ind w:firstLineChars="0" w:firstLine="0"/>
              <w:jc w:val="center"/>
              <w:rPr>
                <w:rFonts w:ascii="宋体" w:hAnsi="宋体" w:cs="宋体" w:hint="eastAsia"/>
                <w:color w:val="auto"/>
                <w:kern w:val="0"/>
                <w:sz w:val="21"/>
                <w:szCs w:val="21"/>
              </w:rPr>
            </w:pPr>
            <w:r>
              <w:rPr>
                <w:rFonts w:ascii="宋体" w:hAnsi="宋体" w:cs="宋体" w:hint="eastAsia"/>
                <w:color w:val="auto"/>
                <w:kern w:val="0"/>
                <w:sz w:val="21"/>
                <w:szCs w:val="21"/>
              </w:rPr>
              <w:t>2F</w:t>
            </w:r>
          </w:p>
        </w:tc>
        <w:tc>
          <w:tcPr>
            <w:tcW w:w="1276" w:type="dxa"/>
            <w:tcBorders>
              <w:top w:val="single" w:sz="4" w:space="0" w:color="auto"/>
              <w:left w:val="single" w:sz="4" w:space="0" w:color="auto"/>
              <w:bottom w:val="single" w:sz="4" w:space="0" w:color="auto"/>
              <w:right w:val="single" w:sz="4" w:space="0" w:color="auto"/>
            </w:tcBorders>
            <w:vAlign w:val="center"/>
          </w:tcPr>
          <w:p w14:paraId="0994BA73" w14:textId="77777777" w:rsidR="009219A0" w:rsidRDefault="00000000">
            <w:pPr>
              <w:adjustRightInd/>
              <w:snapToGrid/>
              <w:ind w:firstLineChars="0" w:firstLine="0"/>
              <w:jc w:val="center"/>
              <w:rPr>
                <w:rFonts w:ascii="宋体" w:hAnsi="宋体" w:hint="eastAsia"/>
                <w:color w:val="auto"/>
                <w:sz w:val="21"/>
                <w:szCs w:val="21"/>
              </w:rPr>
            </w:pPr>
            <w:r>
              <w:rPr>
                <w:rFonts w:ascii="宋体" w:hAnsi="宋体" w:hint="eastAsia"/>
                <w:color w:val="auto"/>
                <w:sz w:val="21"/>
                <w:szCs w:val="21"/>
              </w:rPr>
              <w:t>2.8</w:t>
            </w:r>
          </w:p>
        </w:tc>
        <w:tc>
          <w:tcPr>
            <w:tcW w:w="1134" w:type="dxa"/>
            <w:tcBorders>
              <w:top w:val="single" w:sz="4" w:space="0" w:color="auto"/>
              <w:left w:val="single" w:sz="4" w:space="0" w:color="auto"/>
              <w:bottom w:val="single" w:sz="4" w:space="0" w:color="auto"/>
              <w:right w:val="single" w:sz="4" w:space="0" w:color="auto"/>
            </w:tcBorders>
            <w:vAlign w:val="center"/>
          </w:tcPr>
          <w:p w14:paraId="29C17CFC" w14:textId="77777777" w:rsidR="009219A0" w:rsidRDefault="00000000">
            <w:pPr>
              <w:adjustRightInd/>
              <w:snapToGrid/>
              <w:ind w:firstLineChars="0" w:firstLine="0"/>
              <w:jc w:val="center"/>
              <w:rPr>
                <w:rFonts w:ascii="宋体" w:hAnsi="宋体" w:hint="eastAsia"/>
                <w:color w:val="auto"/>
                <w:sz w:val="21"/>
                <w:szCs w:val="21"/>
              </w:rPr>
            </w:pPr>
            <w:r>
              <w:rPr>
                <w:rFonts w:ascii="宋体" w:hAnsi="宋体" w:hint="eastAsia"/>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14:paraId="7EE493A7" w14:textId="77777777" w:rsidR="009219A0" w:rsidRDefault="00000000">
            <w:pPr>
              <w:adjustRightInd/>
              <w:snapToGrid/>
              <w:ind w:firstLineChars="0" w:firstLine="0"/>
              <w:jc w:val="center"/>
              <w:rPr>
                <w:rFonts w:ascii="宋体" w:hAnsi="宋体" w:hint="eastAsia"/>
                <w:color w:val="auto"/>
                <w:sz w:val="21"/>
                <w:szCs w:val="21"/>
              </w:rPr>
            </w:pPr>
            <w:r>
              <w:rPr>
                <w:rFonts w:ascii="宋体" w:hAnsi="宋体" w:hint="eastAsia"/>
                <w:color w:val="auto"/>
                <w:sz w:val="21"/>
                <w:szCs w:val="21"/>
              </w:rPr>
              <w:t>二级</w:t>
            </w:r>
          </w:p>
        </w:tc>
        <w:tc>
          <w:tcPr>
            <w:tcW w:w="1134" w:type="dxa"/>
            <w:tcBorders>
              <w:top w:val="single" w:sz="4" w:space="0" w:color="auto"/>
              <w:left w:val="single" w:sz="4" w:space="0" w:color="auto"/>
              <w:bottom w:val="single" w:sz="4" w:space="0" w:color="auto"/>
              <w:right w:val="single" w:sz="4" w:space="0" w:color="auto"/>
            </w:tcBorders>
          </w:tcPr>
          <w:p w14:paraId="22017225" w14:textId="77777777" w:rsidR="009219A0" w:rsidRDefault="00000000">
            <w:pPr>
              <w:spacing w:line="500" w:lineRule="exact"/>
              <w:ind w:firstLineChars="0" w:firstLine="0"/>
              <w:jc w:val="center"/>
              <w:rPr>
                <w:rFonts w:ascii="宋体" w:hAnsi="宋体" w:hint="eastAsia"/>
                <w:color w:val="auto"/>
                <w:kern w:val="0"/>
                <w:sz w:val="21"/>
                <w:szCs w:val="21"/>
              </w:rPr>
            </w:pPr>
            <w:r>
              <w:rPr>
                <w:rFonts w:ascii="宋体" w:hAnsi="宋体" w:hint="eastAsia"/>
                <w:color w:val="auto"/>
                <w:kern w:val="0"/>
                <w:sz w:val="21"/>
                <w:szCs w:val="21"/>
              </w:rPr>
              <w:t>约30</w:t>
            </w:r>
          </w:p>
        </w:tc>
        <w:tc>
          <w:tcPr>
            <w:tcW w:w="1169" w:type="dxa"/>
            <w:tcBorders>
              <w:top w:val="single" w:sz="4" w:space="0" w:color="auto"/>
              <w:left w:val="single" w:sz="4" w:space="0" w:color="auto"/>
              <w:bottom w:val="single" w:sz="4" w:space="0" w:color="auto"/>
              <w:right w:val="single" w:sz="4" w:space="0" w:color="auto"/>
            </w:tcBorders>
          </w:tcPr>
          <w:p w14:paraId="2C84AE50" w14:textId="77777777" w:rsidR="009219A0" w:rsidRDefault="00000000">
            <w:pPr>
              <w:spacing w:line="500" w:lineRule="exact"/>
              <w:ind w:firstLineChars="0" w:firstLine="0"/>
              <w:jc w:val="center"/>
              <w:rPr>
                <w:rFonts w:ascii="宋体" w:hAnsi="宋体" w:cs="宋体" w:hint="eastAsia"/>
                <w:color w:val="auto"/>
                <w:kern w:val="0"/>
                <w:sz w:val="21"/>
                <w:szCs w:val="21"/>
              </w:rPr>
            </w:pPr>
            <w:r>
              <w:rPr>
                <w:rFonts w:ascii="宋体" w:hAnsi="宋体" w:cs="宋体" w:hint="eastAsia"/>
                <w:color w:val="auto"/>
                <w:kern w:val="0"/>
                <w:sz w:val="21"/>
                <w:szCs w:val="21"/>
              </w:rPr>
              <w:t>砖混</w:t>
            </w:r>
          </w:p>
        </w:tc>
        <w:tc>
          <w:tcPr>
            <w:tcW w:w="849" w:type="dxa"/>
            <w:tcBorders>
              <w:top w:val="single" w:sz="4" w:space="0" w:color="auto"/>
              <w:left w:val="single" w:sz="4" w:space="0" w:color="auto"/>
              <w:bottom w:val="single" w:sz="4" w:space="0" w:color="auto"/>
              <w:right w:val="single" w:sz="4" w:space="0" w:color="auto"/>
            </w:tcBorders>
            <w:vAlign w:val="center"/>
          </w:tcPr>
          <w:p w14:paraId="792007BA" w14:textId="77777777" w:rsidR="009219A0" w:rsidRDefault="009219A0">
            <w:pPr>
              <w:adjustRightInd/>
              <w:snapToGrid/>
              <w:ind w:firstLineChars="0" w:firstLine="0"/>
              <w:jc w:val="center"/>
              <w:rPr>
                <w:rFonts w:ascii="宋体" w:hAnsi="宋体" w:hint="eastAsia"/>
                <w:color w:val="auto"/>
                <w:sz w:val="21"/>
                <w:szCs w:val="21"/>
              </w:rPr>
            </w:pPr>
          </w:p>
        </w:tc>
      </w:tr>
      <w:tr w:rsidR="009219A0" w14:paraId="753FD284" w14:textId="77777777">
        <w:trPr>
          <w:cantSplit/>
          <w:trHeight w:val="705"/>
          <w:jc w:val="center"/>
        </w:trPr>
        <w:tc>
          <w:tcPr>
            <w:tcW w:w="9072" w:type="dxa"/>
            <w:gridSpan w:val="9"/>
            <w:tcBorders>
              <w:top w:val="single" w:sz="4" w:space="0" w:color="auto"/>
              <w:left w:val="single" w:sz="4" w:space="0" w:color="auto"/>
              <w:bottom w:val="single" w:sz="4" w:space="0" w:color="auto"/>
              <w:right w:val="single" w:sz="4" w:space="0" w:color="auto"/>
            </w:tcBorders>
            <w:vAlign w:val="center"/>
          </w:tcPr>
          <w:p w14:paraId="03E3AEDE"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lastRenderedPageBreak/>
              <w:t>注：</w:t>
            </w:r>
          </w:p>
          <w:p w14:paraId="50B835FE"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1.建筑的施工图设计应按照《建筑设计防火规范（2018版）》（GB50016-2014）进行施工设计。</w:t>
            </w:r>
          </w:p>
          <w:p w14:paraId="45FC25B8"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2.根据《建筑抗震设计标准（2024年版）》（GB 50011-2010）附录A，个旧市地震基本烈度为7度，设计基本地震加速度值0.15g，设计地震分组第三组。</w:t>
            </w:r>
          </w:p>
        </w:tc>
      </w:tr>
    </w:tbl>
    <w:p w14:paraId="2C7C0784" w14:textId="77777777" w:rsidR="009219A0" w:rsidRDefault="009219A0">
      <w:pPr>
        <w:pStyle w:val="Default1"/>
        <w:rPr>
          <w:rFonts w:hint="default"/>
          <w:color w:val="auto"/>
        </w:rPr>
      </w:pPr>
    </w:p>
    <w:p w14:paraId="2D392CA5" w14:textId="77777777" w:rsidR="009219A0" w:rsidRDefault="00000000">
      <w:pPr>
        <w:pStyle w:val="3"/>
        <w:rPr>
          <w:rFonts w:hint="eastAsia"/>
        </w:rPr>
      </w:pPr>
      <w:bookmarkStart w:id="71" w:name="_Toc211950414"/>
      <w:r>
        <w:t>2.</w:t>
      </w:r>
      <w:r>
        <w:rPr>
          <w:rFonts w:hint="eastAsia"/>
        </w:rPr>
        <w:t>2</w:t>
      </w:r>
      <w:r>
        <w:t>.</w:t>
      </w:r>
      <w:r>
        <w:rPr>
          <w:rFonts w:hint="eastAsia"/>
        </w:rPr>
        <w:t>12 项目涉及的主要原辅材料和产品</w:t>
      </w:r>
      <w:bookmarkEnd w:id="71"/>
    </w:p>
    <w:p w14:paraId="057279AE" w14:textId="77777777" w:rsidR="009219A0" w:rsidRDefault="00000000">
      <w:pPr>
        <w:ind w:firstLine="560"/>
        <w:rPr>
          <w:color w:val="auto"/>
        </w:rPr>
      </w:pPr>
      <w:r>
        <w:rPr>
          <w:rFonts w:hint="eastAsia"/>
          <w:color w:val="auto"/>
        </w:rPr>
        <w:t>项目涉及到的主要物质有：铁粉、硫铁矿、氧化钙、硫化钙、硫酸（</w:t>
      </w:r>
      <w:r>
        <w:rPr>
          <w:rFonts w:hint="eastAsia"/>
          <w:color w:val="auto"/>
        </w:rPr>
        <w:t>98%</w:t>
      </w:r>
      <w:r>
        <w:rPr>
          <w:rFonts w:hint="eastAsia"/>
          <w:color w:val="auto"/>
        </w:rPr>
        <w:t>）、盐酸、氯化钠。储存信息见下表：</w:t>
      </w:r>
    </w:p>
    <w:p w14:paraId="13B2C37B" w14:textId="77777777" w:rsidR="009219A0" w:rsidRDefault="00000000">
      <w:pPr>
        <w:widowControl/>
        <w:topLinePunct/>
        <w:spacing w:beforeLines="50" w:before="120"/>
        <w:ind w:firstLineChars="0" w:firstLine="0"/>
        <w:jc w:val="center"/>
        <w:textAlignment w:val="baseline"/>
        <w:rPr>
          <w:rFonts w:ascii="Calibri" w:hAnsi="Calibri"/>
          <w:color w:val="auto"/>
          <w:szCs w:val="28"/>
        </w:rPr>
      </w:pPr>
      <w:r>
        <w:rPr>
          <w:rFonts w:ascii="宋体" w:hAnsi="宋体" w:hint="eastAsia"/>
          <w:color w:val="auto"/>
          <w:kern w:val="0"/>
          <w:szCs w:val="28"/>
        </w:rPr>
        <w:t>表2.2-11  项目涉及的主要物质及储存信息表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728"/>
        <w:gridCol w:w="1786"/>
        <w:gridCol w:w="1092"/>
        <w:gridCol w:w="1489"/>
        <w:gridCol w:w="2267"/>
      </w:tblGrid>
      <w:tr w:rsidR="009219A0" w14:paraId="25E322D9" w14:textId="77777777">
        <w:trPr>
          <w:trHeight w:val="400"/>
          <w:jc w:val="center"/>
        </w:trPr>
        <w:tc>
          <w:tcPr>
            <w:tcW w:w="710" w:type="dxa"/>
            <w:noWrap/>
            <w:vAlign w:val="center"/>
          </w:tcPr>
          <w:p w14:paraId="4C021329" w14:textId="77777777" w:rsidR="009219A0" w:rsidRDefault="00000000">
            <w:pPr>
              <w:widowControl/>
              <w:spacing w:line="240" w:lineRule="auto"/>
              <w:ind w:firstLineChars="0" w:firstLine="0"/>
              <w:jc w:val="center"/>
              <w:rPr>
                <w:rFonts w:ascii="宋体" w:hAnsi="宋体" w:cs="宋体" w:hint="eastAsia"/>
                <w:b/>
                <w:kern w:val="0"/>
                <w:sz w:val="21"/>
                <w:szCs w:val="21"/>
              </w:rPr>
            </w:pPr>
            <w:r>
              <w:rPr>
                <w:rFonts w:ascii="宋体" w:hAnsi="宋体" w:cs="宋体" w:hint="eastAsia"/>
                <w:b/>
                <w:kern w:val="0"/>
                <w:sz w:val="21"/>
                <w:szCs w:val="21"/>
              </w:rPr>
              <w:t>编号</w:t>
            </w:r>
          </w:p>
        </w:tc>
        <w:tc>
          <w:tcPr>
            <w:tcW w:w="1728" w:type="dxa"/>
            <w:noWrap/>
            <w:vAlign w:val="center"/>
          </w:tcPr>
          <w:p w14:paraId="06A5DEB2" w14:textId="77777777" w:rsidR="009219A0" w:rsidRDefault="00000000">
            <w:pPr>
              <w:widowControl/>
              <w:spacing w:line="240" w:lineRule="auto"/>
              <w:ind w:firstLineChars="0" w:firstLine="0"/>
              <w:jc w:val="center"/>
              <w:rPr>
                <w:rFonts w:ascii="宋体" w:hAnsi="宋体" w:cs="宋体" w:hint="eastAsia"/>
                <w:b/>
                <w:kern w:val="0"/>
                <w:sz w:val="21"/>
                <w:szCs w:val="21"/>
              </w:rPr>
            </w:pPr>
            <w:r>
              <w:rPr>
                <w:rFonts w:ascii="宋体" w:hAnsi="宋体" w:cs="宋体" w:hint="eastAsia"/>
                <w:b/>
                <w:kern w:val="0"/>
                <w:sz w:val="21"/>
                <w:szCs w:val="21"/>
              </w:rPr>
              <w:t>名称</w:t>
            </w:r>
          </w:p>
        </w:tc>
        <w:tc>
          <w:tcPr>
            <w:tcW w:w="1786" w:type="dxa"/>
            <w:noWrap/>
            <w:vAlign w:val="center"/>
          </w:tcPr>
          <w:p w14:paraId="245CFB21" w14:textId="77777777" w:rsidR="009219A0" w:rsidRDefault="00000000">
            <w:pPr>
              <w:widowControl/>
              <w:spacing w:line="240" w:lineRule="auto"/>
              <w:ind w:firstLineChars="0" w:firstLine="0"/>
              <w:jc w:val="center"/>
              <w:rPr>
                <w:rFonts w:ascii="宋体" w:hAnsi="宋体" w:cs="宋体" w:hint="eastAsia"/>
                <w:b/>
                <w:color w:val="FF0000"/>
                <w:kern w:val="0"/>
                <w:sz w:val="21"/>
                <w:szCs w:val="21"/>
              </w:rPr>
            </w:pPr>
            <w:r>
              <w:rPr>
                <w:rFonts w:ascii="宋体" w:hAnsi="宋体" w:cs="宋体" w:hint="eastAsia"/>
                <w:b/>
                <w:color w:val="auto"/>
                <w:kern w:val="0"/>
                <w:sz w:val="21"/>
                <w:szCs w:val="21"/>
              </w:rPr>
              <w:t>产品规格/浓度</w:t>
            </w:r>
          </w:p>
        </w:tc>
        <w:tc>
          <w:tcPr>
            <w:tcW w:w="1092" w:type="dxa"/>
            <w:noWrap/>
            <w:vAlign w:val="center"/>
          </w:tcPr>
          <w:p w14:paraId="1E1AD7C3" w14:textId="77777777" w:rsidR="009219A0" w:rsidRDefault="00000000">
            <w:pPr>
              <w:widowControl/>
              <w:spacing w:line="240" w:lineRule="auto"/>
              <w:ind w:firstLineChars="0" w:firstLine="0"/>
              <w:jc w:val="center"/>
              <w:rPr>
                <w:rFonts w:ascii="宋体" w:hAnsi="宋体" w:cs="宋体" w:hint="eastAsia"/>
                <w:b/>
                <w:kern w:val="0"/>
                <w:sz w:val="21"/>
                <w:szCs w:val="21"/>
              </w:rPr>
            </w:pPr>
            <w:r>
              <w:rPr>
                <w:rFonts w:ascii="宋体" w:hAnsi="宋体" w:cs="宋体" w:hint="eastAsia"/>
                <w:b/>
                <w:kern w:val="0"/>
                <w:sz w:val="21"/>
                <w:szCs w:val="21"/>
              </w:rPr>
              <w:t>年用量</w:t>
            </w:r>
          </w:p>
        </w:tc>
        <w:tc>
          <w:tcPr>
            <w:tcW w:w="1489" w:type="dxa"/>
            <w:noWrap/>
            <w:vAlign w:val="center"/>
          </w:tcPr>
          <w:p w14:paraId="06D42537" w14:textId="77777777" w:rsidR="009219A0" w:rsidRDefault="00000000">
            <w:pPr>
              <w:widowControl/>
              <w:spacing w:line="240" w:lineRule="auto"/>
              <w:ind w:firstLineChars="0" w:firstLine="0"/>
              <w:jc w:val="center"/>
              <w:rPr>
                <w:rFonts w:ascii="宋体" w:hAnsi="宋体" w:cs="宋体" w:hint="eastAsia"/>
                <w:b/>
                <w:kern w:val="0"/>
                <w:sz w:val="21"/>
                <w:szCs w:val="21"/>
              </w:rPr>
            </w:pPr>
            <w:r>
              <w:rPr>
                <w:rFonts w:ascii="宋体" w:hAnsi="宋体" w:cs="宋体" w:hint="eastAsia"/>
                <w:b/>
                <w:kern w:val="0"/>
                <w:sz w:val="21"/>
                <w:szCs w:val="21"/>
              </w:rPr>
              <w:t>最大储量</w:t>
            </w:r>
          </w:p>
        </w:tc>
        <w:tc>
          <w:tcPr>
            <w:tcW w:w="2267" w:type="dxa"/>
            <w:noWrap/>
            <w:vAlign w:val="center"/>
          </w:tcPr>
          <w:p w14:paraId="13A46C80" w14:textId="77777777" w:rsidR="009219A0" w:rsidRDefault="00000000">
            <w:pPr>
              <w:widowControl/>
              <w:spacing w:line="240" w:lineRule="auto"/>
              <w:ind w:firstLineChars="0" w:firstLine="0"/>
              <w:jc w:val="center"/>
              <w:rPr>
                <w:rFonts w:ascii="宋体" w:hAnsi="宋体" w:cs="宋体" w:hint="eastAsia"/>
                <w:b/>
                <w:kern w:val="0"/>
                <w:sz w:val="21"/>
                <w:szCs w:val="21"/>
              </w:rPr>
            </w:pPr>
            <w:r>
              <w:rPr>
                <w:rFonts w:ascii="宋体" w:hAnsi="宋体" w:cs="宋体" w:hint="eastAsia"/>
                <w:b/>
                <w:kern w:val="0"/>
                <w:sz w:val="21"/>
                <w:szCs w:val="21"/>
              </w:rPr>
              <w:t>储存场所</w:t>
            </w:r>
          </w:p>
        </w:tc>
      </w:tr>
      <w:tr w:rsidR="009219A0" w14:paraId="603DAD6C" w14:textId="77777777">
        <w:trPr>
          <w:trHeight w:val="400"/>
          <w:jc w:val="center"/>
        </w:trPr>
        <w:tc>
          <w:tcPr>
            <w:tcW w:w="710" w:type="dxa"/>
            <w:noWrap/>
            <w:vAlign w:val="center"/>
          </w:tcPr>
          <w:p w14:paraId="15BCA917"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1</w:t>
            </w:r>
          </w:p>
        </w:tc>
        <w:tc>
          <w:tcPr>
            <w:tcW w:w="1728" w:type="dxa"/>
            <w:noWrap/>
            <w:vAlign w:val="center"/>
          </w:tcPr>
          <w:p w14:paraId="01AF8B0F"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氧化钙</w:t>
            </w:r>
          </w:p>
        </w:tc>
        <w:tc>
          <w:tcPr>
            <w:tcW w:w="1786" w:type="dxa"/>
            <w:noWrap/>
            <w:vAlign w:val="center"/>
          </w:tcPr>
          <w:p w14:paraId="46767EAA" w14:textId="77777777" w:rsidR="009219A0" w:rsidRDefault="00000000">
            <w:pPr>
              <w:widowControl/>
              <w:spacing w:line="240" w:lineRule="auto"/>
              <w:ind w:firstLineChars="0" w:firstLine="0"/>
              <w:jc w:val="center"/>
              <w:rPr>
                <w:rFonts w:ascii="宋体" w:hAnsi="宋体" w:hint="eastAsia"/>
                <w:color w:val="auto"/>
                <w:kern w:val="0"/>
                <w:sz w:val="21"/>
                <w:szCs w:val="21"/>
              </w:rPr>
            </w:pPr>
            <w:r>
              <w:rPr>
                <w:rFonts w:ascii="宋体" w:hAnsi="宋体" w:hint="eastAsia"/>
                <w:color w:val="auto"/>
                <w:kern w:val="0"/>
                <w:sz w:val="21"/>
                <w:szCs w:val="21"/>
              </w:rPr>
              <w:t>/</w:t>
            </w:r>
          </w:p>
        </w:tc>
        <w:tc>
          <w:tcPr>
            <w:tcW w:w="1092" w:type="dxa"/>
            <w:noWrap/>
            <w:vAlign w:val="center"/>
          </w:tcPr>
          <w:p w14:paraId="4AE60CC9"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182.27t</w:t>
            </w:r>
          </w:p>
        </w:tc>
        <w:tc>
          <w:tcPr>
            <w:tcW w:w="1489" w:type="dxa"/>
            <w:noWrap/>
            <w:vAlign w:val="center"/>
          </w:tcPr>
          <w:p w14:paraId="7685615E"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2t</w:t>
            </w:r>
          </w:p>
        </w:tc>
        <w:tc>
          <w:tcPr>
            <w:tcW w:w="2267" w:type="dxa"/>
            <w:noWrap/>
            <w:vAlign w:val="center"/>
          </w:tcPr>
          <w:p w14:paraId="75F557FE"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原料堆放区</w:t>
            </w:r>
          </w:p>
        </w:tc>
      </w:tr>
      <w:tr w:rsidR="009219A0" w14:paraId="2BE284C6" w14:textId="77777777">
        <w:trPr>
          <w:trHeight w:val="400"/>
          <w:jc w:val="center"/>
        </w:trPr>
        <w:tc>
          <w:tcPr>
            <w:tcW w:w="710" w:type="dxa"/>
            <w:noWrap/>
            <w:vAlign w:val="center"/>
          </w:tcPr>
          <w:p w14:paraId="3932F5B5"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2</w:t>
            </w:r>
          </w:p>
        </w:tc>
        <w:tc>
          <w:tcPr>
            <w:tcW w:w="1728" w:type="dxa"/>
            <w:noWrap/>
            <w:vAlign w:val="center"/>
          </w:tcPr>
          <w:p w14:paraId="7308E2B0"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硫化钙</w:t>
            </w:r>
          </w:p>
        </w:tc>
        <w:tc>
          <w:tcPr>
            <w:tcW w:w="1786" w:type="dxa"/>
            <w:noWrap/>
            <w:vAlign w:val="center"/>
          </w:tcPr>
          <w:p w14:paraId="36ED7425"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w:t>
            </w:r>
          </w:p>
        </w:tc>
        <w:tc>
          <w:tcPr>
            <w:tcW w:w="1092" w:type="dxa"/>
            <w:noWrap/>
            <w:vAlign w:val="center"/>
          </w:tcPr>
          <w:p w14:paraId="4E8D932C"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207.62t</w:t>
            </w:r>
          </w:p>
        </w:tc>
        <w:tc>
          <w:tcPr>
            <w:tcW w:w="1489" w:type="dxa"/>
            <w:noWrap/>
            <w:vAlign w:val="center"/>
          </w:tcPr>
          <w:p w14:paraId="2853CFC2"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2t</w:t>
            </w:r>
          </w:p>
        </w:tc>
        <w:tc>
          <w:tcPr>
            <w:tcW w:w="2267" w:type="dxa"/>
            <w:noWrap/>
            <w:vAlign w:val="center"/>
          </w:tcPr>
          <w:p w14:paraId="325617F9"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原料堆放区</w:t>
            </w:r>
          </w:p>
        </w:tc>
      </w:tr>
      <w:tr w:rsidR="009219A0" w14:paraId="24AE0D8D" w14:textId="77777777">
        <w:trPr>
          <w:trHeight w:val="400"/>
          <w:jc w:val="center"/>
        </w:trPr>
        <w:tc>
          <w:tcPr>
            <w:tcW w:w="710" w:type="dxa"/>
            <w:noWrap/>
            <w:vAlign w:val="center"/>
          </w:tcPr>
          <w:p w14:paraId="2C0C6730"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3</w:t>
            </w:r>
          </w:p>
        </w:tc>
        <w:tc>
          <w:tcPr>
            <w:tcW w:w="1728" w:type="dxa"/>
            <w:noWrap/>
            <w:vAlign w:val="center"/>
          </w:tcPr>
          <w:p w14:paraId="72DF6C4F"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铁粉</w:t>
            </w:r>
          </w:p>
        </w:tc>
        <w:tc>
          <w:tcPr>
            <w:tcW w:w="1786" w:type="dxa"/>
            <w:noWrap/>
            <w:vAlign w:val="center"/>
          </w:tcPr>
          <w:p w14:paraId="004B04AB" w14:textId="77777777" w:rsidR="009219A0" w:rsidRDefault="009219A0">
            <w:pPr>
              <w:widowControl/>
              <w:spacing w:line="240" w:lineRule="auto"/>
              <w:ind w:firstLineChars="0" w:firstLine="0"/>
              <w:jc w:val="center"/>
              <w:rPr>
                <w:rFonts w:ascii="宋体" w:hAnsi="宋体" w:cs="宋体" w:hint="eastAsia"/>
                <w:kern w:val="0"/>
                <w:sz w:val="21"/>
                <w:szCs w:val="21"/>
              </w:rPr>
            </w:pPr>
          </w:p>
        </w:tc>
        <w:tc>
          <w:tcPr>
            <w:tcW w:w="1092" w:type="dxa"/>
            <w:noWrap/>
            <w:vAlign w:val="center"/>
          </w:tcPr>
          <w:p w14:paraId="58FED23C"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24600t</w:t>
            </w:r>
          </w:p>
        </w:tc>
        <w:tc>
          <w:tcPr>
            <w:tcW w:w="1489" w:type="dxa"/>
            <w:noWrap/>
            <w:vAlign w:val="center"/>
          </w:tcPr>
          <w:p w14:paraId="42D437E4"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10000t</w:t>
            </w:r>
          </w:p>
        </w:tc>
        <w:tc>
          <w:tcPr>
            <w:tcW w:w="2267" w:type="dxa"/>
            <w:noWrap/>
            <w:vAlign w:val="center"/>
          </w:tcPr>
          <w:p w14:paraId="627103DD"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kern w:val="0"/>
                <w:sz w:val="21"/>
                <w:szCs w:val="21"/>
              </w:rPr>
              <w:t>原料堆放区</w:t>
            </w:r>
          </w:p>
        </w:tc>
      </w:tr>
      <w:tr w:rsidR="009219A0" w14:paraId="02AE7BED" w14:textId="77777777">
        <w:trPr>
          <w:trHeight w:val="400"/>
          <w:jc w:val="center"/>
        </w:trPr>
        <w:tc>
          <w:tcPr>
            <w:tcW w:w="710" w:type="dxa"/>
            <w:noWrap/>
            <w:vAlign w:val="center"/>
          </w:tcPr>
          <w:p w14:paraId="444AB303"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4</w:t>
            </w:r>
          </w:p>
        </w:tc>
        <w:tc>
          <w:tcPr>
            <w:tcW w:w="1728" w:type="dxa"/>
            <w:noWrap/>
            <w:vAlign w:val="center"/>
          </w:tcPr>
          <w:p w14:paraId="00C25D4D"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硫酸</w:t>
            </w:r>
          </w:p>
        </w:tc>
        <w:tc>
          <w:tcPr>
            <w:tcW w:w="1786" w:type="dxa"/>
            <w:noWrap/>
            <w:vAlign w:val="center"/>
          </w:tcPr>
          <w:p w14:paraId="3B81F2F8" w14:textId="77777777" w:rsidR="009219A0" w:rsidRDefault="00000000">
            <w:pPr>
              <w:widowControl/>
              <w:spacing w:line="240" w:lineRule="auto"/>
              <w:ind w:firstLineChars="0" w:firstLine="0"/>
              <w:jc w:val="center"/>
              <w:rPr>
                <w:rFonts w:ascii="宋体" w:hAnsi="宋体" w:hint="eastAsia"/>
                <w:color w:val="auto"/>
                <w:kern w:val="0"/>
                <w:sz w:val="21"/>
                <w:szCs w:val="21"/>
              </w:rPr>
            </w:pPr>
            <w:r>
              <w:rPr>
                <w:rFonts w:ascii="宋体" w:hAnsi="宋体" w:cs="宋体" w:hint="eastAsia"/>
                <w:kern w:val="0"/>
                <w:sz w:val="21"/>
                <w:szCs w:val="21"/>
              </w:rPr>
              <w:t>98%</w:t>
            </w:r>
          </w:p>
        </w:tc>
        <w:tc>
          <w:tcPr>
            <w:tcW w:w="1092" w:type="dxa"/>
            <w:noWrap/>
            <w:vAlign w:val="center"/>
          </w:tcPr>
          <w:p w14:paraId="0352DD14"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313.78t</w:t>
            </w:r>
          </w:p>
        </w:tc>
        <w:tc>
          <w:tcPr>
            <w:tcW w:w="1489" w:type="dxa"/>
            <w:noWrap/>
            <w:vAlign w:val="center"/>
          </w:tcPr>
          <w:p w14:paraId="1CF80410"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15m</w:t>
            </w:r>
            <w:r>
              <w:rPr>
                <w:rFonts w:ascii="宋体" w:hAnsi="宋体" w:cs="宋体" w:hint="eastAsia"/>
                <w:kern w:val="0"/>
                <w:sz w:val="21"/>
                <w:szCs w:val="21"/>
                <w:vertAlign w:val="superscript"/>
              </w:rPr>
              <w:t>3</w:t>
            </w:r>
          </w:p>
        </w:tc>
        <w:tc>
          <w:tcPr>
            <w:tcW w:w="2267" w:type="dxa"/>
            <w:noWrap/>
            <w:vAlign w:val="center"/>
          </w:tcPr>
          <w:p w14:paraId="71C08B57"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kern w:val="0"/>
                <w:sz w:val="21"/>
                <w:szCs w:val="21"/>
              </w:rPr>
              <w:t>储罐</w:t>
            </w:r>
          </w:p>
        </w:tc>
      </w:tr>
      <w:tr w:rsidR="009219A0" w14:paraId="0308F66C" w14:textId="77777777">
        <w:trPr>
          <w:trHeight w:val="400"/>
          <w:jc w:val="center"/>
        </w:trPr>
        <w:tc>
          <w:tcPr>
            <w:tcW w:w="710" w:type="dxa"/>
            <w:noWrap/>
            <w:vAlign w:val="center"/>
          </w:tcPr>
          <w:p w14:paraId="7AD4D530"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5</w:t>
            </w:r>
          </w:p>
        </w:tc>
        <w:tc>
          <w:tcPr>
            <w:tcW w:w="1728" w:type="dxa"/>
            <w:noWrap/>
            <w:vAlign w:val="center"/>
          </w:tcPr>
          <w:p w14:paraId="52038514"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盐酸</w:t>
            </w:r>
          </w:p>
        </w:tc>
        <w:tc>
          <w:tcPr>
            <w:tcW w:w="1786" w:type="dxa"/>
            <w:noWrap/>
            <w:vAlign w:val="center"/>
          </w:tcPr>
          <w:p w14:paraId="6C153DBC"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30%</w:t>
            </w:r>
          </w:p>
        </w:tc>
        <w:tc>
          <w:tcPr>
            <w:tcW w:w="1092" w:type="dxa"/>
            <w:noWrap/>
            <w:vAlign w:val="center"/>
          </w:tcPr>
          <w:p w14:paraId="05EE3D9A"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670t</w:t>
            </w:r>
          </w:p>
        </w:tc>
        <w:tc>
          <w:tcPr>
            <w:tcW w:w="1489" w:type="dxa"/>
            <w:noWrap/>
            <w:vAlign w:val="center"/>
          </w:tcPr>
          <w:p w14:paraId="1FBDEA6E"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60m</w:t>
            </w:r>
            <w:r>
              <w:rPr>
                <w:rFonts w:ascii="宋体" w:hAnsi="宋体" w:cs="宋体" w:hint="eastAsia"/>
                <w:kern w:val="0"/>
                <w:sz w:val="21"/>
                <w:szCs w:val="21"/>
                <w:vertAlign w:val="superscript"/>
              </w:rPr>
              <w:t>3</w:t>
            </w:r>
          </w:p>
        </w:tc>
        <w:tc>
          <w:tcPr>
            <w:tcW w:w="2267" w:type="dxa"/>
            <w:noWrap/>
            <w:vAlign w:val="center"/>
          </w:tcPr>
          <w:p w14:paraId="53D73B40"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color w:val="auto"/>
                <w:kern w:val="0"/>
                <w:sz w:val="21"/>
                <w:szCs w:val="21"/>
              </w:rPr>
              <w:t>盐酸储罐</w:t>
            </w:r>
          </w:p>
        </w:tc>
      </w:tr>
      <w:tr w:rsidR="009219A0" w14:paraId="126280AA" w14:textId="77777777">
        <w:trPr>
          <w:trHeight w:val="400"/>
          <w:jc w:val="center"/>
        </w:trPr>
        <w:tc>
          <w:tcPr>
            <w:tcW w:w="710" w:type="dxa"/>
            <w:noWrap/>
            <w:vAlign w:val="center"/>
          </w:tcPr>
          <w:p w14:paraId="09E23D7E"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6</w:t>
            </w:r>
          </w:p>
        </w:tc>
        <w:tc>
          <w:tcPr>
            <w:tcW w:w="1728" w:type="dxa"/>
            <w:noWrap/>
            <w:vAlign w:val="center"/>
          </w:tcPr>
          <w:p w14:paraId="475DBD5A"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氯化钠</w:t>
            </w:r>
          </w:p>
        </w:tc>
        <w:tc>
          <w:tcPr>
            <w:tcW w:w="1786" w:type="dxa"/>
            <w:noWrap/>
            <w:vAlign w:val="center"/>
          </w:tcPr>
          <w:p w14:paraId="72360777"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w:t>
            </w:r>
          </w:p>
        </w:tc>
        <w:tc>
          <w:tcPr>
            <w:tcW w:w="1092" w:type="dxa"/>
            <w:noWrap/>
            <w:vAlign w:val="center"/>
          </w:tcPr>
          <w:p w14:paraId="1DC952B9"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167.5t</w:t>
            </w:r>
          </w:p>
        </w:tc>
        <w:tc>
          <w:tcPr>
            <w:tcW w:w="1489" w:type="dxa"/>
            <w:noWrap/>
            <w:vAlign w:val="center"/>
          </w:tcPr>
          <w:p w14:paraId="4F774BA9"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w:t>
            </w:r>
          </w:p>
        </w:tc>
        <w:tc>
          <w:tcPr>
            <w:tcW w:w="2267" w:type="dxa"/>
            <w:noWrap/>
            <w:vAlign w:val="center"/>
          </w:tcPr>
          <w:p w14:paraId="2E9E8509"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kern w:val="0"/>
                <w:sz w:val="21"/>
                <w:szCs w:val="21"/>
              </w:rPr>
              <w:t>原料堆放区</w:t>
            </w:r>
          </w:p>
        </w:tc>
      </w:tr>
      <w:tr w:rsidR="009219A0" w14:paraId="4FF8953D" w14:textId="77777777">
        <w:trPr>
          <w:trHeight w:val="400"/>
          <w:jc w:val="center"/>
        </w:trPr>
        <w:tc>
          <w:tcPr>
            <w:tcW w:w="710" w:type="dxa"/>
            <w:noWrap/>
            <w:vAlign w:val="center"/>
          </w:tcPr>
          <w:p w14:paraId="67EEBDCA"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7</w:t>
            </w:r>
          </w:p>
        </w:tc>
        <w:tc>
          <w:tcPr>
            <w:tcW w:w="1728" w:type="dxa"/>
            <w:noWrap/>
            <w:vAlign w:val="center"/>
          </w:tcPr>
          <w:p w14:paraId="4CF3EBE3"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硫铁矿</w:t>
            </w:r>
          </w:p>
        </w:tc>
        <w:tc>
          <w:tcPr>
            <w:tcW w:w="1786" w:type="dxa"/>
            <w:noWrap/>
            <w:vAlign w:val="center"/>
          </w:tcPr>
          <w:p w14:paraId="44AD46D2" w14:textId="77777777" w:rsidR="009219A0" w:rsidRDefault="009219A0">
            <w:pPr>
              <w:widowControl/>
              <w:spacing w:line="240" w:lineRule="auto"/>
              <w:ind w:firstLineChars="0" w:firstLine="0"/>
              <w:jc w:val="center"/>
              <w:rPr>
                <w:rFonts w:ascii="宋体" w:hAnsi="宋体" w:cs="宋体" w:hint="eastAsia"/>
                <w:kern w:val="0"/>
                <w:sz w:val="21"/>
                <w:szCs w:val="21"/>
              </w:rPr>
            </w:pPr>
          </w:p>
        </w:tc>
        <w:tc>
          <w:tcPr>
            <w:tcW w:w="1092" w:type="dxa"/>
            <w:noWrap/>
            <w:vAlign w:val="center"/>
          </w:tcPr>
          <w:p w14:paraId="4682BA95"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40000t</w:t>
            </w:r>
          </w:p>
        </w:tc>
        <w:tc>
          <w:tcPr>
            <w:tcW w:w="1489" w:type="dxa"/>
            <w:noWrap/>
            <w:vAlign w:val="center"/>
          </w:tcPr>
          <w:p w14:paraId="203CCD3C"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hint="eastAsia"/>
                <w:kern w:val="0"/>
                <w:sz w:val="21"/>
                <w:szCs w:val="21"/>
              </w:rPr>
              <w:t>10000t</w:t>
            </w:r>
          </w:p>
        </w:tc>
        <w:tc>
          <w:tcPr>
            <w:tcW w:w="2267" w:type="dxa"/>
            <w:noWrap/>
            <w:vAlign w:val="center"/>
          </w:tcPr>
          <w:p w14:paraId="579A27E0" w14:textId="77777777" w:rsidR="009219A0" w:rsidRDefault="00000000">
            <w:pPr>
              <w:widowControl/>
              <w:spacing w:line="240" w:lineRule="auto"/>
              <w:ind w:firstLineChars="0" w:firstLine="0"/>
              <w:jc w:val="center"/>
              <w:rPr>
                <w:rFonts w:ascii="宋体" w:hAnsi="宋体" w:cs="宋体" w:hint="eastAsia"/>
                <w:kern w:val="0"/>
                <w:sz w:val="21"/>
                <w:szCs w:val="21"/>
              </w:rPr>
            </w:pPr>
            <w:r>
              <w:rPr>
                <w:rFonts w:ascii="宋体" w:hAnsi="宋体" w:cs="宋体"/>
                <w:kern w:val="0"/>
                <w:sz w:val="21"/>
                <w:szCs w:val="21"/>
              </w:rPr>
              <w:t>原料堆放区</w:t>
            </w:r>
          </w:p>
        </w:tc>
      </w:tr>
    </w:tbl>
    <w:p w14:paraId="0E822F56" w14:textId="77777777" w:rsidR="009219A0" w:rsidRDefault="009219A0">
      <w:pPr>
        <w:ind w:firstLine="560"/>
        <w:rPr>
          <w:color w:val="auto"/>
        </w:rPr>
      </w:pPr>
    </w:p>
    <w:p w14:paraId="335EB87B" w14:textId="77777777" w:rsidR="009219A0" w:rsidRDefault="00000000">
      <w:pPr>
        <w:pStyle w:val="3"/>
        <w:rPr>
          <w:rFonts w:hint="eastAsia"/>
        </w:rPr>
      </w:pPr>
      <w:bookmarkStart w:id="72" w:name="_Toc211950415"/>
      <w:r>
        <w:t>2.</w:t>
      </w:r>
      <w:r>
        <w:rPr>
          <w:rFonts w:hint="eastAsia"/>
        </w:rPr>
        <w:t>2.13 公用工程及辅助设施</w:t>
      </w:r>
      <w:bookmarkEnd w:id="72"/>
    </w:p>
    <w:p w14:paraId="53D8100A" w14:textId="77777777" w:rsidR="009219A0" w:rsidRDefault="00000000">
      <w:pPr>
        <w:pStyle w:val="4"/>
        <w:keepNext w:val="0"/>
        <w:ind w:firstLineChars="200" w:firstLine="562"/>
        <w:rPr>
          <w:rFonts w:eastAsia="宋体" w:hint="eastAsia"/>
          <w:b/>
          <w:szCs w:val="20"/>
        </w:rPr>
      </w:pPr>
      <w:r>
        <w:rPr>
          <w:rFonts w:eastAsia="宋体"/>
          <w:b/>
          <w:szCs w:val="20"/>
        </w:rPr>
        <w:t>2.2.1</w:t>
      </w:r>
      <w:r>
        <w:rPr>
          <w:rFonts w:eastAsia="宋体" w:hint="eastAsia"/>
          <w:b/>
          <w:szCs w:val="20"/>
        </w:rPr>
        <w:t>3</w:t>
      </w:r>
      <w:r>
        <w:rPr>
          <w:rFonts w:eastAsia="宋体"/>
          <w:b/>
          <w:szCs w:val="20"/>
        </w:rPr>
        <w:t>.1</w:t>
      </w:r>
      <w:r>
        <w:rPr>
          <w:rFonts w:eastAsia="宋体" w:hint="eastAsia"/>
          <w:b/>
          <w:szCs w:val="20"/>
        </w:rPr>
        <w:t xml:space="preserve"> 供配电</w:t>
      </w:r>
    </w:p>
    <w:p w14:paraId="22EC22CE" w14:textId="77777777" w:rsidR="009219A0" w:rsidRDefault="00000000">
      <w:pPr>
        <w:ind w:firstLine="560"/>
        <w:rPr>
          <w:color w:val="auto"/>
        </w:rPr>
      </w:pPr>
      <w:r>
        <w:rPr>
          <w:rFonts w:hint="eastAsia"/>
          <w:color w:val="auto"/>
        </w:rPr>
        <w:t>供电：项目电源</w:t>
      </w:r>
      <w:proofErr w:type="gramStart"/>
      <w:r>
        <w:rPr>
          <w:rFonts w:hint="eastAsia"/>
          <w:color w:val="auto"/>
        </w:rPr>
        <w:t>依托创源公司</w:t>
      </w:r>
      <w:proofErr w:type="gramEnd"/>
      <w:r>
        <w:rPr>
          <w:rFonts w:hint="eastAsia"/>
          <w:color w:val="auto"/>
        </w:rPr>
        <w:t>原有设置。</w:t>
      </w:r>
    </w:p>
    <w:p w14:paraId="58000423" w14:textId="77777777" w:rsidR="009219A0" w:rsidRDefault="00000000">
      <w:pPr>
        <w:ind w:firstLine="560"/>
        <w:rPr>
          <w:color w:val="auto"/>
        </w:rPr>
      </w:pPr>
      <w:proofErr w:type="gramStart"/>
      <w:r>
        <w:rPr>
          <w:rFonts w:hint="eastAsia"/>
          <w:color w:val="auto"/>
        </w:rPr>
        <w:t>创源公司</w:t>
      </w:r>
      <w:proofErr w:type="gramEnd"/>
      <w:r>
        <w:rPr>
          <w:rFonts w:hint="eastAsia"/>
          <w:color w:val="auto"/>
        </w:rPr>
        <w:t>供电电源由冲坡</w:t>
      </w:r>
      <w:proofErr w:type="gramStart"/>
      <w:r>
        <w:rPr>
          <w:rFonts w:hint="eastAsia"/>
          <w:color w:val="auto"/>
        </w:rPr>
        <w:t>哨</w:t>
      </w:r>
      <w:proofErr w:type="gramEnd"/>
      <w:r>
        <w:rPr>
          <w:rFonts w:hint="eastAsia"/>
          <w:color w:val="auto"/>
        </w:rPr>
        <w:t>变电站引</w:t>
      </w:r>
      <w:r>
        <w:rPr>
          <w:rFonts w:hint="eastAsia"/>
          <w:color w:val="auto"/>
        </w:rPr>
        <w:t>35kV</w:t>
      </w:r>
      <w:r>
        <w:rPr>
          <w:rFonts w:hint="eastAsia"/>
          <w:color w:val="auto"/>
        </w:rPr>
        <w:t>高压线路至厂区</w:t>
      </w:r>
      <w:r>
        <w:rPr>
          <w:rFonts w:hint="eastAsia"/>
          <w:color w:val="auto"/>
        </w:rPr>
        <w:t>35kV</w:t>
      </w:r>
      <w:r>
        <w:rPr>
          <w:rFonts w:hint="eastAsia"/>
          <w:color w:val="auto"/>
        </w:rPr>
        <w:t>变电站，项目供电电压为</w:t>
      </w:r>
      <w:r>
        <w:rPr>
          <w:rFonts w:hint="eastAsia"/>
          <w:color w:val="auto"/>
        </w:rPr>
        <w:t>380V</w:t>
      </w:r>
      <w:r>
        <w:rPr>
          <w:rFonts w:hint="eastAsia"/>
          <w:color w:val="auto"/>
        </w:rPr>
        <w:t>、</w:t>
      </w:r>
      <w:r>
        <w:rPr>
          <w:rFonts w:hint="eastAsia"/>
          <w:color w:val="auto"/>
        </w:rPr>
        <w:t>220V</w:t>
      </w:r>
      <w:r>
        <w:rPr>
          <w:rFonts w:hint="eastAsia"/>
          <w:color w:val="auto"/>
        </w:rPr>
        <w:t>，公司供电负荷的富余容量满足使用。研发中心和中试车间用电为三级负荷，供电有保障。另外厂内设置了一台</w:t>
      </w:r>
      <w:r>
        <w:rPr>
          <w:rFonts w:hint="eastAsia"/>
          <w:color w:val="auto"/>
        </w:rPr>
        <w:t>370kW</w:t>
      </w:r>
      <w:r>
        <w:rPr>
          <w:rFonts w:hint="eastAsia"/>
          <w:color w:val="auto"/>
        </w:rPr>
        <w:t>柴油发电机作为应急备用电源，事故照明采用带蓄电池的应急照明灯。</w:t>
      </w:r>
    </w:p>
    <w:p w14:paraId="13ABA19D" w14:textId="77777777" w:rsidR="009219A0" w:rsidRDefault="00000000">
      <w:pPr>
        <w:ind w:firstLine="560"/>
        <w:rPr>
          <w:color w:val="auto"/>
        </w:rPr>
      </w:pPr>
      <w:r>
        <w:rPr>
          <w:rFonts w:hint="eastAsia"/>
          <w:color w:val="auto"/>
        </w:rPr>
        <w:t>电讯设施依托公司原有设置。</w:t>
      </w:r>
    </w:p>
    <w:p w14:paraId="3A63B0EB" w14:textId="77777777" w:rsidR="009219A0" w:rsidRDefault="00000000">
      <w:pPr>
        <w:pStyle w:val="4"/>
        <w:keepNext w:val="0"/>
        <w:ind w:firstLineChars="200" w:firstLine="562"/>
        <w:rPr>
          <w:rFonts w:eastAsia="宋体" w:hint="eastAsia"/>
          <w:b/>
          <w:szCs w:val="20"/>
        </w:rPr>
      </w:pPr>
      <w:r>
        <w:rPr>
          <w:rFonts w:eastAsia="宋体"/>
          <w:b/>
          <w:szCs w:val="20"/>
        </w:rPr>
        <w:t>2.2.1</w:t>
      </w:r>
      <w:r>
        <w:rPr>
          <w:rFonts w:eastAsia="宋体" w:hint="eastAsia"/>
          <w:b/>
          <w:szCs w:val="20"/>
        </w:rPr>
        <w:t>3</w:t>
      </w:r>
      <w:r>
        <w:rPr>
          <w:rFonts w:eastAsia="宋体"/>
          <w:b/>
          <w:szCs w:val="20"/>
        </w:rPr>
        <w:t>.</w:t>
      </w:r>
      <w:r>
        <w:rPr>
          <w:rFonts w:eastAsia="宋体" w:hint="eastAsia"/>
          <w:b/>
          <w:szCs w:val="20"/>
        </w:rPr>
        <w:t xml:space="preserve">2 </w:t>
      </w:r>
      <w:r>
        <w:rPr>
          <w:rFonts w:eastAsia="宋体"/>
          <w:b/>
          <w:szCs w:val="20"/>
        </w:rPr>
        <w:t>给排水</w:t>
      </w:r>
    </w:p>
    <w:p w14:paraId="1D86F9A5" w14:textId="77777777" w:rsidR="009219A0" w:rsidRDefault="00000000">
      <w:pPr>
        <w:ind w:firstLine="560"/>
        <w:rPr>
          <w:snapToGrid w:val="0"/>
          <w:color w:val="auto"/>
        </w:rPr>
      </w:pPr>
      <w:r>
        <w:rPr>
          <w:rFonts w:hint="eastAsia"/>
          <w:snapToGrid w:val="0"/>
          <w:color w:val="auto"/>
        </w:rPr>
        <w:t>（</w:t>
      </w:r>
      <w:r>
        <w:rPr>
          <w:rFonts w:hint="eastAsia"/>
          <w:snapToGrid w:val="0"/>
          <w:color w:val="auto"/>
        </w:rPr>
        <w:t>1</w:t>
      </w:r>
      <w:r>
        <w:rPr>
          <w:rFonts w:hint="eastAsia"/>
          <w:snapToGrid w:val="0"/>
          <w:color w:val="auto"/>
        </w:rPr>
        <w:t>）给水</w:t>
      </w:r>
    </w:p>
    <w:p w14:paraId="5E23F359" w14:textId="77777777" w:rsidR="009219A0" w:rsidRDefault="00000000">
      <w:pPr>
        <w:ind w:firstLine="560"/>
        <w:rPr>
          <w:snapToGrid w:val="0"/>
          <w:color w:val="auto"/>
        </w:rPr>
      </w:pPr>
      <w:r>
        <w:rPr>
          <w:rFonts w:hint="eastAsia"/>
          <w:snapToGrid w:val="0"/>
          <w:color w:val="auto"/>
        </w:rPr>
        <w:t>项目用水分为生产用水、消防用水和生活用水。</w:t>
      </w:r>
    </w:p>
    <w:p w14:paraId="243B9751" w14:textId="77777777" w:rsidR="009219A0" w:rsidRDefault="00000000">
      <w:pPr>
        <w:ind w:firstLine="560"/>
        <w:rPr>
          <w:snapToGrid w:val="0"/>
          <w:color w:val="auto"/>
        </w:rPr>
      </w:pPr>
      <w:r>
        <w:rPr>
          <w:rFonts w:hint="eastAsia"/>
          <w:snapToGrid w:val="0"/>
          <w:color w:val="auto"/>
        </w:rPr>
        <w:lastRenderedPageBreak/>
        <w:t>用水水源自白坡水库，</w:t>
      </w:r>
      <w:proofErr w:type="gramStart"/>
      <w:r>
        <w:rPr>
          <w:rFonts w:hint="eastAsia"/>
          <w:snapToGrid w:val="0"/>
          <w:color w:val="auto"/>
        </w:rPr>
        <w:t>白坡水库</w:t>
      </w:r>
      <w:proofErr w:type="gramEnd"/>
      <w:r>
        <w:rPr>
          <w:rFonts w:hint="eastAsia"/>
          <w:snapToGrid w:val="0"/>
          <w:color w:val="auto"/>
        </w:rPr>
        <w:t>的水引至低位水池，经多级泵输送至</w:t>
      </w:r>
      <w:r>
        <w:rPr>
          <w:rFonts w:hint="eastAsia"/>
          <w:snapToGrid w:val="0"/>
          <w:color w:val="auto"/>
        </w:rPr>
        <w:t>7800m</w:t>
      </w:r>
      <w:r>
        <w:rPr>
          <w:rFonts w:hint="eastAsia"/>
          <w:snapToGrid w:val="0"/>
          <w:color w:val="auto"/>
          <w:vertAlign w:val="superscript"/>
        </w:rPr>
        <w:t>3</w:t>
      </w:r>
      <w:r>
        <w:rPr>
          <w:rFonts w:hint="eastAsia"/>
          <w:snapToGrid w:val="0"/>
          <w:color w:val="auto"/>
        </w:rPr>
        <w:t>高位水池，另设</w:t>
      </w:r>
      <w:r>
        <w:rPr>
          <w:rFonts w:hint="eastAsia"/>
          <w:snapToGrid w:val="0"/>
          <w:color w:val="auto"/>
        </w:rPr>
        <w:t>1000m</w:t>
      </w:r>
      <w:r>
        <w:rPr>
          <w:rFonts w:hint="eastAsia"/>
          <w:snapToGrid w:val="0"/>
          <w:color w:val="auto"/>
          <w:vertAlign w:val="superscript"/>
        </w:rPr>
        <w:t>3</w:t>
      </w:r>
      <w:r>
        <w:rPr>
          <w:rFonts w:hint="eastAsia"/>
          <w:snapToGrid w:val="0"/>
          <w:color w:val="auto"/>
        </w:rPr>
        <w:t>水池用于高位水池溢流，</w:t>
      </w:r>
      <w:r>
        <w:rPr>
          <w:rFonts w:hint="eastAsia"/>
          <w:snapToGrid w:val="0"/>
          <w:color w:val="auto"/>
        </w:rPr>
        <w:t>7800m</w:t>
      </w:r>
      <w:r>
        <w:rPr>
          <w:rFonts w:hint="eastAsia"/>
          <w:snapToGrid w:val="0"/>
          <w:color w:val="auto"/>
          <w:vertAlign w:val="superscript"/>
        </w:rPr>
        <w:t>3</w:t>
      </w:r>
      <w:r>
        <w:rPr>
          <w:rFonts w:hint="eastAsia"/>
          <w:snapToGrid w:val="0"/>
          <w:color w:val="auto"/>
        </w:rPr>
        <w:t>高位水池与厂区地坪高差约</w:t>
      </w:r>
      <w:r>
        <w:rPr>
          <w:rFonts w:hint="eastAsia"/>
          <w:snapToGrid w:val="0"/>
          <w:color w:val="auto"/>
        </w:rPr>
        <w:t>100m</w:t>
      </w:r>
      <w:r>
        <w:rPr>
          <w:rFonts w:hint="eastAsia"/>
          <w:snapToGrid w:val="0"/>
          <w:color w:val="auto"/>
        </w:rPr>
        <w:t>，供水压力为</w:t>
      </w:r>
      <w:r>
        <w:rPr>
          <w:rFonts w:hint="eastAsia"/>
          <w:snapToGrid w:val="0"/>
          <w:color w:val="auto"/>
        </w:rPr>
        <w:t>1MPa</w:t>
      </w:r>
      <w:r>
        <w:rPr>
          <w:rFonts w:hint="eastAsia"/>
          <w:snapToGrid w:val="0"/>
          <w:color w:val="auto"/>
        </w:rPr>
        <w:t>，高位水池至厂区的输水管管径为</w:t>
      </w:r>
      <w:r>
        <w:rPr>
          <w:rFonts w:hint="eastAsia"/>
          <w:snapToGrid w:val="0"/>
          <w:color w:val="auto"/>
        </w:rPr>
        <w:t>DN400</w:t>
      </w:r>
      <w:r>
        <w:rPr>
          <w:rFonts w:hint="eastAsia"/>
          <w:snapToGrid w:val="0"/>
          <w:color w:val="auto"/>
        </w:rPr>
        <w:t>；厂区内设有环状生产消防给水管网，主管管径</w:t>
      </w:r>
      <w:r>
        <w:rPr>
          <w:rFonts w:hint="eastAsia"/>
          <w:snapToGrid w:val="0"/>
          <w:color w:val="auto"/>
        </w:rPr>
        <w:t>DN250</w:t>
      </w:r>
      <w:r>
        <w:rPr>
          <w:rFonts w:hint="eastAsia"/>
          <w:snapToGrid w:val="0"/>
          <w:color w:val="auto"/>
        </w:rPr>
        <w:t>。生产、消防用水就近接入厂区原有管网。项目一次消防用水量为</w:t>
      </w:r>
      <w:r>
        <w:rPr>
          <w:rFonts w:hint="eastAsia"/>
          <w:snapToGrid w:val="0"/>
          <w:color w:val="auto"/>
        </w:rPr>
        <w:t>144m</w:t>
      </w:r>
      <w:r>
        <w:rPr>
          <w:rFonts w:hint="eastAsia"/>
          <w:snapToGrid w:val="0"/>
          <w:color w:val="auto"/>
          <w:vertAlign w:val="superscript"/>
        </w:rPr>
        <w:t>3</w:t>
      </w:r>
      <w:r>
        <w:rPr>
          <w:rFonts w:hint="eastAsia"/>
          <w:snapToGrid w:val="0"/>
          <w:color w:val="auto"/>
        </w:rPr>
        <w:t>，可依托公司原有消防供水，满足消防用水的要求。生活用水</w:t>
      </w:r>
      <w:proofErr w:type="gramStart"/>
      <w:r>
        <w:rPr>
          <w:rFonts w:hint="eastAsia"/>
          <w:snapToGrid w:val="0"/>
          <w:color w:val="auto"/>
        </w:rPr>
        <w:t>依托创源公司</w:t>
      </w:r>
      <w:proofErr w:type="gramEnd"/>
      <w:r>
        <w:rPr>
          <w:rFonts w:hint="eastAsia"/>
          <w:snapToGrid w:val="0"/>
          <w:color w:val="auto"/>
        </w:rPr>
        <w:t>原有生活用水设施。</w:t>
      </w:r>
    </w:p>
    <w:p w14:paraId="1D28CD2E" w14:textId="77777777" w:rsidR="009219A0" w:rsidRDefault="00000000">
      <w:pPr>
        <w:ind w:firstLine="560"/>
        <w:rPr>
          <w:snapToGrid w:val="0"/>
          <w:color w:val="auto"/>
        </w:rPr>
      </w:pPr>
      <w:r>
        <w:rPr>
          <w:rFonts w:hint="eastAsia"/>
          <w:snapToGrid w:val="0"/>
          <w:color w:val="auto"/>
        </w:rPr>
        <w:t>（</w:t>
      </w:r>
      <w:r>
        <w:rPr>
          <w:rFonts w:hint="eastAsia"/>
          <w:snapToGrid w:val="0"/>
          <w:color w:val="auto"/>
        </w:rPr>
        <w:t>2</w:t>
      </w:r>
      <w:r>
        <w:rPr>
          <w:rFonts w:hint="eastAsia"/>
          <w:snapToGrid w:val="0"/>
          <w:color w:val="auto"/>
        </w:rPr>
        <w:t>）排水</w:t>
      </w:r>
    </w:p>
    <w:p w14:paraId="41540D84" w14:textId="77777777" w:rsidR="009219A0" w:rsidRDefault="00000000">
      <w:pPr>
        <w:ind w:firstLine="560"/>
        <w:rPr>
          <w:snapToGrid w:val="0"/>
          <w:color w:val="auto"/>
        </w:rPr>
      </w:pPr>
      <w:r>
        <w:rPr>
          <w:rFonts w:hint="eastAsia"/>
          <w:snapToGrid w:val="0"/>
          <w:color w:val="auto"/>
        </w:rPr>
        <w:t>项目在个旧</w:t>
      </w:r>
      <w:proofErr w:type="gramStart"/>
      <w:r>
        <w:rPr>
          <w:rFonts w:hint="eastAsia"/>
          <w:snapToGrid w:val="0"/>
          <w:color w:val="auto"/>
        </w:rPr>
        <w:t>市创源科技</w:t>
      </w:r>
      <w:proofErr w:type="gramEnd"/>
      <w:r>
        <w:rPr>
          <w:rFonts w:hint="eastAsia"/>
          <w:snapToGrid w:val="0"/>
          <w:color w:val="auto"/>
        </w:rPr>
        <w:t>有限公司现有厂房内进行建设，排水实行雨污分流制。</w:t>
      </w:r>
    </w:p>
    <w:p w14:paraId="50975672" w14:textId="77777777" w:rsidR="009219A0" w:rsidRDefault="00000000">
      <w:pPr>
        <w:ind w:firstLine="560"/>
        <w:rPr>
          <w:snapToGrid w:val="0"/>
          <w:color w:val="auto"/>
        </w:rPr>
      </w:pPr>
      <w:r>
        <w:rPr>
          <w:rFonts w:hint="eastAsia"/>
          <w:snapToGrid w:val="0"/>
          <w:color w:val="auto"/>
        </w:rPr>
        <w:t>（</w:t>
      </w:r>
      <w:r>
        <w:rPr>
          <w:rFonts w:hint="eastAsia"/>
          <w:snapToGrid w:val="0"/>
          <w:color w:val="auto"/>
        </w:rPr>
        <w:t>1</w:t>
      </w:r>
      <w:r>
        <w:rPr>
          <w:rFonts w:hint="eastAsia"/>
          <w:snapToGrid w:val="0"/>
          <w:color w:val="auto"/>
        </w:rPr>
        <w:t>）雨水：全厂初期雨水统一收集处理，全厂现有</w:t>
      </w:r>
      <w:r>
        <w:rPr>
          <w:rFonts w:hint="eastAsia"/>
          <w:snapToGrid w:val="0"/>
          <w:color w:val="auto"/>
        </w:rPr>
        <w:t>3</w:t>
      </w:r>
      <w:r>
        <w:rPr>
          <w:rFonts w:hint="eastAsia"/>
          <w:snapToGrid w:val="0"/>
          <w:color w:val="auto"/>
        </w:rPr>
        <w:t>个初期雨水收集池，分别位于厂区西侧（容积</w:t>
      </w:r>
      <w:r>
        <w:rPr>
          <w:rFonts w:hint="eastAsia"/>
          <w:snapToGrid w:val="0"/>
          <w:color w:val="auto"/>
        </w:rPr>
        <w:t>315m</w:t>
      </w:r>
      <w:r>
        <w:rPr>
          <w:rFonts w:hint="eastAsia"/>
          <w:snapToGrid w:val="0"/>
          <w:color w:val="auto"/>
          <w:vertAlign w:val="superscript"/>
        </w:rPr>
        <w:t>3</w:t>
      </w:r>
      <w:r>
        <w:rPr>
          <w:rFonts w:hint="eastAsia"/>
          <w:snapToGrid w:val="0"/>
          <w:color w:val="auto"/>
        </w:rPr>
        <w:t>）、西南处（容积</w:t>
      </w:r>
      <w:r>
        <w:rPr>
          <w:rFonts w:hint="eastAsia"/>
          <w:snapToGrid w:val="0"/>
          <w:color w:val="auto"/>
        </w:rPr>
        <w:t>1300m</w:t>
      </w:r>
      <w:r>
        <w:rPr>
          <w:rFonts w:hint="eastAsia"/>
          <w:snapToGrid w:val="0"/>
          <w:color w:val="auto"/>
          <w:vertAlign w:val="superscript"/>
        </w:rPr>
        <w:t>3</w:t>
      </w:r>
      <w:r>
        <w:rPr>
          <w:rFonts w:hint="eastAsia"/>
          <w:snapToGrid w:val="0"/>
          <w:color w:val="auto"/>
        </w:rPr>
        <w:t>）、</w:t>
      </w:r>
      <w:proofErr w:type="gramStart"/>
      <w:r>
        <w:rPr>
          <w:rFonts w:hint="eastAsia"/>
          <w:snapToGrid w:val="0"/>
          <w:color w:val="auto"/>
        </w:rPr>
        <w:t>质检楼</w:t>
      </w:r>
      <w:proofErr w:type="gramEnd"/>
      <w:r>
        <w:rPr>
          <w:rFonts w:hint="eastAsia"/>
          <w:snapToGrid w:val="0"/>
          <w:color w:val="auto"/>
        </w:rPr>
        <w:t>南侧（容积</w:t>
      </w:r>
      <w:r>
        <w:rPr>
          <w:rFonts w:hint="eastAsia"/>
          <w:snapToGrid w:val="0"/>
          <w:color w:val="auto"/>
        </w:rPr>
        <w:t>85m</w:t>
      </w:r>
      <w:r>
        <w:rPr>
          <w:rFonts w:hint="eastAsia"/>
          <w:snapToGrid w:val="0"/>
          <w:color w:val="auto"/>
          <w:vertAlign w:val="superscript"/>
        </w:rPr>
        <w:t>3</w:t>
      </w:r>
      <w:r>
        <w:rPr>
          <w:rFonts w:hint="eastAsia"/>
          <w:snapToGrid w:val="0"/>
          <w:color w:val="auto"/>
        </w:rPr>
        <w:t>），全厂现有初期雨水收集池总容积为</w:t>
      </w:r>
      <w:r>
        <w:rPr>
          <w:rFonts w:hint="eastAsia"/>
          <w:snapToGrid w:val="0"/>
          <w:color w:val="auto"/>
        </w:rPr>
        <w:t>1700m</w:t>
      </w:r>
      <w:r>
        <w:rPr>
          <w:rFonts w:hint="eastAsia"/>
          <w:snapToGrid w:val="0"/>
          <w:color w:val="auto"/>
          <w:vertAlign w:val="superscript"/>
        </w:rPr>
        <w:t>3</w:t>
      </w:r>
      <w:r>
        <w:rPr>
          <w:rFonts w:hint="eastAsia"/>
          <w:snapToGrid w:val="0"/>
          <w:color w:val="auto"/>
        </w:rPr>
        <w:t>，全厂现有初期雨水收集池容积满足要求。现有初期雨水池为三隔连通型，便于澄清和清淤，配立式输送泵，送废水处理站处理后回用。</w:t>
      </w:r>
    </w:p>
    <w:p w14:paraId="58DC36EB" w14:textId="77777777" w:rsidR="009219A0" w:rsidRDefault="00000000">
      <w:pPr>
        <w:ind w:firstLine="560"/>
        <w:rPr>
          <w:snapToGrid w:val="0"/>
          <w:color w:val="auto"/>
        </w:rPr>
      </w:pPr>
      <w:r>
        <w:rPr>
          <w:rFonts w:hint="eastAsia"/>
          <w:snapToGrid w:val="0"/>
          <w:color w:val="auto"/>
        </w:rPr>
        <w:t>（</w:t>
      </w:r>
      <w:r>
        <w:rPr>
          <w:rFonts w:hint="eastAsia"/>
          <w:snapToGrid w:val="0"/>
          <w:color w:val="auto"/>
        </w:rPr>
        <w:t>2</w:t>
      </w:r>
      <w:r>
        <w:rPr>
          <w:rFonts w:hint="eastAsia"/>
          <w:snapToGrid w:val="0"/>
          <w:color w:val="auto"/>
        </w:rPr>
        <w:t>）实验污水：项目在进行小试实验时产生废水量约为</w:t>
      </w:r>
      <w:r>
        <w:rPr>
          <w:rFonts w:hint="eastAsia"/>
          <w:snapToGrid w:val="0"/>
          <w:color w:val="auto"/>
        </w:rPr>
        <w:t>0.4t/d</w:t>
      </w:r>
      <w:r>
        <w:rPr>
          <w:rFonts w:hint="eastAsia"/>
          <w:snapToGrid w:val="0"/>
          <w:color w:val="auto"/>
        </w:rPr>
        <w:t>，废水依托中试废水处理工段处理后回用于中试车间浸出液的配制。</w:t>
      </w:r>
    </w:p>
    <w:p w14:paraId="1333B79B" w14:textId="77777777" w:rsidR="009219A0" w:rsidRDefault="00000000">
      <w:pPr>
        <w:ind w:firstLine="560"/>
        <w:rPr>
          <w:snapToGrid w:val="0"/>
          <w:color w:val="auto"/>
        </w:rPr>
      </w:pPr>
      <w:r>
        <w:rPr>
          <w:rFonts w:hint="eastAsia"/>
          <w:snapToGrid w:val="0"/>
          <w:color w:val="auto"/>
        </w:rPr>
        <w:t>项目在进行</w:t>
      </w:r>
      <w:proofErr w:type="gramStart"/>
      <w:r>
        <w:rPr>
          <w:rFonts w:hint="eastAsia"/>
          <w:snapToGrid w:val="0"/>
          <w:color w:val="auto"/>
        </w:rPr>
        <w:t>铁粉脱杂中试</w:t>
      </w:r>
      <w:proofErr w:type="gramEnd"/>
      <w:r>
        <w:rPr>
          <w:rFonts w:hint="eastAsia"/>
          <w:snapToGrid w:val="0"/>
          <w:color w:val="auto"/>
        </w:rPr>
        <w:t>实验时脱砷废水产生量为</w:t>
      </w:r>
      <w:r>
        <w:rPr>
          <w:rFonts w:hint="eastAsia"/>
          <w:snapToGrid w:val="0"/>
          <w:color w:val="auto"/>
        </w:rPr>
        <w:t>105.59t/d</w:t>
      </w:r>
      <w:r>
        <w:rPr>
          <w:rFonts w:hint="eastAsia"/>
          <w:snapToGrid w:val="0"/>
          <w:color w:val="auto"/>
        </w:rPr>
        <w:t>，</w:t>
      </w:r>
      <w:r>
        <w:rPr>
          <w:rFonts w:hint="eastAsia"/>
          <w:snapToGrid w:val="0"/>
          <w:color w:val="auto"/>
        </w:rPr>
        <w:t>8658.38t/a</w:t>
      </w:r>
      <w:r>
        <w:rPr>
          <w:rFonts w:hint="eastAsia"/>
          <w:snapToGrid w:val="0"/>
          <w:color w:val="auto"/>
        </w:rPr>
        <w:t>，硫铁矿脱砷中试实验时脱砷废水产生量为</w:t>
      </w:r>
      <w:r>
        <w:rPr>
          <w:rFonts w:hint="eastAsia"/>
          <w:snapToGrid w:val="0"/>
          <w:color w:val="auto"/>
        </w:rPr>
        <w:t>100.85t/d</w:t>
      </w:r>
      <w:r>
        <w:rPr>
          <w:rFonts w:hint="eastAsia"/>
          <w:snapToGrid w:val="0"/>
          <w:color w:val="auto"/>
        </w:rPr>
        <w:t>，</w:t>
      </w:r>
      <w:r>
        <w:rPr>
          <w:rFonts w:hint="eastAsia"/>
          <w:snapToGrid w:val="0"/>
          <w:color w:val="auto"/>
        </w:rPr>
        <w:t>13513.9t/a</w:t>
      </w:r>
      <w:r>
        <w:rPr>
          <w:rFonts w:hint="eastAsia"/>
          <w:snapToGrid w:val="0"/>
          <w:color w:val="auto"/>
        </w:rPr>
        <w:t>。中试基地废水经废水收集池收集、中和水池中和处理、回用水池沉淀处理后全部回用于本项目浸出液的配制，不外排。</w:t>
      </w:r>
    </w:p>
    <w:p w14:paraId="42176DCE" w14:textId="77777777" w:rsidR="009219A0" w:rsidRDefault="00000000">
      <w:pPr>
        <w:ind w:firstLine="560"/>
        <w:rPr>
          <w:color w:val="auto"/>
        </w:rPr>
      </w:pPr>
      <w:r>
        <w:rPr>
          <w:rFonts w:hint="eastAsia"/>
          <w:snapToGrid w:val="0"/>
          <w:color w:val="auto"/>
        </w:rPr>
        <w:t>（</w:t>
      </w:r>
      <w:r>
        <w:rPr>
          <w:rFonts w:hint="eastAsia"/>
          <w:snapToGrid w:val="0"/>
          <w:color w:val="auto"/>
        </w:rPr>
        <w:t>3</w:t>
      </w:r>
      <w:r>
        <w:rPr>
          <w:rFonts w:hint="eastAsia"/>
          <w:snapToGrid w:val="0"/>
          <w:color w:val="auto"/>
        </w:rPr>
        <w:t>）生活污水：项目定员</w:t>
      </w:r>
      <w:r>
        <w:rPr>
          <w:rFonts w:hint="eastAsia"/>
          <w:snapToGrid w:val="0"/>
          <w:color w:val="auto"/>
        </w:rPr>
        <w:t>18</w:t>
      </w:r>
      <w:r>
        <w:rPr>
          <w:rFonts w:hint="eastAsia"/>
          <w:snapToGrid w:val="0"/>
          <w:color w:val="auto"/>
        </w:rPr>
        <w:t>人，</w:t>
      </w:r>
      <w:proofErr w:type="gramStart"/>
      <w:r>
        <w:rPr>
          <w:rFonts w:hint="eastAsia"/>
          <w:snapToGrid w:val="0"/>
          <w:color w:val="auto"/>
        </w:rPr>
        <w:t>从创源公司</w:t>
      </w:r>
      <w:proofErr w:type="gramEnd"/>
      <w:r>
        <w:rPr>
          <w:rFonts w:hint="eastAsia"/>
          <w:snapToGrid w:val="0"/>
          <w:color w:val="auto"/>
        </w:rPr>
        <w:t>内部人员进行调剂，职工生活依托厂内的食堂和宿舍，生活污水依托原有处理方式，食堂废水经隔油池预处理后与其他生活污水一起进入化粪池预处理，后进入生产废水处理站二级沉淀工序处理后回</w:t>
      </w:r>
      <w:proofErr w:type="gramStart"/>
      <w:r>
        <w:rPr>
          <w:rFonts w:hint="eastAsia"/>
          <w:snapToGrid w:val="0"/>
          <w:color w:val="auto"/>
        </w:rPr>
        <w:t>用于创源公司</w:t>
      </w:r>
      <w:proofErr w:type="gramEnd"/>
      <w:r>
        <w:rPr>
          <w:rFonts w:hint="eastAsia"/>
          <w:snapToGrid w:val="0"/>
          <w:color w:val="auto"/>
        </w:rPr>
        <w:t>硫酸技改项目。</w:t>
      </w:r>
    </w:p>
    <w:p w14:paraId="17DC5008" w14:textId="77777777" w:rsidR="009219A0" w:rsidRDefault="00000000">
      <w:pPr>
        <w:pStyle w:val="4"/>
        <w:keepNext w:val="0"/>
        <w:ind w:firstLineChars="200" w:firstLine="562"/>
        <w:rPr>
          <w:rFonts w:hint="eastAsia"/>
        </w:rPr>
      </w:pPr>
      <w:r>
        <w:rPr>
          <w:rFonts w:eastAsia="宋体" w:hint="eastAsia"/>
          <w:b/>
          <w:szCs w:val="20"/>
        </w:rPr>
        <w:lastRenderedPageBreak/>
        <w:t>2.2.13.3 空调及通风</w:t>
      </w:r>
    </w:p>
    <w:p w14:paraId="79F6EE5D" w14:textId="77777777" w:rsidR="009219A0" w:rsidRDefault="00000000">
      <w:pPr>
        <w:pStyle w:val="Default1"/>
        <w:spacing w:line="360" w:lineRule="auto"/>
        <w:ind w:firstLineChars="200" w:firstLine="560"/>
        <w:jc w:val="both"/>
        <w:rPr>
          <w:rFonts w:ascii="宋体" w:hAnsi="宋体"/>
          <w:color w:val="auto"/>
          <w:kern w:val="2"/>
          <w:sz w:val="28"/>
          <w:szCs w:val="24"/>
        </w:rPr>
      </w:pPr>
      <w:r>
        <w:rPr>
          <w:rFonts w:ascii="宋体" w:hAnsi="宋体"/>
          <w:color w:val="auto"/>
          <w:kern w:val="2"/>
          <w:sz w:val="28"/>
          <w:szCs w:val="24"/>
        </w:rPr>
        <w:t>项目研发中心以机械通风为主，中试车间以自然通风为主。</w:t>
      </w:r>
    </w:p>
    <w:p w14:paraId="11234D1D" w14:textId="77777777" w:rsidR="009219A0" w:rsidRDefault="00000000">
      <w:pPr>
        <w:pStyle w:val="Default1"/>
        <w:spacing w:line="360" w:lineRule="auto"/>
        <w:ind w:firstLineChars="200" w:firstLine="560"/>
        <w:jc w:val="both"/>
        <w:rPr>
          <w:rFonts w:ascii="宋体" w:hAnsi="宋体"/>
          <w:color w:val="auto"/>
          <w:kern w:val="2"/>
          <w:sz w:val="28"/>
          <w:szCs w:val="24"/>
        </w:rPr>
      </w:pPr>
      <w:r>
        <w:rPr>
          <w:rFonts w:ascii="宋体" w:hAnsi="宋体"/>
          <w:color w:val="auto"/>
          <w:kern w:val="2"/>
          <w:sz w:val="28"/>
          <w:szCs w:val="24"/>
        </w:rPr>
        <w:t>研发中心小试试验原料铁粉、硫铁矿和硫酸在烧杯中循环搅拌工序和真空过滤工序均会产生少量的酸雾、硫化氢等，产生量较少，实验室配备有环境抽风机、碱液喷淋塔，产生的酸雾经碱液喷淋塔处理后由1根15m的排气筒DA002排放。</w:t>
      </w:r>
    </w:p>
    <w:p w14:paraId="12521799" w14:textId="77777777" w:rsidR="009219A0" w:rsidRDefault="00000000">
      <w:pPr>
        <w:pStyle w:val="Default1"/>
        <w:spacing w:line="360" w:lineRule="auto"/>
        <w:ind w:firstLineChars="200" w:firstLine="560"/>
        <w:jc w:val="both"/>
        <w:rPr>
          <w:rFonts w:ascii="宋体" w:hAnsi="宋体"/>
          <w:color w:val="auto"/>
          <w:kern w:val="2"/>
          <w:sz w:val="28"/>
          <w:szCs w:val="24"/>
        </w:rPr>
      </w:pPr>
      <w:r>
        <w:rPr>
          <w:rFonts w:ascii="宋体" w:hAnsi="宋体"/>
          <w:color w:val="auto"/>
          <w:kern w:val="2"/>
          <w:sz w:val="28"/>
          <w:szCs w:val="24"/>
        </w:rPr>
        <w:t>中试车间使用98%浓硫酸配制浸出液使浸出液中硫酸浓度约为3%，不锈钢循环槽为密闭结构，顶部连接有废气收集管道，中试基地新建的硫酸储罐与4个不锈钢循环槽之间管道连接。项目浸出液配制、浸出搅拌过程均在密闭环境中进行，在此过程中会产生少量的硫酸雾，产生量较小。硫酸雾由不锈钢循环槽顶部连接的废气收集管道进入二级碱液喷淋塔处理，再通过15m 高排气筒DA001排放。</w:t>
      </w:r>
    </w:p>
    <w:p w14:paraId="725FF5B0" w14:textId="77777777" w:rsidR="009219A0" w:rsidRDefault="00000000">
      <w:pPr>
        <w:pStyle w:val="2"/>
        <w:rPr>
          <w:rFonts w:hint="eastAsia"/>
        </w:rPr>
      </w:pPr>
      <w:bookmarkStart w:id="73" w:name="_Toc165281435"/>
      <w:bookmarkStart w:id="74" w:name="_Toc211950416"/>
      <w:r>
        <w:rPr>
          <w:rFonts w:hint="eastAsia"/>
        </w:rPr>
        <w:t>2.</w:t>
      </w:r>
      <w:r>
        <w:t>3 项目</w:t>
      </w:r>
      <w:r>
        <w:rPr>
          <w:rFonts w:hint="eastAsia"/>
        </w:rPr>
        <w:t>安全投资</w:t>
      </w:r>
      <w:bookmarkEnd w:id="73"/>
      <w:bookmarkEnd w:id="74"/>
    </w:p>
    <w:p w14:paraId="6661481D" w14:textId="77777777" w:rsidR="009219A0" w:rsidRDefault="00000000">
      <w:pPr>
        <w:ind w:firstLine="560"/>
        <w:rPr>
          <w:rFonts w:ascii="宋体" w:hAnsi="宋体" w:hint="eastAsia"/>
          <w:color w:val="auto"/>
        </w:rPr>
      </w:pPr>
      <w:r>
        <w:rPr>
          <w:rFonts w:ascii="宋体" w:hAnsi="宋体" w:hint="eastAsia"/>
          <w:color w:val="auto"/>
        </w:rPr>
        <w:t>本项目总投资4000万元，其中安全设施投资46.54万元，安全设施投资占项目总投资的1.16%，安全设施投资见下表。</w:t>
      </w:r>
    </w:p>
    <w:p w14:paraId="3D185F05" w14:textId="77777777" w:rsidR="009219A0" w:rsidRDefault="00000000">
      <w:pPr>
        <w:adjustRightInd/>
        <w:snapToGrid/>
        <w:ind w:firstLine="560"/>
        <w:jc w:val="center"/>
        <w:rPr>
          <w:rFonts w:ascii="宋体" w:hAnsi="宋体" w:hint="eastAsia"/>
          <w:color w:val="auto"/>
          <w:kern w:val="0"/>
          <w:szCs w:val="28"/>
        </w:rPr>
      </w:pPr>
      <w:r>
        <w:rPr>
          <w:rFonts w:ascii="宋体" w:hAnsi="宋体"/>
          <w:color w:val="auto"/>
          <w:kern w:val="0"/>
          <w:szCs w:val="28"/>
        </w:rPr>
        <w:t>表2</w:t>
      </w:r>
      <w:r>
        <w:rPr>
          <w:rFonts w:ascii="宋体" w:hAnsi="宋体" w:hint="eastAsia"/>
          <w:color w:val="auto"/>
          <w:kern w:val="0"/>
          <w:szCs w:val="28"/>
        </w:rPr>
        <w:t xml:space="preserve">.3-1 </w:t>
      </w:r>
      <w:r>
        <w:rPr>
          <w:rFonts w:ascii="宋体" w:hAnsi="宋体"/>
          <w:color w:val="auto"/>
          <w:kern w:val="0"/>
          <w:szCs w:val="28"/>
        </w:rPr>
        <w:t xml:space="preserve"> </w:t>
      </w:r>
      <w:r>
        <w:rPr>
          <w:rFonts w:ascii="宋体" w:hAnsi="宋体" w:hint="eastAsia"/>
          <w:color w:val="auto"/>
          <w:kern w:val="0"/>
          <w:szCs w:val="28"/>
        </w:rPr>
        <w:t>安全设施投资</w:t>
      </w:r>
      <w:r>
        <w:rPr>
          <w:rFonts w:ascii="宋体" w:hAnsi="宋体"/>
          <w:color w:val="auto"/>
          <w:kern w:val="0"/>
          <w:szCs w:val="28"/>
        </w:rPr>
        <w:t>表</w:t>
      </w:r>
    </w:p>
    <w:tbl>
      <w:tblPr>
        <w:tblW w:w="9072" w:type="dxa"/>
        <w:tblLayout w:type="fixed"/>
        <w:tblCellMar>
          <w:top w:w="15" w:type="dxa"/>
          <w:left w:w="15" w:type="dxa"/>
          <w:bottom w:w="15" w:type="dxa"/>
          <w:right w:w="15" w:type="dxa"/>
        </w:tblCellMar>
        <w:tblLook w:val="04A0" w:firstRow="1" w:lastRow="0" w:firstColumn="1" w:lastColumn="0" w:noHBand="0" w:noVBand="1"/>
      </w:tblPr>
      <w:tblGrid>
        <w:gridCol w:w="1048"/>
        <w:gridCol w:w="2605"/>
        <w:gridCol w:w="1049"/>
        <w:gridCol w:w="1049"/>
        <w:gridCol w:w="1049"/>
        <w:gridCol w:w="2272"/>
      </w:tblGrid>
      <w:tr w:rsidR="009219A0" w14:paraId="253FEFE2" w14:textId="77777777">
        <w:trPr>
          <w:trHeight w:val="286"/>
        </w:trPr>
        <w:tc>
          <w:tcPr>
            <w:tcW w:w="1048" w:type="dxa"/>
            <w:vMerge w:val="restart"/>
            <w:tcBorders>
              <w:top w:val="single" w:sz="4" w:space="0" w:color="000000"/>
              <w:left w:val="single" w:sz="4" w:space="0" w:color="000000"/>
              <w:right w:val="single" w:sz="4" w:space="0" w:color="000000"/>
            </w:tcBorders>
            <w:vAlign w:val="center"/>
          </w:tcPr>
          <w:p w14:paraId="6B021E87" w14:textId="77777777" w:rsidR="009219A0" w:rsidRDefault="00000000">
            <w:pPr>
              <w:widowControl/>
              <w:adjustRightInd/>
              <w:snapToGrid/>
              <w:spacing w:line="240" w:lineRule="auto"/>
              <w:ind w:firstLineChars="0" w:firstLine="0"/>
              <w:jc w:val="center"/>
              <w:textAlignment w:val="center"/>
              <w:rPr>
                <w:rFonts w:ascii="宋体" w:hAnsi="宋体" w:cs="宋体" w:hint="eastAsia"/>
                <w:b/>
                <w:color w:val="auto"/>
                <w:kern w:val="0"/>
                <w:sz w:val="21"/>
                <w:szCs w:val="21"/>
                <w:lang w:bidi="ar"/>
              </w:rPr>
            </w:pPr>
            <w:r>
              <w:rPr>
                <w:rFonts w:ascii="宋体" w:hAnsi="宋体" w:cs="宋体" w:hint="eastAsia"/>
                <w:b/>
                <w:color w:val="auto"/>
                <w:kern w:val="0"/>
                <w:sz w:val="21"/>
                <w:szCs w:val="21"/>
                <w:lang w:bidi="ar"/>
              </w:rPr>
              <w:t>序号</w:t>
            </w:r>
          </w:p>
        </w:tc>
        <w:tc>
          <w:tcPr>
            <w:tcW w:w="2605" w:type="dxa"/>
            <w:vMerge w:val="restart"/>
            <w:tcBorders>
              <w:top w:val="single" w:sz="4" w:space="0" w:color="000000"/>
              <w:left w:val="single" w:sz="4" w:space="0" w:color="000000"/>
              <w:right w:val="single" w:sz="4" w:space="0" w:color="000000"/>
            </w:tcBorders>
            <w:vAlign w:val="center"/>
          </w:tcPr>
          <w:p w14:paraId="4B5A0778" w14:textId="77777777" w:rsidR="009219A0" w:rsidRDefault="00000000">
            <w:pPr>
              <w:widowControl/>
              <w:adjustRightInd/>
              <w:snapToGrid/>
              <w:spacing w:line="240" w:lineRule="auto"/>
              <w:ind w:firstLineChars="0" w:firstLine="0"/>
              <w:jc w:val="center"/>
              <w:textAlignment w:val="center"/>
              <w:rPr>
                <w:rFonts w:ascii="宋体" w:hAnsi="宋体" w:cs="宋体" w:hint="eastAsia"/>
                <w:b/>
                <w:color w:val="auto"/>
                <w:kern w:val="0"/>
                <w:sz w:val="21"/>
                <w:szCs w:val="21"/>
                <w:lang w:bidi="ar"/>
              </w:rPr>
            </w:pPr>
            <w:r>
              <w:rPr>
                <w:rFonts w:ascii="宋体" w:hAnsi="宋体" w:cs="宋体" w:hint="eastAsia"/>
                <w:b/>
                <w:color w:val="auto"/>
                <w:kern w:val="0"/>
                <w:sz w:val="21"/>
                <w:szCs w:val="21"/>
                <w:lang w:bidi="ar"/>
              </w:rPr>
              <w:t>分 项 名  称</w:t>
            </w:r>
          </w:p>
        </w:tc>
        <w:tc>
          <w:tcPr>
            <w:tcW w:w="1049" w:type="dxa"/>
            <w:tcBorders>
              <w:top w:val="single" w:sz="4" w:space="0" w:color="000000"/>
              <w:left w:val="single" w:sz="4" w:space="0" w:color="000000"/>
              <w:bottom w:val="single" w:sz="4" w:space="0" w:color="000000"/>
              <w:right w:val="single" w:sz="4" w:space="0" w:color="000000"/>
            </w:tcBorders>
            <w:vAlign w:val="center"/>
          </w:tcPr>
          <w:p w14:paraId="57DD6C1F" w14:textId="77777777" w:rsidR="009219A0" w:rsidRDefault="00000000">
            <w:pPr>
              <w:widowControl/>
              <w:adjustRightInd/>
              <w:snapToGrid/>
              <w:spacing w:line="240" w:lineRule="auto"/>
              <w:ind w:firstLineChars="0" w:firstLine="0"/>
              <w:jc w:val="center"/>
              <w:textAlignment w:val="center"/>
              <w:rPr>
                <w:rFonts w:ascii="宋体" w:hAnsi="宋体" w:cs="宋体" w:hint="eastAsia"/>
                <w:b/>
                <w:color w:val="auto"/>
                <w:kern w:val="0"/>
                <w:sz w:val="21"/>
                <w:szCs w:val="21"/>
                <w:lang w:bidi="ar"/>
              </w:rPr>
            </w:pPr>
            <w:r>
              <w:rPr>
                <w:rFonts w:ascii="宋体" w:hAnsi="宋体" w:cs="宋体" w:hint="eastAsia"/>
                <w:b/>
                <w:color w:val="auto"/>
                <w:kern w:val="0"/>
                <w:sz w:val="21"/>
                <w:szCs w:val="21"/>
                <w:lang w:bidi="ar"/>
              </w:rPr>
              <w:t>数 量</w:t>
            </w:r>
          </w:p>
        </w:tc>
        <w:tc>
          <w:tcPr>
            <w:tcW w:w="1049" w:type="dxa"/>
            <w:tcBorders>
              <w:top w:val="single" w:sz="4" w:space="0" w:color="000000"/>
              <w:left w:val="single" w:sz="4" w:space="0" w:color="000000"/>
              <w:bottom w:val="single" w:sz="4" w:space="0" w:color="000000"/>
              <w:right w:val="single" w:sz="4" w:space="0" w:color="000000"/>
            </w:tcBorders>
            <w:vAlign w:val="center"/>
          </w:tcPr>
          <w:p w14:paraId="6489BFD2" w14:textId="77777777" w:rsidR="009219A0" w:rsidRDefault="00000000">
            <w:pPr>
              <w:widowControl/>
              <w:adjustRightInd/>
              <w:snapToGrid/>
              <w:spacing w:line="240" w:lineRule="auto"/>
              <w:ind w:firstLineChars="0" w:firstLine="0"/>
              <w:jc w:val="center"/>
              <w:textAlignment w:val="center"/>
              <w:rPr>
                <w:rFonts w:ascii="宋体" w:hAnsi="宋体" w:cs="宋体" w:hint="eastAsia"/>
                <w:b/>
                <w:color w:val="auto"/>
                <w:kern w:val="0"/>
                <w:sz w:val="21"/>
                <w:szCs w:val="21"/>
                <w:lang w:bidi="ar"/>
              </w:rPr>
            </w:pPr>
            <w:r>
              <w:rPr>
                <w:rFonts w:ascii="宋体" w:hAnsi="宋体" w:cs="宋体" w:hint="eastAsia"/>
                <w:b/>
                <w:color w:val="auto"/>
                <w:kern w:val="0"/>
                <w:sz w:val="21"/>
                <w:szCs w:val="21"/>
                <w:lang w:bidi="ar"/>
              </w:rPr>
              <w:t>单 价</w:t>
            </w:r>
          </w:p>
        </w:tc>
        <w:tc>
          <w:tcPr>
            <w:tcW w:w="1049" w:type="dxa"/>
            <w:tcBorders>
              <w:top w:val="single" w:sz="4" w:space="0" w:color="000000"/>
              <w:left w:val="single" w:sz="4" w:space="0" w:color="000000"/>
              <w:bottom w:val="single" w:sz="4" w:space="0" w:color="000000"/>
              <w:right w:val="single" w:sz="4" w:space="0" w:color="000000"/>
            </w:tcBorders>
            <w:vAlign w:val="center"/>
          </w:tcPr>
          <w:p w14:paraId="1390BDF9" w14:textId="77777777" w:rsidR="009219A0" w:rsidRDefault="00000000">
            <w:pPr>
              <w:widowControl/>
              <w:adjustRightInd/>
              <w:snapToGrid/>
              <w:spacing w:line="240" w:lineRule="auto"/>
              <w:ind w:firstLineChars="0" w:firstLine="0"/>
              <w:jc w:val="center"/>
              <w:textAlignment w:val="center"/>
              <w:rPr>
                <w:rFonts w:ascii="宋体" w:hAnsi="宋体" w:cs="宋体" w:hint="eastAsia"/>
                <w:b/>
                <w:color w:val="auto"/>
                <w:kern w:val="0"/>
                <w:sz w:val="21"/>
                <w:szCs w:val="21"/>
                <w:lang w:bidi="ar"/>
              </w:rPr>
            </w:pPr>
            <w:r>
              <w:rPr>
                <w:rFonts w:ascii="宋体" w:hAnsi="宋体" w:cs="宋体" w:hint="eastAsia"/>
                <w:b/>
                <w:color w:val="auto"/>
                <w:kern w:val="0"/>
                <w:sz w:val="21"/>
                <w:szCs w:val="21"/>
                <w:lang w:bidi="ar"/>
              </w:rPr>
              <w:t>投资</w:t>
            </w:r>
          </w:p>
        </w:tc>
        <w:tc>
          <w:tcPr>
            <w:tcW w:w="2272" w:type="dxa"/>
            <w:vMerge w:val="restart"/>
            <w:tcBorders>
              <w:top w:val="single" w:sz="4" w:space="0" w:color="000000"/>
              <w:left w:val="single" w:sz="4" w:space="0" w:color="000000"/>
              <w:right w:val="single" w:sz="4" w:space="0" w:color="000000"/>
            </w:tcBorders>
            <w:vAlign w:val="center"/>
          </w:tcPr>
          <w:p w14:paraId="32D4B567" w14:textId="77777777" w:rsidR="009219A0" w:rsidRDefault="00000000">
            <w:pPr>
              <w:widowControl/>
              <w:adjustRightInd/>
              <w:snapToGrid/>
              <w:spacing w:line="240" w:lineRule="auto"/>
              <w:ind w:firstLineChars="0" w:firstLine="0"/>
              <w:jc w:val="center"/>
              <w:textAlignment w:val="center"/>
              <w:rPr>
                <w:rFonts w:ascii="宋体" w:hAnsi="宋体" w:cs="宋体" w:hint="eastAsia"/>
                <w:b/>
                <w:color w:val="auto"/>
                <w:kern w:val="0"/>
                <w:sz w:val="21"/>
                <w:szCs w:val="21"/>
                <w:lang w:bidi="ar"/>
              </w:rPr>
            </w:pPr>
            <w:r>
              <w:rPr>
                <w:rFonts w:ascii="宋体" w:hAnsi="宋体" w:cs="宋体" w:hint="eastAsia"/>
                <w:b/>
                <w:color w:val="auto"/>
                <w:kern w:val="0"/>
                <w:sz w:val="21"/>
                <w:szCs w:val="21"/>
                <w:lang w:bidi="ar"/>
              </w:rPr>
              <w:t>型号/备注</w:t>
            </w:r>
          </w:p>
        </w:tc>
      </w:tr>
      <w:tr w:rsidR="009219A0" w14:paraId="28CD9DE4" w14:textId="77777777">
        <w:trPr>
          <w:trHeight w:val="286"/>
        </w:trPr>
        <w:tc>
          <w:tcPr>
            <w:tcW w:w="1048" w:type="dxa"/>
            <w:vMerge/>
            <w:tcBorders>
              <w:left w:val="single" w:sz="4" w:space="0" w:color="000000"/>
              <w:bottom w:val="single" w:sz="4" w:space="0" w:color="000000"/>
              <w:right w:val="single" w:sz="4" w:space="0" w:color="000000"/>
            </w:tcBorders>
            <w:vAlign w:val="bottom"/>
          </w:tcPr>
          <w:p w14:paraId="20E2852C"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2605" w:type="dxa"/>
            <w:vMerge/>
            <w:tcBorders>
              <w:left w:val="single" w:sz="4" w:space="0" w:color="000000"/>
              <w:bottom w:val="single" w:sz="4" w:space="0" w:color="000000"/>
              <w:right w:val="single" w:sz="4" w:space="0" w:color="000000"/>
            </w:tcBorders>
            <w:vAlign w:val="bottom"/>
          </w:tcPr>
          <w:p w14:paraId="2D1BBB2F"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1BE8B785"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（台/套）</w:t>
            </w:r>
          </w:p>
        </w:tc>
        <w:tc>
          <w:tcPr>
            <w:tcW w:w="1049" w:type="dxa"/>
            <w:tcBorders>
              <w:top w:val="single" w:sz="4" w:space="0" w:color="000000"/>
              <w:left w:val="single" w:sz="4" w:space="0" w:color="000000"/>
              <w:bottom w:val="single" w:sz="4" w:space="0" w:color="000000"/>
              <w:right w:val="single" w:sz="4" w:space="0" w:color="000000"/>
            </w:tcBorders>
            <w:vAlign w:val="center"/>
          </w:tcPr>
          <w:p w14:paraId="49D51AB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（万元）</w:t>
            </w:r>
          </w:p>
        </w:tc>
        <w:tc>
          <w:tcPr>
            <w:tcW w:w="1049" w:type="dxa"/>
            <w:tcBorders>
              <w:top w:val="single" w:sz="4" w:space="0" w:color="000000"/>
              <w:left w:val="single" w:sz="4" w:space="0" w:color="000000"/>
              <w:bottom w:val="single" w:sz="4" w:space="0" w:color="000000"/>
              <w:right w:val="single" w:sz="4" w:space="0" w:color="000000"/>
            </w:tcBorders>
            <w:vAlign w:val="center"/>
          </w:tcPr>
          <w:p w14:paraId="0F6DED0B"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（万元）</w:t>
            </w:r>
          </w:p>
        </w:tc>
        <w:tc>
          <w:tcPr>
            <w:tcW w:w="2272" w:type="dxa"/>
            <w:vMerge/>
            <w:tcBorders>
              <w:left w:val="single" w:sz="4" w:space="0" w:color="000000"/>
              <w:bottom w:val="single" w:sz="4" w:space="0" w:color="000000"/>
              <w:right w:val="single" w:sz="4" w:space="0" w:color="000000"/>
            </w:tcBorders>
            <w:vAlign w:val="bottom"/>
          </w:tcPr>
          <w:p w14:paraId="072B7253"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r>
      <w:tr w:rsidR="009219A0" w14:paraId="688CBDAA"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732EEF18"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w:t>
            </w:r>
          </w:p>
        </w:tc>
        <w:tc>
          <w:tcPr>
            <w:tcW w:w="2605" w:type="dxa"/>
            <w:tcBorders>
              <w:top w:val="single" w:sz="4" w:space="0" w:color="000000"/>
              <w:left w:val="single" w:sz="4" w:space="0" w:color="000000"/>
              <w:bottom w:val="single" w:sz="4" w:space="0" w:color="000000"/>
              <w:right w:val="single" w:sz="4" w:space="0" w:color="000000"/>
            </w:tcBorders>
            <w:vAlign w:val="center"/>
          </w:tcPr>
          <w:p w14:paraId="6A975F8E"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预防事故设施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4C39C3E5"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5F1D04F3"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7753D988"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32.03</w:t>
            </w:r>
          </w:p>
        </w:tc>
        <w:tc>
          <w:tcPr>
            <w:tcW w:w="2272" w:type="dxa"/>
            <w:tcBorders>
              <w:top w:val="single" w:sz="4" w:space="0" w:color="000000"/>
              <w:left w:val="single" w:sz="4" w:space="0" w:color="000000"/>
              <w:bottom w:val="single" w:sz="4" w:space="0" w:color="000000"/>
              <w:right w:val="single" w:sz="4" w:space="0" w:color="000000"/>
            </w:tcBorders>
            <w:vAlign w:val="bottom"/>
          </w:tcPr>
          <w:p w14:paraId="66CD2EE4"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54AA1EBA"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7A54FE9E"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1.1</w:t>
            </w:r>
          </w:p>
        </w:tc>
        <w:tc>
          <w:tcPr>
            <w:tcW w:w="2605" w:type="dxa"/>
            <w:tcBorders>
              <w:top w:val="single" w:sz="4" w:space="0" w:color="000000"/>
              <w:left w:val="single" w:sz="4" w:space="0" w:color="000000"/>
              <w:bottom w:val="single" w:sz="4" w:space="0" w:color="000000"/>
              <w:right w:val="single" w:sz="4" w:space="0" w:color="000000"/>
            </w:tcBorders>
            <w:vAlign w:val="center"/>
          </w:tcPr>
          <w:p w14:paraId="29B8E7C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设备安全防护设施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35A00120"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565807EF"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0A353777"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369D8954"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0CF84481"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1D699CCA"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1.1.1</w:t>
            </w:r>
          </w:p>
        </w:tc>
        <w:tc>
          <w:tcPr>
            <w:tcW w:w="2605" w:type="dxa"/>
            <w:tcBorders>
              <w:top w:val="single" w:sz="4" w:space="0" w:color="000000"/>
              <w:left w:val="single" w:sz="4" w:space="0" w:color="000000"/>
              <w:bottom w:val="single" w:sz="4" w:space="0" w:color="000000"/>
              <w:right w:val="single" w:sz="4" w:space="0" w:color="000000"/>
            </w:tcBorders>
            <w:vAlign w:val="center"/>
          </w:tcPr>
          <w:p w14:paraId="77B0B557"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防护罩</w:t>
            </w:r>
          </w:p>
        </w:tc>
        <w:tc>
          <w:tcPr>
            <w:tcW w:w="1049" w:type="dxa"/>
            <w:tcBorders>
              <w:top w:val="single" w:sz="4" w:space="0" w:color="000000"/>
              <w:left w:val="single" w:sz="4" w:space="0" w:color="000000"/>
              <w:bottom w:val="single" w:sz="4" w:space="0" w:color="000000"/>
              <w:right w:val="single" w:sz="4" w:space="0" w:color="000000"/>
            </w:tcBorders>
            <w:vAlign w:val="center"/>
          </w:tcPr>
          <w:p w14:paraId="5129C12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10</w:t>
            </w:r>
          </w:p>
        </w:tc>
        <w:tc>
          <w:tcPr>
            <w:tcW w:w="1049" w:type="dxa"/>
            <w:tcBorders>
              <w:top w:val="single" w:sz="4" w:space="0" w:color="000000"/>
              <w:left w:val="single" w:sz="4" w:space="0" w:color="000000"/>
              <w:bottom w:val="single" w:sz="4" w:space="0" w:color="000000"/>
              <w:right w:val="single" w:sz="4" w:space="0" w:color="000000"/>
            </w:tcBorders>
            <w:vAlign w:val="center"/>
          </w:tcPr>
          <w:p w14:paraId="49E369B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0.6</w:t>
            </w:r>
          </w:p>
        </w:tc>
        <w:tc>
          <w:tcPr>
            <w:tcW w:w="1049" w:type="dxa"/>
            <w:tcBorders>
              <w:top w:val="single" w:sz="4" w:space="0" w:color="000000"/>
              <w:left w:val="single" w:sz="4" w:space="0" w:color="000000"/>
              <w:bottom w:val="single" w:sz="4" w:space="0" w:color="000000"/>
              <w:right w:val="single" w:sz="4" w:space="0" w:color="000000"/>
            </w:tcBorders>
            <w:vAlign w:val="center"/>
          </w:tcPr>
          <w:p w14:paraId="345B003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6</w:t>
            </w:r>
          </w:p>
        </w:tc>
        <w:tc>
          <w:tcPr>
            <w:tcW w:w="2272" w:type="dxa"/>
            <w:tcBorders>
              <w:top w:val="single" w:sz="4" w:space="0" w:color="000000"/>
              <w:left w:val="single" w:sz="4" w:space="0" w:color="000000"/>
              <w:bottom w:val="single" w:sz="4" w:space="0" w:color="000000"/>
              <w:right w:val="single" w:sz="4" w:space="0" w:color="000000"/>
            </w:tcBorders>
            <w:vAlign w:val="bottom"/>
          </w:tcPr>
          <w:p w14:paraId="22255345"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3894085B"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2B68B27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1.1.2</w:t>
            </w:r>
          </w:p>
        </w:tc>
        <w:tc>
          <w:tcPr>
            <w:tcW w:w="2605" w:type="dxa"/>
            <w:tcBorders>
              <w:top w:val="single" w:sz="4" w:space="0" w:color="000000"/>
              <w:left w:val="single" w:sz="4" w:space="0" w:color="000000"/>
              <w:bottom w:val="single" w:sz="4" w:space="0" w:color="000000"/>
              <w:right w:val="single" w:sz="4" w:space="0" w:color="000000"/>
            </w:tcBorders>
            <w:vAlign w:val="center"/>
          </w:tcPr>
          <w:p w14:paraId="6A92B85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电器过载保护设施费</w:t>
            </w:r>
          </w:p>
        </w:tc>
        <w:tc>
          <w:tcPr>
            <w:tcW w:w="1049" w:type="dxa"/>
            <w:tcBorders>
              <w:top w:val="single" w:sz="4" w:space="0" w:color="000000"/>
              <w:left w:val="single" w:sz="4" w:space="0" w:color="000000"/>
              <w:bottom w:val="single" w:sz="4" w:space="0" w:color="000000"/>
              <w:right w:val="single" w:sz="4" w:space="0" w:color="000000"/>
            </w:tcBorders>
            <w:vAlign w:val="center"/>
          </w:tcPr>
          <w:p w14:paraId="19B70E9E"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w:t>
            </w:r>
          </w:p>
        </w:tc>
        <w:tc>
          <w:tcPr>
            <w:tcW w:w="1049" w:type="dxa"/>
            <w:tcBorders>
              <w:top w:val="single" w:sz="4" w:space="0" w:color="000000"/>
              <w:left w:val="single" w:sz="4" w:space="0" w:color="000000"/>
              <w:bottom w:val="single" w:sz="4" w:space="0" w:color="000000"/>
              <w:right w:val="single" w:sz="4" w:space="0" w:color="000000"/>
            </w:tcBorders>
            <w:vAlign w:val="center"/>
          </w:tcPr>
          <w:p w14:paraId="1EB8868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w:t>
            </w:r>
          </w:p>
        </w:tc>
        <w:tc>
          <w:tcPr>
            <w:tcW w:w="1049" w:type="dxa"/>
            <w:tcBorders>
              <w:top w:val="single" w:sz="4" w:space="0" w:color="000000"/>
              <w:left w:val="single" w:sz="4" w:space="0" w:color="000000"/>
              <w:bottom w:val="single" w:sz="4" w:space="0" w:color="000000"/>
              <w:right w:val="single" w:sz="4" w:space="0" w:color="000000"/>
            </w:tcBorders>
            <w:vAlign w:val="center"/>
          </w:tcPr>
          <w:p w14:paraId="280E0605"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6</w:t>
            </w:r>
          </w:p>
        </w:tc>
        <w:tc>
          <w:tcPr>
            <w:tcW w:w="2272" w:type="dxa"/>
            <w:tcBorders>
              <w:top w:val="single" w:sz="4" w:space="0" w:color="000000"/>
              <w:left w:val="single" w:sz="4" w:space="0" w:color="000000"/>
              <w:bottom w:val="single" w:sz="4" w:space="0" w:color="000000"/>
              <w:right w:val="single" w:sz="4" w:space="0" w:color="000000"/>
            </w:tcBorders>
            <w:vAlign w:val="bottom"/>
          </w:tcPr>
          <w:p w14:paraId="3D09B5E6"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450E56FF"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22114FB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1.1.3</w:t>
            </w:r>
          </w:p>
        </w:tc>
        <w:tc>
          <w:tcPr>
            <w:tcW w:w="2605" w:type="dxa"/>
            <w:tcBorders>
              <w:top w:val="single" w:sz="4" w:space="0" w:color="000000"/>
              <w:left w:val="single" w:sz="4" w:space="0" w:color="000000"/>
              <w:bottom w:val="single" w:sz="4" w:space="0" w:color="000000"/>
              <w:right w:val="single" w:sz="4" w:space="0" w:color="000000"/>
            </w:tcBorders>
            <w:vAlign w:val="center"/>
          </w:tcPr>
          <w:p w14:paraId="0D2B21D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静电接地设施费</w:t>
            </w:r>
          </w:p>
        </w:tc>
        <w:tc>
          <w:tcPr>
            <w:tcW w:w="1049" w:type="dxa"/>
            <w:tcBorders>
              <w:top w:val="single" w:sz="4" w:space="0" w:color="000000"/>
              <w:left w:val="single" w:sz="4" w:space="0" w:color="000000"/>
              <w:bottom w:val="single" w:sz="4" w:space="0" w:color="000000"/>
              <w:right w:val="single" w:sz="4" w:space="0" w:color="000000"/>
            </w:tcBorders>
            <w:vAlign w:val="center"/>
          </w:tcPr>
          <w:p w14:paraId="4ABD8467"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w:t>
            </w:r>
          </w:p>
        </w:tc>
        <w:tc>
          <w:tcPr>
            <w:tcW w:w="1049" w:type="dxa"/>
            <w:tcBorders>
              <w:top w:val="single" w:sz="4" w:space="0" w:color="000000"/>
              <w:left w:val="single" w:sz="4" w:space="0" w:color="000000"/>
              <w:bottom w:val="single" w:sz="4" w:space="0" w:color="000000"/>
              <w:right w:val="single" w:sz="4" w:space="0" w:color="000000"/>
            </w:tcBorders>
            <w:vAlign w:val="center"/>
          </w:tcPr>
          <w:p w14:paraId="638D3AB5"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6</w:t>
            </w:r>
          </w:p>
        </w:tc>
        <w:tc>
          <w:tcPr>
            <w:tcW w:w="1049" w:type="dxa"/>
            <w:tcBorders>
              <w:top w:val="single" w:sz="4" w:space="0" w:color="000000"/>
              <w:left w:val="single" w:sz="4" w:space="0" w:color="000000"/>
              <w:bottom w:val="single" w:sz="4" w:space="0" w:color="000000"/>
              <w:right w:val="single" w:sz="4" w:space="0" w:color="000000"/>
            </w:tcBorders>
            <w:vAlign w:val="center"/>
          </w:tcPr>
          <w:p w14:paraId="3C12230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6</w:t>
            </w:r>
          </w:p>
        </w:tc>
        <w:tc>
          <w:tcPr>
            <w:tcW w:w="2272" w:type="dxa"/>
            <w:tcBorders>
              <w:top w:val="single" w:sz="4" w:space="0" w:color="000000"/>
              <w:left w:val="single" w:sz="4" w:space="0" w:color="000000"/>
              <w:bottom w:val="single" w:sz="4" w:space="0" w:color="000000"/>
              <w:right w:val="single" w:sz="4" w:space="0" w:color="000000"/>
            </w:tcBorders>
            <w:vAlign w:val="bottom"/>
          </w:tcPr>
          <w:p w14:paraId="1ED74F6A"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1B153EB3"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522C450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1.2</w:t>
            </w:r>
          </w:p>
        </w:tc>
        <w:tc>
          <w:tcPr>
            <w:tcW w:w="2605" w:type="dxa"/>
            <w:tcBorders>
              <w:top w:val="single" w:sz="4" w:space="0" w:color="000000"/>
              <w:left w:val="single" w:sz="4" w:space="0" w:color="000000"/>
              <w:bottom w:val="single" w:sz="4" w:space="0" w:color="000000"/>
              <w:right w:val="single" w:sz="4" w:space="0" w:color="000000"/>
            </w:tcBorders>
            <w:vAlign w:val="center"/>
          </w:tcPr>
          <w:p w14:paraId="0761404A"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电气防火、防爆设施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38EC1E71"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55589A6F"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432975CE"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289945BD"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11A387AE"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1913271B"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1.2.1</w:t>
            </w:r>
          </w:p>
        </w:tc>
        <w:tc>
          <w:tcPr>
            <w:tcW w:w="2605" w:type="dxa"/>
            <w:tcBorders>
              <w:top w:val="single" w:sz="4" w:space="0" w:color="000000"/>
              <w:left w:val="single" w:sz="4" w:space="0" w:color="000000"/>
              <w:bottom w:val="single" w:sz="4" w:space="0" w:color="000000"/>
              <w:right w:val="single" w:sz="4" w:space="0" w:color="000000"/>
            </w:tcBorders>
            <w:vAlign w:val="center"/>
          </w:tcPr>
          <w:p w14:paraId="0ECFF4A1"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电缆及线路防护措施费</w:t>
            </w:r>
          </w:p>
        </w:tc>
        <w:tc>
          <w:tcPr>
            <w:tcW w:w="1049" w:type="dxa"/>
            <w:tcBorders>
              <w:top w:val="single" w:sz="4" w:space="0" w:color="000000"/>
              <w:left w:val="single" w:sz="4" w:space="0" w:color="000000"/>
              <w:bottom w:val="single" w:sz="4" w:space="0" w:color="000000"/>
              <w:right w:val="single" w:sz="4" w:space="0" w:color="000000"/>
            </w:tcBorders>
            <w:vAlign w:val="center"/>
          </w:tcPr>
          <w:p w14:paraId="5AE87258"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1套</w:t>
            </w:r>
          </w:p>
        </w:tc>
        <w:tc>
          <w:tcPr>
            <w:tcW w:w="1049" w:type="dxa"/>
            <w:tcBorders>
              <w:top w:val="single" w:sz="4" w:space="0" w:color="000000"/>
              <w:left w:val="single" w:sz="4" w:space="0" w:color="000000"/>
              <w:bottom w:val="single" w:sz="4" w:space="0" w:color="000000"/>
              <w:right w:val="single" w:sz="4" w:space="0" w:color="000000"/>
            </w:tcBorders>
            <w:vAlign w:val="bottom"/>
          </w:tcPr>
          <w:p w14:paraId="22777A1B" w14:textId="77777777" w:rsidR="009219A0" w:rsidRDefault="00000000">
            <w:pPr>
              <w:adjustRightInd/>
              <w:snapToGrid/>
              <w:spacing w:line="240" w:lineRule="auto"/>
              <w:ind w:firstLineChars="0" w:firstLine="0"/>
              <w:jc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4</w:t>
            </w:r>
          </w:p>
        </w:tc>
        <w:tc>
          <w:tcPr>
            <w:tcW w:w="1049" w:type="dxa"/>
            <w:tcBorders>
              <w:top w:val="single" w:sz="4" w:space="0" w:color="000000"/>
              <w:left w:val="single" w:sz="4" w:space="0" w:color="000000"/>
              <w:bottom w:val="single" w:sz="4" w:space="0" w:color="000000"/>
              <w:right w:val="single" w:sz="4" w:space="0" w:color="000000"/>
            </w:tcBorders>
            <w:vAlign w:val="center"/>
          </w:tcPr>
          <w:p w14:paraId="5C94130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4</w:t>
            </w:r>
          </w:p>
        </w:tc>
        <w:tc>
          <w:tcPr>
            <w:tcW w:w="2272" w:type="dxa"/>
            <w:tcBorders>
              <w:top w:val="single" w:sz="4" w:space="0" w:color="000000"/>
              <w:left w:val="single" w:sz="4" w:space="0" w:color="000000"/>
              <w:bottom w:val="single" w:sz="4" w:space="0" w:color="000000"/>
              <w:right w:val="single" w:sz="4" w:space="0" w:color="000000"/>
            </w:tcBorders>
            <w:vAlign w:val="bottom"/>
          </w:tcPr>
          <w:p w14:paraId="37AA0C38"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7B507C40"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4998CEB0"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1.3</w:t>
            </w:r>
          </w:p>
        </w:tc>
        <w:tc>
          <w:tcPr>
            <w:tcW w:w="2605" w:type="dxa"/>
            <w:tcBorders>
              <w:top w:val="single" w:sz="4" w:space="0" w:color="000000"/>
              <w:left w:val="single" w:sz="4" w:space="0" w:color="000000"/>
              <w:bottom w:val="single" w:sz="4" w:space="0" w:color="000000"/>
              <w:right w:val="single" w:sz="4" w:space="0" w:color="000000"/>
            </w:tcBorders>
            <w:vAlign w:val="center"/>
          </w:tcPr>
          <w:p w14:paraId="063E23C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作业场所防护设施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18EF9470"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3A1E4BED"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3753A8A0"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1F78E0B0"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13611008"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59BBABEB"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1.3.1</w:t>
            </w:r>
          </w:p>
        </w:tc>
        <w:tc>
          <w:tcPr>
            <w:tcW w:w="2605" w:type="dxa"/>
            <w:tcBorders>
              <w:top w:val="single" w:sz="4" w:space="0" w:color="000000"/>
              <w:left w:val="single" w:sz="4" w:space="0" w:color="000000"/>
              <w:bottom w:val="single" w:sz="4" w:space="0" w:color="000000"/>
              <w:right w:val="single" w:sz="4" w:space="0" w:color="000000"/>
            </w:tcBorders>
            <w:vAlign w:val="center"/>
          </w:tcPr>
          <w:p w14:paraId="0FBF3C3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防噪音措施费</w:t>
            </w:r>
          </w:p>
        </w:tc>
        <w:tc>
          <w:tcPr>
            <w:tcW w:w="1049" w:type="dxa"/>
            <w:tcBorders>
              <w:top w:val="single" w:sz="4" w:space="0" w:color="000000"/>
              <w:left w:val="single" w:sz="4" w:space="0" w:color="000000"/>
              <w:bottom w:val="single" w:sz="4" w:space="0" w:color="000000"/>
              <w:right w:val="single" w:sz="4" w:space="0" w:color="000000"/>
            </w:tcBorders>
            <w:vAlign w:val="center"/>
          </w:tcPr>
          <w:p w14:paraId="3675449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若干</w:t>
            </w:r>
          </w:p>
        </w:tc>
        <w:tc>
          <w:tcPr>
            <w:tcW w:w="1049" w:type="dxa"/>
            <w:tcBorders>
              <w:top w:val="single" w:sz="4" w:space="0" w:color="000000"/>
              <w:left w:val="single" w:sz="4" w:space="0" w:color="000000"/>
              <w:bottom w:val="single" w:sz="4" w:space="0" w:color="000000"/>
              <w:right w:val="single" w:sz="4" w:space="0" w:color="000000"/>
            </w:tcBorders>
            <w:vAlign w:val="bottom"/>
          </w:tcPr>
          <w:p w14:paraId="4BD573C7" w14:textId="77777777" w:rsidR="009219A0" w:rsidRDefault="00000000">
            <w:pPr>
              <w:adjustRightInd/>
              <w:snapToGrid/>
              <w:spacing w:line="240" w:lineRule="auto"/>
              <w:ind w:firstLineChars="0" w:firstLine="0"/>
              <w:jc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w:t>
            </w:r>
          </w:p>
        </w:tc>
        <w:tc>
          <w:tcPr>
            <w:tcW w:w="1049" w:type="dxa"/>
            <w:tcBorders>
              <w:top w:val="single" w:sz="4" w:space="0" w:color="000000"/>
              <w:left w:val="single" w:sz="4" w:space="0" w:color="000000"/>
              <w:bottom w:val="single" w:sz="4" w:space="0" w:color="000000"/>
              <w:right w:val="single" w:sz="4" w:space="0" w:color="000000"/>
            </w:tcBorders>
            <w:vAlign w:val="center"/>
          </w:tcPr>
          <w:p w14:paraId="56C77D1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4</w:t>
            </w:r>
          </w:p>
        </w:tc>
        <w:tc>
          <w:tcPr>
            <w:tcW w:w="2272" w:type="dxa"/>
            <w:tcBorders>
              <w:top w:val="single" w:sz="4" w:space="0" w:color="000000"/>
              <w:left w:val="single" w:sz="4" w:space="0" w:color="000000"/>
              <w:bottom w:val="single" w:sz="4" w:space="0" w:color="000000"/>
              <w:right w:val="single" w:sz="4" w:space="0" w:color="000000"/>
            </w:tcBorders>
            <w:vAlign w:val="bottom"/>
          </w:tcPr>
          <w:p w14:paraId="3E16FFD3"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7904F781"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0DB0B63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1.3.2</w:t>
            </w:r>
          </w:p>
        </w:tc>
        <w:tc>
          <w:tcPr>
            <w:tcW w:w="2605" w:type="dxa"/>
            <w:tcBorders>
              <w:top w:val="single" w:sz="4" w:space="0" w:color="000000"/>
              <w:left w:val="single" w:sz="4" w:space="0" w:color="000000"/>
              <w:bottom w:val="single" w:sz="4" w:space="0" w:color="000000"/>
              <w:right w:val="single" w:sz="4" w:space="0" w:color="000000"/>
            </w:tcBorders>
            <w:vAlign w:val="center"/>
          </w:tcPr>
          <w:p w14:paraId="4F4BDF88"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通风排烟设备费用</w:t>
            </w:r>
          </w:p>
        </w:tc>
        <w:tc>
          <w:tcPr>
            <w:tcW w:w="1049" w:type="dxa"/>
            <w:tcBorders>
              <w:top w:val="single" w:sz="4" w:space="0" w:color="000000"/>
              <w:left w:val="single" w:sz="4" w:space="0" w:color="000000"/>
              <w:bottom w:val="single" w:sz="4" w:space="0" w:color="000000"/>
              <w:right w:val="single" w:sz="4" w:space="0" w:color="000000"/>
            </w:tcBorders>
            <w:vAlign w:val="center"/>
          </w:tcPr>
          <w:p w14:paraId="2CCB460A"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若干</w:t>
            </w:r>
          </w:p>
        </w:tc>
        <w:tc>
          <w:tcPr>
            <w:tcW w:w="1049" w:type="dxa"/>
            <w:tcBorders>
              <w:top w:val="single" w:sz="4" w:space="0" w:color="000000"/>
              <w:left w:val="single" w:sz="4" w:space="0" w:color="000000"/>
              <w:bottom w:val="single" w:sz="4" w:space="0" w:color="000000"/>
              <w:right w:val="single" w:sz="4" w:space="0" w:color="000000"/>
            </w:tcBorders>
            <w:vAlign w:val="center"/>
          </w:tcPr>
          <w:p w14:paraId="0D4ABB1D"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w:t>
            </w:r>
          </w:p>
        </w:tc>
        <w:tc>
          <w:tcPr>
            <w:tcW w:w="1049" w:type="dxa"/>
            <w:tcBorders>
              <w:top w:val="single" w:sz="4" w:space="0" w:color="000000"/>
              <w:left w:val="single" w:sz="4" w:space="0" w:color="000000"/>
              <w:bottom w:val="single" w:sz="4" w:space="0" w:color="000000"/>
              <w:right w:val="single" w:sz="4" w:space="0" w:color="000000"/>
            </w:tcBorders>
            <w:vAlign w:val="center"/>
          </w:tcPr>
          <w:p w14:paraId="06F8F3F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5</w:t>
            </w:r>
          </w:p>
        </w:tc>
        <w:tc>
          <w:tcPr>
            <w:tcW w:w="2272" w:type="dxa"/>
            <w:tcBorders>
              <w:top w:val="single" w:sz="4" w:space="0" w:color="000000"/>
              <w:left w:val="single" w:sz="4" w:space="0" w:color="000000"/>
              <w:bottom w:val="single" w:sz="4" w:space="0" w:color="000000"/>
              <w:right w:val="single" w:sz="4" w:space="0" w:color="000000"/>
            </w:tcBorders>
            <w:vAlign w:val="center"/>
          </w:tcPr>
          <w:p w14:paraId="17B43FE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设备费用</w:t>
            </w:r>
          </w:p>
        </w:tc>
      </w:tr>
      <w:tr w:rsidR="009219A0" w14:paraId="75798827"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4E98079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1.4</w:t>
            </w:r>
          </w:p>
        </w:tc>
        <w:tc>
          <w:tcPr>
            <w:tcW w:w="2605" w:type="dxa"/>
            <w:tcBorders>
              <w:top w:val="single" w:sz="4" w:space="0" w:color="000000"/>
              <w:left w:val="single" w:sz="4" w:space="0" w:color="000000"/>
              <w:bottom w:val="single" w:sz="4" w:space="0" w:color="000000"/>
              <w:right w:val="single" w:sz="4" w:space="0" w:color="000000"/>
            </w:tcBorders>
            <w:vAlign w:val="center"/>
          </w:tcPr>
          <w:p w14:paraId="39685C9D"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安全警示标志</w:t>
            </w:r>
          </w:p>
        </w:tc>
        <w:tc>
          <w:tcPr>
            <w:tcW w:w="1049" w:type="dxa"/>
            <w:tcBorders>
              <w:top w:val="single" w:sz="4" w:space="0" w:color="000000"/>
              <w:left w:val="single" w:sz="4" w:space="0" w:color="000000"/>
              <w:bottom w:val="single" w:sz="4" w:space="0" w:color="000000"/>
              <w:right w:val="single" w:sz="4" w:space="0" w:color="000000"/>
            </w:tcBorders>
            <w:vAlign w:val="bottom"/>
          </w:tcPr>
          <w:p w14:paraId="73B5B951"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1D9340CE"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3529D35D"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209E56ED"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14AB3A36"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52693A00"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1.4.1</w:t>
            </w:r>
          </w:p>
        </w:tc>
        <w:tc>
          <w:tcPr>
            <w:tcW w:w="2605" w:type="dxa"/>
            <w:tcBorders>
              <w:top w:val="single" w:sz="4" w:space="0" w:color="000000"/>
              <w:left w:val="single" w:sz="4" w:space="0" w:color="000000"/>
              <w:bottom w:val="single" w:sz="4" w:space="0" w:color="000000"/>
              <w:right w:val="single" w:sz="4" w:space="0" w:color="000000"/>
            </w:tcBorders>
            <w:vAlign w:val="center"/>
          </w:tcPr>
          <w:p w14:paraId="29E2F95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安全指示标志牌</w:t>
            </w:r>
          </w:p>
        </w:tc>
        <w:tc>
          <w:tcPr>
            <w:tcW w:w="1049" w:type="dxa"/>
            <w:tcBorders>
              <w:top w:val="single" w:sz="4" w:space="0" w:color="000000"/>
              <w:left w:val="single" w:sz="4" w:space="0" w:color="000000"/>
              <w:bottom w:val="single" w:sz="4" w:space="0" w:color="000000"/>
              <w:right w:val="single" w:sz="4" w:space="0" w:color="000000"/>
            </w:tcBorders>
            <w:vAlign w:val="center"/>
          </w:tcPr>
          <w:p w14:paraId="0383D181"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若干</w:t>
            </w:r>
          </w:p>
        </w:tc>
        <w:tc>
          <w:tcPr>
            <w:tcW w:w="1049" w:type="dxa"/>
            <w:tcBorders>
              <w:top w:val="single" w:sz="4" w:space="0" w:color="000000"/>
              <w:left w:val="single" w:sz="4" w:space="0" w:color="000000"/>
              <w:bottom w:val="single" w:sz="4" w:space="0" w:color="000000"/>
              <w:right w:val="single" w:sz="4" w:space="0" w:color="000000"/>
            </w:tcBorders>
            <w:vAlign w:val="bottom"/>
          </w:tcPr>
          <w:p w14:paraId="7308E800"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37B9334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0.5</w:t>
            </w:r>
          </w:p>
        </w:tc>
        <w:tc>
          <w:tcPr>
            <w:tcW w:w="2272" w:type="dxa"/>
            <w:tcBorders>
              <w:top w:val="single" w:sz="4" w:space="0" w:color="000000"/>
              <w:left w:val="single" w:sz="4" w:space="0" w:color="000000"/>
              <w:bottom w:val="single" w:sz="4" w:space="0" w:color="000000"/>
              <w:right w:val="single" w:sz="4" w:space="0" w:color="000000"/>
            </w:tcBorders>
            <w:vAlign w:val="bottom"/>
          </w:tcPr>
          <w:p w14:paraId="56F1C8A5"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2A77AD5F"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07E4DC0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1.4.2</w:t>
            </w:r>
          </w:p>
        </w:tc>
        <w:tc>
          <w:tcPr>
            <w:tcW w:w="2605" w:type="dxa"/>
            <w:tcBorders>
              <w:top w:val="single" w:sz="4" w:space="0" w:color="000000"/>
              <w:left w:val="single" w:sz="4" w:space="0" w:color="000000"/>
              <w:bottom w:val="single" w:sz="4" w:space="0" w:color="000000"/>
              <w:right w:val="single" w:sz="4" w:space="0" w:color="000000"/>
            </w:tcBorders>
            <w:vAlign w:val="center"/>
          </w:tcPr>
          <w:p w14:paraId="71DA753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警示标志牌</w:t>
            </w:r>
          </w:p>
        </w:tc>
        <w:tc>
          <w:tcPr>
            <w:tcW w:w="1049" w:type="dxa"/>
            <w:tcBorders>
              <w:top w:val="single" w:sz="4" w:space="0" w:color="000000"/>
              <w:left w:val="single" w:sz="4" w:space="0" w:color="000000"/>
              <w:bottom w:val="single" w:sz="4" w:space="0" w:color="000000"/>
              <w:right w:val="single" w:sz="4" w:space="0" w:color="000000"/>
            </w:tcBorders>
            <w:vAlign w:val="center"/>
          </w:tcPr>
          <w:p w14:paraId="64CF123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若干</w:t>
            </w:r>
          </w:p>
        </w:tc>
        <w:tc>
          <w:tcPr>
            <w:tcW w:w="1049" w:type="dxa"/>
            <w:tcBorders>
              <w:top w:val="single" w:sz="4" w:space="0" w:color="000000"/>
              <w:left w:val="single" w:sz="4" w:space="0" w:color="000000"/>
              <w:bottom w:val="single" w:sz="4" w:space="0" w:color="000000"/>
              <w:right w:val="single" w:sz="4" w:space="0" w:color="000000"/>
            </w:tcBorders>
            <w:vAlign w:val="bottom"/>
          </w:tcPr>
          <w:p w14:paraId="76FBEA4D"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39588FF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0.5</w:t>
            </w:r>
          </w:p>
        </w:tc>
        <w:tc>
          <w:tcPr>
            <w:tcW w:w="2272" w:type="dxa"/>
            <w:tcBorders>
              <w:top w:val="single" w:sz="4" w:space="0" w:color="000000"/>
              <w:left w:val="single" w:sz="4" w:space="0" w:color="000000"/>
              <w:bottom w:val="single" w:sz="4" w:space="0" w:color="000000"/>
              <w:right w:val="single" w:sz="4" w:space="0" w:color="000000"/>
            </w:tcBorders>
            <w:vAlign w:val="bottom"/>
          </w:tcPr>
          <w:p w14:paraId="15990594"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43CAE65C"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4C42EE9A"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lastRenderedPageBreak/>
              <w:t>1.4.3</w:t>
            </w:r>
          </w:p>
        </w:tc>
        <w:tc>
          <w:tcPr>
            <w:tcW w:w="2605" w:type="dxa"/>
            <w:tcBorders>
              <w:top w:val="single" w:sz="4" w:space="0" w:color="000000"/>
              <w:left w:val="single" w:sz="4" w:space="0" w:color="000000"/>
              <w:bottom w:val="single" w:sz="4" w:space="0" w:color="000000"/>
              <w:right w:val="single" w:sz="4" w:space="0" w:color="000000"/>
            </w:tcBorders>
            <w:vAlign w:val="center"/>
          </w:tcPr>
          <w:p w14:paraId="3EC862A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限速标志</w:t>
            </w:r>
          </w:p>
        </w:tc>
        <w:tc>
          <w:tcPr>
            <w:tcW w:w="1049" w:type="dxa"/>
            <w:tcBorders>
              <w:top w:val="single" w:sz="4" w:space="0" w:color="000000"/>
              <w:left w:val="single" w:sz="4" w:space="0" w:color="000000"/>
              <w:bottom w:val="single" w:sz="4" w:space="0" w:color="000000"/>
              <w:right w:val="single" w:sz="4" w:space="0" w:color="000000"/>
            </w:tcBorders>
            <w:vAlign w:val="center"/>
          </w:tcPr>
          <w:p w14:paraId="287DC9A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w:t>
            </w:r>
          </w:p>
        </w:tc>
        <w:tc>
          <w:tcPr>
            <w:tcW w:w="1049" w:type="dxa"/>
            <w:tcBorders>
              <w:top w:val="single" w:sz="4" w:space="0" w:color="000000"/>
              <w:left w:val="single" w:sz="4" w:space="0" w:color="000000"/>
              <w:bottom w:val="single" w:sz="4" w:space="0" w:color="000000"/>
              <w:right w:val="single" w:sz="4" w:space="0" w:color="000000"/>
            </w:tcBorders>
            <w:vAlign w:val="center"/>
          </w:tcPr>
          <w:p w14:paraId="7CAD165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0.015</w:t>
            </w:r>
          </w:p>
        </w:tc>
        <w:tc>
          <w:tcPr>
            <w:tcW w:w="1049" w:type="dxa"/>
            <w:tcBorders>
              <w:top w:val="single" w:sz="4" w:space="0" w:color="000000"/>
              <w:left w:val="single" w:sz="4" w:space="0" w:color="000000"/>
              <w:bottom w:val="single" w:sz="4" w:space="0" w:color="000000"/>
              <w:right w:val="single" w:sz="4" w:space="0" w:color="000000"/>
            </w:tcBorders>
            <w:vAlign w:val="center"/>
          </w:tcPr>
          <w:p w14:paraId="173E837D"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0.03</w:t>
            </w:r>
          </w:p>
        </w:tc>
        <w:tc>
          <w:tcPr>
            <w:tcW w:w="2272" w:type="dxa"/>
            <w:tcBorders>
              <w:top w:val="single" w:sz="4" w:space="0" w:color="000000"/>
              <w:left w:val="single" w:sz="4" w:space="0" w:color="000000"/>
              <w:bottom w:val="single" w:sz="4" w:space="0" w:color="000000"/>
              <w:right w:val="single" w:sz="4" w:space="0" w:color="000000"/>
            </w:tcBorders>
            <w:vAlign w:val="bottom"/>
          </w:tcPr>
          <w:p w14:paraId="54470656"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0A0C9241" w14:textId="77777777">
        <w:trPr>
          <w:trHeight w:val="301"/>
        </w:trPr>
        <w:tc>
          <w:tcPr>
            <w:tcW w:w="9072" w:type="dxa"/>
            <w:gridSpan w:val="6"/>
            <w:tcBorders>
              <w:top w:val="single" w:sz="4" w:space="0" w:color="000000"/>
              <w:left w:val="single" w:sz="4" w:space="0" w:color="000000"/>
              <w:bottom w:val="single" w:sz="4" w:space="0" w:color="000000"/>
              <w:right w:val="single" w:sz="4" w:space="0" w:color="000000"/>
            </w:tcBorders>
            <w:vAlign w:val="bottom"/>
          </w:tcPr>
          <w:p w14:paraId="59F43E72"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63E417E8"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1F537E3D"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w:t>
            </w:r>
          </w:p>
        </w:tc>
        <w:tc>
          <w:tcPr>
            <w:tcW w:w="2605" w:type="dxa"/>
            <w:tcBorders>
              <w:top w:val="single" w:sz="4" w:space="0" w:color="000000"/>
              <w:left w:val="single" w:sz="4" w:space="0" w:color="000000"/>
              <w:bottom w:val="single" w:sz="4" w:space="0" w:color="000000"/>
              <w:right w:val="single" w:sz="4" w:space="0" w:color="000000"/>
            </w:tcBorders>
            <w:vAlign w:val="center"/>
          </w:tcPr>
          <w:p w14:paraId="611EAD98"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减少与消除事故影响设施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70F68C56"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3D72C391"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76C5631F" w14:textId="77777777" w:rsidR="009219A0" w:rsidRDefault="00000000">
            <w:pPr>
              <w:adjustRightInd/>
              <w:snapToGrid/>
              <w:spacing w:line="240" w:lineRule="auto"/>
              <w:ind w:firstLineChars="0" w:firstLine="0"/>
              <w:jc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11.51</w:t>
            </w:r>
          </w:p>
        </w:tc>
        <w:tc>
          <w:tcPr>
            <w:tcW w:w="2272" w:type="dxa"/>
            <w:tcBorders>
              <w:top w:val="single" w:sz="4" w:space="0" w:color="000000"/>
              <w:left w:val="single" w:sz="4" w:space="0" w:color="000000"/>
              <w:bottom w:val="single" w:sz="4" w:space="0" w:color="000000"/>
              <w:right w:val="single" w:sz="4" w:space="0" w:color="000000"/>
            </w:tcBorders>
            <w:vAlign w:val="bottom"/>
          </w:tcPr>
          <w:p w14:paraId="0D78871D"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7001D878"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40761E36"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2.1</w:t>
            </w:r>
          </w:p>
        </w:tc>
        <w:tc>
          <w:tcPr>
            <w:tcW w:w="2605" w:type="dxa"/>
            <w:tcBorders>
              <w:top w:val="single" w:sz="4" w:space="0" w:color="000000"/>
              <w:left w:val="single" w:sz="4" w:space="0" w:color="000000"/>
              <w:bottom w:val="single" w:sz="4" w:space="0" w:color="000000"/>
              <w:right w:val="single" w:sz="4" w:space="0" w:color="000000"/>
            </w:tcBorders>
            <w:vAlign w:val="center"/>
          </w:tcPr>
          <w:p w14:paraId="0E71CBE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防止火灾蔓延设施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3EA8C918"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6C376593"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244099A9"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5D53B98A"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73FD2CC5"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11DA5EAB"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2.1.1</w:t>
            </w:r>
          </w:p>
        </w:tc>
        <w:tc>
          <w:tcPr>
            <w:tcW w:w="2605" w:type="dxa"/>
            <w:tcBorders>
              <w:top w:val="single" w:sz="4" w:space="0" w:color="000000"/>
              <w:left w:val="single" w:sz="4" w:space="0" w:color="000000"/>
              <w:bottom w:val="single" w:sz="4" w:space="0" w:color="000000"/>
              <w:right w:val="single" w:sz="4" w:space="0" w:color="000000"/>
            </w:tcBorders>
            <w:vAlign w:val="center"/>
          </w:tcPr>
          <w:p w14:paraId="016E8F55"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防火材料涂层</w:t>
            </w:r>
          </w:p>
        </w:tc>
        <w:tc>
          <w:tcPr>
            <w:tcW w:w="1049" w:type="dxa"/>
            <w:tcBorders>
              <w:top w:val="single" w:sz="4" w:space="0" w:color="000000"/>
              <w:left w:val="single" w:sz="4" w:space="0" w:color="000000"/>
              <w:bottom w:val="single" w:sz="4" w:space="0" w:color="000000"/>
              <w:right w:val="single" w:sz="4" w:space="0" w:color="000000"/>
            </w:tcBorders>
            <w:vAlign w:val="center"/>
          </w:tcPr>
          <w:p w14:paraId="097D4EC1"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若干</w:t>
            </w:r>
          </w:p>
        </w:tc>
        <w:tc>
          <w:tcPr>
            <w:tcW w:w="1049" w:type="dxa"/>
            <w:tcBorders>
              <w:top w:val="single" w:sz="4" w:space="0" w:color="000000"/>
              <w:left w:val="single" w:sz="4" w:space="0" w:color="000000"/>
              <w:bottom w:val="single" w:sz="4" w:space="0" w:color="000000"/>
              <w:right w:val="single" w:sz="4" w:space="0" w:color="000000"/>
            </w:tcBorders>
            <w:vAlign w:val="bottom"/>
          </w:tcPr>
          <w:p w14:paraId="2742EF4C"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4DE309E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4</w:t>
            </w:r>
          </w:p>
        </w:tc>
        <w:tc>
          <w:tcPr>
            <w:tcW w:w="2272" w:type="dxa"/>
            <w:tcBorders>
              <w:top w:val="single" w:sz="4" w:space="0" w:color="000000"/>
              <w:left w:val="single" w:sz="4" w:space="0" w:color="000000"/>
              <w:bottom w:val="single" w:sz="4" w:space="0" w:color="000000"/>
              <w:right w:val="single" w:sz="4" w:space="0" w:color="000000"/>
            </w:tcBorders>
            <w:vAlign w:val="center"/>
          </w:tcPr>
          <w:p w14:paraId="19FF58C5"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建筑费用</w:t>
            </w:r>
          </w:p>
        </w:tc>
      </w:tr>
      <w:tr w:rsidR="009219A0" w14:paraId="5A405A99"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52AB6C0A"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w:t>
            </w:r>
          </w:p>
        </w:tc>
        <w:tc>
          <w:tcPr>
            <w:tcW w:w="2605" w:type="dxa"/>
            <w:tcBorders>
              <w:top w:val="single" w:sz="4" w:space="0" w:color="000000"/>
              <w:left w:val="single" w:sz="4" w:space="0" w:color="000000"/>
              <w:bottom w:val="single" w:sz="4" w:space="0" w:color="000000"/>
              <w:right w:val="single" w:sz="4" w:space="0" w:color="000000"/>
            </w:tcBorders>
            <w:vAlign w:val="center"/>
          </w:tcPr>
          <w:p w14:paraId="155C99D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灭火设施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1C85CD21"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541B3B89"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33C7DABA"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151ED0E3"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386A53C4"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71E07A05"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2.2.1</w:t>
            </w:r>
          </w:p>
        </w:tc>
        <w:tc>
          <w:tcPr>
            <w:tcW w:w="2605" w:type="dxa"/>
            <w:tcBorders>
              <w:top w:val="single" w:sz="4" w:space="0" w:color="000000"/>
              <w:left w:val="single" w:sz="4" w:space="0" w:color="000000"/>
              <w:bottom w:val="single" w:sz="4" w:space="0" w:color="000000"/>
              <w:right w:val="single" w:sz="4" w:space="0" w:color="000000"/>
            </w:tcBorders>
            <w:vAlign w:val="center"/>
          </w:tcPr>
          <w:p w14:paraId="4BB5F4D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室外消火栓</w:t>
            </w:r>
          </w:p>
        </w:tc>
        <w:tc>
          <w:tcPr>
            <w:tcW w:w="1049" w:type="dxa"/>
            <w:tcBorders>
              <w:top w:val="single" w:sz="4" w:space="0" w:color="000000"/>
              <w:left w:val="single" w:sz="4" w:space="0" w:color="000000"/>
              <w:bottom w:val="single" w:sz="4" w:space="0" w:color="000000"/>
              <w:right w:val="single" w:sz="4" w:space="0" w:color="000000"/>
            </w:tcBorders>
            <w:vAlign w:val="center"/>
          </w:tcPr>
          <w:p w14:paraId="1E7FEDF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2个</w:t>
            </w:r>
          </w:p>
        </w:tc>
        <w:tc>
          <w:tcPr>
            <w:tcW w:w="1049" w:type="dxa"/>
            <w:tcBorders>
              <w:top w:val="single" w:sz="4" w:space="0" w:color="000000"/>
              <w:left w:val="single" w:sz="4" w:space="0" w:color="000000"/>
              <w:bottom w:val="single" w:sz="4" w:space="0" w:color="000000"/>
              <w:right w:val="single" w:sz="4" w:space="0" w:color="000000"/>
            </w:tcBorders>
            <w:vAlign w:val="center"/>
          </w:tcPr>
          <w:p w14:paraId="2CD83C13"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7E85729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0.5</w:t>
            </w:r>
          </w:p>
        </w:tc>
        <w:tc>
          <w:tcPr>
            <w:tcW w:w="2272" w:type="dxa"/>
            <w:tcBorders>
              <w:top w:val="single" w:sz="4" w:space="0" w:color="000000"/>
              <w:left w:val="single" w:sz="4" w:space="0" w:color="000000"/>
              <w:bottom w:val="single" w:sz="4" w:space="0" w:color="000000"/>
              <w:right w:val="single" w:sz="4" w:space="0" w:color="000000"/>
            </w:tcBorders>
            <w:vAlign w:val="bottom"/>
          </w:tcPr>
          <w:p w14:paraId="608A65A5"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5620A26F"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621C6476"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2.2.2</w:t>
            </w:r>
          </w:p>
        </w:tc>
        <w:tc>
          <w:tcPr>
            <w:tcW w:w="2605" w:type="dxa"/>
            <w:tcBorders>
              <w:top w:val="single" w:sz="4" w:space="0" w:color="000000"/>
              <w:left w:val="single" w:sz="4" w:space="0" w:color="000000"/>
              <w:bottom w:val="single" w:sz="4" w:space="0" w:color="000000"/>
              <w:right w:val="single" w:sz="4" w:space="0" w:color="000000"/>
            </w:tcBorders>
            <w:vAlign w:val="center"/>
          </w:tcPr>
          <w:p w14:paraId="7646F00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室内消火栓</w:t>
            </w:r>
          </w:p>
        </w:tc>
        <w:tc>
          <w:tcPr>
            <w:tcW w:w="1049" w:type="dxa"/>
            <w:tcBorders>
              <w:top w:val="single" w:sz="4" w:space="0" w:color="000000"/>
              <w:left w:val="single" w:sz="4" w:space="0" w:color="000000"/>
              <w:bottom w:val="single" w:sz="4" w:space="0" w:color="000000"/>
              <w:right w:val="single" w:sz="4" w:space="0" w:color="000000"/>
            </w:tcBorders>
            <w:vAlign w:val="center"/>
          </w:tcPr>
          <w:p w14:paraId="1A737C10"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5B6B2FC7"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3A14C77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0.4</w:t>
            </w:r>
          </w:p>
        </w:tc>
        <w:tc>
          <w:tcPr>
            <w:tcW w:w="2272" w:type="dxa"/>
            <w:tcBorders>
              <w:top w:val="single" w:sz="4" w:space="0" w:color="000000"/>
              <w:left w:val="single" w:sz="4" w:space="0" w:color="000000"/>
              <w:bottom w:val="single" w:sz="4" w:space="0" w:color="000000"/>
              <w:right w:val="single" w:sz="4" w:space="0" w:color="000000"/>
            </w:tcBorders>
            <w:vAlign w:val="bottom"/>
          </w:tcPr>
          <w:p w14:paraId="4A345EAB"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0A0260EC"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3D044DC6" w14:textId="77777777" w:rsidR="009219A0" w:rsidRDefault="00000000">
            <w:pPr>
              <w:adjustRightInd/>
              <w:snapToGrid/>
              <w:spacing w:line="240" w:lineRule="auto"/>
              <w:ind w:firstLineChars="0" w:firstLine="0"/>
              <w:jc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2.2.3</w:t>
            </w:r>
          </w:p>
        </w:tc>
        <w:tc>
          <w:tcPr>
            <w:tcW w:w="2605" w:type="dxa"/>
            <w:tcBorders>
              <w:top w:val="single" w:sz="4" w:space="0" w:color="000000"/>
              <w:left w:val="single" w:sz="4" w:space="0" w:color="000000"/>
              <w:bottom w:val="single" w:sz="4" w:space="0" w:color="000000"/>
              <w:right w:val="single" w:sz="4" w:space="0" w:color="000000"/>
            </w:tcBorders>
            <w:vAlign w:val="center"/>
          </w:tcPr>
          <w:p w14:paraId="6928696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消火栓箱</w:t>
            </w:r>
          </w:p>
        </w:tc>
        <w:tc>
          <w:tcPr>
            <w:tcW w:w="1049" w:type="dxa"/>
            <w:tcBorders>
              <w:top w:val="single" w:sz="4" w:space="0" w:color="000000"/>
              <w:left w:val="single" w:sz="4" w:space="0" w:color="000000"/>
              <w:bottom w:val="single" w:sz="4" w:space="0" w:color="000000"/>
              <w:right w:val="single" w:sz="4" w:space="0" w:color="000000"/>
            </w:tcBorders>
            <w:vAlign w:val="center"/>
          </w:tcPr>
          <w:p w14:paraId="4E60E218"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75CEA3B5"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136B53AA"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0.2</w:t>
            </w:r>
          </w:p>
        </w:tc>
        <w:tc>
          <w:tcPr>
            <w:tcW w:w="2272" w:type="dxa"/>
            <w:tcBorders>
              <w:top w:val="single" w:sz="4" w:space="0" w:color="000000"/>
              <w:left w:val="single" w:sz="4" w:space="0" w:color="000000"/>
              <w:bottom w:val="single" w:sz="4" w:space="0" w:color="000000"/>
              <w:right w:val="single" w:sz="4" w:space="0" w:color="000000"/>
            </w:tcBorders>
            <w:vAlign w:val="center"/>
          </w:tcPr>
          <w:p w14:paraId="17754C7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roofErr w:type="gramStart"/>
            <w:r>
              <w:rPr>
                <w:rFonts w:ascii="宋体" w:hAnsi="宋体" w:cs="宋体" w:hint="eastAsia"/>
                <w:color w:val="auto"/>
                <w:kern w:val="0"/>
                <w:sz w:val="21"/>
                <w:szCs w:val="21"/>
                <w:lang w:bidi="ar"/>
              </w:rPr>
              <w:t>附水带</w:t>
            </w:r>
            <w:proofErr w:type="gramEnd"/>
            <w:r>
              <w:rPr>
                <w:rFonts w:ascii="宋体" w:hAnsi="宋体" w:cs="宋体" w:hint="eastAsia"/>
                <w:color w:val="auto"/>
                <w:kern w:val="0"/>
                <w:sz w:val="21"/>
                <w:szCs w:val="21"/>
                <w:lang w:bidi="ar"/>
              </w:rPr>
              <w:t>喷头</w:t>
            </w:r>
          </w:p>
        </w:tc>
      </w:tr>
      <w:tr w:rsidR="009219A0" w14:paraId="5506032F"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184CF75B"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2.2.4</w:t>
            </w:r>
          </w:p>
        </w:tc>
        <w:tc>
          <w:tcPr>
            <w:tcW w:w="2605" w:type="dxa"/>
            <w:tcBorders>
              <w:top w:val="single" w:sz="4" w:space="0" w:color="000000"/>
              <w:left w:val="single" w:sz="4" w:space="0" w:color="000000"/>
              <w:bottom w:val="single" w:sz="4" w:space="0" w:color="000000"/>
              <w:right w:val="single" w:sz="4" w:space="0" w:color="000000"/>
            </w:tcBorders>
            <w:vAlign w:val="center"/>
          </w:tcPr>
          <w:p w14:paraId="5BBA2BA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室内消防管网</w:t>
            </w:r>
          </w:p>
        </w:tc>
        <w:tc>
          <w:tcPr>
            <w:tcW w:w="1049" w:type="dxa"/>
            <w:tcBorders>
              <w:top w:val="single" w:sz="4" w:space="0" w:color="000000"/>
              <w:left w:val="single" w:sz="4" w:space="0" w:color="000000"/>
              <w:bottom w:val="single" w:sz="4" w:space="0" w:color="000000"/>
              <w:right w:val="single" w:sz="4" w:space="0" w:color="000000"/>
            </w:tcBorders>
            <w:vAlign w:val="bottom"/>
          </w:tcPr>
          <w:p w14:paraId="102AB94F"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5213D248"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5D76F20A"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37305A53"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02848C29"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62B50487"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2.2.5</w:t>
            </w:r>
          </w:p>
        </w:tc>
        <w:tc>
          <w:tcPr>
            <w:tcW w:w="2605" w:type="dxa"/>
            <w:tcBorders>
              <w:top w:val="single" w:sz="4" w:space="0" w:color="000000"/>
              <w:left w:val="single" w:sz="4" w:space="0" w:color="000000"/>
              <w:bottom w:val="single" w:sz="4" w:space="0" w:color="000000"/>
              <w:right w:val="single" w:sz="4" w:space="0" w:color="000000"/>
            </w:tcBorders>
            <w:vAlign w:val="center"/>
          </w:tcPr>
          <w:p w14:paraId="557BA2CE"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手提式干粉灭火器</w:t>
            </w:r>
          </w:p>
        </w:tc>
        <w:tc>
          <w:tcPr>
            <w:tcW w:w="1049" w:type="dxa"/>
            <w:tcBorders>
              <w:top w:val="single" w:sz="4" w:space="0" w:color="000000"/>
              <w:left w:val="single" w:sz="4" w:space="0" w:color="000000"/>
              <w:bottom w:val="single" w:sz="4" w:space="0" w:color="000000"/>
              <w:right w:val="single" w:sz="4" w:space="0" w:color="000000"/>
            </w:tcBorders>
            <w:vAlign w:val="center"/>
          </w:tcPr>
          <w:p w14:paraId="0321AB08"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10</w:t>
            </w:r>
          </w:p>
        </w:tc>
        <w:tc>
          <w:tcPr>
            <w:tcW w:w="1049" w:type="dxa"/>
            <w:tcBorders>
              <w:top w:val="single" w:sz="4" w:space="0" w:color="000000"/>
              <w:left w:val="single" w:sz="4" w:space="0" w:color="000000"/>
              <w:bottom w:val="single" w:sz="4" w:space="0" w:color="000000"/>
              <w:right w:val="single" w:sz="4" w:space="0" w:color="000000"/>
            </w:tcBorders>
            <w:vAlign w:val="center"/>
          </w:tcPr>
          <w:p w14:paraId="3DAAFE7D"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0.01</w:t>
            </w:r>
          </w:p>
        </w:tc>
        <w:tc>
          <w:tcPr>
            <w:tcW w:w="1049" w:type="dxa"/>
            <w:tcBorders>
              <w:top w:val="single" w:sz="4" w:space="0" w:color="000000"/>
              <w:left w:val="single" w:sz="4" w:space="0" w:color="000000"/>
              <w:bottom w:val="single" w:sz="4" w:space="0" w:color="000000"/>
              <w:right w:val="single" w:sz="4" w:space="0" w:color="000000"/>
            </w:tcBorders>
            <w:vAlign w:val="center"/>
          </w:tcPr>
          <w:p w14:paraId="63F1DE2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0.1</w:t>
            </w:r>
          </w:p>
        </w:tc>
        <w:tc>
          <w:tcPr>
            <w:tcW w:w="2272" w:type="dxa"/>
            <w:tcBorders>
              <w:top w:val="single" w:sz="4" w:space="0" w:color="000000"/>
              <w:left w:val="single" w:sz="4" w:space="0" w:color="000000"/>
              <w:bottom w:val="single" w:sz="4" w:space="0" w:color="000000"/>
              <w:right w:val="single" w:sz="4" w:space="0" w:color="000000"/>
            </w:tcBorders>
          </w:tcPr>
          <w:p w14:paraId="50E529E1"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3kg</w:t>
            </w:r>
          </w:p>
        </w:tc>
      </w:tr>
      <w:tr w:rsidR="009219A0" w14:paraId="51ED438D"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3201B831"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2.2.6</w:t>
            </w:r>
          </w:p>
        </w:tc>
        <w:tc>
          <w:tcPr>
            <w:tcW w:w="2605" w:type="dxa"/>
            <w:tcBorders>
              <w:top w:val="single" w:sz="4" w:space="0" w:color="000000"/>
              <w:left w:val="single" w:sz="4" w:space="0" w:color="000000"/>
              <w:bottom w:val="single" w:sz="4" w:space="0" w:color="000000"/>
              <w:right w:val="single" w:sz="4" w:space="0" w:color="000000"/>
            </w:tcBorders>
            <w:vAlign w:val="center"/>
          </w:tcPr>
          <w:p w14:paraId="07040B98"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手提式干粉灭火器</w:t>
            </w:r>
          </w:p>
        </w:tc>
        <w:tc>
          <w:tcPr>
            <w:tcW w:w="1049" w:type="dxa"/>
            <w:tcBorders>
              <w:top w:val="single" w:sz="4" w:space="0" w:color="000000"/>
              <w:left w:val="single" w:sz="4" w:space="0" w:color="000000"/>
              <w:bottom w:val="single" w:sz="4" w:space="0" w:color="000000"/>
              <w:right w:val="single" w:sz="4" w:space="0" w:color="000000"/>
            </w:tcBorders>
            <w:vAlign w:val="center"/>
          </w:tcPr>
          <w:p w14:paraId="413D7DE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10</w:t>
            </w:r>
          </w:p>
        </w:tc>
        <w:tc>
          <w:tcPr>
            <w:tcW w:w="1049" w:type="dxa"/>
            <w:tcBorders>
              <w:top w:val="single" w:sz="4" w:space="0" w:color="000000"/>
              <w:left w:val="single" w:sz="4" w:space="0" w:color="000000"/>
              <w:bottom w:val="single" w:sz="4" w:space="0" w:color="000000"/>
              <w:right w:val="single" w:sz="4" w:space="0" w:color="000000"/>
            </w:tcBorders>
            <w:vAlign w:val="center"/>
          </w:tcPr>
          <w:p w14:paraId="6F136C17"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0.015</w:t>
            </w:r>
          </w:p>
        </w:tc>
        <w:tc>
          <w:tcPr>
            <w:tcW w:w="1049" w:type="dxa"/>
            <w:tcBorders>
              <w:top w:val="single" w:sz="4" w:space="0" w:color="000000"/>
              <w:left w:val="single" w:sz="4" w:space="0" w:color="000000"/>
              <w:bottom w:val="single" w:sz="4" w:space="0" w:color="000000"/>
              <w:right w:val="single" w:sz="4" w:space="0" w:color="000000"/>
            </w:tcBorders>
            <w:vAlign w:val="center"/>
          </w:tcPr>
          <w:p w14:paraId="5726AD8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0.15</w:t>
            </w:r>
          </w:p>
        </w:tc>
        <w:tc>
          <w:tcPr>
            <w:tcW w:w="2272" w:type="dxa"/>
            <w:tcBorders>
              <w:top w:val="single" w:sz="4" w:space="0" w:color="000000"/>
              <w:left w:val="single" w:sz="4" w:space="0" w:color="000000"/>
              <w:bottom w:val="single" w:sz="4" w:space="0" w:color="000000"/>
              <w:right w:val="single" w:sz="4" w:space="0" w:color="000000"/>
            </w:tcBorders>
          </w:tcPr>
          <w:p w14:paraId="01DB378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4kg</w:t>
            </w:r>
          </w:p>
        </w:tc>
      </w:tr>
      <w:tr w:rsidR="009219A0" w14:paraId="594BD5F5"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1645637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2.2.7</w:t>
            </w:r>
          </w:p>
        </w:tc>
        <w:tc>
          <w:tcPr>
            <w:tcW w:w="2605" w:type="dxa"/>
            <w:tcBorders>
              <w:top w:val="single" w:sz="4" w:space="0" w:color="000000"/>
              <w:left w:val="single" w:sz="4" w:space="0" w:color="000000"/>
              <w:bottom w:val="single" w:sz="4" w:space="0" w:color="000000"/>
              <w:right w:val="single" w:sz="4" w:space="0" w:color="000000"/>
            </w:tcBorders>
            <w:vAlign w:val="center"/>
          </w:tcPr>
          <w:p w14:paraId="7F04FA7B"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手提式干粉灭火器</w:t>
            </w:r>
          </w:p>
        </w:tc>
        <w:tc>
          <w:tcPr>
            <w:tcW w:w="1049" w:type="dxa"/>
            <w:tcBorders>
              <w:top w:val="single" w:sz="4" w:space="0" w:color="000000"/>
              <w:left w:val="single" w:sz="4" w:space="0" w:color="000000"/>
              <w:bottom w:val="single" w:sz="4" w:space="0" w:color="000000"/>
              <w:right w:val="single" w:sz="4" w:space="0" w:color="000000"/>
            </w:tcBorders>
            <w:vAlign w:val="center"/>
          </w:tcPr>
          <w:p w14:paraId="7D0A3A5D"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8</w:t>
            </w:r>
          </w:p>
        </w:tc>
        <w:tc>
          <w:tcPr>
            <w:tcW w:w="1049" w:type="dxa"/>
            <w:tcBorders>
              <w:top w:val="single" w:sz="4" w:space="0" w:color="000000"/>
              <w:left w:val="single" w:sz="4" w:space="0" w:color="000000"/>
              <w:bottom w:val="single" w:sz="4" w:space="0" w:color="000000"/>
              <w:right w:val="single" w:sz="4" w:space="0" w:color="000000"/>
            </w:tcBorders>
            <w:vAlign w:val="center"/>
          </w:tcPr>
          <w:p w14:paraId="0C6E016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0.02</w:t>
            </w:r>
          </w:p>
        </w:tc>
        <w:tc>
          <w:tcPr>
            <w:tcW w:w="1049" w:type="dxa"/>
            <w:tcBorders>
              <w:top w:val="single" w:sz="4" w:space="0" w:color="000000"/>
              <w:left w:val="single" w:sz="4" w:space="0" w:color="000000"/>
              <w:bottom w:val="single" w:sz="4" w:space="0" w:color="000000"/>
              <w:right w:val="single" w:sz="4" w:space="0" w:color="000000"/>
            </w:tcBorders>
            <w:vAlign w:val="center"/>
          </w:tcPr>
          <w:p w14:paraId="733819B0"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0.16</w:t>
            </w:r>
          </w:p>
        </w:tc>
        <w:tc>
          <w:tcPr>
            <w:tcW w:w="2272" w:type="dxa"/>
            <w:tcBorders>
              <w:top w:val="single" w:sz="4" w:space="0" w:color="000000"/>
              <w:left w:val="single" w:sz="4" w:space="0" w:color="000000"/>
              <w:bottom w:val="single" w:sz="4" w:space="0" w:color="000000"/>
              <w:right w:val="single" w:sz="4" w:space="0" w:color="000000"/>
            </w:tcBorders>
          </w:tcPr>
          <w:p w14:paraId="4A3E764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5kg</w:t>
            </w:r>
          </w:p>
        </w:tc>
      </w:tr>
      <w:tr w:rsidR="009219A0" w14:paraId="6B3DA0F3"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4D5C0E3E"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2.2.8</w:t>
            </w:r>
          </w:p>
        </w:tc>
        <w:tc>
          <w:tcPr>
            <w:tcW w:w="2605" w:type="dxa"/>
            <w:tcBorders>
              <w:top w:val="single" w:sz="4" w:space="0" w:color="000000"/>
              <w:left w:val="single" w:sz="4" w:space="0" w:color="000000"/>
              <w:bottom w:val="single" w:sz="4" w:space="0" w:color="000000"/>
              <w:right w:val="single" w:sz="4" w:space="0" w:color="000000"/>
            </w:tcBorders>
          </w:tcPr>
          <w:p w14:paraId="5F9B2C20" w14:textId="77777777" w:rsidR="009219A0" w:rsidRDefault="00000000">
            <w:pPr>
              <w:widowControl/>
              <w:adjustRightInd/>
              <w:snapToGrid/>
              <w:spacing w:line="240" w:lineRule="auto"/>
              <w:ind w:firstLineChars="0" w:firstLine="0"/>
              <w:jc w:val="center"/>
              <w:textAlignment w:val="top"/>
              <w:rPr>
                <w:rFonts w:ascii="宋体" w:hAnsi="宋体" w:cs="宋体" w:hint="eastAsia"/>
                <w:color w:val="auto"/>
                <w:kern w:val="0"/>
                <w:sz w:val="21"/>
                <w:szCs w:val="21"/>
                <w:lang w:bidi="ar"/>
              </w:rPr>
            </w:pPr>
            <w:r>
              <w:rPr>
                <w:rFonts w:ascii="宋体" w:hAnsi="宋体" w:cs="宋体" w:hint="eastAsia"/>
                <w:color w:val="auto"/>
                <w:kern w:val="0"/>
                <w:sz w:val="21"/>
                <w:szCs w:val="21"/>
                <w:lang w:bidi="ar"/>
              </w:rPr>
              <w:t>消防水泵接合器</w:t>
            </w:r>
          </w:p>
        </w:tc>
        <w:tc>
          <w:tcPr>
            <w:tcW w:w="1049" w:type="dxa"/>
            <w:tcBorders>
              <w:top w:val="single" w:sz="4" w:space="0" w:color="000000"/>
              <w:left w:val="single" w:sz="4" w:space="0" w:color="000000"/>
              <w:bottom w:val="single" w:sz="4" w:space="0" w:color="000000"/>
              <w:right w:val="single" w:sz="4" w:space="0" w:color="000000"/>
            </w:tcBorders>
            <w:vAlign w:val="center"/>
          </w:tcPr>
          <w:p w14:paraId="5EF8AC07"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04EC71AC"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7DD180E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0.1</w:t>
            </w:r>
          </w:p>
        </w:tc>
        <w:tc>
          <w:tcPr>
            <w:tcW w:w="2272" w:type="dxa"/>
            <w:tcBorders>
              <w:top w:val="single" w:sz="4" w:space="0" w:color="000000"/>
              <w:left w:val="single" w:sz="4" w:space="0" w:color="000000"/>
              <w:bottom w:val="single" w:sz="4" w:space="0" w:color="000000"/>
              <w:right w:val="single" w:sz="4" w:space="0" w:color="000000"/>
            </w:tcBorders>
          </w:tcPr>
          <w:p w14:paraId="694A8783"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r>
      <w:tr w:rsidR="009219A0" w14:paraId="43254535"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36548DDA"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2.2.9</w:t>
            </w:r>
          </w:p>
        </w:tc>
        <w:tc>
          <w:tcPr>
            <w:tcW w:w="2605" w:type="dxa"/>
            <w:tcBorders>
              <w:top w:val="single" w:sz="4" w:space="0" w:color="000000"/>
              <w:left w:val="single" w:sz="4" w:space="0" w:color="000000"/>
              <w:bottom w:val="single" w:sz="4" w:space="0" w:color="000000"/>
              <w:right w:val="single" w:sz="4" w:space="0" w:color="000000"/>
            </w:tcBorders>
            <w:vAlign w:val="center"/>
          </w:tcPr>
          <w:p w14:paraId="64D2BC8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消防排烟设施</w:t>
            </w:r>
          </w:p>
        </w:tc>
        <w:tc>
          <w:tcPr>
            <w:tcW w:w="1049" w:type="dxa"/>
            <w:tcBorders>
              <w:top w:val="single" w:sz="4" w:space="0" w:color="000000"/>
              <w:left w:val="single" w:sz="4" w:space="0" w:color="000000"/>
              <w:bottom w:val="single" w:sz="4" w:space="0" w:color="000000"/>
              <w:right w:val="single" w:sz="4" w:space="0" w:color="000000"/>
            </w:tcBorders>
            <w:vAlign w:val="center"/>
          </w:tcPr>
          <w:p w14:paraId="0397B388"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6DCF2120"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3E36B5B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5</w:t>
            </w:r>
          </w:p>
        </w:tc>
        <w:tc>
          <w:tcPr>
            <w:tcW w:w="2272" w:type="dxa"/>
            <w:tcBorders>
              <w:top w:val="single" w:sz="4" w:space="0" w:color="000000"/>
              <w:left w:val="single" w:sz="4" w:space="0" w:color="000000"/>
              <w:bottom w:val="single" w:sz="4" w:space="0" w:color="000000"/>
              <w:right w:val="single" w:sz="4" w:space="0" w:color="000000"/>
            </w:tcBorders>
            <w:vAlign w:val="bottom"/>
          </w:tcPr>
          <w:p w14:paraId="53E63FAA"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524A76E8"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07DCE40A"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2.3</w:t>
            </w:r>
          </w:p>
        </w:tc>
        <w:tc>
          <w:tcPr>
            <w:tcW w:w="2605" w:type="dxa"/>
            <w:tcBorders>
              <w:top w:val="single" w:sz="4" w:space="0" w:color="000000"/>
              <w:left w:val="single" w:sz="4" w:space="0" w:color="000000"/>
              <w:bottom w:val="single" w:sz="4" w:space="0" w:color="000000"/>
              <w:right w:val="single" w:sz="4" w:space="0" w:color="000000"/>
            </w:tcBorders>
            <w:vAlign w:val="center"/>
          </w:tcPr>
          <w:p w14:paraId="402508A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紧急个体处置设施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67CAEC20"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6ED17D8F"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75CAD367"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011D0B63"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70FEFE22"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0DC086FD"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2.3.1</w:t>
            </w:r>
          </w:p>
        </w:tc>
        <w:tc>
          <w:tcPr>
            <w:tcW w:w="2605" w:type="dxa"/>
            <w:tcBorders>
              <w:top w:val="single" w:sz="4" w:space="0" w:color="000000"/>
              <w:left w:val="single" w:sz="4" w:space="0" w:color="000000"/>
              <w:bottom w:val="single" w:sz="4" w:space="0" w:color="000000"/>
              <w:right w:val="single" w:sz="4" w:space="0" w:color="000000"/>
            </w:tcBorders>
            <w:vAlign w:val="center"/>
          </w:tcPr>
          <w:p w14:paraId="2E075BA6"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喷</w:t>
            </w:r>
            <w:proofErr w:type="gramStart"/>
            <w:r>
              <w:rPr>
                <w:rFonts w:ascii="宋体" w:hAnsi="宋体" w:cs="宋体" w:hint="eastAsia"/>
                <w:color w:val="auto"/>
                <w:kern w:val="0"/>
                <w:sz w:val="21"/>
                <w:szCs w:val="21"/>
                <w:lang w:bidi="ar"/>
              </w:rPr>
              <w:t>淋洗眼器</w:t>
            </w:r>
            <w:proofErr w:type="gramEnd"/>
          </w:p>
        </w:tc>
        <w:tc>
          <w:tcPr>
            <w:tcW w:w="1049" w:type="dxa"/>
            <w:tcBorders>
              <w:top w:val="single" w:sz="4" w:space="0" w:color="000000"/>
              <w:left w:val="single" w:sz="4" w:space="0" w:color="000000"/>
              <w:bottom w:val="single" w:sz="4" w:space="0" w:color="000000"/>
              <w:right w:val="single" w:sz="4" w:space="0" w:color="000000"/>
            </w:tcBorders>
            <w:vAlign w:val="center"/>
          </w:tcPr>
          <w:p w14:paraId="6B53AA9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w:t>
            </w:r>
          </w:p>
        </w:tc>
        <w:tc>
          <w:tcPr>
            <w:tcW w:w="1049" w:type="dxa"/>
            <w:tcBorders>
              <w:top w:val="single" w:sz="4" w:space="0" w:color="000000"/>
              <w:left w:val="single" w:sz="4" w:space="0" w:color="000000"/>
              <w:bottom w:val="single" w:sz="4" w:space="0" w:color="000000"/>
              <w:right w:val="single" w:sz="4" w:space="0" w:color="000000"/>
            </w:tcBorders>
            <w:vAlign w:val="center"/>
          </w:tcPr>
          <w:p w14:paraId="03C396E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0.2</w:t>
            </w:r>
          </w:p>
        </w:tc>
        <w:tc>
          <w:tcPr>
            <w:tcW w:w="1049" w:type="dxa"/>
            <w:tcBorders>
              <w:top w:val="single" w:sz="4" w:space="0" w:color="000000"/>
              <w:left w:val="single" w:sz="4" w:space="0" w:color="000000"/>
              <w:bottom w:val="single" w:sz="4" w:space="0" w:color="000000"/>
              <w:right w:val="single" w:sz="4" w:space="0" w:color="000000"/>
            </w:tcBorders>
            <w:vAlign w:val="center"/>
          </w:tcPr>
          <w:p w14:paraId="018008B0"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0.6</w:t>
            </w:r>
          </w:p>
        </w:tc>
        <w:tc>
          <w:tcPr>
            <w:tcW w:w="2272" w:type="dxa"/>
            <w:tcBorders>
              <w:top w:val="single" w:sz="4" w:space="0" w:color="000000"/>
              <w:left w:val="single" w:sz="4" w:space="0" w:color="000000"/>
              <w:bottom w:val="single" w:sz="4" w:space="0" w:color="000000"/>
              <w:right w:val="single" w:sz="4" w:space="0" w:color="000000"/>
            </w:tcBorders>
            <w:vAlign w:val="center"/>
          </w:tcPr>
          <w:p w14:paraId="27D9FE56"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实验室酸碱使用处、中试车间内</w:t>
            </w:r>
          </w:p>
        </w:tc>
      </w:tr>
      <w:tr w:rsidR="009219A0" w14:paraId="09AAC488"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01686258"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2.3.2</w:t>
            </w:r>
          </w:p>
        </w:tc>
        <w:tc>
          <w:tcPr>
            <w:tcW w:w="2605" w:type="dxa"/>
            <w:tcBorders>
              <w:top w:val="single" w:sz="4" w:space="0" w:color="000000"/>
              <w:left w:val="single" w:sz="4" w:space="0" w:color="000000"/>
              <w:bottom w:val="single" w:sz="4" w:space="0" w:color="000000"/>
              <w:right w:val="single" w:sz="4" w:space="0" w:color="000000"/>
            </w:tcBorders>
            <w:vAlign w:val="center"/>
          </w:tcPr>
          <w:p w14:paraId="1C9168C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应急灯</w:t>
            </w:r>
          </w:p>
        </w:tc>
        <w:tc>
          <w:tcPr>
            <w:tcW w:w="1049" w:type="dxa"/>
            <w:tcBorders>
              <w:top w:val="single" w:sz="4" w:space="0" w:color="000000"/>
              <w:left w:val="single" w:sz="4" w:space="0" w:color="000000"/>
              <w:bottom w:val="single" w:sz="4" w:space="0" w:color="000000"/>
              <w:right w:val="single" w:sz="4" w:space="0" w:color="000000"/>
            </w:tcBorders>
            <w:vAlign w:val="center"/>
          </w:tcPr>
          <w:p w14:paraId="116CF3C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w:t>
            </w:r>
          </w:p>
        </w:tc>
        <w:tc>
          <w:tcPr>
            <w:tcW w:w="1049" w:type="dxa"/>
            <w:tcBorders>
              <w:top w:val="single" w:sz="4" w:space="0" w:color="000000"/>
              <w:left w:val="single" w:sz="4" w:space="0" w:color="000000"/>
              <w:bottom w:val="single" w:sz="4" w:space="0" w:color="000000"/>
              <w:right w:val="single" w:sz="4" w:space="0" w:color="000000"/>
            </w:tcBorders>
            <w:vAlign w:val="bottom"/>
          </w:tcPr>
          <w:p w14:paraId="1BD11710" w14:textId="77777777" w:rsidR="009219A0" w:rsidRDefault="00000000">
            <w:pPr>
              <w:adjustRightInd/>
              <w:snapToGrid/>
              <w:spacing w:line="240" w:lineRule="auto"/>
              <w:ind w:firstLineChars="0" w:firstLine="0"/>
              <w:jc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0.1</w:t>
            </w:r>
          </w:p>
        </w:tc>
        <w:tc>
          <w:tcPr>
            <w:tcW w:w="1049" w:type="dxa"/>
            <w:tcBorders>
              <w:top w:val="single" w:sz="4" w:space="0" w:color="000000"/>
              <w:left w:val="single" w:sz="4" w:space="0" w:color="000000"/>
              <w:bottom w:val="single" w:sz="4" w:space="0" w:color="000000"/>
              <w:right w:val="single" w:sz="4" w:space="0" w:color="000000"/>
            </w:tcBorders>
            <w:vAlign w:val="center"/>
          </w:tcPr>
          <w:p w14:paraId="3F6E830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0.3</w:t>
            </w:r>
          </w:p>
        </w:tc>
        <w:tc>
          <w:tcPr>
            <w:tcW w:w="2272" w:type="dxa"/>
            <w:tcBorders>
              <w:top w:val="single" w:sz="4" w:space="0" w:color="000000"/>
              <w:left w:val="single" w:sz="4" w:space="0" w:color="000000"/>
              <w:bottom w:val="single" w:sz="4" w:space="0" w:color="000000"/>
              <w:right w:val="single" w:sz="4" w:space="0" w:color="000000"/>
            </w:tcBorders>
            <w:vAlign w:val="bottom"/>
          </w:tcPr>
          <w:p w14:paraId="0DA4E325"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18883690"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774250D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2.3.3</w:t>
            </w:r>
          </w:p>
        </w:tc>
        <w:tc>
          <w:tcPr>
            <w:tcW w:w="2605" w:type="dxa"/>
            <w:tcBorders>
              <w:top w:val="single" w:sz="4" w:space="0" w:color="000000"/>
              <w:left w:val="single" w:sz="4" w:space="0" w:color="000000"/>
              <w:bottom w:val="single" w:sz="4" w:space="0" w:color="000000"/>
              <w:right w:val="single" w:sz="4" w:space="0" w:color="000000"/>
            </w:tcBorders>
            <w:vAlign w:val="center"/>
          </w:tcPr>
          <w:p w14:paraId="46238A11"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其他</w:t>
            </w:r>
          </w:p>
        </w:tc>
        <w:tc>
          <w:tcPr>
            <w:tcW w:w="1049" w:type="dxa"/>
            <w:tcBorders>
              <w:top w:val="single" w:sz="4" w:space="0" w:color="000000"/>
              <w:left w:val="single" w:sz="4" w:space="0" w:color="000000"/>
              <w:bottom w:val="single" w:sz="4" w:space="0" w:color="000000"/>
              <w:right w:val="single" w:sz="4" w:space="0" w:color="000000"/>
            </w:tcBorders>
            <w:vAlign w:val="bottom"/>
          </w:tcPr>
          <w:p w14:paraId="5C7478BA"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7B486D81"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249DEA52"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59331A63"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2A8EC155" w14:textId="77777777">
        <w:trPr>
          <w:trHeight w:val="301"/>
        </w:trPr>
        <w:tc>
          <w:tcPr>
            <w:tcW w:w="9072" w:type="dxa"/>
            <w:gridSpan w:val="6"/>
            <w:tcBorders>
              <w:top w:val="single" w:sz="4" w:space="0" w:color="000000"/>
              <w:left w:val="single" w:sz="4" w:space="0" w:color="000000"/>
              <w:bottom w:val="single" w:sz="4" w:space="0" w:color="000000"/>
              <w:right w:val="single" w:sz="4" w:space="0" w:color="000000"/>
            </w:tcBorders>
            <w:vAlign w:val="center"/>
          </w:tcPr>
          <w:p w14:paraId="3CA1E9AF"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75D765F3"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419B9CCA"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w:t>
            </w:r>
          </w:p>
        </w:tc>
        <w:tc>
          <w:tcPr>
            <w:tcW w:w="2605" w:type="dxa"/>
            <w:tcBorders>
              <w:top w:val="single" w:sz="4" w:space="0" w:color="000000"/>
              <w:left w:val="single" w:sz="4" w:space="0" w:color="000000"/>
              <w:bottom w:val="single" w:sz="4" w:space="0" w:color="000000"/>
              <w:right w:val="single" w:sz="4" w:space="0" w:color="000000"/>
            </w:tcBorders>
            <w:vAlign w:val="center"/>
          </w:tcPr>
          <w:p w14:paraId="09DAD318"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olor w:val="auto"/>
                <w:kern w:val="0"/>
                <w:sz w:val="21"/>
                <w:szCs w:val="21"/>
                <w:lang w:bidi="ar"/>
              </w:rPr>
              <w:t>控制事故设施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2AE0EDCD"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120FA027"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7C7FA100" w14:textId="77777777" w:rsidR="009219A0" w:rsidRDefault="00000000">
            <w:pPr>
              <w:adjustRightInd/>
              <w:snapToGrid/>
              <w:spacing w:line="240" w:lineRule="auto"/>
              <w:ind w:firstLineChars="0" w:firstLine="0"/>
              <w:jc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w:t>
            </w:r>
          </w:p>
        </w:tc>
        <w:tc>
          <w:tcPr>
            <w:tcW w:w="2272" w:type="dxa"/>
            <w:tcBorders>
              <w:top w:val="single" w:sz="4" w:space="0" w:color="000000"/>
              <w:left w:val="single" w:sz="4" w:space="0" w:color="000000"/>
              <w:bottom w:val="single" w:sz="4" w:space="0" w:color="000000"/>
              <w:right w:val="single" w:sz="4" w:space="0" w:color="000000"/>
            </w:tcBorders>
            <w:vAlign w:val="bottom"/>
          </w:tcPr>
          <w:p w14:paraId="47507CFA"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4C17368C"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636F0107"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3.1.1</w:t>
            </w:r>
          </w:p>
        </w:tc>
        <w:tc>
          <w:tcPr>
            <w:tcW w:w="2605" w:type="dxa"/>
            <w:tcBorders>
              <w:top w:val="single" w:sz="4" w:space="0" w:color="000000"/>
              <w:left w:val="single" w:sz="4" w:space="0" w:color="000000"/>
              <w:bottom w:val="single" w:sz="4" w:space="0" w:color="000000"/>
              <w:right w:val="single" w:sz="4" w:space="0" w:color="000000"/>
            </w:tcBorders>
            <w:vAlign w:val="center"/>
          </w:tcPr>
          <w:p w14:paraId="34875D2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应急救援设施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480DABC9"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4F841935"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19C7E245" w14:textId="77777777" w:rsidR="009219A0" w:rsidRDefault="00000000">
            <w:pPr>
              <w:adjustRightInd/>
              <w:snapToGrid/>
              <w:spacing w:line="240" w:lineRule="auto"/>
              <w:ind w:firstLineChars="0" w:firstLine="0"/>
              <w:jc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w:t>
            </w:r>
          </w:p>
        </w:tc>
        <w:tc>
          <w:tcPr>
            <w:tcW w:w="2272" w:type="dxa"/>
            <w:tcBorders>
              <w:top w:val="single" w:sz="4" w:space="0" w:color="000000"/>
              <w:left w:val="single" w:sz="4" w:space="0" w:color="000000"/>
              <w:bottom w:val="single" w:sz="4" w:space="0" w:color="000000"/>
              <w:right w:val="single" w:sz="4" w:space="0" w:color="000000"/>
            </w:tcBorders>
            <w:vAlign w:val="center"/>
          </w:tcPr>
          <w:p w14:paraId="244026A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事故柜</w:t>
            </w:r>
          </w:p>
        </w:tc>
      </w:tr>
      <w:tr w:rsidR="009219A0" w14:paraId="0CB32A2F"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319471F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3.1.2</w:t>
            </w:r>
          </w:p>
        </w:tc>
        <w:tc>
          <w:tcPr>
            <w:tcW w:w="2605" w:type="dxa"/>
            <w:tcBorders>
              <w:top w:val="single" w:sz="4" w:space="0" w:color="000000"/>
              <w:left w:val="single" w:sz="4" w:space="0" w:color="000000"/>
              <w:bottom w:val="single" w:sz="4" w:space="0" w:color="000000"/>
              <w:right w:val="single" w:sz="4" w:space="0" w:color="000000"/>
            </w:tcBorders>
            <w:vAlign w:val="center"/>
          </w:tcPr>
          <w:p w14:paraId="26E44FF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医疗抢救装备</w:t>
            </w:r>
          </w:p>
        </w:tc>
        <w:tc>
          <w:tcPr>
            <w:tcW w:w="1049" w:type="dxa"/>
            <w:tcBorders>
              <w:top w:val="single" w:sz="4" w:space="0" w:color="000000"/>
              <w:left w:val="single" w:sz="4" w:space="0" w:color="000000"/>
              <w:bottom w:val="single" w:sz="4" w:space="0" w:color="000000"/>
              <w:right w:val="single" w:sz="4" w:space="0" w:color="000000"/>
            </w:tcBorders>
            <w:vAlign w:val="center"/>
          </w:tcPr>
          <w:p w14:paraId="1FDD9F83"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143D2F12"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0A438E26"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w:t>
            </w:r>
          </w:p>
        </w:tc>
        <w:tc>
          <w:tcPr>
            <w:tcW w:w="2272" w:type="dxa"/>
            <w:tcBorders>
              <w:top w:val="single" w:sz="4" w:space="0" w:color="000000"/>
              <w:left w:val="single" w:sz="4" w:space="0" w:color="000000"/>
              <w:bottom w:val="single" w:sz="4" w:space="0" w:color="000000"/>
              <w:right w:val="single" w:sz="4" w:space="0" w:color="000000"/>
            </w:tcBorders>
            <w:vAlign w:val="bottom"/>
          </w:tcPr>
          <w:p w14:paraId="5CB0FBA7"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097C7397"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506611DC"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2605" w:type="dxa"/>
            <w:tcBorders>
              <w:top w:val="single" w:sz="4" w:space="0" w:color="000000"/>
              <w:left w:val="single" w:sz="4" w:space="0" w:color="000000"/>
              <w:bottom w:val="single" w:sz="4" w:space="0" w:color="000000"/>
              <w:right w:val="single" w:sz="4" w:space="0" w:color="000000"/>
            </w:tcBorders>
            <w:vAlign w:val="center"/>
          </w:tcPr>
          <w:p w14:paraId="76C7F50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合计</w:t>
            </w:r>
          </w:p>
        </w:tc>
        <w:tc>
          <w:tcPr>
            <w:tcW w:w="1049" w:type="dxa"/>
            <w:tcBorders>
              <w:top w:val="single" w:sz="4" w:space="0" w:color="000000"/>
              <w:left w:val="single" w:sz="4" w:space="0" w:color="000000"/>
              <w:bottom w:val="single" w:sz="4" w:space="0" w:color="000000"/>
              <w:right w:val="single" w:sz="4" w:space="0" w:color="000000"/>
            </w:tcBorders>
            <w:vAlign w:val="center"/>
          </w:tcPr>
          <w:p w14:paraId="700FA152"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22ACC532"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5915D31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46.54</w:t>
            </w:r>
          </w:p>
        </w:tc>
        <w:tc>
          <w:tcPr>
            <w:tcW w:w="2272" w:type="dxa"/>
            <w:tcBorders>
              <w:top w:val="single" w:sz="4" w:space="0" w:color="000000"/>
              <w:left w:val="single" w:sz="4" w:space="0" w:color="000000"/>
              <w:bottom w:val="single" w:sz="4" w:space="0" w:color="000000"/>
              <w:right w:val="single" w:sz="4" w:space="0" w:color="000000"/>
            </w:tcBorders>
            <w:vAlign w:val="bottom"/>
          </w:tcPr>
          <w:p w14:paraId="355142CD"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bl>
    <w:p w14:paraId="066B156A" w14:textId="77777777" w:rsidR="009219A0" w:rsidRDefault="009219A0">
      <w:pPr>
        <w:pStyle w:val="Default1"/>
        <w:rPr>
          <w:rFonts w:hint="default"/>
        </w:rPr>
      </w:pPr>
    </w:p>
    <w:p w14:paraId="552147C4" w14:textId="77777777" w:rsidR="009219A0" w:rsidRDefault="00000000">
      <w:pPr>
        <w:pStyle w:val="2"/>
        <w:rPr>
          <w:rFonts w:hint="eastAsia"/>
          <w:u w:color="000000"/>
        </w:rPr>
      </w:pPr>
      <w:bookmarkStart w:id="75" w:name="_Toc165281436"/>
      <w:bookmarkStart w:id="76" w:name="_Toc211950417"/>
      <w:r>
        <w:rPr>
          <w:rFonts w:hint="eastAsia"/>
          <w:u w:color="000000"/>
        </w:rPr>
        <w:t>2.4 爆炸区域划分情况及电气设备设置情况</w:t>
      </w:r>
      <w:bookmarkEnd w:id="75"/>
      <w:bookmarkEnd w:id="76"/>
    </w:p>
    <w:p w14:paraId="78CB163F" w14:textId="77777777" w:rsidR="009219A0" w:rsidRDefault="00000000">
      <w:pPr>
        <w:widowControl/>
        <w:topLinePunct/>
        <w:spacing w:beforeLines="50" w:before="120"/>
        <w:ind w:firstLine="560"/>
        <w:textAlignment w:val="baseline"/>
        <w:rPr>
          <w:color w:val="auto"/>
        </w:rPr>
      </w:pPr>
      <w:r>
        <w:rPr>
          <w:rFonts w:hint="eastAsia"/>
          <w:color w:val="auto"/>
        </w:rPr>
        <w:t>根据《爆炸危险环境电力装置设计规范》（</w:t>
      </w:r>
      <w:r>
        <w:rPr>
          <w:rFonts w:hint="eastAsia"/>
          <w:color w:val="auto"/>
        </w:rPr>
        <w:t>GB50058-2014</w:t>
      </w:r>
      <w:r>
        <w:rPr>
          <w:rFonts w:hint="eastAsia"/>
          <w:color w:val="auto"/>
        </w:rPr>
        <w:t>）附录</w:t>
      </w:r>
      <w:r>
        <w:rPr>
          <w:rFonts w:hint="eastAsia"/>
          <w:color w:val="auto"/>
        </w:rPr>
        <w:t>E</w:t>
      </w:r>
      <w:r>
        <w:rPr>
          <w:rFonts w:hint="eastAsia"/>
          <w:color w:val="auto"/>
        </w:rPr>
        <w:t>及建设方提供资料可知，项目使用的原料铁粉平均粒径约为</w:t>
      </w:r>
      <w:r>
        <w:rPr>
          <w:rFonts w:hint="eastAsia"/>
          <w:color w:val="auto"/>
        </w:rPr>
        <w:t>300um</w:t>
      </w:r>
      <w:r>
        <w:rPr>
          <w:rFonts w:hint="eastAsia"/>
          <w:color w:val="auto"/>
        </w:rPr>
        <w:t>，含水量大于</w:t>
      </w:r>
      <w:r>
        <w:rPr>
          <w:rFonts w:hint="eastAsia"/>
          <w:color w:val="auto"/>
        </w:rPr>
        <w:t>15%</w:t>
      </w:r>
      <w:r>
        <w:rPr>
          <w:rFonts w:hint="eastAsia"/>
          <w:color w:val="auto"/>
        </w:rPr>
        <w:t>，不属于可燃性粉尘；</w:t>
      </w:r>
      <w:proofErr w:type="gramStart"/>
      <w:r>
        <w:rPr>
          <w:rFonts w:hint="eastAsia"/>
          <w:color w:val="auto"/>
        </w:rPr>
        <w:t>铁粉脱杂中试</w:t>
      </w:r>
      <w:proofErr w:type="gramEnd"/>
      <w:r>
        <w:rPr>
          <w:rFonts w:hint="eastAsia"/>
          <w:color w:val="auto"/>
        </w:rPr>
        <w:t>实验过程中不锈钢循环槽浸出反应过程和真空过滤工序产生的酸雾（少量硫化氢气体、</w:t>
      </w:r>
      <w:proofErr w:type="gramStart"/>
      <w:r>
        <w:rPr>
          <w:rFonts w:hint="eastAsia"/>
          <w:color w:val="auto"/>
        </w:rPr>
        <w:t>砷化氢气</w:t>
      </w:r>
      <w:proofErr w:type="gramEnd"/>
      <w:r>
        <w:rPr>
          <w:rFonts w:hint="eastAsia"/>
          <w:color w:val="auto"/>
        </w:rPr>
        <w:t>体）由风机形成负压进入二级碱液喷淋塔内进行处理。中试车间、研发中心实验室使用、储存的主要危险化学品为硫酸、盐酸等，火灾危险性分类为戊类，不涉及爆炸危险区域，选用非防爆型电气设备。</w:t>
      </w:r>
    </w:p>
    <w:p w14:paraId="22216C3E" w14:textId="77777777" w:rsidR="009219A0" w:rsidRDefault="00000000">
      <w:pPr>
        <w:pStyle w:val="2"/>
        <w:rPr>
          <w:rFonts w:hint="eastAsia"/>
        </w:rPr>
      </w:pPr>
      <w:bookmarkStart w:id="77" w:name="_Toc165281437"/>
      <w:bookmarkStart w:id="78" w:name="_Toc211950418"/>
      <w:r>
        <w:rPr>
          <w:rFonts w:hint="eastAsia"/>
        </w:rPr>
        <w:lastRenderedPageBreak/>
        <w:t>2.5 安全生产管理情况</w:t>
      </w:r>
      <w:bookmarkEnd w:id="77"/>
      <w:bookmarkEnd w:id="78"/>
    </w:p>
    <w:p w14:paraId="77425C03" w14:textId="77777777" w:rsidR="009219A0" w:rsidRDefault="00000000">
      <w:pPr>
        <w:pStyle w:val="3"/>
        <w:rPr>
          <w:rFonts w:hint="eastAsia"/>
        </w:rPr>
      </w:pPr>
      <w:bookmarkStart w:id="79" w:name="_Toc211950419"/>
      <w:r>
        <w:rPr>
          <w:rFonts w:hint="eastAsia"/>
        </w:rPr>
        <w:t>2.5.1 安全管理机构及职责</w:t>
      </w:r>
      <w:bookmarkEnd w:id="79"/>
    </w:p>
    <w:p w14:paraId="47D0E8F5" w14:textId="77777777" w:rsidR="009219A0" w:rsidRDefault="00000000">
      <w:pPr>
        <w:ind w:firstLine="560"/>
        <w:rPr>
          <w:color w:val="auto"/>
        </w:rPr>
      </w:pPr>
      <w:r>
        <w:rPr>
          <w:rFonts w:hint="eastAsia"/>
          <w:color w:val="auto"/>
        </w:rPr>
        <w:t>项目安全管理组织机构</w:t>
      </w:r>
      <w:proofErr w:type="gramStart"/>
      <w:r>
        <w:rPr>
          <w:rFonts w:hint="eastAsia"/>
          <w:color w:val="auto"/>
        </w:rPr>
        <w:t>依托创源公司</w:t>
      </w:r>
      <w:proofErr w:type="gramEnd"/>
      <w:r>
        <w:rPr>
          <w:rFonts w:hint="eastAsia"/>
          <w:color w:val="auto"/>
        </w:rPr>
        <w:t>原有，</w:t>
      </w:r>
      <w:proofErr w:type="gramStart"/>
      <w:r>
        <w:rPr>
          <w:rFonts w:hint="eastAsia"/>
          <w:color w:val="auto"/>
        </w:rPr>
        <w:t>创源公司</w:t>
      </w:r>
      <w:proofErr w:type="gramEnd"/>
      <w:r>
        <w:rPr>
          <w:rFonts w:hint="eastAsia"/>
          <w:color w:val="auto"/>
        </w:rPr>
        <w:t>已按照《中华人民共和国安全生产法（</w:t>
      </w:r>
      <w:r>
        <w:rPr>
          <w:rFonts w:hint="eastAsia"/>
          <w:color w:val="auto"/>
        </w:rPr>
        <w:t>2021</w:t>
      </w:r>
      <w:r>
        <w:rPr>
          <w:rFonts w:hint="eastAsia"/>
          <w:color w:val="auto"/>
        </w:rPr>
        <w:t>年修订）》（中华人民共和国主席令第八十八号修订后公布，</w:t>
      </w:r>
      <w:r>
        <w:rPr>
          <w:rFonts w:hint="eastAsia"/>
          <w:color w:val="auto"/>
        </w:rPr>
        <w:t>2021</w:t>
      </w:r>
      <w:r>
        <w:rPr>
          <w:rFonts w:hint="eastAsia"/>
          <w:color w:val="auto"/>
        </w:rPr>
        <w:t>年</w:t>
      </w:r>
      <w:r>
        <w:rPr>
          <w:rFonts w:hint="eastAsia"/>
          <w:color w:val="auto"/>
        </w:rPr>
        <w:t>9</w:t>
      </w:r>
      <w:r>
        <w:rPr>
          <w:rFonts w:hint="eastAsia"/>
          <w:color w:val="auto"/>
        </w:rPr>
        <w:t>月</w:t>
      </w:r>
      <w:r>
        <w:rPr>
          <w:rFonts w:hint="eastAsia"/>
          <w:color w:val="auto"/>
        </w:rPr>
        <w:t>1</w:t>
      </w:r>
      <w:r>
        <w:rPr>
          <w:rFonts w:hint="eastAsia"/>
          <w:color w:val="auto"/>
        </w:rPr>
        <w:t>日施行）的要求，设有安全生产管理机构及</w:t>
      </w:r>
      <w:r>
        <w:rPr>
          <w:rFonts w:hint="eastAsia"/>
          <w:color w:val="auto"/>
        </w:rPr>
        <w:t>5</w:t>
      </w:r>
      <w:r>
        <w:rPr>
          <w:rFonts w:hint="eastAsia"/>
          <w:color w:val="auto"/>
        </w:rPr>
        <w:t>名专职安全生产管理人员（其中</w:t>
      </w:r>
      <w:r>
        <w:rPr>
          <w:rFonts w:hint="eastAsia"/>
          <w:color w:val="auto"/>
        </w:rPr>
        <w:t>1</w:t>
      </w:r>
      <w:r>
        <w:rPr>
          <w:rFonts w:hint="eastAsia"/>
          <w:color w:val="auto"/>
        </w:rPr>
        <w:t>人为注册安全工程师）。</w:t>
      </w:r>
    </w:p>
    <w:p w14:paraId="3485E13C" w14:textId="77777777" w:rsidR="009219A0" w:rsidRDefault="00000000">
      <w:pPr>
        <w:ind w:firstLine="560"/>
        <w:rPr>
          <w:color w:val="auto"/>
        </w:rPr>
      </w:pPr>
      <w:r>
        <w:rPr>
          <w:rFonts w:hint="eastAsia"/>
          <w:color w:val="auto"/>
        </w:rPr>
        <w:t>项目劳动定员为</w:t>
      </w:r>
      <w:r>
        <w:rPr>
          <w:rFonts w:hint="eastAsia"/>
          <w:color w:val="auto"/>
        </w:rPr>
        <w:t>18</w:t>
      </w:r>
      <w:r>
        <w:rPr>
          <w:rFonts w:hint="eastAsia"/>
          <w:color w:val="auto"/>
        </w:rPr>
        <w:t>人，</w:t>
      </w:r>
      <w:proofErr w:type="gramStart"/>
      <w:r>
        <w:rPr>
          <w:rFonts w:hint="eastAsia"/>
          <w:color w:val="auto"/>
        </w:rPr>
        <w:t>从创源公司</w:t>
      </w:r>
      <w:proofErr w:type="gramEnd"/>
      <w:r>
        <w:rPr>
          <w:rFonts w:hint="eastAsia"/>
          <w:color w:val="auto"/>
        </w:rPr>
        <w:t>内部人员进行调剂，根据项目实际情况，安全管理</w:t>
      </w:r>
      <w:proofErr w:type="gramStart"/>
      <w:r>
        <w:rPr>
          <w:rFonts w:hint="eastAsia"/>
          <w:color w:val="auto"/>
        </w:rPr>
        <w:t>由创源公司</w:t>
      </w:r>
      <w:proofErr w:type="gramEnd"/>
      <w:r>
        <w:rPr>
          <w:rFonts w:hint="eastAsia"/>
          <w:color w:val="auto"/>
        </w:rPr>
        <w:t>安全管理组织统筹规划，统一指挥安全管理。</w:t>
      </w:r>
    </w:p>
    <w:p w14:paraId="0F1E99A9" w14:textId="77777777" w:rsidR="009219A0" w:rsidRDefault="00000000">
      <w:pPr>
        <w:pStyle w:val="3"/>
        <w:rPr>
          <w:rFonts w:hint="eastAsia"/>
        </w:rPr>
      </w:pPr>
      <w:bookmarkStart w:id="80" w:name="_Toc211950420"/>
      <w:r>
        <w:rPr>
          <w:rFonts w:hint="eastAsia"/>
        </w:rPr>
        <w:t>2.5.2 安全管理制度</w:t>
      </w:r>
      <w:bookmarkEnd w:id="80"/>
    </w:p>
    <w:p w14:paraId="23F99A39" w14:textId="77777777" w:rsidR="009219A0" w:rsidRDefault="00000000">
      <w:pPr>
        <w:ind w:firstLine="560"/>
        <w:rPr>
          <w:color w:val="auto"/>
          <w:lang w:val="zh-CN"/>
        </w:rPr>
      </w:pPr>
      <w:proofErr w:type="gramStart"/>
      <w:r>
        <w:rPr>
          <w:rFonts w:hint="eastAsia"/>
          <w:color w:val="auto"/>
        </w:rPr>
        <w:t>创源公司</w:t>
      </w:r>
      <w:proofErr w:type="gramEnd"/>
      <w:r>
        <w:rPr>
          <w:rFonts w:hint="eastAsia"/>
          <w:color w:val="auto"/>
        </w:rPr>
        <w:t>按国家相关法律、法规的要求，规范了企业的安全行为。按照标准化体系要求建立有</w:t>
      </w:r>
      <w:r>
        <w:rPr>
          <w:rFonts w:hint="eastAsia"/>
          <w:color w:val="auto"/>
        </w:rPr>
        <w:t>55</w:t>
      </w:r>
      <w:r>
        <w:rPr>
          <w:rFonts w:hint="eastAsia"/>
          <w:color w:val="auto"/>
        </w:rPr>
        <w:t>项安全管理制度，详见表</w:t>
      </w:r>
      <w:r>
        <w:rPr>
          <w:rFonts w:hint="eastAsia"/>
          <w:color w:val="auto"/>
        </w:rPr>
        <w:t>2.5-1</w:t>
      </w:r>
      <w:r>
        <w:rPr>
          <w:rFonts w:hint="eastAsia"/>
          <w:color w:val="auto"/>
        </w:rPr>
        <w:t>；制定了安全操作规程，详见表</w:t>
      </w:r>
      <w:r>
        <w:rPr>
          <w:rFonts w:hint="eastAsia"/>
          <w:color w:val="auto"/>
        </w:rPr>
        <w:t>2.5-2</w:t>
      </w:r>
      <w:r>
        <w:rPr>
          <w:rFonts w:hint="eastAsia"/>
          <w:color w:val="auto"/>
        </w:rPr>
        <w:t>。</w:t>
      </w:r>
    </w:p>
    <w:p w14:paraId="399E4E88" w14:textId="77777777" w:rsidR="009219A0" w:rsidRDefault="00000000">
      <w:pPr>
        <w:topLinePunct/>
        <w:ind w:firstLine="560"/>
        <w:jc w:val="center"/>
        <w:rPr>
          <w:rFonts w:ascii="宋体" w:hAnsi="宋体" w:hint="eastAsia"/>
          <w:color w:val="auto"/>
        </w:rPr>
      </w:pPr>
      <w:r>
        <w:rPr>
          <w:rFonts w:ascii="宋体" w:hAnsi="宋体" w:hint="eastAsia"/>
          <w:color w:val="auto"/>
        </w:rPr>
        <w:t>表2.5-1  安全管理制度表</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536"/>
        <w:gridCol w:w="2268"/>
        <w:gridCol w:w="1558"/>
      </w:tblGrid>
      <w:tr w:rsidR="009219A0" w14:paraId="18EAEDA1" w14:textId="77777777">
        <w:trPr>
          <w:trHeight w:val="340"/>
          <w:tblHeader/>
          <w:jc w:val="center"/>
        </w:trPr>
        <w:tc>
          <w:tcPr>
            <w:tcW w:w="710" w:type="dxa"/>
            <w:vAlign w:val="center"/>
          </w:tcPr>
          <w:p w14:paraId="0937785F" w14:textId="77777777" w:rsidR="009219A0" w:rsidRDefault="00000000">
            <w:pPr>
              <w:adjustRightInd/>
              <w:snapToGrid/>
              <w:spacing w:line="240" w:lineRule="auto"/>
              <w:ind w:firstLineChars="0" w:firstLine="0"/>
              <w:jc w:val="center"/>
              <w:rPr>
                <w:rFonts w:ascii="宋体" w:hAnsi="宋体" w:hint="eastAsia"/>
                <w:b/>
                <w:bCs/>
                <w:color w:val="auto"/>
                <w:sz w:val="21"/>
                <w:szCs w:val="21"/>
                <w:lang w:val="zh-CN"/>
              </w:rPr>
            </w:pPr>
            <w:bookmarkStart w:id="81" w:name="_Hlk68117131"/>
            <w:r>
              <w:rPr>
                <w:rFonts w:ascii="宋体" w:hAnsi="宋体"/>
                <w:b/>
                <w:bCs/>
                <w:color w:val="auto"/>
                <w:sz w:val="21"/>
                <w:szCs w:val="21"/>
                <w:lang w:val="zh-CN"/>
              </w:rPr>
              <w:t>序号</w:t>
            </w:r>
          </w:p>
        </w:tc>
        <w:tc>
          <w:tcPr>
            <w:tcW w:w="4536" w:type="dxa"/>
            <w:vAlign w:val="center"/>
          </w:tcPr>
          <w:p w14:paraId="30119A7F" w14:textId="77777777" w:rsidR="009219A0" w:rsidRDefault="00000000">
            <w:pPr>
              <w:adjustRightInd/>
              <w:snapToGrid/>
              <w:spacing w:line="240" w:lineRule="auto"/>
              <w:ind w:firstLineChars="0" w:firstLine="0"/>
              <w:jc w:val="center"/>
              <w:rPr>
                <w:rFonts w:ascii="宋体" w:hAnsi="宋体" w:hint="eastAsia"/>
                <w:b/>
                <w:bCs/>
                <w:color w:val="auto"/>
                <w:sz w:val="21"/>
                <w:szCs w:val="21"/>
                <w:lang w:val="zh-CN"/>
              </w:rPr>
            </w:pPr>
            <w:r>
              <w:rPr>
                <w:rFonts w:ascii="宋体" w:hAnsi="宋体"/>
                <w:b/>
                <w:bCs/>
                <w:color w:val="auto"/>
                <w:sz w:val="21"/>
                <w:szCs w:val="21"/>
                <w:lang w:val="zh-CN"/>
              </w:rPr>
              <w:t>安全管理制度</w:t>
            </w:r>
          </w:p>
        </w:tc>
        <w:tc>
          <w:tcPr>
            <w:tcW w:w="2268" w:type="dxa"/>
            <w:vAlign w:val="center"/>
          </w:tcPr>
          <w:p w14:paraId="2E60C6A4" w14:textId="77777777" w:rsidR="009219A0" w:rsidRDefault="00000000">
            <w:pPr>
              <w:adjustRightInd/>
              <w:snapToGrid/>
              <w:spacing w:line="240" w:lineRule="auto"/>
              <w:ind w:firstLineChars="0" w:firstLine="0"/>
              <w:jc w:val="center"/>
              <w:rPr>
                <w:rFonts w:ascii="宋体" w:hAnsi="宋体" w:hint="eastAsia"/>
                <w:b/>
                <w:bCs/>
                <w:color w:val="auto"/>
                <w:sz w:val="21"/>
                <w:szCs w:val="21"/>
                <w:lang w:val="zh-CN"/>
              </w:rPr>
            </w:pPr>
            <w:r>
              <w:rPr>
                <w:rFonts w:ascii="宋体" w:hAnsi="宋体"/>
                <w:b/>
                <w:bCs/>
                <w:color w:val="auto"/>
                <w:sz w:val="21"/>
                <w:szCs w:val="21"/>
                <w:lang w:val="zh-CN"/>
              </w:rPr>
              <w:t>监督/检查人</w:t>
            </w:r>
          </w:p>
        </w:tc>
        <w:tc>
          <w:tcPr>
            <w:tcW w:w="1558" w:type="dxa"/>
            <w:vAlign w:val="center"/>
          </w:tcPr>
          <w:p w14:paraId="51B14683" w14:textId="77777777" w:rsidR="009219A0" w:rsidRDefault="00000000">
            <w:pPr>
              <w:adjustRightInd/>
              <w:snapToGrid/>
              <w:spacing w:line="240" w:lineRule="auto"/>
              <w:ind w:firstLineChars="0" w:firstLine="0"/>
              <w:jc w:val="center"/>
              <w:rPr>
                <w:rFonts w:ascii="宋体" w:hAnsi="宋体" w:hint="eastAsia"/>
                <w:b/>
                <w:bCs/>
                <w:color w:val="auto"/>
                <w:sz w:val="21"/>
                <w:szCs w:val="21"/>
                <w:lang w:val="zh-CN"/>
              </w:rPr>
            </w:pPr>
            <w:r>
              <w:rPr>
                <w:rFonts w:ascii="宋体" w:hAnsi="宋体"/>
                <w:b/>
                <w:bCs/>
                <w:color w:val="auto"/>
                <w:sz w:val="21"/>
                <w:szCs w:val="21"/>
                <w:lang w:val="zh-CN"/>
              </w:rPr>
              <w:t>执行情况</w:t>
            </w:r>
          </w:p>
        </w:tc>
      </w:tr>
      <w:tr w:rsidR="009219A0" w14:paraId="5F657A9A" w14:textId="77777777">
        <w:trPr>
          <w:trHeight w:val="340"/>
          <w:jc w:val="center"/>
        </w:trPr>
        <w:tc>
          <w:tcPr>
            <w:tcW w:w="710" w:type="dxa"/>
            <w:vAlign w:val="center"/>
          </w:tcPr>
          <w:p w14:paraId="07AAEB65"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4315341E"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安全生产责任制</w:t>
            </w:r>
          </w:p>
        </w:tc>
        <w:tc>
          <w:tcPr>
            <w:tcW w:w="2268" w:type="dxa"/>
            <w:vAlign w:val="center"/>
          </w:tcPr>
          <w:p w14:paraId="1F7D461B"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w:t>
            </w:r>
            <w:r>
              <w:rPr>
                <w:rFonts w:ascii="宋体" w:hAnsi="宋体"/>
                <w:color w:val="auto"/>
                <w:sz w:val="21"/>
                <w:szCs w:val="21"/>
                <w:lang w:val="zh-CN"/>
              </w:rPr>
              <w:t>、安全员</w:t>
            </w:r>
          </w:p>
        </w:tc>
        <w:tc>
          <w:tcPr>
            <w:tcW w:w="1558" w:type="dxa"/>
            <w:vAlign w:val="center"/>
          </w:tcPr>
          <w:p w14:paraId="23F7402B" w14:textId="77777777" w:rsidR="009219A0" w:rsidRDefault="00000000">
            <w:pPr>
              <w:adjustRightInd/>
              <w:snapToGrid/>
              <w:spacing w:line="240" w:lineRule="auto"/>
              <w:ind w:firstLineChars="0" w:firstLine="0"/>
              <w:jc w:val="center"/>
              <w:rPr>
                <w:rFonts w:ascii="宋体" w:hAnsi="宋体" w:hint="eastAsia"/>
                <w:color w:val="auto"/>
                <w:sz w:val="21"/>
                <w:szCs w:val="22"/>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5F1BEB4C" w14:textId="77777777">
        <w:trPr>
          <w:trHeight w:val="340"/>
          <w:jc w:val="center"/>
        </w:trPr>
        <w:tc>
          <w:tcPr>
            <w:tcW w:w="710" w:type="dxa"/>
            <w:vAlign w:val="center"/>
          </w:tcPr>
          <w:p w14:paraId="531D3CA3"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23AC1920"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安全生产目标、责任制考核制度</w:t>
            </w:r>
          </w:p>
        </w:tc>
        <w:tc>
          <w:tcPr>
            <w:tcW w:w="2268" w:type="dxa"/>
            <w:vAlign w:val="center"/>
          </w:tcPr>
          <w:p w14:paraId="1C4CA749"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43BA5A03"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149945EE" w14:textId="77777777">
        <w:trPr>
          <w:trHeight w:val="340"/>
          <w:jc w:val="center"/>
        </w:trPr>
        <w:tc>
          <w:tcPr>
            <w:tcW w:w="710" w:type="dxa"/>
            <w:vAlign w:val="center"/>
          </w:tcPr>
          <w:p w14:paraId="4D1EA404"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2B870C64"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安全生产会议管理制度</w:t>
            </w:r>
          </w:p>
        </w:tc>
        <w:tc>
          <w:tcPr>
            <w:tcW w:w="2268" w:type="dxa"/>
            <w:vAlign w:val="center"/>
          </w:tcPr>
          <w:p w14:paraId="76F3111F"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65E4C653" w14:textId="77777777" w:rsidR="009219A0" w:rsidRDefault="00000000">
            <w:pPr>
              <w:adjustRightInd/>
              <w:snapToGrid/>
              <w:spacing w:line="240" w:lineRule="auto"/>
              <w:ind w:firstLineChars="0" w:firstLine="0"/>
              <w:jc w:val="center"/>
              <w:rPr>
                <w:rFonts w:ascii="宋体" w:hAnsi="宋体" w:hint="eastAsia"/>
                <w:color w:val="auto"/>
                <w:sz w:val="21"/>
                <w:szCs w:val="22"/>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1B49AF7F" w14:textId="77777777">
        <w:trPr>
          <w:trHeight w:val="340"/>
          <w:jc w:val="center"/>
        </w:trPr>
        <w:tc>
          <w:tcPr>
            <w:tcW w:w="710" w:type="dxa"/>
            <w:vAlign w:val="center"/>
          </w:tcPr>
          <w:p w14:paraId="571C84E4"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7C22F8F7"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rPr>
              <w:t>安全生产奖惩管理制度</w:t>
            </w:r>
          </w:p>
        </w:tc>
        <w:tc>
          <w:tcPr>
            <w:tcW w:w="2268" w:type="dxa"/>
            <w:vAlign w:val="center"/>
          </w:tcPr>
          <w:p w14:paraId="64B60946"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368EB1D9" w14:textId="77777777" w:rsidR="009219A0" w:rsidRDefault="00000000">
            <w:pPr>
              <w:adjustRightInd/>
              <w:snapToGrid/>
              <w:spacing w:line="240" w:lineRule="auto"/>
              <w:ind w:firstLineChars="0" w:firstLine="0"/>
              <w:jc w:val="center"/>
              <w:rPr>
                <w:rFonts w:ascii="宋体" w:hAnsi="宋体" w:hint="eastAsia"/>
                <w:color w:val="auto"/>
                <w:sz w:val="21"/>
                <w:szCs w:val="22"/>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01E98779" w14:textId="77777777">
        <w:trPr>
          <w:trHeight w:val="340"/>
          <w:jc w:val="center"/>
        </w:trPr>
        <w:tc>
          <w:tcPr>
            <w:tcW w:w="710" w:type="dxa"/>
            <w:vAlign w:val="center"/>
          </w:tcPr>
          <w:p w14:paraId="74DE508F"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0FC56B59"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rPr>
              <w:t>安全投入保障及工伤保险管理制度</w:t>
            </w:r>
          </w:p>
        </w:tc>
        <w:tc>
          <w:tcPr>
            <w:tcW w:w="2268" w:type="dxa"/>
            <w:vAlign w:val="center"/>
          </w:tcPr>
          <w:p w14:paraId="23B3F04D"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491691F0" w14:textId="77777777" w:rsidR="009219A0" w:rsidRDefault="00000000">
            <w:pPr>
              <w:adjustRightInd/>
              <w:snapToGrid/>
              <w:spacing w:line="240" w:lineRule="auto"/>
              <w:ind w:firstLineChars="0" w:firstLine="0"/>
              <w:jc w:val="center"/>
              <w:rPr>
                <w:rFonts w:ascii="宋体" w:hAnsi="宋体" w:hint="eastAsia"/>
                <w:color w:val="auto"/>
                <w:sz w:val="21"/>
                <w:szCs w:val="22"/>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6B9AB021" w14:textId="77777777">
        <w:trPr>
          <w:trHeight w:val="340"/>
          <w:jc w:val="center"/>
        </w:trPr>
        <w:tc>
          <w:tcPr>
            <w:tcW w:w="710" w:type="dxa"/>
            <w:vAlign w:val="center"/>
          </w:tcPr>
          <w:p w14:paraId="76FED3EB"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2914C999"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领导干部值班管理制度</w:t>
            </w:r>
          </w:p>
        </w:tc>
        <w:tc>
          <w:tcPr>
            <w:tcW w:w="2268" w:type="dxa"/>
            <w:vAlign w:val="center"/>
          </w:tcPr>
          <w:p w14:paraId="1D86BA4A"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54A57C34"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72DB6F47" w14:textId="77777777">
        <w:trPr>
          <w:trHeight w:val="340"/>
          <w:jc w:val="center"/>
        </w:trPr>
        <w:tc>
          <w:tcPr>
            <w:tcW w:w="710" w:type="dxa"/>
            <w:vAlign w:val="center"/>
          </w:tcPr>
          <w:p w14:paraId="2863C8A4"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17150FBA"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风险评价管理制度</w:t>
            </w:r>
          </w:p>
        </w:tc>
        <w:tc>
          <w:tcPr>
            <w:tcW w:w="2268" w:type="dxa"/>
            <w:vAlign w:val="center"/>
          </w:tcPr>
          <w:p w14:paraId="1E090560"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5B1FED32"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6B505C06" w14:textId="77777777">
        <w:trPr>
          <w:trHeight w:val="340"/>
          <w:jc w:val="center"/>
        </w:trPr>
        <w:tc>
          <w:tcPr>
            <w:tcW w:w="710" w:type="dxa"/>
            <w:vAlign w:val="center"/>
          </w:tcPr>
          <w:p w14:paraId="6748E802"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72F9803F"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工艺管理制度</w:t>
            </w:r>
          </w:p>
        </w:tc>
        <w:tc>
          <w:tcPr>
            <w:tcW w:w="2268" w:type="dxa"/>
            <w:vAlign w:val="center"/>
          </w:tcPr>
          <w:p w14:paraId="68B9E3D3"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3E660811"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20B64E6B" w14:textId="77777777">
        <w:trPr>
          <w:trHeight w:val="340"/>
          <w:jc w:val="center"/>
        </w:trPr>
        <w:tc>
          <w:tcPr>
            <w:tcW w:w="710" w:type="dxa"/>
            <w:vAlign w:val="center"/>
          </w:tcPr>
          <w:p w14:paraId="04E748F2"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37E61BA5" w14:textId="77777777" w:rsidR="009219A0" w:rsidRDefault="00000000">
            <w:pPr>
              <w:pStyle w:val="Default1"/>
              <w:jc w:val="center"/>
              <w:rPr>
                <w:rFonts w:ascii="宋体" w:hAnsi="宋体"/>
                <w:color w:val="auto"/>
                <w:sz w:val="21"/>
                <w:szCs w:val="21"/>
              </w:rPr>
            </w:pPr>
            <w:r>
              <w:rPr>
                <w:rFonts w:ascii="宋体" w:hAnsi="宋体"/>
                <w:color w:val="auto"/>
                <w:sz w:val="21"/>
                <w:szCs w:val="21"/>
              </w:rPr>
              <w:t>开停车管理制度</w:t>
            </w:r>
          </w:p>
        </w:tc>
        <w:tc>
          <w:tcPr>
            <w:tcW w:w="2268" w:type="dxa"/>
            <w:vAlign w:val="center"/>
          </w:tcPr>
          <w:p w14:paraId="11BF5778"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748B57DA"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1121AF2A" w14:textId="77777777">
        <w:trPr>
          <w:trHeight w:val="340"/>
          <w:jc w:val="center"/>
        </w:trPr>
        <w:tc>
          <w:tcPr>
            <w:tcW w:w="710" w:type="dxa"/>
            <w:vAlign w:val="center"/>
          </w:tcPr>
          <w:p w14:paraId="0CEB1B0B"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32792301" w14:textId="77777777" w:rsidR="009219A0" w:rsidRDefault="00000000">
            <w:pPr>
              <w:pStyle w:val="Default1"/>
              <w:jc w:val="center"/>
              <w:rPr>
                <w:rFonts w:ascii="宋体" w:hAnsi="宋体"/>
                <w:color w:val="auto"/>
                <w:sz w:val="21"/>
                <w:szCs w:val="21"/>
              </w:rPr>
            </w:pPr>
            <w:r>
              <w:rPr>
                <w:rFonts w:ascii="宋体" w:hAnsi="宋体"/>
                <w:color w:val="auto"/>
                <w:sz w:val="21"/>
                <w:szCs w:val="21"/>
              </w:rPr>
              <w:t>隐患治理管理制度</w:t>
            </w:r>
          </w:p>
        </w:tc>
        <w:tc>
          <w:tcPr>
            <w:tcW w:w="2268" w:type="dxa"/>
            <w:vAlign w:val="center"/>
          </w:tcPr>
          <w:p w14:paraId="6C40A511"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070976DD"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2CF6C948" w14:textId="77777777">
        <w:trPr>
          <w:trHeight w:val="340"/>
          <w:jc w:val="center"/>
        </w:trPr>
        <w:tc>
          <w:tcPr>
            <w:tcW w:w="710" w:type="dxa"/>
            <w:vAlign w:val="center"/>
          </w:tcPr>
          <w:p w14:paraId="54499E8C"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275434DB"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重大危险源管理制度</w:t>
            </w:r>
          </w:p>
        </w:tc>
        <w:tc>
          <w:tcPr>
            <w:tcW w:w="2268" w:type="dxa"/>
            <w:vAlign w:val="center"/>
          </w:tcPr>
          <w:p w14:paraId="647C80C9"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176586F3"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647A92A3" w14:textId="77777777">
        <w:trPr>
          <w:trHeight w:val="340"/>
          <w:jc w:val="center"/>
        </w:trPr>
        <w:tc>
          <w:tcPr>
            <w:tcW w:w="710" w:type="dxa"/>
            <w:vAlign w:val="center"/>
          </w:tcPr>
          <w:p w14:paraId="1294A10E"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6AF35E04"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识别和获取适用的安全生产法律法规及其他要求管理制度</w:t>
            </w:r>
          </w:p>
        </w:tc>
        <w:tc>
          <w:tcPr>
            <w:tcW w:w="2268" w:type="dxa"/>
            <w:vAlign w:val="center"/>
          </w:tcPr>
          <w:p w14:paraId="156AA7AE"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37AF8B2A"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705356F2" w14:textId="77777777">
        <w:trPr>
          <w:trHeight w:val="340"/>
          <w:jc w:val="center"/>
        </w:trPr>
        <w:tc>
          <w:tcPr>
            <w:tcW w:w="710" w:type="dxa"/>
            <w:vAlign w:val="center"/>
          </w:tcPr>
          <w:p w14:paraId="4D5862E3"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52D678FA"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安全标准化文件管理制度</w:t>
            </w:r>
          </w:p>
        </w:tc>
        <w:tc>
          <w:tcPr>
            <w:tcW w:w="2268" w:type="dxa"/>
            <w:vAlign w:val="center"/>
          </w:tcPr>
          <w:p w14:paraId="08EBF8D9"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5FB65121"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1CD051AA" w14:textId="77777777">
        <w:trPr>
          <w:trHeight w:val="340"/>
          <w:jc w:val="center"/>
        </w:trPr>
        <w:tc>
          <w:tcPr>
            <w:tcW w:w="710" w:type="dxa"/>
            <w:vAlign w:val="center"/>
          </w:tcPr>
          <w:p w14:paraId="483B7AB3"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2CDEF760"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安全生产管理制度、操作规程评审和修订制度</w:t>
            </w:r>
          </w:p>
        </w:tc>
        <w:tc>
          <w:tcPr>
            <w:tcW w:w="2268" w:type="dxa"/>
            <w:vAlign w:val="center"/>
          </w:tcPr>
          <w:p w14:paraId="00C4E942"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1D35321D"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76CFD236" w14:textId="77777777">
        <w:trPr>
          <w:trHeight w:val="340"/>
          <w:jc w:val="center"/>
        </w:trPr>
        <w:tc>
          <w:tcPr>
            <w:tcW w:w="710" w:type="dxa"/>
            <w:vAlign w:val="center"/>
          </w:tcPr>
          <w:p w14:paraId="7ED99E8A"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7DA40A07"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建设项目行政许可及“三同时”管理制度</w:t>
            </w:r>
          </w:p>
        </w:tc>
        <w:tc>
          <w:tcPr>
            <w:tcW w:w="2268" w:type="dxa"/>
            <w:vAlign w:val="center"/>
          </w:tcPr>
          <w:p w14:paraId="1921BABD"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3E059271"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2D4D9821" w14:textId="77777777">
        <w:trPr>
          <w:trHeight w:val="340"/>
          <w:jc w:val="center"/>
        </w:trPr>
        <w:tc>
          <w:tcPr>
            <w:tcW w:w="710" w:type="dxa"/>
            <w:vAlign w:val="center"/>
          </w:tcPr>
          <w:p w14:paraId="1DC067AB"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7955BCF2"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安全教育培训制度</w:t>
            </w:r>
          </w:p>
        </w:tc>
        <w:tc>
          <w:tcPr>
            <w:tcW w:w="2268" w:type="dxa"/>
            <w:vAlign w:val="center"/>
          </w:tcPr>
          <w:p w14:paraId="693E8819"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1EF80E69"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47FDFB18" w14:textId="77777777">
        <w:trPr>
          <w:trHeight w:val="340"/>
          <w:jc w:val="center"/>
        </w:trPr>
        <w:tc>
          <w:tcPr>
            <w:tcW w:w="710" w:type="dxa"/>
            <w:vAlign w:val="center"/>
          </w:tcPr>
          <w:p w14:paraId="14D1F67E"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55EA04B5"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特种设备安全管理制度</w:t>
            </w:r>
          </w:p>
        </w:tc>
        <w:tc>
          <w:tcPr>
            <w:tcW w:w="2268" w:type="dxa"/>
            <w:vAlign w:val="center"/>
          </w:tcPr>
          <w:p w14:paraId="0DC371CB"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1DF12AA7"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477E5075" w14:textId="77777777">
        <w:trPr>
          <w:trHeight w:val="340"/>
          <w:jc w:val="center"/>
        </w:trPr>
        <w:tc>
          <w:tcPr>
            <w:tcW w:w="710" w:type="dxa"/>
            <w:vAlign w:val="center"/>
          </w:tcPr>
          <w:p w14:paraId="7596AAEC"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30280C75"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特种作业人员及特种设备作业人员管理制度</w:t>
            </w:r>
          </w:p>
        </w:tc>
        <w:tc>
          <w:tcPr>
            <w:tcW w:w="2268" w:type="dxa"/>
            <w:vAlign w:val="center"/>
          </w:tcPr>
          <w:p w14:paraId="0B72AD90"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4979249C"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495FA3D9" w14:textId="77777777">
        <w:trPr>
          <w:trHeight w:val="340"/>
          <w:jc w:val="center"/>
        </w:trPr>
        <w:tc>
          <w:tcPr>
            <w:tcW w:w="710" w:type="dxa"/>
            <w:vAlign w:val="center"/>
          </w:tcPr>
          <w:p w14:paraId="53E185E6"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0DDAA9E4"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管理部门、基层班组安全日常活动管理制度</w:t>
            </w:r>
          </w:p>
        </w:tc>
        <w:tc>
          <w:tcPr>
            <w:tcW w:w="2268" w:type="dxa"/>
            <w:vAlign w:val="center"/>
          </w:tcPr>
          <w:p w14:paraId="18B4416F"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563EFC3D"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2E83B582" w14:textId="77777777">
        <w:trPr>
          <w:trHeight w:val="340"/>
          <w:jc w:val="center"/>
        </w:trPr>
        <w:tc>
          <w:tcPr>
            <w:tcW w:w="710" w:type="dxa"/>
            <w:vAlign w:val="center"/>
          </w:tcPr>
          <w:p w14:paraId="751DA70D"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0D9E9B28"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安全设施管理制度</w:t>
            </w:r>
          </w:p>
        </w:tc>
        <w:tc>
          <w:tcPr>
            <w:tcW w:w="2268" w:type="dxa"/>
            <w:vAlign w:val="center"/>
          </w:tcPr>
          <w:p w14:paraId="18B303B5"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vAlign w:val="center"/>
          </w:tcPr>
          <w:p w14:paraId="26A1F6BF"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7F2331CC" w14:textId="77777777">
        <w:trPr>
          <w:trHeight w:val="340"/>
          <w:jc w:val="center"/>
        </w:trPr>
        <w:tc>
          <w:tcPr>
            <w:tcW w:w="710" w:type="dxa"/>
            <w:vAlign w:val="center"/>
          </w:tcPr>
          <w:p w14:paraId="0DD717F1"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0FBE389E"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厂区交通安全管理制度</w:t>
            </w:r>
          </w:p>
        </w:tc>
        <w:tc>
          <w:tcPr>
            <w:tcW w:w="2268" w:type="dxa"/>
          </w:tcPr>
          <w:p w14:paraId="0F8EC47E"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7314C700"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717C7B23" w14:textId="77777777">
        <w:trPr>
          <w:trHeight w:val="340"/>
          <w:jc w:val="center"/>
        </w:trPr>
        <w:tc>
          <w:tcPr>
            <w:tcW w:w="710" w:type="dxa"/>
            <w:vAlign w:val="center"/>
          </w:tcPr>
          <w:p w14:paraId="043A6768"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4F9DC3D7"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监视和测量设备管理制度</w:t>
            </w:r>
          </w:p>
        </w:tc>
        <w:tc>
          <w:tcPr>
            <w:tcW w:w="2268" w:type="dxa"/>
          </w:tcPr>
          <w:p w14:paraId="726EFEBF"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272FD7F4"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4D298A87" w14:textId="77777777">
        <w:trPr>
          <w:trHeight w:val="340"/>
          <w:jc w:val="center"/>
        </w:trPr>
        <w:tc>
          <w:tcPr>
            <w:tcW w:w="710" w:type="dxa"/>
            <w:vAlign w:val="center"/>
          </w:tcPr>
          <w:p w14:paraId="4F8CE334"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6AF51489"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关键装置及重点部位安全管理制度</w:t>
            </w:r>
          </w:p>
        </w:tc>
        <w:tc>
          <w:tcPr>
            <w:tcW w:w="2268" w:type="dxa"/>
          </w:tcPr>
          <w:p w14:paraId="5721B305"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42DDAC58"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1DED50C0" w14:textId="77777777">
        <w:trPr>
          <w:trHeight w:val="340"/>
          <w:jc w:val="center"/>
        </w:trPr>
        <w:tc>
          <w:tcPr>
            <w:tcW w:w="710" w:type="dxa"/>
            <w:vAlign w:val="center"/>
          </w:tcPr>
          <w:p w14:paraId="4DB43FB9"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16FD7E84"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检维修安全管理制度</w:t>
            </w:r>
          </w:p>
        </w:tc>
        <w:tc>
          <w:tcPr>
            <w:tcW w:w="2268" w:type="dxa"/>
          </w:tcPr>
          <w:p w14:paraId="15EB4D6C"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7F05D5F0"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04DA6880" w14:textId="77777777">
        <w:trPr>
          <w:trHeight w:val="340"/>
          <w:jc w:val="center"/>
        </w:trPr>
        <w:tc>
          <w:tcPr>
            <w:tcW w:w="710" w:type="dxa"/>
            <w:vAlign w:val="center"/>
          </w:tcPr>
          <w:p w14:paraId="343F9344"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0601766B"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生产设施拆除和报废管理制度</w:t>
            </w:r>
          </w:p>
        </w:tc>
        <w:tc>
          <w:tcPr>
            <w:tcW w:w="2268" w:type="dxa"/>
          </w:tcPr>
          <w:p w14:paraId="01288AC4"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0B6034E8"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1B3E25CA" w14:textId="77777777">
        <w:trPr>
          <w:trHeight w:val="340"/>
          <w:jc w:val="center"/>
        </w:trPr>
        <w:tc>
          <w:tcPr>
            <w:tcW w:w="710" w:type="dxa"/>
            <w:vAlign w:val="center"/>
          </w:tcPr>
          <w:p w14:paraId="49E7A8AA"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573E5FC1"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特殊作业安全管理制度</w:t>
            </w:r>
          </w:p>
        </w:tc>
        <w:tc>
          <w:tcPr>
            <w:tcW w:w="2268" w:type="dxa"/>
          </w:tcPr>
          <w:p w14:paraId="0EEC571E"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1BD6D1DF"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76681FE3" w14:textId="77777777">
        <w:trPr>
          <w:trHeight w:val="340"/>
          <w:jc w:val="center"/>
        </w:trPr>
        <w:tc>
          <w:tcPr>
            <w:tcW w:w="710" w:type="dxa"/>
            <w:vAlign w:val="center"/>
          </w:tcPr>
          <w:p w14:paraId="3A3C7EB0"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3DD50AA4"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安全用电管理规定</w:t>
            </w:r>
          </w:p>
        </w:tc>
        <w:tc>
          <w:tcPr>
            <w:tcW w:w="2268" w:type="dxa"/>
          </w:tcPr>
          <w:p w14:paraId="31061437"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51424544"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5A9CB156" w14:textId="77777777">
        <w:trPr>
          <w:trHeight w:val="340"/>
          <w:jc w:val="center"/>
        </w:trPr>
        <w:tc>
          <w:tcPr>
            <w:tcW w:w="710" w:type="dxa"/>
            <w:vAlign w:val="center"/>
          </w:tcPr>
          <w:p w14:paraId="139C2DAC"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6990C9AB"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公用工程管理制度</w:t>
            </w:r>
          </w:p>
        </w:tc>
        <w:tc>
          <w:tcPr>
            <w:tcW w:w="2268" w:type="dxa"/>
          </w:tcPr>
          <w:p w14:paraId="72958913"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6DB88394"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27ACCC7B" w14:textId="77777777">
        <w:trPr>
          <w:trHeight w:val="340"/>
          <w:jc w:val="center"/>
        </w:trPr>
        <w:tc>
          <w:tcPr>
            <w:tcW w:w="710" w:type="dxa"/>
            <w:vAlign w:val="center"/>
          </w:tcPr>
          <w:p w14:paraId="484C11B9"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2950CC1C"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高温作业管理规定</w:t>
            </w:r>
          </w:p>
        </w:tc>
        <w:tc>
          <w:tcPr>
            <w:tcW w:w="2268" w:type="dxa"/>
          </w:tcPr>
          <w:p w14:paraId="1BB32936"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4340CAB1"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1676316D" w14:textId="77777777">
        <w:trPr>
          <w:trHeight w:val="340"/>
          <w:jc w:val="center"/>
        </w:trPr>
        <w:tc>
          <w:tcPr>
            <w:tcW w:w="710" w:type="dxa"/>
            <w:vAlign w:val="center"/>
          </w:tcPr>
          <w:p w14:paraId="2B2D5EE8"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069EA40E"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交接班管理制度</w:t>
            </w:r>
          </w:p>
        </w:tc>
        <w:tc>
          <w:tcPr>
            <w:tcW w:w="2268" w:type="dxa"/>
          </w:tcPr>
          <w:p w14:paraId="0F08624A"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4FAF6302"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41D51273" w14:textId="77777777">
        <w:trPr>
          <w:trHeight w:val="340"/>
          <w:jc w:val="center"/>
        </w:trPr>
        <w:tc>
          <w:tcPr>
            <w:tcW w:w="710" w:type="dxa"/>
            <w:vAlign w:val="center"/>
          </w:tcPr>
          <w:p w14:paraId="4F52D313"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37786DC0"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设备检修作业安全管理规定</w:t>
            </w:r>
          </w:p>
        </w:tc>
        <w:tc>
          <w:tcPr>
            <w:tcW w:w="2268" w:type="dxa"/>
          </w:tcPr>
          <w:p w14:paraId="22171D2B"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6BC6B9DC"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0106084F" w14:textId="77777777">
        <w:trPr>
          <w:trHeight w:val="340"/>
          <w:jc w:val="center"/>
        </w:trPr>
        <w:tc>
          <w:tcPr>
            <w:tcW w:w="710" w:type="dxa"/>
            <w:vAlign w:val="center"/>
          </w:tcPr>
          <w:p w14:paraId="2631A46A"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597D39CB"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仓库、罐区安全管理制度</w:t>
            </w:r>
          </w:p>
        </w:tc>
        <w:tc>
          <w:tcPr>
            <w:tcW w:w="2268" w:type="dxa"/>
          </w:tcPr>
          <w:p w14:paraId="341EFEEF"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2426D6AA"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6A717C85" w14:textId="77777777">
        <w:trPr>
          <w:trHeight w:val="340"/>
          <w:jc w:val="center"/>
        </w:trPr>
        <w:tc>
          <w:tcPr>
            <w:tcW w:w="710" w:type="dxa"/>
            <w:vAlign w:val="center"/>
          </w:tcPr>
          <w:p w14:paraId="5F797C4A"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52A20890"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防火防爆、禁烟管理制度</w:t>
            </w:r>
          </w:p>
        </w:tc>
        <w:tc>
          <w:tcPr>
            <w:tcW w:w="2268" w:type="dxa"/>
          </w:tcPr>
          <w:p w14:paraId="2D2F4DE9"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0ACCB612"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3C2BFA10" w14:textId="77777777">
        <w:trPr>
          <w:trHeight w:val="340"/>
          <w:jc w:val="center"/>
        </w:trPr>
        <w:tc>
          <w:tcPr>
            <w:tcW w:w="710" w:type="dxa"/>
            <w:vAlign w:val="center"/>
          </w:tcPr>
          <w:p w14:paraId="1EC2EC0F"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36E6CAF3"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消防安全管理制度</w:t>
            </w:r>
          </w:p>
        </w:tc>
        <w:tc>
          <w:tcPr>
            <w:tcW w:w="2268" w:type="dxa"/>
          </w:tcPr>
          <w:p w14:paraId="4F049B67"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7ECA910F"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1DA4DA41" w14:textId="77777777">
        <w:trPr>
          <w:trHeight w:val="340"/>
          <w:jc w:val="center"/>
        </w:trPr>
        <w:tc>
          <w:tcPr>
            <w:tcW w:w="710" w:type="dxa"/>
            <w:vAlign w:val="center"/>
          </w:tcPr>
          <w:p w14:paraId="7E251D56"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70E3712A"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危险化学品安全管理制度</w:t>
            </w:r>
          </w:p>
        </w:tc>
        <w:tc>
          <w:tcPr>
            <w:tcW w:w="2268" w:type="dxa"/>
          </w:tcPr>
          <w:p w14:paraId="60793B16"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25DCAB50"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6247AF41" w14:textId="77777777">
        <w:trPr>
          <w:trHeight w:val="340"/>
          <w:jc w:val="center"/>
        </w:trPr>
        <w:tc>
          <w:tcPr>
            <w:tcW w:w="710" w:type="dxa"/>
            <w:vAlign w:val="center"/>
          </w:tcPr>
          <w:p w14:paraId="5855C04F"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6CBF8896"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剧毒化学品安全管理制度</w:t>
            </w:r>
          </w:p>
        </w:tc>
        <w:tc>
          <w:tcPr>
            <w:tcW w:w="2268" w:type="dxa"/>
          </w:tcPr>
          <w:p w14:paraId="0AE7E64B"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7D7A9233"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20C142F0" w14:textId="77777777">
        <w:trPr>
          <w:trHeight w:val="340"/>
          <w:jc w:val="center"/>
        </w:trPr>
        <w:tc>
          <w:tcPr>
            <w:tcW w:w="710" w:type="dxa"/>
            <w:vAlign w:val="center"/>
          </w:tcPr>
          <w:p w14:paraId="731B2CD9"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749471AC"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易制毒化学品安全管理制度</w:t>
            </w:r>
          </w:p>
        </w:tc>
        <w:tc>
          <w:tcPr>
            <w:tcW w:w="2268" w:type="dxa"/>
          </w:tcPr>
          <w:p w14:paraId="7DD9C299"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260B762C"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56A6DB83" w14:textId="77777777">
        <w:trPr>
          <w:trHeight w:val="340"/>
          <w:jc w:val="center"/>
        </w:trPr>
        <w:tc>
          <w:tcPr>
            <w:tcW w:w="710" w:type="dxa"/>
            <w:vAlign w:val="center"/>
          </w:tcPr>
          <w:p w14:paraId="3131B992"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5BA8DB59"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危险化学品装卸、运输安全管理制度</w:t>
            </w:r>
          </w:p>
        </w:tc>
        <w:tc>
          <w:tcPr>
            <w:tcW w:w="2268" w:type="dxa"/>
          </w:tcPr>
          <w:p w14:paraId="77F3BFD8"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5D13AB7E"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76E0C73A" w14:textId="77777777">
        <w:trPr>
          <w:trHeight w:val="340"/>
          <w:jc w:val="center"/>
        </w:trPr>
        <w:tc>
          <w:tcPr>
            <w:tcW w:w="710" w:type="dxa"/>
            <w:vAlign w:val="center"/>
          </w:tcPr>
          <w:p w14:paraId="5A400927"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65AC11D4"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危险化学品输送管道定期巡检制度</w:t>
            </w:r>
          </w:p>
        </w:tc>
        <w:tc>
          <w:tcPr>
            <w:tcW w:w="2268" w:type="dxa"/>
          </w:tcPr>
          <w:p w14:paraId="1534EB1A"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2A2C0C4E"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2A827882" w14:textId="77777777">
        <w:trPr>
          <w:trHeight w:val="340"/>
          <w:jc w:val="center"/>
        </w:trPr>
        <w:tc>
          <w:tcPr>
            <w:tcW w:w="710" w:type="dxa"/>
            <w:vAlign w:val="center"/>
          </w:tcPr>
          <w:p w14:paraId="2847F36F"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6B52AA6F"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承包商管理制度</w:t>
            </w:r>
          </w:p>
        </w:tc>
        <w:tc>
          <w:tcPr>
            <w:tcW w:w="2268" w:type="dxa"/>
          </w:tcPr>
          <w:p w14:paraId="5D615E9B"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7B774AEE"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56E1473D" w14:textId="77777777">
        <w:trPr>
          <w:trHeight w:val="340"/>
          <w:jc w:val="center"/>
        </w:trPr>
        <w:tc>
          <w:tcPr>
            <w:tcW w:w="710" w:type="dxa"/>
            <w:vAlign w:val="center"/>
          </w:tcPr>
          <w:p w14:paraId="6A55EA5E"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7D0CFB80"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供应</w:t>
            </w:r>
            <w:proofErr w:type="gramStart"/>
            <w:r>
              <w:rPr>
                <w:rFonts w:ascii="宋体" w:hAnsi="宋体" w:hint="eastAsia"/>
                <w:color w:val="auto"/>
                <w:sz w:val="21"/>
                <w:szCs w:val="21"/>
              </w:rPr>
              <w:t>商管理</w:t>
            </w:r>
            <w:proofErr w:type="gramEnd"/>
            <w:r>
              <w:rPr>
                <w:rFonts w:ascii="宋体" w:hAnsi="宋体" w:hint="eastAsia"/>
                <w:color w:val="auto"/>
                <w:sz w:val="21"/>
                <w:szCs w:val="21"/>
              </w:rPr>
              <w:t>制度</w:t>
            </w:r>
          </w:p>
        </w:tc>
        <w:tc>
          <w:tcPr>
            <w:tcW w:w="2268" w:type="dxa"/>
          </w:tcPr>
          <w:p w14:paraId="76195828"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4557DDB5"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1CE26FED" w14:textId="77777777">
        <w:trPr>
          <w:trHeight w:val="340"/>
          <w:jc w:val="center"/>
        </w:trPr>
        <w:tc>
          <w:tcPr>
            <w:tcW w:w="710" w:type="dxa"/>
            <w:vAlign w:val="center"/>
          </w:tcPr>
          <w:p w14:paraId="1B76CAE0"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3751B371"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变更管理制度</w:t>
            </w:r>
          </w:p>
        </w:tc>
        <w:tc>
          <w:tcPr>
            <w:tcW w:w="2268" w:type="dxa"/>
          </w:tcPr>
          <w:p w14:paraId="545DB524"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29FAFDAC"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01ED7191" w14:textId="77777777">
        <w:trPr>
          <w:trHeight w:val="340"/>
          <w:jc w:val="center"/>
        </w:trPr>
        <w:tc>
          <w:tcPr>
            <w:tcW w:w="710" w:type="dxa"/>
            <w:vAlign w:val="center"/>
          </w:tcPr>
          <w:p w14:paraId="35EC92AB"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4FC36D1B"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职业卫生管理制度</w:t>
            </w:r>
          </w:p>
        </w:tc>
        <w:tc>
          <w:tcPr>
            <w:tcW w:w="2268" w:type="dxa"/>
          </w:tcPr>
          <w:p w14:paraId="173D8D7C"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2F699E5F"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63D91504" w14:textId="77777777">
        <w:trPr>
          <w:trHeight w:val="340"/>
          <w:jc w:val="center"/>
        </w:trPr>
        <w:tc>
          <w:tcPr>
            <w:tcW w:w="710" w:type="dxa"/>
            <w:vAlign w:val="center"/>
          </w:tcPr>
          <w:p w14:paraId="0D2A6CFE"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2FA41149"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作业场所职业危害因素检测管理制度</w:t>
            </w:r>
          </w:p>
        </w:tc>
        <w:tc>
          <w:tcPr>
            <w:tcW w:w="2268" w:type="dxa"/>
          </w:tcPr>
          <w:p w14:paraId="4437F327"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3178015D"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30A2CC1E" w14:textId="77777777">
        <w:trPr>
          <w:trHeight w:val="340"/>
          <w:jc w:val="center"/>
        </w:trPr>
        <w:tc>
          <w:tcPr>
            <w:tcW w:w="710" w:type="dxa"/>
            <w:vAlign w:val="center"/>
          </w:tcPr>
          <w:p w14:paraId="1A081831"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4394CC31"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建（构）筑物管理制度</w:t>
            </w:r>
          </w:p>
        </w:tc>
        <w:tc>
          <w:tcPr>
            <w:tcW w:w="2268" w:type="dxa"/>
          </w:tcPr>
          <w:p w14:paraId="3E6A5D13"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1181839D"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3181B7E9" w14:textId="77777777">
        <w:trPr>
          <w:trHeight w:val="340"/>
          <w:jc w:val="center"/>
        </w:trPr>
        <w:tc>
          <w:tcPr>
            <w:tcW w:w="710" w:type="dxa"/>
            <w:vAlign w:val="center"/>
          </w:tcPr>
          <w:p w14:paraId="707D6992"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1647FB9B"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劳动防护用品和保健品管理制度</w:t>
            </w:r>
          </w:p>
        </w:tc>
        <w:tc>
          <w:tcPr>
            <w:tcW w:w="2268" w:type="dxa"/>
          </w:tcPr>
          <w:p w14:paraId="628C1CA2"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34335CF3"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2BB1370D" w14:textId="77777777">
        <w:trPr>
          <w:trHeight w:val="340"/>
          <w:jc w:val="center"/>
        </w:trPr>
        <w:tc>
          <w:tcPr>
            <w:tcW w:w="710" w:type="dxa"/>
            <w:vAlign w:val="center"/>
          </w:tcPr>
          <w:p w14:paraId="5879331F"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3CAAFF0F"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事故管理制度</w:t>
            </w:r>
          </w:p>
        </w:tc>
        <w:tc>
          <w:tcPr>
            <w:tcW w:w="2268" w:type="dxa"/>
          </w:tcPr>
          <w:p w14:paraId="0707B147"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4D28A791"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35AD29C8" w14:textId="77777777">
        <w:trPr>
          <w:trHeight w:val="340"/>
          <w:jc w:val="center"/>
        </w:trPr>
        <w:tc>
          <w:tcPr>
            <w:tcW w:w="710" w:type="dxa"/>
            <w:vAlign w:val="center"/>
          </w:tcPr>
          <w:p w14:paraId="4899AB3D"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4A4B21DF"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事故应急救援管理制度</w:t>
            </w:r>
          </w:p>
        </w:tc>
        <w:tc>
          <w:tcPr>
            <w:tcW w:w="2268" w:type="dxa"/>
          </w:tcPr>
          <w:p w14:paraId="3F5F3244"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421834C4"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4C565A48" w14:textId="77777777">
        <w:trPr>
          <w:trHeight w:val="340"/>
          <w:jc w:val="center"/>
        </w:trPr>
        <w:tc>
          <w:tcPr>
            <w:tcW w:w="710" w:type="dxa"/>
            <w:vAlign w:val="center"/>
          </w:tcPr>
          <w:p w14:paraId="4F28AAAF"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6628CAEC"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安全检查管理制度</w:t>
            </w:r>
          </w:p>
        </w:tc>
        <w:tc>
          <w:tcPr>
            <w:tcW w:w="2268" w:type="dxa"/>
          </w:tcPr>
          <w:p w14:paraId="45FDA749"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2F077669"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56D6C064" w14:textId="77777777">
        <w:trPr>
          <w:trHeight w:val="340"/>
          <w:jc w:val="center"/>
        </w:trPr>
        <w:tc>
          <w:tcPr>
            <w:tcW w:w="710" w:type="dxa"/>
            <w:vAlign w:val="center"/>
          </w:tcPr>
          <w:p w14:paraId="27D26894"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4E02C93C"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安全风险抵押金管理制度</w:t>
            </w:r>
          </w:p>
        </w:tc>
        <w:tc>
          <w:tcPr>
            <w:tcW w:w="2268" w:type="dxa"/>
          </w:tcPr>
          <w:p w14:paraId="5BEEE9F9"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7792D3DD"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3EA5A776" w14:textId="77777777">
        <w:trPr>
          <w:trHeight w:val="340"/>
          <w:jc w:val="center"/>
        </w:trPr>
        <w:tc>
          <w:tcPr>
            <w:tcW w:w="710" w:type="dxa"/>
            <w:vAlign w:val="center"/>
          </w:tcPr>
          <w:p w14:paraId="079FA6F4"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12D4A454"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自评管理制度</w:t>
            </w:r>
          </w:p>
        </w:tc>
        <w:tc>
          <w:tcPr>
            <w:tcW w:w="2268" w:type="dxa"/>
          </w:tcPr>
          <w:p w14:paraId="02B0DB26"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55D3EFDC"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22826073" w14:textId="77777777">
        <w:trPr>
          <w:trHeight w:val="340"/>
          <w:jc w:val="center"/>
        </w:trPr>
        <w:tc>
          <w:tcPr>
            <w:tcW w:w="710" w:type="dxa"/>
            <w:vAlign w:val="center"/>
          </w:tcPr>
          <w:p w14:paraId="741630DB"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125D3D58"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事故隐患内部报告奖励制度</w:t>
            </w:r>
          </w:p>
        </w:tc>
        <w:tc>
          <w:tcPr>
            <w:tcW w:w="2268" w:type="dxa"/>
          </w:tcPr>
          <w:p w14:paraId="1E070F25"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0FDCBE6F"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74D61C07" w14:textId="77777777">
        <w:trPr>
          <w:trHeight w:val="340"/>
          <w:jc w:val="center"/>
        </w:trPr>
        <w:tc>
          <w:tcPr>
            <w:tcW w:w="710" w:type="dxa"/>
            <w:vAlign w:val="center"/>
          </w:tcPr>
          <w:p w14:paraId="7EBAD11F"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5FF59F0D"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安全风险</w:t>
            </w:r>
            <w:proofErr w:type="gramStart"/>
            <w:r>
              <w:rPr>
                <w:rFonts w:ascii="宋体" w:hAnsi="宋体" w:hint="eastAsia"/>
                <w:color w:val="auto"/>
                <w:sz w:val="21"/>
                <w:szCs w:val="21"/>
              </w:rPr>
              <w:t>研</w:t>
            </w:r>
            <w:proofErr w:type="gramEnd"/>
            <w:r>
              <w:rPr>
                <w:rFonts w:ascii="宋体" w:hAnsi="宋体" w:hint="eastAsia"/>
                <w:color w:val="auto"/>
                <w:sz w:val="21"/>
                <w:szCs w:val="21"/>
              </w:rPr>
              <w:t>判和承诺公告制度</w:t>
            </w:r>
          </w:p>
        </w:tc>
        <w:tc>
          <w:tcPr>
            <w:tcW w:w="2268" w:type="dxa"/>
          </w:tcPr>
          <w:p w14:paraId="6CE39B40"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72C7C4CF"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322F719C" w14:textId="77777777">
        <w:trPr>
          <w:trHeight w:val="340"/>
          <w:jc w:val="center"/>
        </w:trPr>
        <w:tc>
          <w:tcPr>
            <w:tcW w:w="710" w:type="dxa"/>
            <w:vAlign w:val="center"/>
          </w:tcPr>
          <w:p w14:paraId="54FE28DC"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3572648D"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生产工艺卡片管理办法</w:t>
            </w:r>
          </w:p>
        </w:tc>
        <w:tc>
          <w:tcPr>
            <w:tcW w:w="2268" w:type="dxa"/>
          </w:tcPr>
          <w:p w14:paraId="00884CE5"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07FA8E3D"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9219A0" w14:paraId="4F0BF125" w14:textId="77777777">
        <w:trPr>
          <w:trHeight w:val="340"/>
          <w:jc w:val="center"/>
        </w:trPr>
        <w:tc>
          <w:tcPr>
            <w:tcW w:w="710" w:type="dxa"/>
            <w:vAlign w:val="center"/>
          </w:tcPr>
          <w:p w14:paraId="61263C88" w14:textId="77777777" w:rsidR="009219A0" w:rsidRDefault="009219A0">
            <w:pPr>
              <w:numPr>
                <w:ilvl w:val="0"/>
                <w:numId w:val="2"/>
              </w:numPr>
              <w:adjustRightInd/>
              <w:snapToGrid/>
              <w:spacing w:line="240" w:lineRule="auto"/>
              <w:ind w:left="0" w:firstLineChars="0" w:firstLine="0"/>
              <w:jc w:val="center"/>
              <w:rPr>
                <w:rFonts w:ascii="宋体" w:hAnsi="宋体" w:hint="eastAsia"/>
                <w:color w:val="auto"/>
                <w:sz w:val="21"/>
                <w:szCs w:val="21"/>
                <w:lang w:val="zh-CN"/>
              </w:rPr>
            </w:pPr>
          </w:p>
        </w:tc>
        <w:tc>
          <w:tcPr>
            <w:tcW w:w="4536" w:type="dxa"/>
            <w:vAlign w:val="center"/>
          </w:tcPr>
          <w:p w14:paraId="12ED2136" w14:textId="77777777" w:rsidR="009219A0" w:rsidRDefault="00000000">
            <w:pPr>
              <w:adjustRightInd/>
              <w:snapToGri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异常工况管理制度</w:t>
            </w:r>
          </w:p>
        </w:tc>
        <w:tc>
          <w:tcPr>
            <w:tcW w:w="2268" w:type="dxa"/>
          </w:tcPr>
          <w:p w14:paraId="2E1FD0B6"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主要负责人、安全员</w:t>
            </w:r>
          </w:p>
        </w:tc>
        <w:tc>
          <w:tcPr>
            <w:tcW w:w="1558" w:type="dxa"/>
          </w:tcPr>
          <w:p w14:paraId="1596A385" w14:textId="77777777" w:rsidR="009219A0" w:rsidRDefault="00000000">
            <w:pPr>
              <w:adjustRightInd/>
              <w:snapToGrid/>
              <w:spacing w:line="240" w:lineRule="auto"/>
              <w:ind w:firstLineChars="0" w:firstLine="0"/>
              <w:jc w:val="center"/>
              <w:rPr>
                <w:rFonts w:ascii="宋体" w:hAnsi="宋体" w:hint="eastAsia"/>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bl>
    <w:bookmarkEnd w:id="81"/>
    <w:p w14:paraId="182EEB64" w14:textId="77777777" w:rsidR="009219A0" w:rsidRDefault="00000000">
      <w:pPr>
        <w:topLinePunct/>
        <w:ind w:firstLine="560"/>
        <w:jc w:val="center"/>
        <w:rPr>
          <w:rFonts w:ascii="宋体" w:hAnsi="宋体" w:hint="eastAsia"/>
          <w:color w:val="auto"/>
        </w:rPr>
      </w:pPr>
      <w:r>
        <w:rPr>
          <w:rFonts w:ascii="宋体" w:hAnsi="宋体" w:hint="eastAsia"/>
          <w:color w:val="auto"/>
        </w:rPr>
        <w:lastRenderedPageBreak/>
        <w:t>表2.5-2  安全操作规程</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827"/>
        <w:gridCol w:w="2268"/>
        <w:gridCol w:w="2267"/>
      </w:tblGrid>
      <w:tr w:rsidR="009219A0" w14:paraId="2AEF1645" w14:textId="77777777">
        <w:trPr>
          <w:trHeight w:val="340"/>
          <w:tblHeader/>
          <w:jc w:val="center"/>
        </w:trPr>
        <w:tc>
          <w:tcPr>
            <w:tcW w:w="710" w:type="dxa"/>
            <w:vAlign w:val="center"/>
          </w:tcPr>
          <w:p w14:paraId="5B0911BA" w14:textId="77777777" w:rsidR="009219A0" w:rsidRDefault="00000000">
            <w:pPr>
              <w:adjustRightInd/>
              <w:snapToGrid/>
              <w:spacing w:line="240" w:lineRule="auto"/>
              <w:ind w:firstLineChars="0" w:firstLine="0"/>
              <w:jc w:val="center"/>
              <w:rPr>
                <w:b/>
                <w:bCs/>
                <w:color w:val="auto"/>
                <w:sz w:val="21"/>
                <w:szCs w:val="21"/>
                <w:lang w:val="zh-CN"/>
              </w:rPr>
            </w:pPr>
            <w:r>
              <w:rPr>
                <w:b/>
                <w:bCs/>
                <w:color w:val="auto"/>
                <w:sz w:val="21"/>
                <w:szCs w:val="21"/>
                <w:lang w:val="zh-CN"/>
              </w:rPr>
              <w:t>序号</w:t>
            </w:r>
          </w:p>
        </w:tc>
        <w:tc>
          <w:tcPr>
            <w:tcW w:w="3827" w:type="dxa"/>
            <w:vAlign w:val="center"/>
          </w:tcPr>
          <w:p w14:paraId="05F9E178" w14:textId="77777777" w:rsidR="009219A0" w:rsidRDefault="00000000">
            <w:pPr>
              <w:adjustRightInd/>
              <w:snapToGrid/>
              <w:spacing w:line="240" w:lineRule="auto"/>
              <w:ind w:firstLineChars="0" w:firstLine="0"/>
              <w:jc w:val="center"/>
              <w:rPr>
                <w:b/>
                <w:bCs/>
                <w:color w:val="auto"/>
                <w:sz w:val="21"/>
                <w:szCs w:val="21"/>
                <w:lang w:val="zh-CN"/>
              </w:rPr>
            </w:pPr>
            <w:r>
              <w:rPr>
                <w:rFonts w:hint="eastAsia"/>
                <w:b/>
                <w:bCs/>
                <w:color w:val="auto"/>
                <w:sz w:val="21"/>
                <w:szCs w:val="21"/>
                <w:lang w:val="zh-CN"/>
              </w:rPr>
              <w:t>操作规程</w:t>
            </w:r>
          </w:p>
        </w:tc>
        <w:tc>
          <w:tcPr>
            <w:tcW w:w="2268" w:type="dxa"/>
            <w:vAlign w:val="center"/>
          </w:tcPr>
          <w:p w14:paraId="5E4B645A" w14:textId="77777777" w:rsidR="009219A0" w:rsidRDefault="00000000">
            <w:pPr>
              <w:adjustRightInd/>
              <w:snapToGrid/>
              <w:spacing w:line="240" w:lineRule="auto"/>
              <w:ind w:firstLineChars="0" w:firstLine="0"/>
              <w:jc w:val="center"/>
              <w:rPr>
                <w:b/>
                <w:bCs/>
                <w:color w:val="auto"/>
                <w:sz w:val="21"/>
                <w:szCs w:val="21"/>
                <w:lang w:val="zh-CN"/>
              </w:rPr>
            </w:pPr>
            <w:r>
              <w:rPr>
                <w:b/>
                <w:bCs/>
                <w:color w:val="auto"/>
                <w:sz w:val="21"/>
                <w:szCs w:val="21"/>
                <w:lang w:val="zh-CN"/>
              </w:rPr>
              <w:t>监督</w:t>
            </w:r>
            <w:r>
              <w:rPr>
                <w:b/>
                <w:bCs/>
                <w:color w:val="auto"/>
                <w:sz w:val="21"/>
                <w:szCs w:val="21"/>
                <w:lang w:val="zh-CN"/>
              </w:rPr>
              <w:t>/</w:t>
            </w:r>
            <w:r>
              <w:rPr>
                <w:b/>
                <w:bCs/>
                <w:color w:val="auto"/>
                <w:sz w:val="21"/>
                <w:szCs w:val="21"/>
                <w:lang w:val="zh-CN"/>
              </w:rPr>
              <w:t>检查人</w:t>
            </w:r>
          </w:p>
        </w:tc>
        <w:tc>
          <w:tcPr>
            <w:tcW w:w="2267" w:type="dxa"/>
            <w:vAlign w:val="center"/>
          </w:tcPr>
          <w:p w14:paraId="0D55AD89" w14:textId="77777777" w:rsidR="009219A0" w:rsidRDefault="00000000">
            <w:pPr>
              <w:adjustRightInd/>
              <w:snapToGrid/>
              <w:spacing w:line="240" w:lineRule="auto"/>
              <w:ind w:firstLineChars="0" w:firstLine="0"/>
              <w:jc w:val="center"/>
              <w:rPr>
                <w:b/>
                <w:bCs/>
                <w:color w:val="auto"/>
                <w:sz w:val="21"/>
                <w:szCs w:val="21"/>
                <w:lang w:val="zh-CN"/>
              </w:rPr>
            </w:pPr>
            <w:r>
              <w:rPr>
                <w:b/>
                <w:bCs/>
                <w:color w:val="auto"/>
                <w:sz w:val="21"/>
                <w:szCs w:val="21"/>
                <w:lang w:val="zh-CN"/>
              </w:rPr>
              <w:t>执行情况</w:t>
            </w:r>
          </w:p>
        </w:tc>
      </w:tr>
      <w:tr w:rsidR="009219A0" w14:paraId="142B05F5" w14:textId="77777777">
        <w:trPr>
          <w:trHeight w:val="340"/>
          <w:jc w:val="center"/>
        </w:trPr>
        <w:tc>
          <w:tcPr>
            <w:tcW w:w="710" w:type="dxa"/>
            <w:vAlign w:val="center"/>
          </w:tcPr>
          <w:p w14:paraId="31362311"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04EC2064"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硫酸生产系统开停车安全操作规程</w:t>
            </w:r>
          </w:p>
        </w:tc>
        <w:tc>
          <w:tcPr>
            <w:tcW w:w="2268" w:type="dxa"/>
            <w:vAlign w:val="center"/>
          </w:tcPr>
          <w:p w14:paraId="71A34E4D"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vAlign w:val="center"/>
          </w:tcPr>
          <w:p w14:paraId="20FFE619"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2A894EBB" w14:textId="77777777">
        <w:trPr>
          <w:trHeight w:val="340"/>
          <w:jc w:val="center"/>
        </w:trPr>
        <w:tc>
          <w:tcPr>
            <w:tcW w:w="710" w:type="dxa"/>
            <w:vAlign w:val="center"/>
          </w:tcPr>
          <w:p w14:paraId="5190364F"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24805848"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备料工序岗位安全操作规程</w:t>
            </w:r>
          </w:p>
        </w:tc>
        <w:tc>
          <w:tcPr>
            <w:tcW w:w="2268" w:type="dxa"/>
            <w:vAlign w:val="center"/>
          </w:tcPr>
          <w:p w14:paraId="6AC784FD"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vAlign w:val="center"/>
          </w:tcPr>
          <w:p w14:paraId="0345DF04"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45149BF5" w14:textId="77777777">
        <w:trPr>
          <w:trHeight w:val="340"/>
          <w:jc w:val="center"/>
        </w:trPr>
        <w:tc>
          <w:tcPr>
            <w:tcW w:w="710" w:type="dxa"/>
            <w:vAlign w:val="center"/>
          </w:tcPr>
          <w:p w14:paraId="709E3134"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7FD27D7D"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沸腾炉焙烧工序岗位安全操作规程</w:t>
            </w:r>
          </w:p>
        </w:tc>
        <w:tc>
          <w:tcPr>
            <w:tcW w:w="2268" w:type="dxa"/>
            <w:vAlign w:val="center"/>
          </w:tcPr>
          <w:p w14:paraId="4925304D"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vAlign w:val="center"/>
          </w:tcPr>
          <w:p w14:paraId="32BAD89C" w14:textId="77777777" w:rsidR="009219A0" w:rsidRDefault="00000000">
            <w:pPr>
              <w:adjustRightInd/>
              <w:snapToGrid/>
              <w:spacing w:line="240" w:lineRule="auto"/>
              <w:ind w:firstLineChars="0" w:firstLine="0"/>
              <w:jc w:val="center"/>
              <w:rPr>
                <w:color w:val="auto"/>
                <w:sz w:val="21"/>
                <w:szCs w:val="22"/>
              </w:rPr>
            </w:pPr>
            <w:r>
              <w:rPr>
                <w:rFonts w:hint="eastAsia"/>
                <w:color w:val="auto"/>
                <w:sz w:val="21"/>
                <w:szCs w:val="21"/>
                <w:lang w:val="zh-CN"/>
              </w:rPr>
              <w:t>按操作规程</w:t>
            </w:r>
            <w:r>
              <w:rPr>
                <w:color w:val="auto"/>
                <w:sz w:val="21"/>
                <w:szCs w:val="21"/>
                <w:lang w:val="zh-CN"/>
              </w:rPr>
              <w:t>执行</w:t>
            </w:r>
          </w:p>
        </w:tc>
      </w:tr>
      <w:tr w:rsidR="009219A0" w14:paraId="7C6DA150" w14:textId="77777777">
        <w:trPr>
          <w:trHeight w:val="340"/>
          <w:jc w:val="center"/>
        </w:trPr>
        <w:tc>
          <w:tcPr>
            <w:tcW w:w="710" w:type="dxa"/>
            <w:vAlign w:val="center"/>
          </w:tcPr>
          <w:p w14:paraId="42AFE430"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70D1EBA3"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净化工序岗位安全操作规程</w:t>
            </w:r>
          </w:p>
        </w:tc>
        <w:tc>
          <w:tcPr>
            <w:tcW w:w="2268" w:type="dxa"/>
            <w:vAlign w:val="center"/>
          </w:tcPr>
          <w:p w14:paraId="4049C320"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vAlign w:val="center"/>
          </w:tcPr>
          <w:p w14:paraId="68CF86A7" w14:textId="77777777" w:rsidR="009219A0" w:rsidRDefault="00000000">
            <w:pPr>
              <w:adjustRightInd/>
              <w:snapToGrid/>
              <w:spacing w:line="240" w:lineRule="auto"/>
              <w:ind w:firstLineChars="0" w:firstLine="0"/>
              <w:jc w:val="center"/>
              <w:rPr>
                <w:color w:val="auto"/>
                <w:sz w:val="21"/>
                <w:szCs w:val="22"/>
              </w:rPr>
            </w:pPr>
            <w:r>
              <w:rPr>
                <w:rFonts w:hint="eastAsia"/>
                <w:color w:val="auto"/>
                <w:sz w:val="21"/>
                <w:szCs w:val="21"/>
                <w:lang w:val="zh-CN"/>
              </w:rPr>
              <w:t>按操作规程</w:t>
            </w:r>
            <w:r>
              <w:rPr>
                <w:color w:val="auto"/>
                <w:sz w:val="21"/>
                <w:szCs w:val="21"/>
                <w:lang w:val="zh-CN"/>
              </w:rPr>
              <w:t>执行</w:t>
            </w:r>
          </w:p>
        </w:tc>
      </w:tr>
      <w:tr w:rsidR="009219A0" w14:paraId="615C4513" w14:textId="77777777">
        <w:trPr>
          <w:trHeight w:val="340"/>
          <w:jc w:val="center"/>
        </w:trPr>
        <w:tc>
          <w:tcPr>
            <w:tcW w:w="710" w:type="dxa"/>
            <w:vAlign w:val="center"/>
          </w:tcPr>
          <w:p w14:paraId="14D26271"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66173D93"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转化工序岗位安全操作规程</w:t>
            </w:r>
          </w:p>
        </w:tc>
        <w:tc>
          <w:tcPr>
            <w:tcW w:w="2268" w:type="dxa"/>
            <w:vAlign w:val="center"/>
          </w:tcPr>
          <w:p w14:paraId="24A216E8"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vAlign w:val="center"/>
          </w:tcPr>
          <w:p w14:paraId="79558856" w14:textId="77777777" w:rsidR="009219A0" w:rsidRDefault="00000000">
            <w:pPr>
              <w:adjustRightInd/>
              <w:snapToGrid/>
              <w:spacing w:line="240" w:lineRule="auto"/>
              <w:ind w:firstLineChars="0" w:firstLine="0"/>
              <w:jc w:val="center"/>
              <w:rPr>
                <w:color w:val="auto"/>
                <w:sz w:val="21"/>
                <w:szCs w:val="22"/>
              </w:rPr>
            </w:pPr>
            <w:r>
              <w:rPr>
                <w:rFonts w:hint="eastAsia"/>
                <w:color w:val="auto"/>
                <w:sz w:val="21"/>
                <w:szCs w:val="21"/>
                <w:lang w:val="zh-CN"/>
              </w:rPr>
              <w:t>按操作规程</w:t>
            </w:r>
            <w:r>
              <w:rPr>
                <w:color w:val="auto"/>
                <w:sz w:val="21"/>
                <w:szCs w:val="21"/>
                <w:lang w:val="zh-CN"/>
              </w:rPr>
              <w:t>执行</w:t>
            </w:r>
          </w:p>
        </w:tc>
      </w:tr>
      <w:tr w:rsidR="009219A0" w14:paraId="03FEFD3D" w14:textId="77777777">
        <w:trPr>
          <w:trHeight w:val="340"/>
          <w:jc w:val="center"/>
        </w:trPr>
        <w:tc>
          <w:tcPr>
            <w:tcW w:w="710" w:type="dxa"/>
            <w:vAlign w:val="center"/>
          </w:tcPr>
          <w:p w14:paraId="2BD2D13B"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51B18A6A" w14:textId="77777777" w:rsidR="009219A0" w:rsidRDefault="00000000">
            <w:pPr>
              <w:adjustRightInd/>
              <w:snapToGrid/>
              <w:spacing w:line="240" w:lineRule="auto"/>
              <w:ind w:firstLineChars="0" w:firstLine="0"/>
              <w:jc w:val="center"/>
              <w:rPr>
                <w:color w:val="auto"/>
                <w:sz w:val="21"/>
                <w:szCs w:val="21"/>
                <w:lang w:val="zh-CN"/>
              </w:rPr>
            </w:pPr>
            <w:proofErr w:type="gramStart"/>
            <w:r>
              <w:rPr>
                <w:rFonts w:hint="eastAsia"/>
                <w:color w:val="auto"/>
                <w:sz w:val="21"/>
                <w:szCs w:val="21"/>
                <w:lang w:val="zh-CN"/>
              </w:rPr>
              <w:t>干吸工序</w:t>
            </w:r>
            <w:proofErr w:type="gramEnd"/>
            <w:r>
              <w:rPr>
                <w:rFonts w:hint="eastAsia"/>
                <w:color w:val="auto"/>
                <w:sz w:val="21"/>
                <w:szCs w:val="21"/>
                <w:lang w:val="zh-CN"/>
              </w:rPr>
              <w:t>岗位安全操作规程</w:t>
            </w:r>
          </w:p>
        </w:tc>
        <w:tc>
          <w:tcPr>
            <w:tcW w:w="2268" w:type="dxa"/>
          </w:tcPr>
          <w:p w14:paraId="2317F760"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6979E2CF"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74767E05" w14:textId="77777777">
        <w:trPr>
          <w:trHeight w:val="340"/>
          <w:jc w:val="center"/>
        </w:trPr>
        <w:tc>
          <w:tcPr>
            <w:tcW w:w="710" w:type="dxa"/>
            <w:vAlign w:val="center"/>
          </w:tcPr>
          <w:p w14:paraId="6845BF0F"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56BFA19A"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尾气岗位安全操作规程</w:t>
            </w:r>
          </w:p>
        </w:tc>
        <w:tc>
          <w:tcPr>
            <w:tcW w:w="2268" w:type="dxa"/>
          </w:tcPr>
          <w:p w14:paraId="10A77427"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031FC288"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140360BF" w14:textId="77777777">
        <w:trPr>
          <w:trHeight w:val="340"/>
          <w:jc w:val="center"/>
        </w:trPr>
        <w:tc>
          <w:tcPr>
            <w:tcW w:w="710" w:type="dxa"/>
            <w:vAlign w:val="center"/>
          </w:tcPr>
          <w:p w14:paraId="00CD82E1"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67229BEC"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硫酸储存和装酸工序岗位安全操作规程</w:t>
            </w:r>
          </w:p>
        </w:tc>
        <w:tc>
          <w:tcPr>
            <w:tcW w:w="2268" w:type="dxa"/>
          </w:tcPr>
          <w:p w14:paraId="35C490B1"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50EFA114"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61C75C74" w14:textId="77777777">
        <w:trPr>
          <w:trHeight w:val="340"/>
          <w:jc w:val="center"/>
        </w:trPr>
        <w:tc>
          <w:tcPr>
            <w:tcW w:w="710" w:type="dxa"/>
            <w:vAlign w:val="center"/>
          </w:tcPr>
          <w:p w14:paraId="60A3491D"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7338D38B"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污水处理工序岗位安全操作规程</w:t>
            </w:r>
          </w:p>
        </w:tc>
        <w:tc>
          <w:tcPr>
            <w:tcW w:w="2268" w:type="dxa"/>
          </w:tcPr>
          <w:p w14:paraId="66187EEB"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54C9EE49"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5E6A1C17" w14:textId="77777777">
        <w:trPr>
          <w:trHeight w:val="340"/>
          <w:jc w:val="center"/>
        </w:trPr>
        <w:tc>
          <w:tcPr>
            <w:tcW w:w="710" w:type="dxa"/>
            <w:vAlign w:val="center"/>
          </w:tcPr>
          <w:p w14:paraId="3832CA99"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0F931E1C"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行车岗位安全操作规程</w:t>
            </w:r>
          </w:p>
        </w:tc>
        <w:tc>
          <w:tcPr>
            <w:tcW w:w="2268" w:type="dxa"/>
          </w:tcPr>
          <w:p w14:paraId="19F6D970"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2E00592F"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004B65E1" w14:textId="77777777">
        <w:trPr>
          <w:trHeight w:val="340"/>
          <w:jc w:val="center"/>
        </w:trPr>
        <w:tc>
          <w:tcPr>
            <w:tcW w:w="710" w:type="dxa"/>
            <w:vAlign w:val="center"/>
          </w:tcPr>
          <w:p w14:paraId="27C48B27"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3A1B271E"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炉底鼓风机岗位安全操作规程</w:t>
            </w:r>
          </w:p>
        </w:tc>
        <w:tc>
          <w:tcPr>
            <w:tcW w:w="2268" w:type="dxa"/>
          </w:tcPr>
          <w:p w14:paraId="3EB87C78"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468BE7E0"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57193460" w14:textId="77777777">
        <w:trPr>
          <w:trHeight w:val="340"/>
          <w:jc w:val="center"/>
        </w:trPr>
        <w:tc>
          <w:tcPr>
            <w:tcW w:w="710" w:type="dxa"/>
            <w:vAlign w:val="center"/>
          </w:tcPr>
          <w:p w14:paraId="6790129F"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1D274C36"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主鼓风机岗位安全操作规程</w:t>
            </w:r>
          </w:p>
        </w:tc>
        <w:tc>
          <w:tcPr>
            <w:tcW w:w="2268" w:type="dxa"/>
          </w:tcPr>
          <w:p w14:paraId="07A36B71"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235D8DE4"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3AFBA1CF" w14:textId="77777777">
        <w:trPr>
          <w:trHeight w:val="340"/>
          <w:jc w:val="center"/>
        </w:trPr>
        <w:tc>
          <w:tcPr>
            <w:tcW w:w="710" w:type="dxa"/>
            <w:vAlign w:val="center"/>
          </w:tcPr>
          <w:p w14:paraId="7CFB2AD3"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4AA6ECB1"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电除雾岗位安全操作规程</w:t>
            </w:r>
          </w:p>
        </w:tc>
        <w:tc>
          <w:tcPr>
            <w:tcW w:w="2268" w:type="dxa"/>
          </w:tcPr>
          <w:p w14:paraId="00D32EE0"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40BA026B"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2A602E98" w14:textId="77777777">
        <w:trPr>
          <w:trHeight w:val="340"/>
          <w:jc w:val="center"/>
        </w:trPr>
        <w:tc>
          <w:tcPr>
            <w:tcW w:w="710" w:type="dxa"/>
            <w:vAlign w:val="center"/>
          </w:tcPr>
          <w:p w14:paraId="627B4675"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2E4AE28D"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电除尘岗位安全操作规程</w:t>
            </w:r>
          </w:p>
        </w:tc>
        <w:tc>
          <w:tcPr>
            <w:tcW w:w="2268" w:type="dxa"/>
          </w:tcPr>
          <w:p w14:paraId="09E21238"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40E19D66"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61A82CA4" w14:textId="77777777">
        <w:trPr>
          <w:trHeight w:val="340"/>
          <w:jc w:val="center"/>
        </w:trPr>
        <w:tc>
          <w:tcPr>
            <w:tcW w:w="710" w:type="dxa"/>
            <w:vAlign w:val="center"/>
          </w:tcPr>
          <w:p w14:paraId="46E83D35"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5680F8BD"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化验室岗位安全操作规程</w:t>
            </w:r>
          </w:p>
        </w:tc>
        <w:tc>
          <w:tcPr>
            <w:tcW w:w="2268" w:type="dxa"/>
          </w:tcPr>
          <w:p w14:paraId="2CD34660"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403F90F0"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4DF02EFC" w14:textId="77777777">
        <w:trPr>
          <w:trHeight w:val="340"/>
          <w:jc w:val="center"/>
        </w:trPr>
        <w:tc>
          <w:tcPr>
            <w:tcW w:w="710" w:type="dxa"/>
            <w:vAlign w:val="center"/>
          </w:tcPr>
          <w:p w14:paraId="0BC5672C"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2F13C36D"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电（氧）焊、</w:t>
            </w:r>
            <w:proofErr w:type="gramStart"/>
            <w:r>
              <w:rPr>
                <w:rFonts w:hint="eastAsia"/>
                <w:color w:val="auto"/>
                <w:sz w:val="21"/>
                <w:szCs w:val="21"/>
                <w:lang w:val="zh-CN"/>
              </w:rPr>
              <w:t>割安全</w:t>
            </w:r>
            <w:proofErr w:type="gramEnd"/>
            <w:r>
              <w:rPr>
                <w:rFonts w:hint="eastAsia"/>
                <w:color w:val="auto"/>
                <w:sz w:val="21"/>
                <w:szCs w:val="21"/>
                <w:lang w:val="zh-CN"/>
              </w:rPr>
              <w:t>技术操作规程</w:t>
            </w:r>
          </w:p>
        </w:tc>
        <w:tc>
          <w:tcPr>
            <w:tcW w:w="2268" w:type="dxa"/>
          </w:tcPr>
          <w:p w14:paraId="243CE82B"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4FA37C9B"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5B315FA9" w14:textId="77777777">
        <w:trPr>
          <w:trHeight w:val="340"/>
          <w:jc w:val="center"/>
        </w:trPr>
        <w:tc>
          <w:tcPr>
            <w:tcW w:w="710" w:type="dxa"/>
            <w:vAlign w:val="center"/>
          </w:tcPr>
          <w:p w14:paraId="124749E0"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53E9BF0F"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装载车安全技术操作规程</w:t>
            </w:r>
          </w:p>
        </w:tc>
        <w:tc>
          <w:tcPr>
            <w:tcW w:w="2268" w:type="dxa"/>
          </w:tcPr>
          <w:p w14:paraId="4953947D"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26746AC9"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54EB63A3" w14:textId="77777777">
        <w:trPr>
          <w:trHeight w:val="340"/>
          <w:jc w:val="center"/>
        </w:trPr>
        <w:tc>
          <w:tcPr>
            <w:tcW w:w="710" w:type="dxa"/>
            <w:vAlign w:val="center"/>
          </w:tcPr>
          <w:p w14:paraId="102FAA8B"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0FAE494D"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台钻安全技术操作规程</w:t>
            </w:r>
          </w:p>
        </w:tc>
        <w:tc>
          <w:tcPr>
            <w:tcW w:w="2268" w:type="dxa"/>
          </w:tcPr>
          <w:p w14:paraId="2C3EC84B"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7F96BD5C"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62FF2535" w14:textId="77777777">
        <w:trPr>
          <w:trHeight w:val="340"/>
          <w:jc w:val="center"/>
        </w:trPr>
        <w:tc>
          <w:tcPr>
            <w:tcW w:w="710" w:type="dxa"/>
            <w:vAlign w:val="center"/>
          </w:tcPr>
          <w:p w14:paraId="655A4FBC"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54B1D23C"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卷板</w:t>
            </w:r>
            <w:proofErr w:type="gramStart"/>
            <w:r>
              <w:rPr>
                <w:rFonts w:hint="eastAsia"/>
                <w:color w:val="auto"/>
                <w:sz w:val="21"/>
                <w:szCs w:val="21"/>
                <w:lang w:val="zh-CN"/>
              </w:rPr>
              <w:t>机安全</w:t>
            </w:r>
            <w:proofErr w:type="gramEnd"/>
            <w:r>
              <w:rPr>
                <w:rFonts w:hint="eastAsia"/>
                <w:color w:val="auto"/>
                <w:sz w:val="21"/>
                <w:szCs w:val="21"/>
                <w:lang w:val="zh-CN"/>
              </w:rPr>
              <w:t>技术操作规程</w:t>
            </w:r>
          </w:p>
        </w:tc>
        <w:tc>
          <w:tcPr>
            <w:tcW w:w="2268" w:type="dxa"/>
          </w:tcPr>
          <w:p w14:paraId="44DB3A10"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294F51BA"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1007DB9A" w14:textId="77777777">
        <w:trPr>
          <w:trHeight w:val="340"/>
          <w:jc w:val="center"/>
        </w:trPr>
        <w:tc>
          <w:tcPr>
            <w:tcW w:w="710" w:type="dxa"/>
            <w:vAlign w:val="center"/>
          </w:tcPr>
          <w:p w14:paraId="71435DE2"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40759C11"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脱盐水工序安全技术操作规程</w:t>
            </w:r>
          </w:p>
        </w:tc>
        <w:tc>
          <w:tcPr>
            <w:tcW w:w="2268" w:type="dxa"/>
          </w:tcPr>
          <w:p w14:paraId="7AF1007A"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0AAC5364"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5DF1D3BA" w14:textId="77777777">
        <w:trPr>
          <w:trHeight w:val="340"/>
          <w:jc w:val="center"/>
        </w:trPr>
        <w:tc>
          <w:tcPr>
            <w:tcW w:w="710" w:type="dxa"/>
            <w:vAlign w:val="center"/>
          </w:tcPr>
          <w:p w14:paraId="1880663C"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10DEC39F"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切割机安全技术操作规程</w:t>
            </w:r>
          </w:p>
        </w:tc>
        <w:tc>
          <w:tcPr>
            <w:tcW w:w="2268" w:type="dxa"/>
          </w:tcPr>
          <w:p w14:paraId="4D036A9A"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171D667F"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79E62FB8" w14:textId="77777777">
        <w:trPr>
          <w:trHeight w:val="340"/>
          <w:jc w:val="center"/>
        </w:trPr>
        <w:tc>
          <w:tcPr>
            <w:tcW w:w="710" w:type="dxa"/>
            <w:vAlign w:val="center"/>
          </w:tcPr>
          <w:p w14:paraId="21546C40"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3EC99962"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变配电</w:t>
            </w:r>
            <w:proofErr w:type="gramStart"/>
            <w:r>
              <w:rPr>
                <w:rFonts w:hint="eastAsia"/>
                <w:color w:val="auto"/>
                <w:sz w:val="21"/>
                <w:szCs w:val="21"/>
                <w:lang w:val="zh-CN"/>
              </w:rPr>
              <w:t>室安全</w:t>
            </w:r>
            <w:proofErr w:type="gramEnd"/>
            <w:r>
              <w:rPr>
                <w:rFonts w:hint="eastAsia"/>
                <w:color w:val="auto"/>
                <w:sz w:val="21"/>
                <w:szCs w:val="21"/>
                <w:lang w:val="zh-CN"/>
              </w:rPr>
              <w:t>操作规程</w:t>
            </w:r>
          </w:p>
        </w:tc>
        <w:tc>
          <w:tcPr>
            <w:tcW w:w="2268" w:type="dxa"/>
          </w:tcPr>
          <w:p w14:paraId="570E1F0A"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53C9A5B0"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037AF324" w14:textId="77777777">
        <w:trPr>
          <w:trHeight w:val="340"/>
          <w:jc w:val="center"/>
        </w:trPr>
        <w:tc>
          <w:tcPr>
            <w:tcW w:w="710" w:type="dxa"/>
            <w:vAlign w:val="center"/>
          </w:tcPr>
          <w:p w14:paraId="0EC19D6F"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34C15AE8" w14:textId="77777777" w:rsidR="009219A0" w:rsidRDefault="00000000">
            <w:pPr>
              <w:adjustRightInd/>
              <w:snapToGrid/>
              <w:spacing w:line="240" w:lineRule="auto"/>
              <w:ind w:firstLineChars="0" w:firstLine="0"/>
              <w:jc w:val="center"/>
              <w:rPr>
                <w:color w:val="auto"/>
                <w:sz w:val="21"/>
                <w:szCs w:val="21"/>
                <w:lang w:val="zh-CN"/>
              </w:rPr>
            </w:pPr>
            <w:proofErr w:type="gramStart"/>
            <w:r>
              <w:rPr>
                <w:rFonts w:hint="eastAsia"/>
                <w:color w:val="auto"/>
                <w:sz w:val="21"/>
                <w:szCs w:val="21"/>
                <w:lang w:val="zh-CN"/>
              </w:rPr>
              <w:t>砂轮机安全</w:t>
            </w:r>
            <w:proofErr w:type="gramEnd"/>
            <w:r>
              <w:rPr>
                <w:rFonts w:hint="eastAsia"/>
                <w:color w:val="auto"/>
                <w:sz w:val="21"/>
                <w:szCs w:val="21"/>
                <w:lang w:val="zh-CN"/>
              </w:rPr>
              <w:t>技术操作规程</w:t>
            </w:r>
          </w:p>
        </w:tc>
        <w:tc>
          <w:tcPr>
            <w:tcW w:w="2268" w:type="dxa"/>
          </w:tcPr>
          <w:p w14:paraId="78C936DE"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5A4AD284"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6176B082" w14:textId="77777777">
        <w:trPr>
          <w:trHeight w:val="340"/>
          <w:jc w:val="center"/>
        </w:trPr>
        <w:tc>
          <w:tcPr>
            <w:tcW w:w="710" w:type="dxa"/>
            <w:vAlign w:val="center"/>
          </w:tcPr>
          <w:p w14:paraId="1ECE4FBF"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6BD6178B"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加药装置安全操作规程</w:t>
            </w:r>
          </w:p>
        </w:tc>
        <w:tc>
          <w:tcPr>
            <w:tcW w:w="2268" w:type="dxa"/>
          </w:tcPr>
          <w:p w14:paraId="0F522270"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5CFFEEBD"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0D394503" w14:textId="77777777">
        <w:trPr>
          <w:trHeight w:val="340"/>
          <w:jc w:val="center"/>
        </w:trPr>
        <w:tc>
          <w:tcPr>
            <w:tcW w:w="710" w:type="dxa"/>
            <w:vAlign w:val="center"/>
          </w:tcPr>
          <w:p w14:paraId="215E61FD"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3CE1FCEE"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冷却塔安全操作规程</w:t>
            </w:r>
          </w:p>
        </w:tc>
        <w:tc>
          <w:tcPr>
            <w:tcW w:w="2268" w:type="dxa"/>
          </w:tcPr>
          <w:p w14:paraId="44B0FE04"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550DCB33"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110D757D" w14:textId="77777777">
        <w:trPr>
          <w:trHeight w:val="340"/>
          <w:jc w:val="center"/>
        </w:trPr>
        <w:tc>
          <w:tcPr>
            <w:tcW w:w="710" w:type="dxa"/>
            <w:vAlign w:val="center"/>
          </w:tcPr>
          <w:p w14:paraId="691943A0"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09445288"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余热锅炉安全操作规程</w:t>
            </w:r>
          </w:p>
        </w:tc>
        <w:tc>
          <w:tcPr>
            <w:tcW w:w="2268" w:type="dxa"/>
          </w:tcPr>
          <w:p w14:paraId="1D1ED31F"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42960A14"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5EA32704" w14:textId="77777777">
        <w:trPr>
          <w:trHeight w:val="340"/>
          <w:jc w:val="center"/>
        </w:trPr>
        <w:tc>
          <w:tcPr>
            <w:tcW w:w="710" w:type="dxa"/>
            <w:vAlign w:val="center"/>
          </w:tcPr>
          <w:p w14:paraId="4C60F62E"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3ED11E46"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汽轮发电机组安全操作规程</w:t>
            </w:r>
          </w:p>
        </w:tc>
        <w:tc>
          <w:tcPr>
            <w:tcW w:w="2268" w:type="dxa"/>
          </w:tcPr>
          <w:p w14:paraId="77833BEB"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009E9412"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089E457A" w14:textId="77777777">
        <w:trPr>
          <w:trHeight w:val="340"/>
          <w:jc w:val="center"/>
        </w:trPr>
        <w:tc>
          <w:tcPr>
            <w:tcW w:w="710" w:type="dxa"/>
            <w:vAlign w:val="center"/>
          </w:tcPr>
          <w:p w14:paraId="341CB24D"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4BF0FDDA"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热力系统停机防冻安全操作规程</w:t>
            </w:r>
          </w:p>
        </w:tc>
        <w:tc>
          <w:tcPr>
            <w:tcW w:w="2268" w:type="dxa"/>
          </w:tcPr>
          <w:p w14:paraId="774771C7"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0AE4DA7B"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4C50C160" w14:textId="77777777">
        <w:trPr>
          <w:trHeight w:val="340"/>
          <w:jc w:val="center"/>
        </w:trPr>
        <w:tc>
          <w:tcPr>
            <w:tcW w:w="710" w:type="dxa"/>
            <w:vAlign w:val="center"/>
          </w:tcPr>
          <w:p w14:paraId="3ADC13EA"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27F4D37F"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纯水装置安全操作规程</w:t>
            </w:r>
          </w:p>
        </w:tc>
        <w:tc>
          <w:tcPr>
            <w:tcW w:w="2268" w:type="dxa"/>
          </w:tcPr>
          <w:p w14:paraId="766280A8"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3BEE9ED9"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3BE4D85B" w14:textId="77777777">
        <w:trPr>
          <w:trHeight w:val="340"/>
          <w:jc w:val="center"/>
        </w:trPr>
        <w:tc>
          <w:tcPr>
            <w:tcW w:w="710" w:type="dxa"/>
            <w:vAlign w:val="center"/>
          </w:tcPr>
          <w:p w14:paraId="511751D9"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06ABC0BC"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凝结水泵安全操作规程</w:t>
            </w:r>
          </w:p>
        </w:tc>
        <w:tc>
          <w:tcPr>
            <w:tcW w:w="2268" w:type="dxa"/>
          </w:tcPr>
          <w:p w14:paraId="060DAA0B"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55410EE2"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51BFED1D" w14:textId="77777777">
        <w:trPr>
          <w:trHeight w:val="340"/>
          <w:jc w:val="center"/>
        </w:trPr>
        <w:tc>
          <w:tcPr>
            <w:tcW w:w="710" w:type="dxa"/>
            <w:vAlign w:val="center"/>
          </w:tcPr>
          <w:p w14:paraId="554CF63F"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048FAAE7"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锅炉给水泵安全操作规程</w:t>
            </w:r>
          </w:p>
        </w:tc>
        <w:tc>
          <w:tcPr>
            <w:tcW w:w="2268" w:type="dxa"/>
          </w:tcPr>
          <w:p w14:paraId="169C157F"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7CF157BD"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7A91B0E7" w14:textId="77777777">
        <w:trPr>
          <w:trHeight w:val="340"/>
          <w:jc w:val="center"/>
        </w:trPr>
        <w:tc>
          <w:tcPr>
            <w:tcW w:w="710" w:type="dxa"/>
            <w:vAlign w:val="center"/>
          </w:tcPr>
          <w:p w14:paraId="4AF84A53"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3248355C"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射水泵安全操作规程</w:t>
            </w:r>
          </w:p>
        </w:tc>
        <w:tc>
          <w:tcPr>
            <w:tcW w:w="2268" w:type="dxa"/>
          </w:tcPr>
          <w:p w14:paraId="1733D0C8"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39DD51A3"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6536F3E5" w14:textId="77777777">
        <w:trPr>
          <w:trHeight w:val="340"/>
          <w:jc w:val="center"/>
        </w:trPr>
        <w:tc>
          <w:tcPr>
            <w:tcW w:w="710" w:type="dxa"/>
            <w:vAlign w:val="center"/>
          </w:tcPr>
          <w:p w14:paraId="423C9431"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290DE276"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电动单梁起重机安全技术操作规程</w:t>
            </w:r>
          </w:p>
        </w:tc>
        <w:tc>
          <w:tcPr>
            <w:tcW w:w="2268" w:type="dxa"/>
          </w:tcPr>
          <w:p w14:paraId="14B5875C"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13169AA2"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6C32D452" w14:textId="77777777">
        <w:trPr>
          <w:trHeight w:val="340"/>
          <w:jc w:val="center"/>
        </w:trPr>
        <w:tc>
          <w:tcPr>
            <w:tcW w:w="710" w:type="dxa"/>
            <w:vAlign w:val="center"/>
          </w:tcPr>
          <w:p w14:paraId="08377721"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52E1E5C8"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卸车</w:t>
            </w:r>
            <w:proofErr w:type="gramStart"/>
            <w:r>
              <w:rPr>
                <w:rFonts w:hint="eastAsia"/>
                <w:color w:val="auto"/>
                <w:sz w:val="21"/>
                <w:szCs w:val="21"/>
                <w:lang w:val="zh-CN"/>
              </w:rPr>
              <w:t>机安全</w:t>
            </w:r>
            <w:proofErr w:type="gramEnd"/>
            <w:r>
              <w:rPr>
                <w:rFonts w:hint="eastAsia"/>
                <w:color w:val="auto"/>
                <w:sz w:val="21"/>
                <w:szCs w:val="21"/>
                <w:lang w:val="zh-CN"/>
              </w:rPr>
              <w:t>操作规程</w:t>
            </w:r>
          </w:p>
        </w:tc>
        <w:tc>
          <w:tcPr>
            <w:tcW w:w="2268" w:type="dxa"/>
          </w:tcPr>
          <w:p w14:paraId="3F391DB8"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0D36038C"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4C7F1D35" w14:textId="77777777">
        <w:trPr>
          <w:trHeight w:val="340"/>
          <w:jc w:val="center"/>
        </w:trPr>
        <w:tc>
          <w:tcPr>
            <w:tcW w:w="710" w:type="dxa"/>
            <w:vAlign w:val="center"/>
          </w:tcPr>
          <w:p w14:paraId="75082C0C"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558EB5AE"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叉车安全操作规程</w:t>
            </w:r>
          </w:p>
        </w:tc>
        <w:tc>
          <w:tcPr>
            <w:tcW w:w="2268" w:type="dxa"/>
          </w:tcPr>
          <w:p w14:paraId="5EDCAEA6"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w:t>
            </w:r>
            <w:r>
              <w:rPr>
                <w:color w:val="auto"/>
                <w:sz w:val="21"/>
                <w:szCs w:val="21"/>
                <w:lang w:val="zh-CN"/>
              </w:rPr>
              <w:t>、安全员</w:t>
            </w:r>
          </w:p>
        </w:tc>
        <w:tc>
          <w:tcPr>
            <w:tcW w:w="2267" w:type="dxa"/>
          </w:tcPr>
          <w:p w14:paraId="5324F95C"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w:t>
            </w:r>
            <w:r>
              <w:rPr>
                <w:color w:val="auto"/>
                <w:sz w:val="21"/>
                <w:szCs w:val="21"/>
                <w:lang w:val="zh-CN"/>
              </w:rPr>
              <w:t>执行</w:t>
            </w:r>
          </w:p>
        </w:tc>
      </w:tr>
      <w:tr w:rsidR="009219A0" w14:paraId="2FBDDEDC" w14:textId="77777777">
        <w:trPr>
          <w:trHeight w:val="340"/>
          <w:jc w:val="center"/>
        </w:trPr>
        <w:tc>
          <w:tcPr>
            <w:tcW w:w="710" w:type="dxa"/>
            <w:vAlign w:val="center"/>
          </w:tcPr>
          <w:p w14:paraId="43904B7A" w14:textId="77777777" w:rsidR="009219A0" w:rsidRDefault="009219A0">
            <w:pPr>
              <w:pStyle w:val="aff4"/>
              <w:numPr>
                <w:ilvl w:val="0"/>
                <w:numId w:val="3"/>
              </w:numPr>
              <w:adjustRightInd/>
              <w:snapToGrid/>
              <w:spacing w:line="240" w:lineRule="auto"/>
              <w:ind w:left="0" w:firstLineChars="0" w:firstLine="0"/>
              <w:jc w:val="center"/>
              <w:rPr>
                <w:color w:val="auto"/>
                <w:sz w:val="21"/>
                <w:szCs w:val="21"/>
                <w:lang w:val="zh-CN"/>
              </w:rPr>
            </w:pPr>
          </w:p>
        </w:tc>
        <w:tc>
          <w:tcPr>
            <w:tcW w:w="3827" w:type="dxa"/>
          </w:tcPr>
          <w:p w14:paraId="11AC5D44"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中试车间安全操作规程</w:t>
            </w:r>
          </w:p>
        </w:tc>
        <w:tc>
          <w:tcPr>
            <w:tcW w:w="2268" w:type="dxa"/>
          </w:tcPr>
          <w:p w14:paraId="1C82BA4B"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主要负责人、安全员</w:t>
            </w:r>
          </w:p>
        </w:tc>
        <w:tc>
          <w:tcPr>
            <w:tcW w:w="2267" w:type="dxa"/>
          </w:tcPr>
          <w:p w14:paraId="5E3198C0" w14:textId="77777777" w:rsidR="009219A0" w:rsidRDefault="00000000">
            <w:pPr>
              <w:adjustRightInd/>
              <w:snapToGrid/>
              <w:spacing w:line="240" w:lineRule="auto"/>
              <w:ind w:firstLineChars="0" w:firstLine="0"/>
              <w:jc w:val="center"/>
              <w:rPr>
                <w:color w:val="auto"/>
                <w:sz w:val="21"/>
                <w:szCs w:val="21"/>
                <w:lang w:val="zh-CN"/>
              </w:rPr>
            </w:pPr>
            <w:r>
              <w:rPr>
                <w:rFonts w:hint="eastAsia"/>
                <w:color w:val="auto"/>
                <w:sz w:val="21"/>
                <w:szCs w:val="21"/>
                <w:lang w:val="zh-CN"/>
              </w:rPr>
              <w:t>按操作规程执行</w:t>
            </w:r>
          </w:p>
        </w:tc>
      </w:tr>
    </w:tbl>
    <w:p w14:paraId="221B60FC" w14:textId="77777777" w:rsidR="009219A0" w:rsidRDefault="00000000">
      <w:pPr>
        <w:ind w:firstLine="560"/>
        <w:rPr>
          <w:color w:val="auto"/>
        </w:rPr>
      </w:pPr>
      <w:r>
        <w:rPr>
          <w:rFonts w:hint="eastAsia"/>
          <w:color w:val="auto"/>
        </w:rPr>
        <w:lastRenderedPageBreak/>
        <w:t>（</w:t>
      </w:r>
      <w:r>
        <w:rPr>
          <w:rFonts w:hint="eastAsia"/>
          <w:color w:val="auto"/>
        </w:rPr>
        <w:t>2</w:t>
      </w:r>
      <w:r>
        <w:rPr>
          <w:rFonts w:hint="eastAsia"/>
          <w:color w:val="auto"/>
        </w:rPr>
        <w:t>）制度落实情况</w:t>
      </w:r>
    </w:p>
    <w:p w14:paraId="0F646CD4" w14:textId="77777777" w:rsidR="009219A0" w:rsidRDefault="00000000">
      <w:pPr>
        <w:ind w:firstLine="560"/>
        <w:rPr>
          <w:color w:val="auto"/>
        </w:rPr>
      </w:pPr>
      <w:proofErr w:type="gramStart"/>
      <w:r>
        <w:rPr>
          <w:rFonts w:hint="eastAsia"/>
          <w:color w:val="auto"/>
        </w:rPr>
        <w:t>创源公司</w:t>
      </w:r>
      <w:proofErr w:type="gramEnd"/>
      <w:r>
        <w:rPr>
          <w:rFonts w:hint="eastAsia"/>
          <w:color w:val="auto"/>
        </w:rPr>
        <w:t>运行过程中，制定的各项安全管理制度及安全操作规程执行较好，操作人员严格按操作规程进行操作，各级各类人员及部门熟悉各自安全职责。</w:t>
      </w:r>
    </w:p>
    <w:p w14:paraId="1AAFCD38" w14:textId="77777777" w:rsidR="009219A0" w:rsidRDefault="00000000">
      <w:pPr>
        <w:pStyle w:val="3"/>
        <w:rPr>
          <w:rFonts w:hint="eastAsia"/>
        </w:rPr>
      </w:pPr>
      <w:bookmarkStart w:id="82" w:name="_Toc211950421"/>
      <w:r>
        <w:t>2.</w:t>
      </w:r>
      <w:r>
        <w:rPr>
          <w:rFonts w:hint="eastAsia"/>
        </w:rPr>
        <w:t>5.3 人员教育培训情况</w:t>
      </w:r>
      <w:bookmarkEnd w:id="82"/>
    </w:p>
    <w:p w14:paraId="6560ACC4" w14:textId="77777777" w:rsidR="009219A0" w:rsidRDefault="00000000">
      <w:pPr>
        <w:spacing w:line="500" w:lineRule="exact"/>
        <w:ind w:firstLine="560"/>
        <w:rPr>
          <w:color w:val="auto"/>
        </w:rPr>
      </w:pPr>
      <w:r>
        <w:rPr>
          <w:rFonts w:hint="eastAsia"/>
          <w:color w:val="auto"/>
        </w:rPr>
        <w:t>（</w:t>
      </w:r>
      <w:r>
        <w:rPr>
          <w:rFonts w:hint="eastAsia"/>
          <w:color w:val="auto"/>
        </w:rPr>
        <w:t>1</w:t>
      </w:r>
      <w:r>
        <w:rPr>
          <w:rFonts w:hint="eastAsia"/>
          <w:color w:val="auto"/>
        </w:rPr>
        <w:t>）安全管理人员培训</w:t>
      </w:r>
    </w:p>
    <w:p w14:paraId="48D0C9B9" w14:textId="77777777" w:rsidR="009219A0" w:rsidRDefault="00000000">
      <w:pPr>
        <w:spacing w:line="500" w:lineRule="exact"/>
        <w:ind w:firstLine="560"/>
        <w:rPr>
          <w:color w:val="auto"/>
        </w:rPr>
      </w:pPr>
      <w:proofErr w:type="gramStart"/>
      <w:r>
        <w:rPr>
          <w:rFonts w:hint="eastAsia"/>
          <w:color w:val="auto"/>
        </w:rPr>
        <w:t>创源公司</w:t>
      </w:r>
      <w:proofErr w:type="gramEnd"/>
      <w:r>
        <w:rPr>
          <w:rFonts w:hint="eastAsia"/>
          <w:color w:val="auto"/>
        </w:rPr>
        <w:t>主要负责人为林祥，安全管理人员为马航枭、马思颖等，主要负责人、安全管理人员均经过培训合格，持证上岗，相关证件详见报告附件</w:t>
      </w:r>
      <w:r>
        <w:rPr>
          <w:rFonts w:hint="eastAsia"/>
          <w:color w:val="auto"/>
        </w:rPr>
        <w:t>7.9</w:t>
      </w:r>
      <w:r>
        <w:rPr>
          <w:rFonts w:hint="eastAsia"/>
          <w:color w:val="auto"/>
        </w:rPr>
        <w:t>，其培训持证情况如下：</w:t>
      </w:r>
    </w:p>
    <w:p w14:paraId="0CD794FA" w14:textId="77777777" w:rsidR="009219A0" w:rsidRDefault="00000000">
      <w:pPr>
        <w:ind w:firstLineChars="0" w:firstLine="0"/>
        <w:jc w:val="center"/>
        <w:rPr>
          <w:rFonts w:ascii="宋体" w:hAnsi="宋体" w:hint="eastAsia"/>
          <w:color w:val="auto"/>
        </w:rPr>
      </w:pPr>
      <w:r>
        <w:rPr>
          <w:rFonts w:ascii="宋体" w:hAnsi="宋体" w:hint="eastAsia"/>
          <w:color w:val="auto"/>
        </w:rPr>
        <w:t>表2</w:t>
      </w:r>
      <w:r>
        <w:rPr>
          <w:rFonts w:ascii="宋体" w:hAnsi="宋体"/>
          <w:color w:val="auto"/>
        </w:rPr>
        <w:t>.</w:t>
      </w:r>
      <w:r>
        <w:rPr>
          <w:rFonts w:ascii="宋体" w:hAnsi="宋体" w:hint="eastAsia"/>
          <w:color w:val="auto"/>
        </w:rPr>
        <w:t>5-3  主要负责人、安全管理人员培训情况一览表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105"/>
        <w:gridCol w:w="1892"/>
        <w:gridCol w:w="1492"/>
        <w:gridCol w:w="1448"/>
        <w:gridCol w:w="2503"/>
      </w:tblGrid>
      <w:tr w:rsidR="009219A0" w14:paraId="5C0B886A" w14:textId="77777777">
        <w:trPr>
          <w:trHeight w:val="340"/>
          <w:jc w:val="center"/>
        </w:trPr>
        <w:tc>
          <w:tcPr>
            <w:tcW w:w="632" w:type="dxa"/>
            <w:vAlign w:val="center"/>
          </w:tcPr>
          <w:p w14:paraId="457AFB55"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序号</w:t>
            </w:r>
          </w:p>
        </w:tc>
        <w:tc>
          <w:tcPr>
            <w:tcW w:w="1105" w:type="dxa"/>
            <w:vAlign w:val="center"/>
          </w:tcPr>
          <w:p w14:paraId="1A08D4C8"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姓  名</w:t>
            </w:r>
          </w:p>
        </w:tc>
        <w:tc>
          <w:tcPr>
            <w:tcW w:w="1892" w:type="dxa"/>
            <w:vAlign w:val="center"/>
          </w:tcPr>
          <w:p w14:paraId="5FD7BB85"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职务类别</w:t>
            </w:r>
          </w:p>
        </w:tc>
        <w:tc>
          <w:tcPr>
            <w:tcW w:w="1492" w:type="dxa"/>
            <w:vAlign w:val="center"/>
          </w:tcPr>
          <w:p w14:paraId="7241C65D"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取证日期</w:t>
            </w:r>
          </w:p>
        </w:tc>
        <w:tc>
          <w:tcPr>
            <w:tcW w:w="1448" w:type="dxa"/>
            <w:vAlign w:val="center"/>
          </w:tcPr>
          <w:p w14:paraId="6063D0F3"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有效日期</w:t>
            </w:r>
          </w:p>
        </w:tc>
        <w:tc>
          <w:tcPr>
            <w:tcW w:w="2503" w:type="dxa"/>
            <w:vAlign w:val="center"/>
          </w:tcPr>
          <w:p w14:paraId="7053DB28"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发证机构</w:t>
            </w:r>
          </w:p>
        </w:tc>
      </w:tr>
      <w:tr w:rsidR="009219A0" w14:paraId="23932C7E" w14:textId="77777777">
        <w:trPr>
          <w:trHeight w:val="340"/>
          <w:jc w:val="center"/>
        </w:trPr>
        <w:tc>
          <w:tcPr>
            <w:tcW w:w="632" w:type="dxa"/>
            <w:vAlign w:val="center"/>
          </w:tcPr>
          <w:p w14:paraId="417D2027"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1105" w:type="dxa"/>
            <w:vAlign w:val="center"/>
          </w:tcPr>
          <w:p w14:paraId="7847433E"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林祥</w:t>
            </w:r>
          </w:p>
        </w:tc>
        <w:tc>
          <w:tcPr>
            <w:tcW w:w="1892" w:type="dxa"/>
            <w:vAlign w:val="center"/>
          </w:tcPr>
          <w:p w14:paraId="60EBA1E0"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主要负责人</w:t>
            </w:r>
          </w:p>
        </w:tc>
        <w:tc>
          <w:tcPr>
            <w:tcW w:w="1492" w:type="dxa"/>
            <w:vAlign w:val="center"/>
          </w:tcPr>
          <w:p w14:paraId="4AADEE0F"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2024.06.13</w:t>
            </w:r>
          </w:p>
        </w:tc>
        <w:tc>
          <w:tcPr>
            <w:tcW w:w="1448" w:type="dxa"/>
            <w:vAlign w:val="center"/>
          </w:tcPr>
          <w:p w14:paraId="0D928D91"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2027.06.12</w:t>
            </w:r>
          </w:p>
        </w:tc>
        <w:tc>
          <w:tcPr>
            <w:tcW w:w="2503" w:type="dxa"/>
            <w:vAlign w:val="center"/>
          </w:tcPr>
          <w:p w14:paraId="4A4DBE87"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云南省应急管理厅</w:t>
            </w:r>
          </w:p>
        </w:tc>
      </w:tr>
      <w:tr w:rsidR="009219A0" w14:paraId="34B3BCD2" w14:textId="77777777">
        <w:trPr>
          <w:trHeight w:val="340"/>
          <w:jc w:val="center"/>
        </w:trPr>
        <w:tc>
          <w:tcPr>
            <w:tcW w:w="632" w:type="dxa"/>
            <w:vAlign w:val="center"/>
          </w:tcPr>
          <w:p w14:paraId="601EA361"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w:t>
            </w:r>
          </w:p>
        </w:tc>
        <w:tc>
          <w:tcPr>
            <w:tcW w:w="1105" w:type="dxa"/>
            <w:vAlign w:val="center"/>
          </w:tcPr>
          <w:p w14:paraId="126EB6A1"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马航</w:t>
            </w:r>
            <w:r>
              <w:rPr>
                <w:rFonts w:ascii="宋体" w:hAnsi="宋体" w:hint="eastAsia"/>
                <w:color w:val="auto"/>
                <w:sz w:val="21"/>
                <w:szCs w:val="21"/>
              </w:rPr>
              <w:t>枭</w:t>
            </w:r>
          </w:p>
        </w:tc>
        <w:tc>
          <w:tcPr>
            <w:tcW w:w="1892" w:type="dxa"/>
            <w:vAlign w:val="center"/>
          </w:tcPr>
          <w:p w14:paraId="3C60F1AA"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安全员</w:t>
            </w:r>
          </w:p>
        </w:tc>
        <w:tc>
          <w:tcPr>
            <w:tcW w:w="1492" w:type="dxa"/>
            <w:vAlign w:val="center"/>
          </w:tcPr>
          <w:p w14:paraId="6E23E2EB"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2024.06.13</w:t>
            </w:r>
          </w:p>
        </w:tc>
        <w:tc>
          <w:tcPr>
            <w:tcW w:w="1448" w:type="dxa"/>
            <w:vAlign w:val="center"/>
          </w:tcPr>
          <w:p w14:paraId="71C53B3E"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2027.06.12</w:t>
            </w:r>
          </w:p>
        </w:tc>
        <w:tc>
          <w:tcPr>
            <w:tcW w:w="2503" w:type="dxa"/>
            <w:vAlign w:val="center"/>
          </w:tcPr>
          <w:p w14:paraId="367EACB0"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云南省应急管理厅</w:t>
            </w:r>
          </w:p>
        </w:tc>
      </w:tr>
      <w:tr w:rsidR="009219A0" w14:paraId="7AA8D5DE" w14:textId="77777777">
        <w:trPr>
          <w:trHeight w:val="340"/>
          <w:jc w:val="center"/>
        </w:trPr>
        <w:tc>
          <w:tcPr>
            <w:tcW w:w="632" w:type="dxa"/>
            <w:vAlign w:val="center"/>
          </w:tcPr>
          <w:p w14:paraId="6E5F98CE"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3</w:t>
            </w:r>
          </w:p>
        </w:tc>
        <w:tc>
          <w:tcPr>
            <w:tcW w:w="1105" w:type="dxa"/>
            <w:vAlign w:val="center"/>
          </w:tcPr>
          <w:p w14:paraId="647612D7"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马思颖</w:t>
            </w:r>
          </w:p>
        </w:tc>
        <w:tc>
          <w:tcPr>
            <w:tcW w:w="1892" w:type="dxa"/>
            <w:vAlign w:val="center"/>
          </w:tcPr>
          <w:p w14:paraId="20BDB3A0"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安全员</w:t>
            </w:r>
          </w:p>
        </w:tc>
        <w:tc>
          <w:tcPr>
            <w:tcW w:w="1492" w:type="dxa"/>
            <w:vAlign w:val="center"/>
          </w:tcPr>
          <w:p w14:paraId="28A0BBB8"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2024.06.13</w:t>
            </w:r>
          </w:p>
        </w:tc>
        <w:tc>
          <w:tcPr>
            <w:tcW w:w="1448" w:type="dxa"/>
            <w:vAlign w:val="center"/>
          </w:tcPr>
          <w:p w14:paraId="394E5D55"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2027.06.12</w:t>
            </w:r>
          </w:p>
        </w:tc>
        <w:tc>
          <w:tcPr>
            <w:tcW w:w="2503" w:type="dxa"/>
            <w:vAlign w:val="center"/>
          </w:tcPr>
          <w:p w14:paraId="0E5F5767"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云南省应急管理厅</w:t>
            </w:r>
          </w:p>
        </w:tc>
      </w:tr>
    </w:tbl>
    <w:p w14:paraId="3A21A27B" w14:textId="77777777" w:rsidR="009219A0" w:rsidRDefault="00000000">
      <w:pPr>
        <w:pStyle w:val="3"/>
        <w:rPr>
          <w:rFonts w:hint="eastAsia"/>
        </w:rPr>
      </w:pPr>
      <w:bookmarkStart w:id="83" w:name="_Toc211950422"/>
      <w:r>
        <w:t>2.</w:t>
      </w:r>
      <w:r>
        <w:rPr>
          <w:rFonts w:hint="eastAsia"/>
        </w:rPr>
        <w:t>5.4 事故应急救援预案</w:t>
      </w:r>
      <w:bookmarkEnd w:id="83"/>
    </w:p>
    <w:p w14:paraId="376313D6" w14:textId="77777777" w:rsidR="009219A0" w:rsidRDefault="00000000">
      <w:pPr>
        <w:ind w:firstLine="560"/>
        <w:rPr>
          <w:color w:val="auto"/>
        </w:rPr>
      </w:pPr>
      <w:r>
        <w:rPr>
          <w:rFonts w:hint="eastAsia"/>
          <w:color w:val="auto"/>
        </w:rPr>
        <w:t>（</w:t>
      </w:r>
      <w:r>
        <w:rPr>
          <w:rFonts w:hint="eastAsia"/>
          <w:color w:val="auto"/>
        </w:rPr>
        <w:t>1</w:t>
      </w:r>
      <w:r>
        <w:rPr>
          <w:rFonts w:hint="eastAsia"/>
          <w:color w:val="auto"/>
        </w:rPr>
        <w:t>）应急预案编制情况</w:t>
      </w:r>
    </w:p>
    <w:p w14:paraId="6EFCD9B2" w14:textId="77777777" w:rsidR="009219A0" w:rsidRDefault="00000000">
      <w:pPr>
        <w:ind w:firstLine="560"/>
        <w:rPr>
          <w:color w:val="auto"/>
        </w:rPr>
      </w:pPr>
      <w:proofErr w:type="gramStart"/>
      <w:r>
        <w:rPr>
          <w:rFonts w:hint="eastAsia"/>
          <w:color w:val="auto"/>
        </w:rPr>
        <w:t>创源公司</w:t>
      </w:r>
      <w:proofErr w:type="gramEnd"/>
      <w:r>
        <w:rPr>
          <w:rFonts w:hint="eastAsia"/>
          <w:color w:val="auto"/>
        </w:rPr>
        <w:t>于</w:t>
      </w:r>
      <w:r>
        <w:rPr>
          <w:color w:val="auto"/>
        </w:rPr>
        <w:t>202</w:t>
      </w:r>
      <w:r>
        <w:rPr>
          <w:rFonts w:hint="eastAsia"/>
          <w:color w:val="auto"/>
        </w:rPr>
        <w:t>4</w:t>
      </w:r>
      <w:r>
        <w:rPr>
          <w:rFonts w:hint="eastAsia"/>
          <w:color w:val="auto"/>
        </w:rPr>
        <w:t>年</w:t>
      </w:r>
      <w:r>
        <w:rPr>
          <w:rFonts w:hint="eastAsia"/>
          <w:color w:val="auto"/>
        </w:rPr>
        <w:t>12</w:t>
      </w:r>
      <w:r>
        <w:rPr>
          <w:rFonts w:hint="eastAsia"/>
          <w:color w:val="auto"/>
        </w:rPr>
        <w:t>月编制了《个旧市创源科技有限公司实验与研究开发中心及实验基地生产安全事故应急预案》，该预案主要包括专家评审意见</w:t>
      </w:r>
      <w:r>
        <w:rPr>
          <w:rFonts w:hint="eastAsia"/>
          <w:color w:val="00B050"/>
        </w:rPr>
        <w:t>、</w:t>
      </w:r>
      <w:r>
        <w:rPr>
          <w:rFonts w:hint="eastAsia"/>
          <w:color w:val="auto"/>
        </w:rPr>
        <w:t>总则、事故风险描述、应急组织机构及职责、预警及信息报告、应急响应、信息公开、后期处置、应急救援保障、应急预案管理、专项应急预案、事故现场处置方案、附件等内容。</w:t>
      </w:r>
    </w:p>
    <w:p w14:paraId="75388383" w14:textId="77777777" w:rsidR="009219A0" w:rsidRDefault="00000000">
      <w:pPr>
        <w:ind w:firstLine="560"/>
        <w:rPr>
          <w:color w:val="auto"/>
        </w:rPr>
      </w:pPr>
      <w:r>
        <w:rPr>
          <w:rFonts w:hint="eastAsia"/>
          <w:color w:val="auto"/>
        </w:rPr>
        <w:t>（</w:t>
      </w:r>
      <w:r>
        <w:rPr>
          <w:rFonts w:hint="eastAsia"/>
          <w:color w:val="auto"/>
        </w:rPr>
        <w:t>2</w:t>
      </w:r>
      <w:r>
        <w:rPr>
          <w:rFonts w:hint="eastAsia"/>
          <w:color w:val="auto"/>
        </w:rPr>
        <w:t>）应急预案备案、演练情况</w:t>
      </w:r>
    </w:p>
    <w:p w14:paraId="141A308E" w14:textId="77777777" w:rsidR="009219A0" w:rsidRDefault="00000000">
      <w:pPr>
        <w:ind w:firstLine="560"/>
        <w:rPr>
          <w:color w:val="auto"/>
        </w:rPr>
      </w:pPr>
      <w:proofErr w:type="gramStart"/>
      <w:r>
        <w:rPr>
          <w:rFonts w:hint="eastAsia"/>
          <w:color w:val="auto"/>
        </w:rPr>
        <w:t>创源公司</w:t>
      </w:r>
      <w:proofErr w:type="gramEnd"/>
      <w:r>
        <w:rPr>
          <w:rFonts w:hint="eastAsia"/>
          <w:color w:val="auto"/>
        </w:rPr>
        <w:t>的应急预案于</w:t>
      </w:r>
      <w:r>
        <w:rPr>
          <w:color w:val="auto"/>
        </w:rPr>
        <w:t>202</w:t>
      </w:r>
      <w:r>
        <w:rPr>
          <w:rFonts w:hint="eastAsia"/>
          <w:color w:val="auto"/>
        </w:rPr>
        <w:t>4</w:t>
      </w:r>
      <w:r>
        <w:rPr>
          <w:rFonts w:hint="eastAsia"/>
          <w:color w:val="auto"/>
        </w:rPr>
        <w:t>年</w:t>
      </w:r>
      <w:r>
        <w:rPr>
          <w:rFonts w:hint="eastAsia"/>
          <w:color w:val="auto"/>
        </w:rPr>
        <w:t>12</w:t>
      </w:r>
      <w:r>
        <w:rPr>
          <w:rFonts w:hint="eastAsia"/>
          <w:color w:val="auto"/>
        </w:rPr>
        <w:t>月</w:t>
      </w:r>
      <w:r>
        <w:rPr>
          <w:rFonts w:hint="eastAsia"/>
          <w:color w:val="auto"/>
        </w:rPr>
        <w:t>27</w:t>
      </w:r>
      <w:r>
        <w:rPr>
          <w:rFonts w:hint="eastAsia"/>
          <w:color w:val="auto"/>
        </w:rPr>
        <w:t>日在应急管理局进行备案，取得了应急预案备案登记表，备案编号</w:t>
      </w:r>
      <w:r>
        <w:rPr>
          <w:rFonts w:hint="eastAsia"/>
          <w:color w:val="auto"/>
        </w:rPr>
        <w:t>5325012024W056</w:t>
      </w:r>
      <w:r>
        <w:rPr>
          <w:rFonts w:hint="eastAsia"/>
          <w:color w:val="auto"/>
        </w:rPr>
        <w:t>，备案证详见附件</w:t>
      </w:r>
      <w:r>
        <w:rPr>
          <w:rFonts w:hint="eastAsia"/>
          <w:color w:val="auto"/>
        </w:rPr>
        <w:t>7.18</w:t>
      </w:r>
      <w:r>
        <w:rPr>
          <w:rFonts w:hint="eastAsia"/>
          <w:color w:val="auto"/>
        </w:rPr>
        <w:t>；于</w:t>
      </w:r>
      <w:r>
        <w:rPr>
          <w:rFonts w:hint="eastAsia"/>
          <w:color w:val="auto"/>
        </w:rPr>
        <w:t>2</w:t>
      </w:r>
      <w:r>
        <w:rPr>
          <w:color w:val="auto"/>
        </w:rPr>
        <w:t>0</w:t>
      </w:r>
      <w:r>
        <w:rPr>
          <w:rFonts w:hint="eastAsia"/>
          <w:color w:val="auto"/>
        </w:rPr>
        <w:t>25</w:t>
      </w:r>
      <w:r>
        <w:rPr>
          <w:rFonts w:hint="eastAsia"/>
          <w:color w:val="auto"/>
        </w:rPr>
        <w:t>年</w:t>
      </w:r>
      <w:r>
        <w:rPr>
          <w:rFonts w:hint="eastAsia"/>
          <w:color w:val="auto"/>
        </w:rPr>
        <w:t>06</w:t>
      </w:r>
      <w:r>
        <w:rPr>
          <w:rFonts w:hint="eastAsia"/>
          <w:color w:val="auto"/>
        </w:rPr>
        <w:t>月</w:t>
      </w:r>
      <w:r>
        <w:rPr>
          <w:rFonts w:hint="eastAsia"/>
          <w:color w:val="auto"/>
        </w:rPr>
        <w:t>25</w:t>
      </w:r>
      <w:r>
        <w:rPr>
          <w:rFonts w:hint="eastAsia"/>
          <w:color w:val="auto"/>
        </w:rPr>
        <w:t>日组织员工进行了应急演练，并提供了演练记录等，详见报告附件</w:t>
      </w:r>
      <w:r>
        <w:rPr>
          <w:rFonts w:hint="eastAsia"/>
          <w:color w:val="auto"/>
        </w:rPr>
        <w:t>7.19</w:t>
      </w:r>
      <w:r>
        <w:rPr>
          <w:rFonts w:hint="eastAsia"/>
          <w:color w:val="auto"/>
        </w:rPr>
        <w:t>。</w:t>
      </w:r>
    </w:p>
    <w:p w14:paraId="4BC563B8" w14:textId="77777777" w:rsidR="009219A0" w:rsidRDefault="00000000">
      <w:pPr>
        <w:pStyle w:val="3"/>
        <w:rPr>
          <w:rFonts w:hint="eastAsia"/>
        </w:rPr>
      </w:pPr>
      <w:bookmarkStart w:id="84" w:name="_Toc211950423"/>
      <w:r>
        <w:lastRenderedPageBreak/>
        <w:t>2.</w:t>
      </w:r>
      <w:r>
        <w:rPr>
          <w:rFonts w:hint="eastAsia"/>
        </w:rPr>
        <w:t>5.5 工伤保险购买情况及劳动防护用品发放情况</w:t>
      </w:r>
      <w:bookmarkEnd w:id="84"/>
    </w:p>
    <w:p w14:paraId="6E8F6328" w14:textId="77777777" w:rsidR="009219A0" w:rsidRDefault="00000000">
      <w:pPr>
        <w:ind w:firstLine="560"/>
        <w:rPr>
          <w:color w:val="auto"/>
        </w:rPr>
      </w:pPr>
      <w:r>
        <w:rPr>
          <w:rFonts w:hint="eastAsia"/>
          <w:color w:val="auto"/>
        </w:rPr>
        <w:t>（</w:t>
      </w:r>
      <w:r>
        <w:rPr>
          <w:rFonts w:hint="eastAsia"/>
          <w:color w:val="auto"/>
        </w:rPr>
        <w:t>1</w:t>
      </w:r>
      <w:r>
        <w:rPr>
          <w:rFonts w:hint="eastAsia"/>
          <w:color w:val="auto"/>
        </w:rPr>
        <w:t>）工伤保险购买情况</w:t>
      </w:r>
    </w:p>
    <w:p w14:paraId="0DDBE328" w14:textId="77777777" w:rsidR="009219A0" w:rsidRDefault="00000000">
      <w:pPr>
        <w:topLinePunct/>
        <w:ind w:firstLine="560"/>
        <w:rPr>
          <w:rFonts w:ascii="宋体" w:hAnsi="宋体" w:hint="eastAsia"/>
          <w:color w:val="auto"/>
        </w:rPr>
      </w:pPr>
      <w:proofErr w:type="gramStart"/>
      <w:r>
        <w:rPr>
          <w:rFonts w:ascii="宋体" w:hAnsi="宋体" w:hint="eastAsia"/>
          <w:color w:val="auto"/>
        </w:rPr>
        <w:t>创源公司</w:t>
      </w:r>
      <w:proofErr w:type="gramEnd"/>
      <w:r>
        <w:rPr>
          <w:rFonts w:ascii="宋体" w:hAnsi="宋体" w:hint="eastAsia"/>
          <w:color w:val="auto"/>
        </w:rPr>
        <w:t>为员工购买了工伤保险，员工安全有保障，工伤保险证明详见附件7.11。</w:t>
      </w:r>
    </w:p>
    <w:p w14:paraId="47A61F1E" w14:textId="77777777" w:rsidR="009219A0" w:rsidRDefault="00000000">
      <w:pPr>
        <w:ind w:firstLine="560"/>
        <w:rPr>
          <w:color w:val="auto"/>
        </w:rPr>
      </w:pPr>
      <w:r>
        <w:rPr>
          <w:rFonts w:hint="eastAsia"/>
          <w:color w:val="auto"/>
        </w:rPr>
        <w:t>（</w:t>
      </w:r>
      <w:r>
        <w:rPr>
          <w:rFonts w:hint="eastAsia"/>
          <w:color w:val="auto"/>
        </w:rPr>
        <w:t>2</w:t>
      </w:r>
      <w:r>
        <w:rPr>
          <w:rFonts w:hint="eastAsia"/>
          <w:color w:val="auto"/>
        </w:rPr>
        <w:t>）劳动防护用品发放情况</w:t>
      </w:r>
    </w:p>
    <w:p w14:paraId="4B049478" w14:textId="77777777" w:rsidR="009219A0" w:rsidRDefault="00000000">
      <w:pPr>
        <w:topLinePunct/>
        <w:ind w:firstLine="560"/>
        <w:rPr>
          <w:rFonts w:ascii="宋体" w:hAnsi="宋体" w:hint="eastAsia"/>
          <w:color w:val="auto"/>
        </w:rPr>
      </w:pPr>
      <w:proofErr w:type="gramStart"/>
      <w:r>
        <w:rPr>
          <w:rFonts w:ascii="宋体" w:hAnsi="宋体" w:hint="eastAsia"/>
          <w:color w:val="auto"/>
        </w:rPr>
        <w:t>创源公司</w:t>
      </w:r>
      <w:proofErr w:type="gramEnd"/>
      <w:r>
        <w:rPr>
          <w:rFonts w:ascii="宋体" w:hAnsi="宋体" w:hint="eastAsia"/>
          <w:color w:val="auto"/>
        </w:rPr>
        <w:t>能够及时为员工发放劳动防护用品，发放情况详见附件7.12。</w:t>
      </w:r>
    </w:p>
    <w:p w14:paraId="09C09FE1" w14:textId="77777777" w:rsidR="009219A0" w:rsidRDefault="00000000">
      <w:pPr>
        <w:pStyle w:val="2"/>
        <w:rPr>
          <w:rFonts w:hint="eastAsia"/>
        </w:rPr>
      </w:pPr>
      <w:bookmarkStart w:id="85" w:name="_Toc211950424"/>
      <w:bookmarkStart w:id="86" w:name="_Toc165281438"/>
      <w:r>
        <w:t>2.</w:t>
      </w:r>
      <w:r>
        <w:rPr>
          <w:rFonts w:hint="eastAsia"/>
        </w:rPr>
        <w:t>6 安全设施设置情况</w:t>
      </w:r>
      <w:bookmarkEnd w:id="85"/>
      <w:bookmarkEnd w:id="86"/>
    </w:p>
    <w:p w14:paraId="3DC23DE0" w14:textId="77777777" w:rsidR="009219A0" w:rsidRDefault="00000000">
      <w:pPr>
        <w:pStyle w:val="3"/>
        <w:rPr>
          <w:rFonts w:hint="eastAsia"/>
        </w:rPr>
      </w:pPr>
      <w:bookmarkStart w:id="87" w:name="_Toc211950425"/>
      <w:r>
        <w:rPr>
          <w:rFonts w:hint="eastAsia"/>
        </w:rPr>
        <w:t>2.6.1 预防和控制事故设施</w:t>
      </w:r>
      <w:bookmarkEnd w:id="87"/>
    </w:p>
    <w:p w14:paraId="5FCC8A9F" w14:textId="77777777" w:rsidR="009219A0" w:rsidRDefault="00000000">
      <w:pPr>
        <w:pStyle w:val="4"/>
        <w:keepNext w:val="0"/>
        <w:ind w:firstLineChars="200" w:firstLine="562"/>
        <w:rPr>
          <w:rFonts w:eastAsia="宋体" w:hint="eastAsia"/>
          <w:b/>
          <w:szCs w:val="20"/>
        </w:rPr>
      </w:pPr>
      <w:r>
        <w:rPr>
          <w:rFonts w:eastAsia="宋体" w:hint="eastAsia"/>
          <w:b/>
          <w:szCs w:val="20"/>
        </w:rPr>
        <w:t>2.6.1.1 报警设施</w:t>
      </w:r>
    </w:p>
    <w:p w14:paraId="44EEE435" w14:textId="77777777" w:rsidR="009219A0" w:rsidRDefault="00000000">
      <w:pPr>
        <w:ind w:firstLine="560"/>
        <w:rPr>
          <w:rFonts w:ascii="宋体" w:hAnsi="宋体" w:hint="eastAsia"/>
          <w:color w:val="auto"/>
        </w:rPr>
      </w:pPr>
      <w:r>
        <w:rPr>
          <w:rFonts w:hint="eastAsia"/>
          <w:color w:val="auto"/>
        </w:rPr>
        <w:t>（</w:t>
      </w:r>
      <w:r>
        <w:rPr>
          <w:rFonts w:hint="eastAsia"/>
          <w:color w:val="auto"/>
        </w:rPr>
        <w:t>1</w:t>
      </w:r>
      <w:r>
        <w:rPr>
          <w:rFonts w:hint="eastAsia"/>
          <w:color w:val="auto"/>
        </w:rPr>
        <w:t>）报警</w:t>
      </w:r>
    </w:p>
    <w:p w14:paraId="1BB5950E" w14:textId="77777777" w:rsidR="009219A0" w:rsidRDefault="00000000">
      <w:pPr>
        <w:ind w:firstLine="560"/>
        <w:rPr>
          <w:rFonts w:ascii="宋体" w:hAnsi="宋体" w:hint="eastAsia"/>
          <w:color w:val="auto"/>
        </w:rPr>
      </w:pPr>
      <w:r>
        <w:rPr>
          <w:rFonts w:ascii="宋体" w:hAnsi="宋体" w:hint="eastAsia"/>
          <w:color w:val="auto"/>
        </w:rPr>
        <w:t>项目区域内设置了7个有毒气体检测探头，已经云南成标检验检测有限公司检验合格。有毒气体检测探头安装位置、编号及检测介质如下表所示：</w:t>
      </w:r>
    </w:p>
    <w:p w14:paraId="2023FEB9" w14:textId="77777777" w:rsidR="009219A0" w:rsidRDefault="00000000">
      <w:pPr>
        <w:ind w:firstLineChars="0" w:firstLine="0"/>
        <w:jc w:val="center"/>
        <w:rPr>
          <w:rFonts w:ascii="宋体" w:hAnsi="宋体" w:hint="eastAsia"/>
          <w:color w:val="auto"/>
        </w:rPr>
      </w:pPr>
      <w:r>
        <w:rPr>
          <w:rFonts w:ascii="宋体" w:hAnsi="宋体" w:hint="eastAsia"/>
          <w:color w:val="auto"/>
        </w:rPr>
        <w:t>表</w:t>
      </w:r>
      <w:r>
        <w:rPr>
          <w:rFonts w:ascii="宋体" w:hAnsi="宋体"/>
          <w:color w:val="auto"/>
        </w:rPr>
        <w:t>2.6-1</w:t>
      </w:r>
      <w:r>
        <w:rPr>
          <w:rFonts w:ascii="宋体" w:hAnsi="宋体" w:hint="eastAsia"/>
          <w:color w:val="auto"/>
        </w:rPr>
        <w:t>有毒气体检测探头安装位置、编号及检测介质</w:t>
      </w:r>
      <w:r>
        <w:rPr>
          <w:rFonts w:ascii="宋体" w:hAnsi="宋体"/>
          <w:color w:val="auto"/>
        </w:rPr>
        <w:t>一览表</w:t>
      </w:r>
    </w:p>
    <w:tbl>
      <w:tblPr>
        <w:tblStyle w:val="afb"/>
        <w:tblW w:w="9072" w:type="dxa"/>
        <w:tblLook w:val="04A0" w:firstRow="1" w:lastRow="0" w:firstColumn="1" w:lastColumn="0" w:noHBand="0" w:noVBand="1"/>
      </w:tblPr>
      <w:tblGrid>
        <w:gridCol w:w="3027"/>
        <w:gridCol w:w="3022"/>
        <w:gridCol w:w="3023"/>
      </w:tblGrid>
      <w:tr w:rsidR="009219A0" w14:paraId="3A1ED8C3" w14:textId="77777777">
        <w:tc>
          <w:tcPr>
            <w:tcW w:w="3027" w:type="dxa"/>
            <w:vAlign w:val="center"/>
          </w:tcPr>
          <w:p w14:paraId="1FEFC15F" w14:textId="77777777" w:rsidR="009219A0" w:rsidRDefault="00000000">
            <w:pPr>
              <w:pStyle w:val="Default1"/>
              <w:jc w:val="center"/>
              <w:rPr>
                <w:rFonts w:asciiTheme="minorEastAsia" w:eastAsiaTheme="minorEastAsia" w:hAnsiTheme="minorEastAsia"/>
                <w:b/>
                <w:bCs/>
                <w:sz w:val="21"/>
                <w:szCs w:val="21"/>
              </w:rPr>
            </w:pPr>
            <w:r>
              <w:rPr>
                <w:rFonts w:asciiTheme="minorEastAsia" w:eastAsiaTheme="minorEastAsia" w:hAnsiTheme="minorEastAsia"/>
                <w:b/>
                <w:bCs/>
                <w:sz w:val="21"/>
                <w:szCs w:val="21"/>
              </w:rPr>
              <w:t>单位内编号</w:t>
            </w:r>
          </w:p>
        </w:tc>
        <w:tc>
          <w:tcPr>
            <w:tcW w:w="3022" w:type="dxa"/>
            <w:vAlign w:val="center"/>
          </w:tcPr>
          <w:p w14:paraId="4BDA1BE6" w14:textId="77777777" w:rsidR="009219A0" w:rsidRDefault="00000000">
            <w:pPr>
              <w:pStyle w:val="Default1"/>
              <w:jc w:val="center"/>
              <w:rPr>
                <w:rFonts w:asciiTheme="minorEastAsia" w:eastAsiaTheme="minorEastAsia" w:hAnsiTheme="minorEastAsia"/>
                <w:b/>
                <w:bCs/>
                <w:sz w:val="21"/>
                <w:szCs w:val="21"/>
              </w:rPr>
            </w:pPr>
            <w:r>
              <w:rPr>
                <w:rFonts w:asciiTheme="minorEastAsia" w:eastAsiaTheme="minorEastAsia" w:hAnsiTheme="minorEastAsia"/>
                <w:b/>
                <w:bCs/>
                <w:sz w:val="21"/>
                <w:szCs w:val="21"/>
              </w:rPr>
              <w:t>安装位置</w:t>
            </w:r>
          </w:p>
        </w:tc>
        <w:tc>
          <w:tcPr>
            <w:tcW w:w="3023" w:type="dxa"/>
            <w:vAlign w:val="center"/>
          </w:tcPr>
          <w:p w14:paraId="096D1DDA" w14:textId="77777777" w:rsidR="009219A0" w:rsidRDefault="00000000">
            <w:pPr>
              <w:pStyle w:val="Default1"/>
              <w:jc w:val="center"/>
              <w:rPr>
                <w:rFonts w:asciiTheme="minorEastAsia" w:eastAsiaTheme="minorEastAsia" w:hAnsiTheme="minorEastAsia"/>
                <w:b/>
                <w:bCs/>
                <w:sz w:val="21"/>
                <w:szCs w:val="21"/>
              </w:rPr>
            </w:pPr>
            <w:r>
              <w:rPr>
                <w:rFonts w:asciiTheme="minorEastAsia" w:eastAsiaTheme="minorEastAsia" w:hAnsiTheme="minorEastAsia"/>
                <w:b/>
                <w:bCs/>
                <w:sz w:val="21"/>
                <w:szCs w:val="21"/>
              </w:rPr>
              <w:t>检测介质</w:t>
            </w:r>
          </w:p>
        </w:tc>
      </w:tr>
      <w:tr w:rsidR="009219A0" w14:paraId="473E3BB0" w14:textId="77777777">
        <w:tc>
          <w:tcPr>
            <w:tcW w:w="3027" w:type="dxa"/>
            <w:vAlign w:val="center"/>
          </w:tcPr>
          <w:p w14:paraId="4C6E7CE4"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17</w:t>
            </w:r>
          </w:p>
        </w:tc>
        <w:tc>
          <w:tcPr>
            <w:tcW w:w="3022" w:type="dxa"/>
            <w:vAlign w:val="center"/>
          </w:tcPr>
          <w:p w14:paraId="45BA1EAE"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实验室通风橱旁</w:t>
            </w:r>
          </w:p>
        </w:tc>
        <w:tc>
          <w:tcPr>
            <w:tcW w:w="3023" w:type="dxa"/>
            <w:vAlign w:val="center"/>
          </w:tcPr>
          <w:p w14:paraId="1037C99D"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二氧化硫</w:t>
            </w:r>
          </w:p>
        </w:tc>
      </w:tr>
      <w:tr w:rsidR="009219A0" w14:paraId="7D88F5D3" w14:textId="77777777">
        <w:tc>
          <w:tcPr>
            <w:tcW w:w="3027" w:type="dxa"/>
            <w:vAlign w:val="center"/>
          </w:tcPr>
          <w:p w14:paraId="3984BCDC"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18</w:t>
            </w:r>
          </w:p>
        </w:tc>
        <w:tc>
          <w:tcPr>
            <w:tcW w:w="3022" w:type="dxa"/>
            <w:vAlign w:val="center"/>
          </w:tcPr>
          <w:p w14:paraId="344E094E"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氧化槽旁</w:t>
            </w:r>
          </w:p>
        </w:tc>
        <w:tc>
          <w:tcPr>
            <w:tcW w:w="3023" w:type="dxa"/>
          </w:tcPr>
          <w:p w14:paraId="30C7D6D2"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二氧化硫</w:t>
            </w:r>
          </w:p>
        </w:tc>
      </w:tr>
      <w:tr w:rsidR="009219A0" w14:paraId="4716E003" w14:textId="77777777">
        <w:tc>
          <w:tcPr>
            <w:tcW w:w="3027" w:type="dxa"/>
            <w:vAlign w:val="center"/>
          </w:tcPr>
          <w:p w14:paraId="0A4BA10F"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19</w:t>
            </w:r>
          </w:p>
        </w:tc>
        <w:tc>
          <w:tcPr>
            <w:tcW w:w="3022" w:type="dxa"/>
            <w:vAlign w:val="center"/>
          </w:tcPr>
          <w:p w14:paraId="126E643D"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压缩机旁</w:t>
            </w:r>
          </w:p>
        </w:tc>
        <w:tc>
          <w:tcPr>
            <w:tcW w:w="3023" w:type="dxa"/>
          </w:tcPr>
          <w:p w14:paraId="30083CF2"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硫化氢</w:t>
            </w:r>
          </w:p>
        </w:tc>
      </w:tr>
      <w:tr w:rsidR="009219A0" w14:paraId="35086E4C" w14:textId="77777777">
        <w:tc>
          <w:tcPr>
            <w:tcW w:w="3027" w:type="dxa"/>
            <w:vAlign w:val="center"/>
          </w:tcPr>
          <w:p w14:paraId="539CB399"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23</w:t>
            </w:r>
          </w:p>
        </w:tc>
        <w:tc>
          <w:tcPr>
            <w:tcW w:w="3022" w:type="dxa"/>
            <w:vAlign w:val="center"/>
          </w:tcPr>
          <w:p w14:paraId="3DA2CCA0"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实验室通风橱旁</w:t>
            </w:r>
          </w:p>
        </w:tc>
        <w:tc>
          <w:tcPr>
            <w:tcW w:w="3023" w:type="dxa"/>
          </w:tcPr>
          <w:p w14:paraId="2990DA03"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硫化氢</w:t>
            </w:r>
          </w:p>
        </w:tc>
      </w:tr>
      <w:tr w:rsidR="009219A0" w14:paraId="3C9AED3C" w14:textId="77777777">
        <w:tc>
          <w:tcPr>
            <w:tcW w:w="3027" w:type="dxa"/>
            <w:vAlign w:val="center"/>
          </w:tcPr>
          <w:p w14:paraId="1F7C1ED8"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24</w:t>
            </w:r>
          </w:p>
        </w:tc>
        <w:tc>
          <w:tcPr>
            <w:tcW w:w="3022" w:type="dxa"/>
            <w:vAlign w:val="center"/>
          </w:tcPr>
          <w:p w14:paraId="77B81803"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返水罐旁</w:t>
            </w:r>
          </w:p>
        </w:tc>
        <w:tc>
          <w:tcPr>
            <w:tcW w:w="3023" w:type="dxa"/>
          </w:tcPr>
          <w:p w14:paraId="6C7E193B"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硫化氢</w:t>
            </w:r>
          </w:p>
        </w:tc>
      </w:tr>
      <w:tr w:rsidR="009219A0" w14:paraId="56382000" w14:textId="77777777">
        <w:tc>
          <w:tcPr>
            <w:tcW w:w="3027" w:type="dxa"/>
            <w:vAlign w:val="center"/>
          </w:tcPr>
          <w:p w14:paraId="1E8BF9EE"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25</w:t>
            </w:r>
          </w:p>
        </w:tc>
        <w:tc>
          <w:tcPr>
            <w:tcW w:w="3022" w:type="dxa"/>
            <w:vAlign w:val="center"/>
          </w:tcPr>
          <w:p w14:paraId="7AFFDED9"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1#循环槽和2#循环槽之间</w:t>
            </w:r>
          </w:p>
        </w:tc>
        <w:tc>
          <w:tcPr>
            <w:tcW w:w="3023" w:type="dxa"/>
          </w:tcPr>
          <w:p w14:paraId="45151E4C"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硫化氢</w:t>
            </w:r>
          </w:p>
        </w:tc>
      </w:tr>
      <w:tr w:rsidR="009219A0" w14:paraId="5965D19C" w14:textId="77777777">
        <w:tc>
          <w:tcPr>
            <w:tcW w:w="3027" w:type="dxa"/>
            <w:vAlign w:val="center"/>
          </w:tcPr>
          <w:p w14:paraId="42308A66"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26</w:t>
            </w:r>
          </w:p>
        </w:tc>
        <w:tc>
          <w:tcPr>
            <w:tcW w:w="3022" w:type="dxa"/>
            <w:vAlign w:val="center"/>
          </w:tcPr>
          <w:p w14:paraId="5B3A4232"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3#循环槽和4#循环槽之间</w:t>
            </w:r>
          </w:p>
        </w:tc>
        <w:tc>
          <w:tcPr>
            <w:tcW w:w="3023" w:type="dxa"/>
          </w:tcPr>
          <w:p w14:paraId="650A5B84" w14:textId="77777777" w:rsidR="009219A0" w:rsidRDefault="00000000">
            <w:pPr>
              <w:pStyle w:val="Default1"/>
              <w:jc w:val="center"/>
              <w:rPr>
                <w:rFonts w:asciiTheme="minorEastAsia" w:eastAsiaTheme="minorEastAsia" w:hAnsiTheme="minorEastAsia"/>
                <w:sz w:val="21"/>
                <w:szCs w:val="21"/>
              </w:rPr>
            </w:pPr>
            <w:r>
              <w:rPr>
                <w:rFonts w:asciiTheme="minorEastAsia" w:eastAsiaTheme="minorEastAsia" w:hAnsiTheme="minorEastAsia"/>
                <w:sz w:val="21"/>
                <w:szCs w:val="21"/>
              </w:rPr>
              <w:t>硫化氢</w:t>
            </w:r>
          </w:p>
        </w:tc>
      </w:tr>
    </w:tbl>
    <w:p w14:paraId="322734C6" w14:textId="77777777" w:rsidR="009219A0" w:rsidRDefault="009219A0">
      <w:pPr>
        <w:pStyle w:val="Default1"/>
        <w:rPr>
          <w:rFonts w:hint="default"/>
        </w:rPr>
      </w:pPr>
    </w:p>
    <w:p w14:paraId="2520675F" w14:textId="77777777" w:rsidR="009219A0" w:rsidRDefault="00000000">
      <w:pPr>
        <w:pStyle w:val="4"/>
        <w:keepNext w:val="0"/>
        <w:ind w:firstLineChars="200" w:firstLine="562"/>
        <w:rPr>
          <w:rFonts w:eastAsia="宋体" w:hint="eastAsia"/>
          <w:b/>
          <w:szCs w:val="20"/>
        </w:rPr>
      </w:pPr>
      <w:r>
        <w:rPr>
          <w:rFonts w:eastAsia="宋体" w:hint="eastAsia"/>
          <w:b/>
          <w:szCs w:val="20"/>
        </w:rPr>
        <w:t>2.6.1.2 设备安全防护设施</w:t>
      </w:r>
    </w:p>
    <w:p w14:paraId="672A8060" w14:textId="77777777" w:rsidR="009219A0" w:rsidRDefault="00000000">
      <w:pPr>
        <w:ind w:firstLine="560"/>
        <w:rPr>
          <w:color w:val="auto"/>
        </w:rPr>
      </w:pPr>
      <w:r>
        <w:rPr>
          <w:rFonts w:hint="eastAsia"/>
          <w:color w:val="auto"/>
        </w:rPr>
        <w:t>（</w:t>
      </w:r>
      <w:r>
        <w:rPr>
          <w:rFonts w:hint="eastAsia"/>
          <w:color w:val="auto"/>
        </w:rPr>
        <w:t>1</w:t>
      </w:r>
      <w:r>
        <w:rPr>
          <w:rFonts w:hint="eastAsia"/>
          <w:color w:val="auto"/>
        </w:rPr>
        <w:t>）各转动机械设备设置安全防护罩，设备运行时，设备工作区域无其他闲杂人员，地面干净、无积水等杂物。更换各机械设备零部件时必须使用专用工具，对号入座保证准确无误无损。</w:t>
      </w:r>
    </w:p>
    <w:p w14:paraId="648BCD0C" w14:textId="77777777" w:rsidR="009219A0" w:rsidRDefault="00000000">
      <w:pPr>
        <w:ind w:firstLine="560"/>
        <w:rPr>
          <w:color w:val="auto"/>
        </w:rPr>
      </w:pPr>
      <w:r>
        <w:rPr>
          <w:rFonts w:hint="eastAsia"/>
          <w:color w:val="auto"/>
        </w:rPr>
        <w:t>（</w:t>
      </w:r>
      <w:r>
        <w:rPr>
          <w:rFonts w:hint="eastAsia"/>
          <w:color w:val="auto"/>
        </w:rPr>
        <w:t>2</w:t>
      </w:r>
      <w:r>
        <w:rPr>
          <w:rFonts w:hint="eastAsia"/>
          <w:color w:val="auto"/>
        </w:rPr>
        <w:t>）中试车间内设置实时视频监控系统，一共有</w:t>
      </w:r>
      <w:r>
        <w:rPr>
          <w:rFonts w:hint="eastAsia"/>
          <w:color w:val="auto"/>
        </w:rPr>
        <w:t>4</w:t>
      </w:r>
      <w:r>
        <w:rPr>
          <w:rFonts w:hint="eastAsia"/>
          <w:color w:val="auto"/>
        </w:rPr>
        <w:t>个摄像头；实验室内设置有</w:t>
      </w:r>
      <w:r>
        <w:rPr>
          <w:rFonts w:hint="eastAsia"/>
          <w:color w:val="auto"/>
        </w:rPr>
        <w:t>2</w:t>
      </w:r>
      <w:r>
        <w:rPr>
          <w:rFonts w:hint="eastAsia"/>
          <w:color w:val="auto"/>
        </w:rPr>
        <w:t>个摄像头，信号接入至值班室，监控视频储存时间为</w:t>
      </w:r>
      <w:r>
        <w:rPr>
          <w:rFonts w:hint="eastAsia"/>
          <w:color w:val="auto"/>
        </w:rPr>
        <w:t>30</w:t>
      </w:r>
      <w:r>
        <w:rPr>
          <w:rFonts w:hint="eastAsia"/>
          <w:color w:val="auto"/>
        </w:rPr>
        <w:t>天。若发生事故，值班人员可及时发现。</w:t>
      </w:r>
    </w:p>
    <w:p w14:paraId="62462DF5" w14:textId="77777777" w:rsidR="009219A0" w:rsidRDefault="00000000">
      <w:pPr>
        <w:pStyle w:val="4"/>
        <w:keepNext w:val="0"/>
        <w:ind w:firstLineChars="200" w:firstLine="562"/>
        <w:rPr>
          <w:rFonts w:eastAsia="宋体" w:hint="eastAsia"/>
          <w:b/>
          <w:szCs w:val="20"/>
        </w:rPr>
      </w:pPr>
      <w:r>
        <w:rPr>
          <w:rFonts w:eastAsia="宋体" w:hint="eastAsia"/>
          <w:b/>
          <w:szCs w:val="20"/>
        </w:rPr>
        <w:lastRenderedPageBreak/>
        <w:t>2.6.1.3 安全警示标志</w:t>
      </w:r>
    </w:p>
    <w:p w14:paraId="395DFFB9" w14:textId="77777777" w:rsidR="009219A0" w:rsidRDefault="00000000">
      <w:pPr>
        <w:ind w:firstLine="560"/>
        <w:rPr>
          <w:color w:val="auto"/>
        </w:rPr>
      </w:pPr>
      <w:r>
        <w:rPr>
          <w:rFonts w:hint="eastAsia"/>
          <w:color w:val="auto"/>
        </w:rPr>
        <w:t>实验室、中试车间内对应设置禁止吸烟、禁止烟火、禁止启动、禁止触摸、当心触电、紧急出口、限速等安全警示告知牌，并设置安全警示标识。</w:t>
      </w:r>
    </w:p>
    <w:p w14:paraId="66282F60" w14:textId="77777777" w:rsidR="009219A0" w:rsidRDefault="00000000">
      <w:pPr>
        <w:pStyle w:val="3"/>
        <w:rPr>
          <w:rFonts w:hint="eastAsia"/>
        </w:rPr>
      </w:pPr>
      <w:bookmarkStart w:id="88" w:name="_Toc211950426"/>
      <w:r>
        <w:rPr>
          <w:rFonts w:hint="eastAsia"/>
        </w:rPr>
        <w:t>2.6.2减少与消除事故影响设施</w:t>
      </w:r>
      <w:bookmarkEnd w:id="88"/>
    </w:p>
    <w:p w14:paraId="2EAE678B" w14:textId="77777777" w:rsidR="009219A0" w:rsidRDefault="00000000">
      <w:pPr>
        <w:pStyle w:val="4"/>
        <w:keepNext w:val="0"/>
        <w:ind w:firstLineChars="200" w:firstLine="562"/>
        <w:rPr>
          <w:rFonts w:hint="eastAsia"/>
        </w:rPr>
      </w:pPr>
      <w:r>
        <w:rPr>
          <w:rFonts w:eastAsia="宋体" w:hint="eastAsia"/>
          <w:b/>
          <w:szCs w:val="20"/>
        </w:rPr>
        <w:t>2.6.2.1 灭火设施</w:t>
      </w:r>
    </w:p>
    <w:p w14:paraId="73C70806" w14:textId="77777777" w:rsidR="009219A0" w:rsidRDefault="00000000">
      <w:pPr>
        <w:ind w:firstLine="560"/>
        <w:rPr>
          <w:color w:val="auto"/>
        </w:rPr>
      </w:pPr>
      <w:r>
        <w:rPr>
          <w:rFonts w:hint="eastAsia"/>
          <w:color w:val="auto"/>
        </w:rPr>
        <w:t>研发中心实验室内配置</w:t>
      </w:r>
      <w:r>
        <w:rPr>
          <w:rFonts w:hint="eastAsia"/>
          <w:color w:val="auto"/>
        </w:rPr>
        <w:t>2</w:t>
      </w:r>
      <w:r>
        <w:rPr>
          <w:rFonts w:hint="eastAsia"/>
          <w:color w:val="auto"/>
        </w:rPr>
        <w:t>个</w:t>
      </w:r>
      <w:r>
        <w:rPr>
          <w:rFonts w:hint="eastAsia"/>
          <w:color w:val="auto"/>
        </w:rPr>
        <w:t>4kg</w:t>
      </w:r>
      <w:r>
        <w:rPr>
          <w:rFonts w:hint="eastAsia"/>
          <w:color w:val="auto"/>
        </w:rPr>
        <w:t>手提式干粉灭火器，中试车间内设置</w:t>
      </w:r>
      <w:r>
        <w:rPr>
          <w:rFonts w:hint="eastAsia"/>
          <w:color w:val="auto"/>
        </w:rPr>
        <w:t>20</w:t>
      </w:r>
      <w:r>
        <w:rPr>
          <w:rFonts w:hint="eastAsia"/>
          <w:color w:val="auto"/>
        </w:rPr>
        <w:t>个</w:t>
      </w:r>
      <w:r>
        <w:rPr>
          <w:rFonts w:hint="eastAsia"/>
          <w:color w:val="auto"/>
        </w:rPr>
        <w:t>4kg</w:t>
      </w:r>
      <w:r>
        <w:rPr>
          <w:rFonts w:hint="eastAsia"/>
          <w:color w:val="auto"/>
        </w:rPr>
        <w:t>手提式干粉灭火器、</w:t>
      </w:r>
      <w:r>
        <w:rPr>
          <w:rFonts w:hint="eastAsia"/>
          <w:color w:val="auto"/>
        </w:rPr>
        <w:t>2</w:t>
      </w:r>
      <w:r>
        <w:rPr>
          <w:rFonts w:hint="eastAsia"/>
          <w:color w:val="auto"/>
        </w:rPr>
        <w:t>个室外消火栓。</w:t>
      </w:r>
    </w:p>
    <w:p w14:paraId="358BC7CA" w14:textId="77777777" w:rsidR="009219A0" w:rsidRDefault="00000000">
      <w:pPr>
        <w:pStyle w:val="4"/>
        <w:keepNext w:val="0"/>
        <w:ind w:firstLineChars="200" w:firstLine="562"/>
        <w:rPr>
          <w:rFonts w:eastAsia="宋体" w:hint="eastAsia"/>
          <w:b/>
          <w:szCs w:val="20"/>
        </w:rPr>
      </w:pPr>
      <w:r>
        <w:rPr>
          <w:rFonts w:eastAsia="宋体"/>
          <w:b/>
          <w:szCs w:val="20"/>
        </w:rPr>
        <w:t>2.6.2.</w:t>
      </w:r>
      <w:r>
        <w:rPr>
          <w:rFonts w:eastAsia="宋体" w:hint="eastAsia"/>
          <w:b/>
          <w:szCs w:val="20"/>
        </w:rPr>
        <w:t>2</w:t>
      </w:r>
      <w:r>
        <w:rPr>
          <w:rFonts w:eastAsia="宋体"/>
          <w:b/>
          <w:szCs w:val="20"/>
        </w:rPr>
        <w:t xml:space="preserve"> 紧急个体处置设施</w:t>
      </w:r>
    </w:p>
    <w:p w14:paraId="4E7C62BA" w14:textId="77777777" w:rsidR="009219A0" w:rsidRDefault="00000000">
      <w:pPr>
        <w:pStyle w:val="Default1"/>
        <w:spacing w:line="360" w:lineRule="auto"/>
        <w:ind w:firstLineChars="200" w:firstLine="560"/>
        <w:jc w:val="both"/>
        <w:rPr>
          <w:rFonts w:ascii="宋体" w:hAnsi="宋体"/>
          <w:color w:val="auto"/>
          <w:sz w:val="28"/>
          <w:szCs w:val="28"/>
        </w:rPr>
      </w:pPr>
      <w:r>
        <w:rPr>
          <w:color w:val="auto"/>
          <w:sz w:val="28"/>
          <w:szCs w:val="28"/>
        </w:rPr>
        <w:t>（</w:t>
      </w:r>
      <w:r>
        <w:rPr>
          <w:color w:val="auto"/>
          <w:sz w:val="28"/>
          <w:szCs w:val="28"/>
        </w:rPr>
        <w:t>1</w:t>
      </w:r>
      <w:r>
        <w:rPr>
          <w:color w:val="auto"/>
          <w:sz w:val="28"/>
          <w:szCs w:val="28"/>
        </w:rPr>
        <w:t>）研发中心</w:t>
      </w:r>
      <w:r>
        <w:rPr>
          <w:rFonts w:ascii="宋体" w:hAnsi="宋体"/>
          <w:color w:val="auto"/>
          <w:sz w:val="28"/>
          <w:szCs w:val="28"/>
        </w:rPr>
        <w:t>实验室内、中试车间内设置喷淋洗眼器。</w:t>
      </w:r>
    </w:p>
    <w:p w14:paraId="14E46B50" w14:textId="77777777" w:rsidR="009219A0" w:rsidRDefault="00000000">
      <w:pPr>
        <w:pStyle w:val="Default1"/>
        <w:spacing w:line="360" w:lineRule="auto"/>
        <w:ind w:firstLineChars="200" w:firstLine="560"/>
        <w:jc w:val="both"/>
        <w:rPr>
          <w:rFonts w:ascii="宋体" w:hAnsi="宋体"/>
          <w:color w:val="auto"/>
          <w:sz w:val="28"/>
          <w:szCs w:val="28"/>
        </w:rPr>
      </w:pPr>
      <w:r>
        <w:rPr>
          <w:rFonts w:ascii="宋体" w:hAnsi="宋体"/>
          <w:color w:val="auto"/>
          <w:sz w:val="28"/>
          <w:szCs w:val="28"/>
        </w:rPr>
        <w:t>（2）</w:t>
      </w:r>
      <w:r>
        <w:rPr>
          <w:color w:val="auto"/>
          <w:sz w:val="28"/>
          <w:szCs w:val="28"/>
        </w:rPr>
        <w:t>研发中心</w:t>
      </w:r>
      <w:r>
        <w:rPr>
          <w:rFonts w:ascii="宋体" w:hAnsi="宋体"/>
          <w:color w:val="auto"/>
          <w:sz w:val="28"/>
          <w:szCs w:val="28"/>
        </w:rPr>
        <w:t>主要通道设置应急照明灯和疏散指示灯，配套设置90min备用蓄电池。</w:t>
      </w:r>
    </w:p>
    <w:p w14:paraId="19F5AB90" w14:textId="77777777" w:rsidR="009219A0" w:rsidRDefault="00000000">
      <w:pPr>
        <w:pStyle w:val="4"/>
        <w:keepNext w:val="0"/>
        <w:ind w:firstLineChars="200" w:firstLine="562"/>
        <w:rPr>
          <w:rFonts w:eastAsia="宋体" w:hint="eastAsia"/>
          <w:b/>
          <w:szCs w:val="20"/>
        </w:rPr>
      </w:pPr>
      <w:r>
        <w:rPr>
          <w:rFonts w:eastAsia="宋体"/>
          <w:b/>
          <w:szCs w:val="20"/>
        </w:rPr>
        <w:t>2.6.</w:t>
      </w:r>
      <w:r>
        <w:rPr>
          <w:rFonts w:eastAsia="宋体" w:hint="eastAsia"/>
          <w:b/>
          <w:szCs w:val="20"/>
        </w:rPr>
        <w:t>2</w:t>
      </w:r>
      <w:r>
        <w:rPr>
          <w:rFonts w:eastAsia="宋体"/>
          <w:b/>
          <w:szCs w:val="20"/>
        </w:rPr>
        <w:t>.</w:t>
      </w:r>
      <w:r>
        <w:rPr>
          <w:rFonts w:eastAsia="宋体" w:hint="eastAsia"/>
          <w:b/>
          <w:szCs w:val="20"/>
        </w:rPr>
        <w:t>3</w:t>
      </w:r>
      <w:r>
        <w:rPr>
          <w:rFonts w:eastAsia="宋体"/>
          <w:b/>
          <w:szCs w:val="20"/>
        </w:rPr>
        <w:t xml:space="preserve"> 应急救援设施</w:t>
      </w:r>
    </w:p>
    <w:p w14:paraId="00C38271" w14:textId="77777777" w:rsidR="009219A0" w:rsidRDefault="00000000">
      <w:pPr>
        <w:pStyle w:val="Default1"/>
        <w:spacing w:line="360" w:lineRule="auto"/>
        <w:ind w:firstLineChars="200" w:firstLine="560"/>
        <w:jc w:val="both"/>
        <w:rPr>
          <w:rFonts w:hint="default"/>
          <w:color w:val="auto"/>
          <w:sz w:val="28"/>
          <w:szCs w:val="28"/>
        </w:rPr>
      </w:pPr>
      <w:proofErr w:type="gramStart"/>
      <w:r>
        <w:rPr>
          <w:color w:val="auto"/>
          <w:sz w:val="28"/>
          <w:szCs w:val="28"/>
        </w:rPr>
        <w:t>创源公司</w:t>
      </w:r>
      <w:proofErr w:type="gramEnd"/>
      <w:r>
        <w:rPr>
          <w:color w:val="auto"/>
          <w:sz w:val="28"/>
          <w:szCs w:val="28"/>
        </w:rPr>
        <w:t>内配置应急事故柜，内设急救药箱、泄漏专用的堵截工具和材料，</w:t>
      </w:r>
      <w:r>
        <w:rPr>
          <w:rFonts w:ascii="宋体" w:hAnsi="宋体"/>
          <w:color w:val="auto"/>
          <w:sz w:val="28"/>
          <w:szCs w:val="28"/>
        </w:rPr>
        <w:t>应急手电筒，化学防护眼镜、防护服、防护手套等。</w:t>
      </w:r>
    </w:p>
    <w:p w14:paraId="676FD555" w14:textId="77777777" w:rsidR="009219A0" w:rsidRDefault="00000000">
      <w:pPr>
        <w:pStyle w:val="4"/>
        <w:keepNext w:val="0"/>
        <w:ind w:firstLineChars="200" w:firstLine="562"/>
        <w:rPr>
          <w:rFonts w:eastAsia="宋体" w:hint="eastAsia"/>
          <w:b/>
          <w:szCs w:val="20"/>
        </w:rPr>
      </w:pPr>
      <w:r>
        <w:rPr>
          <w:rFonts w:eastAsia="宋体"/>
          <w:b/>
          <w:szCs w:val="20"/>
        </w:rPr>
        <w:t>2.6.3</w:t>
      </w:r>
      <w:r>
        <w:rPr>
          <w:rFonts w:eastAsia="宋体" w:hint="eastAsia"/>
          <w:b/>
          <w:szCs w:val="20"/>
        </w:rPr>
        <w:t xml:space="preserve"> 劳动防护用品和装备</w:t>
      </w:r>
    </w:p>
    <w:p w14:paraId="48580522" w14:textId="77777777" w:rsidR="009219A0" w:rsidRDefault="00000000">
      <w:pPr>
        <w:ind w:firstLine="560"/>
      </w:pPr>
      <w:r>
        <w:rPr>
          <w:rFonts w:hint="eastAsia"/>
          <w:color w:val="auto"/>
        </w:rPr>
        <w:t>为员工配置防护服、防护手套、绝缘手套、绝缘鞋、防尘口罩、防噪音耳罩等。</w:t>
      </w:r>
    </w:p>
    <w:p w14:paraId="73C9B3D4" w14:textId="77777777" w:rsidR="009219A0" w:rsidRDefault="00000000">
      <w:pPr>
        <w:pStyle w:val="3"/>
        <w:rPr>
          <w:rFonts w:hint="eastAsia"/>
        </w:rPr>
      </w:pPr>
      <w:bookmarkStart w:id="89" w:name="_Toc211950427"/>
      <w:r>
        <w:rPr>
          <w:rFonts w:hint="eastAsia"/>
        </w:rPr>
        <w:t xml:space="preserve">2.6.4 </w:t>
      </w:r>
      <w:r>
        <w:t>主要安全设施</w:t>
      </w:r>
      <w:bookmarkEnd w:id="89"/>
    </w:p>
    <w:p w14:paraId="1C04BAFD" w14:textId="77777777" w:rsidR="009219A0" w:rsidRDefault="00000000">
      <w:pPr>
        <w:ind w:firstLineChars="0" w:firstLine="0"/>
        <w:jc w:val="center"/>
        <w:rPr>
          <w:rFonts w:ascii="宋体" w:hAnsi="宋体" w:hint="eastAsia"/>
          <w:color w:val="auto"/>
        </w:rPr>
      </w:pPr>
      <w:r>
        <w:rPr>
          <w:rFonts w:ascii="宋体" w:hAnsi="宋体" w:hint="eastAsia"/>
          <w:color w:val="auto"/>
        </w:rPr>
        <w:t>表2</w:t>
      </w:r>
      <w:r>
        <w:rPr>
          <w:rFonts w:ascii="宋体" w:hAnsi="宋体"/>
          <w:color w:val="auto"/>
        </w:rPr>
        <w:t>.</w:t>
      </w:r>
      <w:r>
        <w:rPr>
          <w:rFonts w:ascii="宋体" w:hAnsi="宋体" w:hint="eastAsia"/>
          <w:color w:val="auto"/>
        </w:rPr>
        <w:t>6-2  安全设备设施一览表</w:t>
      </w:r>
    </w:p>
    <w:tbl>
      <w:tblPr>
        <w:tblW w:w="9072" w:type="dxa"/>
        <w:tblLayout w:type="fixed"/>
        <w:tblCellMar>
          <w:top w:w="15" w:type="dxa"/>
          <w:left w:w="15" w:type="dxa"/>
          <w:bottom w:w="15" w:type="dxa"/>
          <w:right w:w="15" w:type="dxa"/>
        </w:tblCellMar>
        <w:tblLook w:val="04A0" w:firstRow="1" w:lastRow="0" w:firstColumn="1" w:lastColumn="0" w:noHBand="0" w:noVBand="1"/>
      </w:tblPr>
      <w:tblGrid>
        <w:gridCol w:w="1048"/>
        <w:gridCol w:w="2605"/>
        <w:gridCol w:w="1049"/>
        <w:gridCol w:w="1049"/>
        <w:gridCol w:w="1049"/>
        <w:gridCol w:w="2272"/>
      </w:tblGrid>
      <w:tr w:rsidR="009219A0" w14:paraId="405999D7" w14:textId="77777777">
        <w:trPr>
          <w:trHeight w:val="286"/>
        </w:trPr>
        <w:tc>
          <w:tcPr>
            <w:tcW w:w="1048" w:type="dxa"/>
            <w:vMerge w:val="restart"/>
            <w:tcBorders>
              <w:top w:val="single" w:sz="4" w:space="0" w:color="000000"/>
              <w:left w:val="single" w:sz="4" w:space="0" w:color="000000"/>
              <w:right w:val="single" w:sz="4" w:space="0" w:color="000000"/>
            </w:tcBorders>
            <w:vAlign w:val="center"/>
          </w:tcPr>
          <w:p w14:paraId="7C862FD5" w14:textId="77777777" w:rsidR="009219A0" w:rsidRDefault="00000000">
            <w:pPr>
              <w:widowControl/>
              <w:adjustRightInd/>
              <w:snapToGrid/>
              <w:spacing w:line="240" w:lineRule="auto"/>
              <w:ind w:firstLineChars="0" w:firstLine="0"/>
              <w:jc w:val="center"/>
              <w:textAlignment w:val="center"/>
              <w:rPr>
                <w:rFonts w:ascii="宋体" w:hAnsi="宋体" w:cs="宋体" w:hint="eastAsia"/>
                <w:b/>
                <w:color w:val="auto"/>
                <w:kern w:val="0"/>
                <w:sz w:val="21"/>
                <w:szCs w:val="21"/>
                <w:lang w:bidi="ar"/>
              </w:rPr>
            </w:pPr>
            <w:r>
              <w:rPr>
                <w:rFonts w:ascii="宋体" w:hAnsi="宋体" w:cs="宋体" w:hint="eastAsia"/>
                <w:b/>
                <w:color w:val="auto"/>
                <w:kern w:val="0"/>
                <w:sz w:val="21"/>
                <w:szCs w:val="21"/>
                <w:lang w:bidi="ar"/>
              </w:rPr>
              <w:t>序号</w:t>
            </w:r>
          </w:p>
        </w:tc>
        <w:tc>
          <w:tcPr>
            <w:tcW w:w="2605" w:type="dxa"/>
            <w:vMerge w:val="restart"/>
            <w:tcBorders>
              <w:top w:val="single" w:sz="4" w:space="0" w:color="000000"/>
              <w:left w:val="single" w:sz="4" w:space="0" w:color="000000"/>
              <w:right w:val="single" w:sz="4" w:space="0" w:color="000000"/>
            </w:tcBorders>
            <w:vAlign w:val="center"/>
          </w:tcPr>
          <w:p w14:paraId="42E5F9DC" w14:textId="77777777" w:rsidR="009219A0" w:rsidRDefault="00000000">
            <w:pPr>
              <w:widowControl/>
              <w:adjustRightInd/>
              <w:snapToGrid/>
              <w:spacing w:line="240" w:lineRule="auto"/>
              <w:ind w:firstLineChars="0" w:firstLine="0"/>
              <w:jc w:val="center"/>
              <w:textAlignment w:val="center"/>
              <w:rPr>
                <w:rFonts w:ascii="宋体" w:hAnsi="宋体" w:cs="宋体" w:hint="eastAsia"/>
                <w:b/>
                <w:color w:val="auto"/>
                <w:kern w:val="0"/>
                <w:sz w:val="21"/>
                <w:szCs w:val="21"/>
                <w:lang w:bidi="ar"/>
              </w:rPr>
            </w:pPr>
            <w:r>
              <w:rPr>
                <w:rFonts w:ascii="宋体" w:hAnsi="宋体" w:cs="宋体" w:hint="eastAsia"/>
                <w:b/>
                <w:color w:val="auto"/>
                <w:kern w:val="0"/>
                <w:sz w:val="21"/>
                <w:szCs w:val="21"/>
                <w:lang w:bidi="ar"/>
              </w:rPr>
              <w:t>分 项 名  称</w:t>
            </w:r>
          </w:p>
        </w:tc>
        <w:tc>
          <w:tcPr>
            <w:tcW w:w="1049" w:type="dxa"/>
            <w:tcBorders>
              <w:top w:val="single" w:sz="4" w:space="0" w:color="000000"/>
              <w:left w:val="single" w:sz="4" w:space="0" w:color="000000"/>
              <w:bottom w:val="single" w:sz="4" w:space="0" w:color="000000"/>
              <w:right w:val="single" w:sz="4" w:space="0" w:color="000000"/>
            </w:tcBorders>
            <w:vAlign w:val="center"/>
          </w:tcPr>
          <w:p w14:paraId="0BAF53F4" w14:textId="77777777" w:rsidR="009219A0" w:rsidRDefault="00000000">
            <w:pPr>
              <w:widowControl/>
              <w:adjustRightInd/>
              <w:snapToGrid/>
              <w:spacing w:line="240" w:lineRule="auto"/>
              <w:ind w:firstLineChars="0" w:firstLine="0"/>
              <w:jc w:val="center"/>
              <w:textAlignment w:val="center"/>
              <w:rPr>
                <w:rFonts w:ascii="宋体" w:hAnsi="宋体" w:cs="宋体" w:hint="eastAsia"/>
                <w:b/>
                <w:color w:val="auto"/>
                <w:kern w:val="0"/>
                <w:sz w:val="21"/>
                <w:szCs w:val="21"/>
                <w:lang w:bidi="ar"/>
              </w:rPr>
            </w:pPr>
            <w:r>
              <w:rPr>
                <w:rFonts w:ascii="宋体" w:hAnsi="宋体" w:cs="宋体" w:hint="eastAsia"/>
                <w:b/>
                <w:color w:val="auto"/>
                <w:kern w:val="0"/>
                <w:sz w:val="21"/>
                <w:szCs w:val="21"/>
                <w:lang w:bidi="ar"/>
              </w:rPr>
              <w:t>数 量</w:t>
            </w:r>
          </w:p>
        </w:tc>
        <w:tc>
          <w:tcPr>
            <w:tcW w:w="1049" w:type="dxa"/>
            <w:tcBorders>
              <w:top w:val="single" w:sz="4" w:space="0" w:color="000000"/>
              <w:left w:val="single" w:sz="4" w:space="0" w:color="000000"/>
              <w:bottom w:val="single" w:sz="4" w:space="0" w:color="000000"/>
              <w:right w:val="single" w:sz="4" w:space="0" w:color="000000"/>
            </w:tcBorders>
            <w:vAlign w:val="center"/>
          </w:tcPr>
          <w:p w14:paraId="603461C0" w14:textId="77777777" w:rsidR="009219A0" w:rsidRDefault="00000000">
            <w:pPr>
              <w:widowControl/>
              <w:adjustRightInd/>
              <w:snapToGrid/>
              <w:spacing w:line="240" w:lineRule="auto"/>
              <w:ind w:firstLineChars="0" w:firstLine="0"/>
              <w:jc w:val="center"/>
              <w:textAlignment w:val="center"/>
              <w:rPr>
                <w:rFonts w:ascii="宋体" w:hAnsi="宋体" w:cs="宋体" w:hint="eastAsia"/>
                <w:b/>
                <w:color w:val="auto"/>
                <w:kern w:val="0"/>
                <w:sz w:val="21"/>
                <w:szCs w:val="21"/>
                <w:lang w:bidi="ar"/>
              </w:rPr>
            </w:pPr>
            <w:r>
              <w:rPr>
                <w:rFonts w:ascii="宋体" w:hAnsi="宋体" w:cs="宋体" w:hint="eastAsia"/>
                <w:b/>
                <w:color w:val="auto"/>
                <w:kern w:val="0"/>
                <w:sz w:val="21"/>
                <w:szCs w:val="21"/>
                <w:lang w:bidi="ar"/>
              </w:rPr>
              <w:t>单 价</w:t>
            </w:r>
          </w:p>
        </w:tc>
        <w:tc>
          <w:tcPr>
            <w:tcW w:w="1049" w:type="dxa"/>
            <w:tcBorders>
              <w:top w:val="single" w:sz="4" w:space="0" w:color="000000"/>
              <w:left w:val="single" w:sz="4" w:space="0" w:color="000000"/>
              <w:bottom w:val="single" w:sz="4" w:space="0" w:color="000000"/>
              <w:right w:val="single" w:sz="4" w:space="0" w:color="000000"/>
            </w:tcBorders>
            <w:vAlign w:val="center"/>
          </w:tcPr>
          <w:p w14:paraId="5496DFBC" w14:textId="77777777" w:rsidR="009219A0" w:rsidRDefault="00000000">
            <w:pPr>
              <w:widowControl/>
              <w:adjustRightInd/>
              <w:snapToGrid/>
              <w:spacing w:line="240" w:lineRule="auto"/>
              <w:ind w:firstLineChars="0" w:firstLine="0"/>
              <w:jc w:val="center"/>
              <w:textAlignment w:val="center"/>
              <w:rPr>
                <w:rFonts w:ascii="宋体" w:hAnsi="宋体" w:cs="宋体" w:hint="eastAsia"/>
                <w:b/>
                <w:color w:val="auto"/>
                <w:kern w:val="0"/>
                <w:sz w:val="21"/>
                <w:szCs w:val="21"/>
                <w:lang w:bidi="ar"/>
              </w:rPr>
            </w:pPr>
            <w:r>
              <w:rPr>
                <w:rFonts w:ascii="宋体" w:hAnsi="宋体" w:cs="宋体" w:hint="eastAsia"/>
                <w:b/>
                <w:color w:val="auto"/>
                <w:kern w:val="0"/>
                <w:sz w:val="21"/>
                <w:szCs w:val="21"/>
                <w:lang w:bidi="ar"/>
              </w:rPr>
              <w:t>投资</w:t>
            </w:r>
          </w:p>
        </w:tc>
        <w:tc>
          <w:tcPr>
            <w:tcW w:w="2272" w:type="dxa"/>
            <w:vMerge w:val="restart"/>
            <w:tcBorders>
              <w:top w:val="single" w:sz="4" w:space="0" w:color="000000"/>
              <w:left w:val="single" w:sz="4" w:space="0" w:color="000000"/>
              <w:right w:val="single" w:sz="4" w:space="0" w:color="000000"/>
            </w:tcBorders>
            <w:vAlign w:val="center"/>
          </w:tcPr>
          <w:p w14:paraId="3B121919" w14:textId="77777777" w:rsidR="009219A0" w:rsidRDefault="00000000">
            <w:pPr>
              <w:widowControl/>
              <w:adjustRightInd/>
              <w:snapToGrid/>
              <w:spacing w:line="240" w:lineRule="auto"/>
              <w:ind w:firstLineChars="0" w:firstLine="0"/>
              <w:jc w:val="center"/>
              <w:textAlignment w:val="center"/>
              <w:rPr>
                <w:rFonts w:ascii="宋体" w:hAnsi="宋体" w:cs="宋体" w:hint="eastAsia"/>
                <w:b/>
                <w:color w:val="auto"/>
                <w:kern w:val="0"/>
                <w:sz w:val="21"/>
                <w:szCs w:val="21"/>
                <w:lang w:bidi="ar"/>
              </w:rPr>
            </w:pPr>
            <w:r>
              <w:rPr>
                <w:rFonts w:ascii="宋体" w:hAnsi="宋体" w:cs="宋体" w:hint="eastAsia"/>
                <w:b/>
                <w:color w:val="auto"/>
                <w:kern w:val="0"/>
                <w:sz w:val="21"/>
                <w:szCs w:val="21"/>
                <w:lang w:bidi="ar"/>
              </w:rPr>
              <w:t>型号/备注</w:t>
            </w:r>
          </w:p>
        </w:tc>
      </w:tr>
      <w:tr w:rsidR="009219A0" w14:paraId="7B8E3E5F" w14:textId="77777777">
        <w:trPr>
          <w:trHeight w:val="286"/>
        </w:trPr>
        <w:tc>
          <w:tcPr>
            <w:tcW w:w="1048" w:type="dxa"/>
            <w:vMerge/>
            <w:tcBorders>
              <w:left w:val="single" w:sz="4" w:space="0" w:color="000000"/>
              <w:bottom w:val="single" w:sz="4" w:space="0" w:color="000000"/>
              <w:right w:val="single" w:sz="4" w:space="0" w:color="000000"/>
            </w:tcBorders>
            <w:vAlign w:val="bottom"/>
          </w:tcPr>
          <w:p w14:paraId="486FAB11"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2605" w:type="dxa"/>
            <w:vMerge/>
            <w:tcBorders>
              <w:left w:val="single" w:sz="4" w:space="0" w:color="000000"/>
              <w:bottom w:val="single" w:sz="4" w:space="0" w:color="000000"/>
              <w:right w:val="single" w:sz="4" w:space="0" w:color="000000"/>
            </w:tcBorders>
            <w:vAlign w:val="bottom"/>
          </w:tcPr>
          <w:p w14:paraId="7F027C78"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1D6E0AD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（台/套）</w:t>
            </w:r>
          </w:p>
        </w:tc>
        <w:tc>
          <w:tcPr>
            <w:tcW w:w="1049" w:type="dxa"/>
            <w:tcBorders>
              <w:top w:val="single" w:sz="4" w:space="0" w:color="000000"/>
              <w:left w:val="single" w:sz="4" w:space="0" w:color="000000"/>
              <w:bottom w:val="single" w:sz="4" w:space="0" w:color="000000"/>
              <w:right w:val="single" w:sz="4" w:space="0" w:color="000000"/>
            </w:tcBorders>
            <w:vAlign w:val="center"/>
          </w:tcPr>
          <w:p w14:paraId="21A3C97B"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（万元）</w:t>
            </w:r>
          </w:p>
        </w:tc>
        <w:tc>
          <w:tcPr>
            <w:tcW w:w="1049" w:type="dxa"/>
            <w:tcBorders>
              <w:top w:val="single" w:sz="4" w:space="0" w:color="000000"/>
              <w:left w:val="single" w:sz="4" w:space="0" w:color="000000"/>
              <w:bottom w:val="single" w:sz="4" w:space="0" w:color="000000"/>
              <w:right w:val="single" w:sz="4" w:space="0" w:color="000000"/>
            </w:tcBorders>
            <w:vAlign w:val="center"/>
          </w:tcPr>
          <w:p w14:paraId="23753D91"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（万元）</w:t>
            </w:r>
          </w:p>
        </w:tc>
        <w:tc>
          <w:tcPr>
            <w:tcW w:w="2272" w:type="dxa"/>
            <w:vMerge/>
            <w:tcBorders>
              <w:left w:val="single" w:sz="4" w:space="0" w:color="000000"/>
              <w:bottom w:val="single" w:sz="4" w:space="0" w:color="000000"/>
              <w:right w:val="single" w:sz="4" w:space="0" w:color="000000"/>
            </w:tcBorders>
            <w:vAlign w:val="bottom"/>
          </w:tcPr>
          <w:p w14:paraId="63C79AE5"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r>
      <w:tr w:rsidR="009219A0" w14:paraId="6633E0BF"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1AFBB408"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w:t>
            </w:r>
          </w:p>
        </w:tc>
        <w:tc>
          <w:tcPr>
            <w:tcW w:w="2605" w:type="dxa"/>
            <w:tcBorders>
              <w:top w:val="single" w:sz="4" w:space="0" w:color="000000"/>
              <w:left w:val="single" w:sz="4" w:space="0" w:color="000000"/>
              <w:bottom w:val="single" w:sz="4" w:space="0" w:color="000000"/>
              <w:right w:val="single" w:sz="4" w:space="0" w:color="000000"/>
            </w:tcBorders>
            <w:vAlign w:val="center"/>
          </w:tcPr>
          <w:p w14:paraId="4536519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预防事故设施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4FE456DC"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05E50354"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3DBD52FB"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32.03</w:t>
            </w:r>
          </w:p>
        </w:tc>
        <w:tc>
          <w:tcPr>
            <w:tcW w:w="2272" w:type="dxa"/>
            <w:tcBorders>
              <w:top w:val="single" w:sz="4" w:space="0" w:color="000000"/>
              <w:left w:val="single" w:sz="4" w:space="0" w:color="000000"/>
              <w:bottom w:val="single" w:sz="4" w:space="0" w:color="000000"/>
              <w:right w:val="single" w:sz="4" w:space="0" w:color="000000"/>
            </w:tcBorders>
            <w:vAlign w:val="bottom"/>
          </w:tcPr>
          <w:p w14:paraId="23253A22"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0B0C03AC"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6F41FAA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1.1</w:t>
            </w:r>
          </w:p>
        </w:tc>
        <w:tc>
          <w:tcPr>
            <w:tcW w:w="2605" w:type="dxa"/>
            <w:tcBorders>
              <w:top w:val="single" w:sz="4" w:space="0" w:color="000000"/>
              <w:left w:val="single" w:sz="4" w:space="0" w:color="000000"/>
              <w:bottom w:val="single" w:sz="4" w:space="0" w:color="000000"/>
              <w:right w:val="single" w:sz="4" w:space="0" w:color="000000"/>
            </w:tcBorders>
            <w:vAlign w:val="center"/>
          </w:tcPr>
          <w:p w14:paraId="51395E10"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设备安全防护设施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20DA68A7"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75ED842A"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33F4339F"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3A6D380C"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24A2642E"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66F592C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1.1.1</w:t>
            </w:r>
          </w:p>
        </w:tc>
        <w:tc>
          <w:tcPr>
            <w:tcW w:w="2605" w:type="dxa"/>
            <w:tcBorders>
              <w:top w:val="single" w:sz="4" w:space="0" w:color="000000"/>
              <w:left w:val="single" w:sz="4" w:space="0" w:color="000000"/>
              <w:bottom w:val="single" w:sz="4" w:space="0" w:color="000000"/>
              <w:right w:val="single" w:sz="4" w:space="0" w:color="000000"/>
            </w:tcBorders>
            <w:vAlign w:val="center"/>
          </w:tcPr>
          <w:p w14:paraId="760BFBE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防护罩</w:t>
            </w:r>
          </w:p>
        </w:tc>
        <w:tc>
          <w:tcPr>
            <w:tcW w:w="1049" w:type="dxa"/>
            <w:tcBorders>
              <w:top w:val="single" w:sz="4" w:space="0" w:color="000000"/>
              <w:left w:val="single" w:sz="4" w:space="0" w:color="000000"/>
              <w:bottom w:val="single" w:sz="4" w:space="0" w:color="000000"/>
              <w:right w:val="single" w:sz="4" w:space="0" w:color="000000"/>
            </w:tcBorders>
            <w:vAlign w:val="center"/>
          </w:tcPr>
          <w:p w14:paraId="44CCE966"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10</w:t>
            </w:r>
          </w:p>
        </w:tc>
        <w:tc>
          <w:tcPr>
            <w:tcW w:w="1049" w:type="dxa"/>
            <w:tcBorders>
              <w:top w:val="single" w:sz="4" w:space="0" w:color="000000"/>
              <w:left w:val="single" w:sz="4" w:space="0" w:color="000000"/>
              <w:bottom w:val="single" w:sz="4" w:space="0" w:color="000000"/>
              <w:right w:val="single" w:sz="4" w:space="0" w:color="000000"/>
            </w:tcBorders>
            <w:vAlign w:val="center"/>
          </w:tcPr>
          <w:p w14:paraId="0422C55A"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0.6</w:t>
            </w:r>
          </w:p>
        </w:tc>
        <w:tc>
          <w:tcPr>
            <w:tcW w:w="1049" w:type="dxa"/>
            <w:tcBorders>
              <w:top w:val="single" w:sz="4" w:space="0" w:color="000000"/>
              <w:left w:val="single" w:sz="4" w:space="0" w:color="000000"/>
              <w:bottom w:val="single" w:sz="4" w:space="0" w:color="000000"/>
              <w:right w:val="single" w:sz="4" w:space="0" w:color="000000"/>
            </w:tcBorders>
            <w:vAlign w:val="center"/>
          </w:tcPr>
          <w:p w14:paraId="44F9B24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6</w:t>
            </w:r>
          </w:p>
        </w:tc>
        <w:tc>
          <w:tcPr>
            <w:tcW w:w="2272" w:type="dxa"/>
            <w:tcBorders>
              <w:top w:val="single" w:sz="4" w:space="0" w:color="000000"/>
              <w:left w:val="single" w:sz="4" w:space="0" w:color="000000"/>
              <w:bottom w:val="single" w:sz="4" w:space="0" w:color="000000"/>
              <w:right w:val="single" w:sz="4" w:space="0" w:color="000000"/>
            </w:tcBorders>
            <w:vAlign w:val="bottom"/>
          </w:tcPr>
          <w:p w14:paraId="3A388065"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40CBD48E"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04EA091D"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1.1.2</w:t>
            </w:r>
          </w:p>
        </w:tc>
        <w:tc>
          <w:tcPr>
            <w:tcW w:w="2605" w:type="dxa"/>
            <w:tcBorders>
              <w:top w:val="single" w:sz="4" w:space="0" w:color="000000"/>
              <w:left w:val="single" w:sz="4" w:space="0" w:color="000000"/>
              <w:bottom w:val="single" w:sz="4" w:space="0" w:color="000000"/>
              <w:right w:val="single" w:sz="4" w:space="0" w:color="000000"/>
            </w:tcBorders>
            <w:vAlign w:val="center"/>
          </w:tcPr>
          <w:p w14:paraId="216C4D31"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电器过载保护设施费</w:t>
            </w:r>
          </w:p>
        </w:tc>
        <w:tc>
          <w:tcPr>
            <w:tcW w:w="1049" w:type="dxa"/>
            <w:tcBorders>
              <w:top w:val="single" w:sz="4" w:space="0" w:color="000000"/>
              <w:left w:val="single" w:sz="4" w:space="0" w:color="000000"/>
              <w:bottom w:val="single" w:sz="4" w:space="0" w:color="000000"/>
              <w:right w:val="single" w:sz="4" w:space="0" w:color="000000"/>
            </w:tcBorders>
            <w:vAlign w:val="center"/>
          </w:tcPr>
          <w:p w14:paraId="52DA185B"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w:t>
            </w:r>
          </w:p>
        </w:tc>
        <w:tc>
          <w:tcPr>
            <w:tcW w:w="1049" w:type="dxa"/>
            <w:tcBorders>
              <w:top w:val="single" w:sz="4" w:space="0" w:color="000000"/>
              <w:left w:val="single" w:sz="4" w:space="0" w:color="000000"/>
              <w:bottom w:val="single" w:sz="4" w:space="0" w:color="000000"/>
              <w:right w:val="single" w:sz="4" w:space="0" w:color="000000"/>
            </w:tcBorders>
            <w:vAlign w:val="center"/>
          </w:tcPr>
          <w:p w14:paraId="13E546C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w:t>
            </w:r>
          </w:p>
        </w:tc>
        <w:tc>
          <w:tcPr>
            <w:tcW w:w="1049" w:type="dxa"/>
            <w:tcBorders>
              <w:top w:val="single" w:sz="4" w:space="0" w:color="000000"/>
              <w:left w:val="single" w:sz="4" w:space="0" w:color="000000"/>
              <w:bottom w:val="single" w:sz="4" w:space="0" w:color="000000"/>
              <w:right w:val="single" w:sz="4" w:space="0" w:color="000000"/>
            </w:tcBorders>
            <w:vAlign w:val="center"/>
          </w:tcPr>
          <w:p w14:paraId="5DDA2E51"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6</w:t>
            </w:r>
          </w:p>
        </w:tc>
        <w:tc>
          <w:tcPr>
            <w:tcW w:w="2272" w:type="dxa"/>
            <w:tcBorders>
              <w:top w:val="single" w:sz="4" w:space="0" w:color="000000"/>
              <w:left w:val="single" w:sz="4" w:space="0" w:color="000000"/>
              <w:bottom w:val="single" w:sz="4" w:space="0" w:color="000000"/>
              <w:right w:val="single" w:sz="4" w:space="0" w:color="000000"/>
            </w:tcBorders>
            <w:vAlign w:val="bottom"/>
          </w:tcPr>
          <w:p w14:paraId="162FBF55"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025C67A5"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66A619A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1.1.3</w:t>
            </w:r>
          </w:p>
        </w:tc>
        <w:tc>
          <w:tcPr>
            <w:tcW w:w="2605" w:type="dxa"/>
            <w:tcBorders>
              <w:top w:val="single" w:sz="4" w:space="0" w:color="000000"/>
              <w:left w:val="single" w:sz="4" w:space="0" w:color="000000"/>
              <w:bottom w:val="single" w:sz="4" w:space="0" w:color="000000"/>
              <w:right w:val="single" w:sz="4" w:space="0" w:color="000000"/>
            </w:tcBorders>
            <w:vAlign w:val="center"/>
          </w:tcPr>
          <w:p w14:paraId="0D334C9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静电接地设施费</w:t>
            </w:r>
          </w:p>
        </w:tc>
        <w:tc>
          <w:tcPr>
            <w:tcW w:w="1049" w:type="dxa"/>
            <w:tcBorders>
              <w:top w:val="single" w:sz="4" w:space="0" w:color="000000"/>
              <w:left w:val="single" w:sz="4" w:space="0" w:color="000000"/>
              <w:bottom w:val="single" w:sz="4" w:space="0" w:color="000000"/>
              <w:right w:val="single" w:sz="4" w:space="0" w:color="000000"/>
            </w:tcBorders>
            <w:vAlign w:val="center"/>
          </w:tcPr>
          <w:p w14:paraId="040D77A0"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w:t>
            </w:r>
          </w:p>
        </w:tc>
        <w:tc>
          <w:tcPr>
            <w:tcW w:w="1049" w:type="dxa"/>
            <w:tcBorders>
              <w:top w:val="single" w:sz="4" w:space="0" w:color="000000"/>
              <w:left w:val="single" w:sz="4" w:space="0" w:color="000000"/>
              <w:bottom w:val="single" w:sz="4" w:space="0" w:color="000000"/>
              <w:right w:val="single" w:sz="4" w:space="0" w:color="000000"/>
            </w:tcBorders>
            <w:vAlign w:val="center"/>
          </w:tcPr>
          <w:p w14:paraId="13B2EEE6"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6</w:t>
            </w:r>
          </w:p>
        </w:tc>
        <w:tc>
          <w:tcPr>
            <w:tcW w:w="1049" w:type="dxa"/>
            <w:tcBorders>
              <w:top w:val="single" w:sz="4" w:space="0" w:color="000000"/>
              <w:left w:val="single" w:sz="4" w:space="0" w:color="000000"/>
              <w:bottom w:val="single" w:sz="4" w:space="0" w:color="000000"/>
              <w:right w:val="single" w:sz="4" w:space="0" w:color="000000"/>
            </w:tcBorders>
            <w:vAlign w:val="center"/>
          </w:tcPr>
          <w:p w14:paraId="5283A2C1"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6</w:t>
            </w:r>
          </w:p>
        </w:tc>
        <w:tc>
          <w:tcPr>
            <w:tcW w:w="2272" w:type="dxa"/>
            <w:tcBorders>
              <w:top w:val="single" w:sz="4" w:space="0" w:color="000000"/>
              <w:left w:val="single" w:sz="4" w:space="0" w:color="000000"/>
              <w:bottom w:val="single" w:sz="4" w:space="0" w:color="000000"/>
              <w:right w:val="single" w:sz="4" w:space="0" w:color="000000"/>
            </w:tcBorders>
            <w:vAlign w:val="bottom"/>
          </w:tcPr>
          <w:p w14:paraId="1F079E9B"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44FA5ACC"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2E00D56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1.2</w:t>
            </w:r>
          </w:p>
        </w:tc>
        <w:tc>
          <w:tcPr>
            <w:tcW w:w="2605" w:type="dxa"/>
            <w:tcBorders>
              <w:top w:val="single" w:sz="4" w:space="0" w:color="000000"/>
              <w:left w:val="single" w:sz="4" w:space="0" w:color="000000"/>
              <w:bottom w:val="single" w:sz="4" w:space="0" w:color="000000"/>
              <w:right w:val="single" w:sz="4" w:space="0" w:color="000000"/>
            </w:tcBorders>
            <w:vAlign w:val="center"/>
          </w:tcPr>
          <w:p w14:paraId="710857B7"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电气防火、防爆设施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681A0343"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48FBFDE0"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064760BB"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7B569E0D"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03F27EEE"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537A2A8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lastRenderedPageBreak/>
              <w:t>1.2.1</w:t>
            </w:r>
          </w:p>
        </w:tc>
        <w:tc>
          <w:tcPr>
            <w:tcW w:w="2605" w:type="dxa"/>
            <w:tcBorders>
              <w:top w:val="single" w:sz="4" w:space="0" w:color="000000"/>
              <w:left w:val="single" w:sz="4" w:space="0" w:color="000000"/>
              <w:bottom w:val="single" w:sz="4" w:space="0" w:color="000000"/>
              <w:right w:val="single" w:sz="4" w:space="0" w:color="000000"/>
            </w:tcBorders>
            <w:vAlign w:val="center"/>
          </w:tcPr>
          <w:p w14:paraId="10BEAF3A"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电缆及线路防护措施费</w:t>
            </w:r>
          </w:p>
        </w:tc>
        <w:tc>
          <w:tcPr>
            <w:tcW w:w="1049" w:type="dxa"/>
            <w:tcBorders>
              <w:top w:val="single" w:sz="4" w:space="0" w:color="000000"/>
              <w:left w:val="single" w:sz="4" w:space="0" w:color="000000"/>
              <w:bottom w:val="single" w:sz="4" w:space="0" w:color="000000"/>
              <w:right w:val="single" w:sz="4" w:space="0" w:color="000000"/>
            </w:tcBorders>
            <w:vAlign w:val="center"/>
          </w:tcPr>
          <w:p w14:paraId="7E54F54B"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1套</w:t>
            </w:r>
          </w:p>
        </w:tc>
        <w:tc>
          <w:tcPr>
            <w:tcW w:w="1049" w:type="dxa"/>
            <w:tcBorders>
              <w:top w:val="single" w:sz="4" w:space="0" w:color="000000"/>
              <w:left w:val="single" w:sz="4" w:space="0" w:color="000000"/>
              <w:bottom w:val="single" w:sz="4" w:space="0" w:color="000000"/>
              <w:right w:val="single" w:sz="4" w:space="0" w:color="000000"/>
            </w:tcBorders>
            <w:vAlign w:val="bottom"/>
          </w:tcPr>
          <w:p w14:paraId="1C534B6A" w14:textId="77777777" w:rsidR="009219A0" w:rsidRDefault="00000000">
            <w:pPr>
              <w:adjustRightInd/>
              <w:snapToGrid/>
              <w:spacing w:line="240" w:lineRule="auto"/>
              <w:ind w:firstLineChars="0" w:firstLine="0"/>
              <w:jc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4</w:t>
            </w:r>
          </w:p>
        </w:tc>
        <w:tc>
          <w:tcPr>
            <w:tcW w:w="1049" w:type="dxa"/>
            <w:tcBorders>
              <w:top w:val="single" w:sz="4" w:space="0" w:color="000000"/>
              <w:left w:val="single" w:sz="4" w:space="0" w:color="000000"/>
              <w:bottom w:val="single" w:sz="4" w:space="0" w:color="000000"/>
              <w:right w:val="single" w:sz="4" w:space="0" w:color="000000"/>
            </w:tcBorders>
            <w:vAlign w:val="center"/>
          </w:tcPr>
          <w:p w14:paraId="4280DD1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4</w:t>
            </w:r>
          </w:p>
        </w:tc>
        <w:tc>
          <w:tcPr>
            <w:tcW w:w="2272" w:type="dxa"/>
            <w:tcBorders>
              <w:top w:val="single" w:sz="4" w:space="0" w:color="000000"/>
              <w:left w:val="single" w:sz="4" w:space="0" w:color="000000"/>
              <w:bottom w:val="single" w:sz="4" w:space="0" w:color="000000"/>
              <w:right w:val="single" w:sz="4" w:space="0" w:color="000000"/>
            </w:tcBorders>
            <w:vAlign w:val="bottom"/>
          </w:tcPr>
          <w:p w14:paraId="64AE0B40"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460A3711"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08FC1A6D"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1.3</w:t>
            </w:r>
          </w:p>
        </w:tc>
        <w:tc>
          <w:tcPr>
            <w:tcW w:w="2605" w:type="dxa"/>
            <w:tcBorders>
              <w:top w:val="single" w:sz="4" w:space="0" w:color="000000"/>
              <w:left w:val="single" w:sz="4" w:space="0" w:color="000000"/>
              <w:bottom w:val="single" w:sz="4" w:space="0" w:color="000000"/>
              <w:right w:val="single" w:sz="4" w:space="0" w:color="000000"/>
            </w:tcBorders>
            <w:vAlign w:val="center"/>
          </w:tcPr>
          <w:p w14:paraId="4A8E704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作业场所防护设施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55766C32"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3B21A589"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14D85DC7"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4B924913"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45FA2177"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10EF66DD"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1.3.1</w:t>
            </w:r>
          </w:p>
        </w:tc>
        <w:tc>
          <w:tcPr>
            <w:tcW w:w="2605" w:type="dxa"/>
            <w:tcBorders>
              <w:top w:val="single" w:sz="4" w:space="0" w:color="000000"/>
              <w:left w:val="single" w:sz="4" w:space="0" w:color="000000"/>
              <w:bottom w:val="single" w:sz="4" w:space="0" w:color="000000"/>
              <w:right w:val="single" w:sz="4" w:space="0" w:color="000000"/>
            </w:tcBorders>
            <w:vAlign w:val="center"/>
          </w:tcPr>
          <w:p w14:paraId="4B49DE0A"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防噪音措施费</w:t>
            </w:r>
          </w:p>
        </w:tc>
        <w:tc>
          <w:tcPr>
            <w:tcW w:w="1049" w:type="dxa"/>
            <w:tcBorders>
              <w:top w:val="single" w:sz="4" w:space="0" w:color="000000"/>
              <w:left w:val="single" w:sz="4" w:space="0" w:color="000000"/>
              <w:bottom w:val="single" w:sz="4" w:space="0" w:color="000000"/>
              <w:right w:val="single" w:sz="4" w:space="0" w:color="000000"/>
            </w:tcBorders>
            <w:vAlign w:val="center"/>
          </w:tcPr>
          <w:p w14:paraId="6BD7F07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若干</w:t>
            </w:r>
          </w:p>
        </w:tc>
        <w:tc>
          <w:tcPr>
            <w:tcW w:w="1049" w:type="dxa"/>
            <w:tcBorders>
              <w:top w:val="single" w:sz="4" w:space="0" w:color="000000"/>
              <w:left w:val="single" w:sz="4" w:space="0" w:color="000000"/>
              <w:bottom w:val="single" w:sz="4" w:space="0" w:color="000000"/>
              <w:right w:val="single" w:sz="4" w:space="0" w:color="000000"/>
            </w:tcBorders>
            <w:vAlign w:val="bottom"/>
          </w:tcPr>
          <w:p w14:paraId="5631B07E" w14:textId="77777777" w:rsidR="009219A0" w:rsidRDefault="00000000">
            <w:pPr>
              <w:adjustRightInd/>
              <w:snapToGrid/>
              <w:spacing w:line="240" w:lineRule="auto"/>
              <w:ind w:firstLineChars="0" w:firstLine="0"/>
              <w:jc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w:t>
            </w:r>
          </w:p>
        </w:tc>
        <w:tc>
          <w:tcPr>
            <w:tcW w:w="1049" w:type="dxa"/>
            <w:tcBorders>
              <w:top w:val="single" w:sz="4" w:space="0" w:color="000000"/>
              <w:left w:val="single" w:sz="4" w:space="0" w:color="000000"/>
              <w:bottom w:val="single" w:sz="4" w:space="0" w:color="000000"/>
              <w:right w:val="single" w:sz="4" w:space="0" w:color="000000"/>
            </w:tcBorders>
            <w:vAlign w:val="center"/>
          </w:tcPr>
          <w:p w14:paraId="4B4CBDE5"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4</w:t>
            </w:r>
          </w:p>
        </w:tc>
        <w:tc>
          <w:tcPr>
            <w:tcW w:w="2272" w:type="dxa"/>
            <w:tcBorders>
              <w:top w:val="single" w:sz="4" w:space="0" w:color="000000"/>
              <w:left w:val="single" w:sz="4" w:space="0" w:color="000000"/>
              <w:bottom w:val="single" w:sz="4" w:space="0" w:color="000000"/>
              <w:right w:val="single" w:sz="4" w:space="0" w:color="000000"/>
            </w:tcBorders>
            <w:vAlign w:val="bottom"/>
          </w:tcPr>
          <w:p w14:paraId="5A1DD826"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30713C56"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27E2AF25"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1.3.2</w:t>
            </w:r>
          </w:p>
        </w:tc>
        <w:tc>
          <w:tcPr>
            <w:tcW w:w="2605" w:type="dxa"/>
            <w:tcBorders>
              <w:top w:val="single" w:sz="4" w:space="0" w:color="000000"/>
              <w:left w:val="single" w:sz="4" w:space="0" w:color="000000"/>
              <w:bottom w:val="single" w:sz="4" w:space="0" w:color="000000"/>
              <w:right w:val="single" w:sz="4" w:space="0" w:color="000000"/>
            </w:tcBorders>
            <w:vAlign w:val="center"/>
          </w:tcPr>
          <w:p w14:paraId="3E65DAE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通风排烟设备费用</w:t>
            </w:r>
          </w:p>
        </w:tc>
        <w:tc>
          <w:tcPr>
            <w:tcW w:w="1049" w:type="dxa"/>
            <w:tcBorders>
              <w:top w:val="single" w:sz="4" w:space="0" w:color="000000"/>
              <w:left w:val="single" w:sz="4" w:space="0" w:color="000000"/>
              <w:bottom w:val="single" w:sz="4" w:space="0" w:color="000000"/>
              <w:right w:val="single" w:sz="4" w:space="0" w:color="000000"/>
            </w:tcBorders>
            <w:vAlign w:val="center"/>
          </w:tcPr>
          <w:p w14:paraId="648BE686"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若干</w:t>
            </w:r>
          </w:p>
        </w:tc>
        <w:tc>
          <w:tcPr>
            <w:tcW w:w="1049" w:type="dxa"/>
            <w:tcBorders>
              <w:top w:val="single" w:sz="4" w:space="0" w:color="000000"/>
              <w:left w:val="single" w:sz="4" w:space="0" w:color="000000"/>
              <w:bottom w:val="single" w:sz="4" w:space="0" w:color="000000"/>
              <w:right w:val="single" w:sz="4" w:space="0" w:color="000000"/>
            </w:tcBorders>
            <w:vAlign w:val="center"/>
          </w:tcPr>
          <w:p w14:paraId="6617804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w:t>
            </w:r>
          </w:p>
        </w:tc>
        <w:tc>
          <w:tcPr>
            <w:tcW w:w="1049" w:type="dxa"/>
            <w:tcBorders>
              <w:top w:val="single" w:sz="4" w:space="0" w:color="000000"/>
              <w:left w:val="single" w:sz="4" w:space="0" w:color="000000"/>
              <w:bottom w:val="single" w:sz="4" w:space="0" w:color="000000"/>
              <w:right w:val="single" w:sz="4" w:space="0" w:color="000000"/>
            </w:tcBorders>
            <w:vAlign w:val="center"/>
          </w:tcPr>
          <w:p w14:paraId="2EA08586"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5</w:t>
            </w:r>
          </w:p>
        </w:tc>
        <w:tc>
          <w:tcPr>
            <w:tcW w:w="2272" w:type="dxa"/>
            <w:tcBorders>
              <w:top w:val="single" w:sz="4" w:space="0" w:color="000000"/>
              <w:left w:val="single" w:sz="4" w:space="0" w:color="000000"/>
              <w:bottom w:val="single" w:sz="4" w:space="0" w:color="000000"/>
              <w:right w:val="single" w:sz="4" w:space="0" w:color="000000"/>
            </w:tcBorders>
            <w:vAlign w:val="center"/>
          </w:tcPr>
          <w:p w14:paraId="5F2F30D5"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设备费用</w:t>
            </w:r>
          </w:p>
        </w:tc>
      </w:tr>
      <w:tr w:rsidR="009219A0" w14:paraId="144196D6"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03248AB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1.4</w:t>
            </w:r>
          </w:p>
        </w:tc>
        <w:tc>
          <w:tcPr>
            <w:tcW w:w="2605" w:type="dxa"/>
            <w:tcBorders>
              <w:top w:val="single" w:sz="4" w:space="0" w:color="000000"/>
              <w:left w:val="single" w:sz="4" w:space="0" w:color="000000"/>
              <w:bottom w:val="single" w:sz="4" w:space="0" w:color="000000"/>
              <w:right w:val="single" w:sz="4" w:space="0" w:color="000000"/>
            </w:tcBorders>
            <w:vAlign w:val="center"/>
          </w:tcPr>
          <w:p w14:paraId="2BEAF975"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安全警示标志</w:t>
            </w:r>
          </w:p>
        </w:tc>
        <w:tc>
          <w:tcPr>
            <w:tcW w:w="1049" w:type="dxa"/>
            <w:tcBorders>
              <w:top w:val="single" w:sz="4" w:space="0" w:color="000000"/>
              <w:left w:val="single" w:sz="4" w:space="0" w:color="000000"/>
              <w:bottom w:val="single" w:sz="4" w:space="0" w:color="000000"/>
              <w:right w:val="single" w:sz="4" w:space="0" w:color="000000"/>
            </w:tcBorders>
            <w:vAlign w:val="bottom"/>
          </w:tcPr>
          <w:p w14:paraId="7070C8F5"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31DA4C7A"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1EB4A656"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135DE5B2"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5DC28783"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334459E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1.4.1</w:t>
            </w:r>
          </w:p>
        </w:tc>
        <w:tc>
          <w:tcPr>
            <w:tcW w:w="2605" w:type="dxa"/>
            <w:tcBorders>
              <w:top w:val="single" w:sz="4" w:space="0" w:color="000000"/>
              <w:left w:val="single" w:sz="4" w:space="0" w:color="000000"/>
              <w:bottom w:val="single" w:sz="4" w:space="0" w:color="000000"/>
              <w:right w:val="single" w:sz="4" w:space="0" w:color="000000"/>
            </w:tcBorders>
            <w:vAlign w:val="center"/>
          </w:tcPr>
          <w:p w14:paraId="603A85D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安全指示标志牌</w:t>
            </w:r>
          </w:p>
        </w:tc>
        <w:tc>
          <w:tcPr>
            <w:tcW w:w="1049" w:type="dxa"/>
            <w:tcBorders>
              <w:top w:val="single" w:sz="4" w:space="0" w:color="000000"/>
              <w:left w:val="single" w:sz="4" w:space="0" w:color="000000"/>
              <w:bottom w:val="single" w:sz="4" w:space="0" w:color="000000"/>
              <w:right w:val="single" w:sz="4" w:space="0" w:color="000000"/>
            </w:tcBorders>
            <w:vAlign w:val="center"/>
          </w:tcPr>
          <w:p w14:paraId="402D00B7"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若干</w:t>
            </w:r>
          </w:p>
        </w:tc>
        <w:tc>
          <w:tcPr>
            <w:tcW w:w="1049" w:type="dxa"/>
            <w:tcBorders>
              <w:top w:val="single" w:sz="4" w:space="0" w:color="000000"/>
              <w:left w:val="single" w:sz="4" w:space="0" w:color="000000"/>
              <w:bottom w:val="single" w:sz="4" w:space="0" w:color="000000"/>
              <w:right w:val="single" w:sz="4" w:space="0" w:color="000000"/>
            </w:tcBorders>
            <w:vAlign w:val="bottom"/>
          </w:tcPr>
          <w:p w14:paraId="19813923"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0D79A03A"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0.5</w:t>
            </w:r>
          </w:p>
        </w:tc>
        <w:tc>
          <w:tcPr>
            <w:tcW w:w="2272" w:type="dxa"/>
            <w:tcBorders>
              <w:top w:val="single" w:sz="4" w:space="0" w:color="000000"/>
              <w:left w:val="single" w:sz="4" w:space="0" w:color="000000"/>
              <w:bottom w:val="single" w:sz="4" w:space="0" w:color="000000"/>
              <w:right w:val="single" w:sz="4" w:space="0" w:color="000000"/>
            </w:tcBorders>
            <w:vAlign w:val="bottom"/>
          </w:tcPr>
          <w:p w14:paraId="0E048081"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73CBC763"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0AD5A4B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1.4.2</w:t>
            </w:r>
          </w:p>
        </w:tc>
        <w:tc>
          <w:tcPr>
            <w:tcW w:w="2605" w:type="dxa"/>
            <w:tcBorders>
              <w:top w:val="single" w:sz="4" w:space="0" w:color="000000"/>
              <w:left w:val="single" w:sz="4" w:space="0" w:color="000000"/>
              <w:bottom w:val="single" w:sz="4" w:space="0" w:color="000000"/>
              <w:right w:val="single" w:sz="4" w:space="0" w:color="000000"/>
            </w:tcBorders>
            <w:vAlign w:val="center"/>
          </w:tcPr>
          <w:p w14:paraId="411C476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警示标志牌</w:t>
            </w:r>
          </w:p>
        </w:tc>
        <w:tc>
          <w:tcPr>
            <w:tcW w:w="1049" w:type="dxa"/>
            <w:tcBorders>
              <w:top w:val="single" w:sz="4" w:space="0" w:color="000000"/>
              <w:left w:val="single" w:sz="4" w:space="0" w:color="000000"/>
              <w:bottom w:val="single" w:sz="4" w:space="0" w:color="000000"/>
              <w:right w:val="single" w:sz="4" w:space="0" w:color="000000"/>
            </w:tcBorders>
            <w:vAlign w:val="center"/>
          </w:tcPr>
          <w:p w14:paraId="74EB6B11"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若干</w:t>
            </w:r>
          </w:p>
        </w:tc>
        <w:tc>
          <w:tcPr>
            <w:tcW w:w="1049" w:type="dxa"/>
            <w:tcBorders>
              <w:top w:val="single" w:sz="4" w:space="0" w:color="000000"/>
              <w:left w:val="single" w:sz="4" w:space="0" w:color="000000"/>
              <w:bottom w:val="single" w:sz="4" w:space="0" w:color="000000"/>
              <w:right w:val="single" w:sz="4" w:space="0" w:color="000000"/>
            </w:tcBorders>
            <w:vAlign w:val="bottom"/>
          </w:tcPr>
          <w:p w14:paraId="06775DAC"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2C51319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0.5</w:t>
            </w:r>
          </w:p>
        </w:tc>
        <w:tc>
          <w:tcPr>
            <w:tcW w:w="2272" w:type="dxa"/>
            <w:tcBorders>
              <w:top w:val="single" w:sz="4" w:space="0" w:color="000000"/>
              <w:left w:val="single" w:sz="4" w:space="0" w:color="000000"/>
              <w:bottom w:val="single" w:sz="4" w:space="0" w:color="000000"/>
              <w:right w:val="single" w:sz="4" w:space="0" w:color="000000"/>
            </w:tcBorders>
            <w:vAlign w:val="bottom"/>
          </w:tcPr>
          <w:p w14:paraId="41E7C70B"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549C73A6"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6BAD0B5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1.4.3</w:t>
            </w:r>
          </w:p>
        </w:tc>
        <w:tc>
          <w:tcPr>
            <w:tcW w:w="2605" w:type="dxa"/>
            <w:tcBorders>
              <w:top w:val="single" w:sz="4" w:space="0" w:color="000000"/>
              <w:left w:val="single" w:sz="4" w:space="0" w:color="000000"/>
              <w:bottom w:val="single" w:sz="4" w:space="0" w:color="000000"/>
              <w:right w:val="single" w:sz="4" w:space="0" w:color="000000"/>
            </w:tcBorders>
            <w:vAlign w:val="center"/>
          </w:tcPr>
          <w:p w14:paraId="6899C5ED"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限速标志</w:t>
            </w:r>
          </w:p>
        </w:tc>
        <w:tc>
          <w:tcPr>
            <w:tcW w:w="1049" w:type="dxa"/>
            <w:tcBorders>
              <w:top w:val="single" w:sz="4" w:space="0" w:color="000000"/>
              <w:left w:val="single" w:sz="4" w:space="0" w:color="000000"/>
              <w:bottom w:val="single" w:sz="4" w:space="0" w:color="000000"/>
              <w:right w:val="single" w:sz="4" w:space="0" w:color="000000"/>
            </w:tcBorders>
            <w:vAlign w:val="center"/>
          </w:tcPr>
          <w:p w14:paraId="6E4AF886"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w:t>
            </w:r>
          </w:p>
        </w:tc>
        <w:tc>
          <w:tcPr>
            <w:tcW w:w="1049" w:type="dxa"/>
            <w:tcBorders>
              <w:top w:val="single" w:sz="4" w:space="0" w:color="000000"/>
              <w:left w:val="single" w:sz="4" w:space="0" w:color="000000"/>
              <w:bottom w:val="single" w:sz="4" w:space="0" w:color="000000"/>
              <w:right w:val="single" w:sz="4" w:space="0" w:color="000000"/>
            </w:tcBorders>
            <w:vAlign w:val="center"/>
          </w:tcPr>
          <w:p w14:paraId="4D2D2E4E"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0.015</w:t>
            </w:r>
          </w:p>
        </w:tc>
        <w:tc>
          <w:tcPr>
            <w:tcW w:w="1049" w:type="dxa"/>
            <w:tcBorders>
              <w:top w:val="single" w:sz="4" w:space="0" w:color="000000"/>
              <w:left w:val="single" w:sz="4" w:space="0" w:color="000000"/>
              <w:bottom w:val="single" w:sz="4" w:space="0" w:color="000000"/>
              <w:right w:val="single" w:sz="4" w:space="0" w:color="000000"/>
            </w:tcBorders>
            <w:vAlign w:val="center"/>
          </w:tcPr>
          <w:p w14:paraId="59564977"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0.03</w:t>
            </w:r>
          </w:p>
        </w:tc>
        <w:tc>
          <w:tcPr>
            <w:tcW w:w="2272" w:type="dxa"/>
            <w:tcBorders>
              <w:top w:val="single" w:sz="4" w:space="0" w:color="000000"/>
              <w:left w:val="single" w:sz="4" w:space="0" w:color="000000"/>
              <w:bottom w:val="single" w:sz="4" w:space="0" w:color="000000"/>
              <w:right w:val="single" w:sz="4" w:space="0" w:color="000000"/>
            </w:tcBorders>
            <w:vAlign w:val="bottom"/>
          </w:tcPr>
          <w:p w14:paraId="5E4D3FFB"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4D992031" w14:textId="77777777">
        <w:trPr>
          <w:trHeight w:val="301"/>
        </w:trPr>
        <w:tc>
          <w:tcPr>
            <w:tcW w:w="9072" w:type="dxa"/>
            <w:gridSpan w:val="6"/>
            <w:tcBorders>
              <w:top w:val="single" w:sz="4" w:space="0" w:color="000000"/>
              <w:left w:val="single" w:sz="4" w:space="0" w:color="000000"/>
              <w:bottom w:val="single" w:sz="4" w:space="0" w:color="000000"/>
              <w:right w:val="single" w:sz="4" w:space="0" w:color="000000"/>
            </w:tcBorders>
            <w:vAlign w:val="bottom"/>
          </w:tcPr>
          <w:p w14:paraId="110D7DA0"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62984DF5"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0674D311"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w:t>
            </w:r>
          </w:p>
        </w:tc>
        <w:tc>
          <w:tcPr>
            <w:tcW w:w="2605" w:type="dxa"/>
            <w:tcBorders>
              <w:top w:val="single" w:sz="4" w:space="0" w:color="000000"/>
              <w:left w:val="single" w:sz="4" w:space="0" w:color="000000"/>
              <w:bottom w:val="single" w:sz="4" w:space="0" w:color="000000"/>
              <w:right w:val="single" w:sz="4" w:space="0" w:color="000000"/>
            </w:tcBorders>
            <w:vAlign w:val="center"/>
          </w:tcPr>
          <w:p w14:paraId="4AD1EFCB"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减少与消除事故影响设施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72E9168F"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731367A7"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4A7C6DAD" w14:textId="77777777" w:rsidR="009219A0" w:rsidRDefault="00000000">
            <w:pPr>
              <w:adjustRightInd/>
              <w:snapToGrid/>
              <w:spacing w:line="240" w:lineRule="auto"/>
              <w:ind w:firstLineChars="0" w:firstLine="0"/>
              <w:jc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11.51</w:t>
            </w:r>
          </w:p>
        </w:tc>
        <w:tc>
          <w:tcPr>
            <w:tcW w:w="2272" w:type="dxa"/>
            <w:tcBorders>
              <w:top w:val="single" w:sz="4" w:space="0" w:color="000000"/>
              <w:left w:val="single" w:sz="4" w:space="0" w:color="000000"/>
              <w:bottom w:val="single" w:sz="4" w:space="0" w:color="000000"/>
              <w:right w:val="single" w:sz="4" w:space="0" w:color="000000"/>
            </w:tcBorders>
            <w:vAlign w:val="bottom"/>
          </w:tcPr>
          <w:p w14:paraId="22885101"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00285586"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07F38B7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2.1</w:t>
            </w:r>
          </w:p>
        </w:tc>
        <w:tc>
          <w:tcPr>
            <w:tcW w:w="2605" w:type="dxa"/>
            <w:tcBorders>
              <w:top w:val="single" w:sz="4" w:space="0" w:color="000000"/>
              <w:left w:val="single" w:sz="4" w:space="0" w:color="000000"/>
              <w:bottom w:val="single" w:sz="4" w:space="0" w:color="000000"/>
              <w:right w:val="single" w:sz="4" w:space="0" w:color="000000"/>
            </w:tcBorders>
            <w:vAlign w:val="center"/>
          </w:tcPr>
          <w:p w14:paraId="253B324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防止火灾蔓延设施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6B05590F"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47369148"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13704250"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54ACB1A8"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619B42DA"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2665A0D7"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2.1.1</w:t>
            </w:r>
          </w:p>
        </w:tc>
        <w:tc>
          <w:tcPr>
            <w:tcW w:w="2605" w:type="dxa"/>
            <w:tcBorders>
              <w:top w:val="single" w:sz="4" w:space="0" w:color="000000"/>
              <w:left w:val="single" w:sz="4" w:space="0" w:color="000000"/>
              <w:bottom w:val="single" w:sz="4" w:space="0" w:color="000000"/>
              <w:right w:val="single" w:sz="4" w:space="0" w:color="000000"/>
            </w:tcBorders>
            <w:vAlign w:val="center"/>
          </w:tcPr>
          <w:p w14:paraId="23D82390"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防火材料涂层</w:t>
            </w:r>
          </w:p>
        </w:tc>
        <w:tc>
          <w:tcPr>
            <w:tcW w:w="1049" w:type="dxa"/>
            <w:tcBorders>
              <w:top w:val="single" w:sz="4" w:space="0" w:color="000000"/>
              <w:left w:val="single" w:sz="4" w:space="0" w:color="000000"/>
              <w:bottom w:val="single" w:sz="4" w:space="0" w:color="000000"/>
              <w:right w:val="single" w:sz="4" w:space="0" w:color="000000"/>
            </w:tcBorders>
            <w:vAlign w:val="center"/>
          </w:tcPr>
          <w:p w14:paraId="35D909CE"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若干</w:t>
            </w:r>
          </w:p>
        </w:tc>
        <w:tc>
          <w:tcPr>
            <w:tcW w:w="1049" w:type="dxa"/>
            <w:tcBorders>
              <w:top w:val="single" w:sz="4" w:space="0" w:color="000000"/>
              <w:left w:val="single" w:sz="4" w:space="0" w:color="000000"/>
              <w:bottom w:val="single" w:sz="4" w:space="0" w:color="000000"/>
              <w:right w:val="single" w:sz="4" w:space="0" w:color="000000"/>
            </w:tcBorders>
            <w:vAlign w:val="bottom"/>
          </w:tcPr>
          <w:p w14:paraId="6259EA0B"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2E748967"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4</w:t>
            </w:r>
          </w:p>
        </w:tc>
        <w:tc>
          <w:tcPr>
            <w:tcW w:w="2272" w:type="dxa"/>
            <w:tcBorders>
              <w:top w:val="single" w:sz="4" w:space="0" w:color="000000"/>
              <w:left w:val="single" w:sz="4" w:space="0" w:color="000000"/>
              <w:bottom w:val="single" w:sz="4" w:space="0" w:color="000000"/>
              <w:right w:val="single" w:sz="4" w:space="0" w:color="000000"/>
            </w:tcBorders>
            <w:vAlign w:val="center"/>
          </w:tcPr>
          <w:p w14:paraId="47C8135A"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建筑费用</w:t>
            </w:r>
          </w:p>
        </w:tc>
      </w:tr>
      <w:tr w:rsidR="009219A0" w14:paraId="4A82762F"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1C60994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w:t>
            </w:r>
          </w:p>
        </w:tc>
        <w:tc>
          <w:tcPr>
            <w:tcW w:w="2605" w:type="dxa"/>
            <w:tcBorders>
              <w:top w:val="single" w:sz="4" w:space="0" w:color="000000"/>
              <w:left w:val="single" w:sz="4" w:space="0" w:color="000000"/>
              <w:bottom w:val="single" w:sz="4" w:space="0" w:color="000000"/>
              <w:right w:val="single" w:sz="4" w:space="0" w:color="000000"/>
            </w:tcBorders>
            <w:vAlign w:val="center"/>
          </w:tcPr>
          <w:p w14:paraId="40E460AD"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灭火设施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145DB5AD"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6A0F65BE"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6BBF1731"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1CE9A598"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1D71823F"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09FCCB3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2.2.1</w:t>
            </w:r>
          </w:p>
        </w:tc>
        <w:tc>
          <w:tcPr>
            <w:tcW w:w="2605" w:type="dxa"/>
            <w:tcBorders>
              <w:top w:val="single" w:sz="4" w:space="0" w:color="000000"/>
              <w:left w:val="single" w:sz="4" w:space="0" w:color="000000"/>
              <w:bottom w:val="single" w:sz="4" w:space="0" w:color="000000"/>
              <w:right w:val="single" w:sz="4" w:space="0" w:color="000000"/>
            </w:tcBorders>
            <w:vAlign w:val="center"/>
          </w:tcPr>
          <w:p w14:paraId="420D6E5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室外消火栓</w:t>
            </w:r>
          </w:p>
        </w:tc>
        <w:tc>
          <w:tcPr>
            <w:tcW w:w="1049" w:type="dxa"/>
            <w:tcBorders>
              <w:top w:val="single" w:sz="4" w:space="0" w:color="000000"/>
              <w:left w:val="single" w:sz="4" w:space="0" w:color="000000"/>
              <w:bottom w:val="single" w:sz="4" w:space="0" w:color="000000"/>
              <w:right w:val="single" w:sz="4" w:space="0" w:color="000000"/>
            </w:tcBorders>
            <w:vAlign w:val="center"/>
          </w:tcPr>
          <w:p w14:paraId="184E4277"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2个</w:t>
            </w:r>
          </w:p>
        </w:tc>
        <w:tc>
          <w:tcPr>
            <w:tcW w:w="1049" w:type="dxa"/>
            <w:tcBorders>
              <w:top w:val="single" w:sz="4" w:space="0" w:color="000000"/>
              <w:left w:val="single" w:sz="4" w:space="0" w:color="000000"/>
              <w:bottom w:val="single" w:sz="4" w:space="0" w:color="000000"/>
              <w:right w:val="single" w:sz="4" w:space="0" w:color="000000"/>
            </w:tcBorders>
            <w:vAlign w:val="center"/>
          </w:tcPr>
          <w:p w14:paraId="0D58A0AE"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1C18F7B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0.5</w:t>
            </w:r>
          </w:p>
        </w:tc>
        <w:tc>
          <w:tcPr>
            <w:tcW w:w="2272" w:type="dxa"/>
            <w:tcBorders>
              <w:top w:val="single" w:sz="4" w:space="0" w:color="000000"/>
              <w:left w:val="single" w:sz="4" w:space="0" w:color="000000"/>
              <w:bottom w:val="single" w:sz="4" w:space="0" w:color="000000"/>
              <w:right w:val="single" w:sz="4" w:space="0" w:color="000000"/>
            </w:tcBorders>
            <w:vAlign w:val="bottom"/>
          </w:tcPr>
          <w:p w14:paraId="04E34242"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18B5C8AF"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269E5B11"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2.2.2</w:t>
            </w:r>
          </w:p>
        </w:tc>
        <w:tc>
          <w:tcPr>
            <w:tcW w:w="2605" w:type="dxa"/>
            <w:tcBorders>
              <w:top w:val="single" w:sz="4" w:space="0" w:color="000000"/>
              <w:left w:val="single" w:sz="4" w:space="0" w:color="000000"/>
              <w:bottom w:val="single" w:sz="4" w:space="0" w:color="000000"/>
              <w:right w:val="single" w:sz="4" w:space="0" w:color="000000"/>
            </w:tcBorders>
            <w:vAlign w:val="center"/>
          </w:tcPr>
          <w:p w14:paraId="24186D26"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室内消火栓</w:t>
            </w:r>
          </w:p>
        </w:tc>
        <w:tc>
          <w:tcPr>
            <w:tcW w:w="1049" w:type="dxa"/>
            <w:tcBorders>
              <w:top w:val="single" w:sz="4" w:space="0" w:color="000000"/>
              <w:left w:val="single" w:sz="4" w:space="0" w:color="000000"/>
              <w:bottom w:val="single" w:sz="4" w:space="0" w:color="000000"/>
              <w:right w:val="single" w:sz="4" w:space="0" w:color="000000"/>
            </w:tcBorders>
            <w:vAlign w:val="center"/>
          </w:tcPr>
          <w:p w14:paraId="582019B4"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6286F27E"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6E11BF6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0.4</w:t>
            </w:r>
          </w:p>
        </w:tc>
        <w:tc>
          <w:tcPr>
            <w:tcW w:w="2272" w:type="dxa"/>
            <w:tcBorders>
              <w:top w:val="single" w:sz="4" w:space="0" w:color="000000"/>
              <w:left w:val="single" w:sz="4" w:space="0" w:color="000000"/>
              <w:bottom w:val="single" w:sz="4" w:space="0" w:color="000000"/>
              <w:right w:val="single" w:sz="4" w:space="0" w:color="000000"/>
            </w:tcBorders>
            <w:vAlign w:val="bottom"/>
          </w:tcPr>
          <w:p w14:paraId="39E81D38"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6350F19D"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10E0A52A" w14:textId="77777777" w:rsidR="009219A0" w:rsidRDefault="00000000">
            <w:pPr>
              <w:adjustRightInd/>
              <w:snapToGrid/>
              <w:spacing w:line="240" w:lineRule="auto"/>
              <w:ind w:firstLineChars="0" w:firstLine="0"/>
              <w:jc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2.2.3</w:t>
            </w:r>
          </w:p>
        </w:tc>
        <w:tc>
          <w:tcPr>
            <w:tcW w:w="2605" w:type="dxa"/>
            <w:tcBorders>
              <w:top w:val="single" w:sz="4" w:space="0" w:color="000000"/>
              <w:left w:val="single" w:sz="4" w:space="0" w:color="000000"/>
              <w:bottom w:val="single" w:sz="4" w:space="0" w:color="000000"/>
              <w:right w:val="single" w:sz="4" w:space="0" w:color="000000"/>
            </w:tcBorders>
            <w:vAlign w:val="center"/>
          </w:tcPr>
          <w:p w14:paraId="152CE998"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消火栓箱</w:t>
            </w:r>
          </w:p>
        </w:tc>
        <w:tc>
          <w:tcPr>
            <w:tcW w:w="1049" w:type="dxa"/>
            <w:tcBorders>
              <w:top w:val="single" w:sz="4" w:space="0" w:color="000000"/>
              <w:left w:val="single" w:sz="4" w:space="0" w:color="000000"/>
              <w:bottom w:val="single" w:sz="4" w:space="0" w:color="000000"/>
              <w:right w:val="single" w:sz="4" w:space="0" w:color="000000"/>
            </w:tcBorders>
            <w:vAlign w:val="center"/>
          </w:tcPr>
          <w:p w14:paraId="770A1B92"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59D0A873"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34DB19B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0.2</w:t>
            </w:r>
          </w:p>
        </w:tc>
        <w:tc>
          <w:tcPr>
            <w:tcW w:w="2272" w:type="dxa"/>
            <w:tcBorders>
              <w:top w:val="single" w:sz="4" w:space="0" w:color="000000"/>
              <w:left w:val="single" w:sz="4" w:space="0" w:color="000000"/>
              <w:bottom w:val="single" w:sz="4" w:space="0" w:color="000000"/>
              <w:right w:val="single" w:sz="4" w:space="0" w:color="000000"/>
            </w:tcBorders>
            <w:vAlign w:val="center"/>
          </w:tcPr>
          <w:p w14:paraId="54768ECB"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roofErr w:type="gramStart"/>
            <w:r>
              <w:rPr>
                <w:rFonts w:ascii="宋体" w:hAnsi="宋体" w:cs="宋体" w:hint="eastAsia"/>
                <w:color w:val="auto"/>
                <w:kern w:val="0"/>
                <w:sz w:val="21"/>
                <w:szCs w:val="21"/>
                <w:lang w:bidi="ar"/>
              </w:rPr>
              <w:t>附水带</w:t>
            </w:r>
            <w:proofErr w:type="gramEnd"/>
            <w:r>
              <w:rPr>
                <w:rFonts w:ascii="宋体" w:hAnsi="宋体" w:cs="宋体" w:hint="eastAsia"/>
                <w:color w:val="auto"/>
                <w:kern w:val="0"/>
                <w:sz w:val="21"/>
                <w:szCs w:val="21"/>
                <w:lang w:bidi="ar"/>
              </w:rPr>
              <w:t>喷头</w:t>
            </w:r>
          </w:p>
        </w:tc>
      </w:tr>
      <w:tr w:rsidR="009219A0" w14:paraId="7856121A"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3351F525"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2.2.4</w:t>
            </w:r>
          </w:p>
        </w:tc>
        <w:tc>
          <w:tcPr>
            <w:tcW w:w="2605" w:type="dxa"/>
            <w:tcBorders>
              <w:top w:val="single" w:sz="4" w:space="0" w:color="000000"/>
              <w:left w:val="single" w:sz="4" w:space="0" w:color="000000"/>
              <w:bottom w:val="single" w:sz="4" w:space="0" w:color="000000"/>
              <w:right w:val="single" w:sz="4" w:space="0" w:color="000000"/>
            </w:tcBorders>
            <w:vAlign w:val="center"/>
          </w:tcPr>
          <w:p w14:paraId="6A364F80"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室内消防管网</w:t>
            </w:r>
          </w:p>
        </w:tc>
        <w:tc>
          <w:tcPr>
            <w:tcW w:w="1049" w:type="dxa"/>
            <w:tcBorders>
              <w:top w:val="single" w:sz="4" w:space="0" w:color="000000"/>
              <w:left w:val="single" w:sz="4" w:space="0" w:color="000000"/>
              <w:bottom w:val="single" w:sz="4" w:space="0" w:color="000000"/>
              <w:right w:val="single" w:sz="4" w:space="0" w:color="000000"/>
            </w:tcBorders>
            <w:vAlign w:val="bottom"/>
          </w:tcPr>
          <w:p w14:paraId="4094D125"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282844A5"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2BDE3D5E"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07E5074F"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4632C80C"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1901565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2.2.5</w:t>
            </w:r>
          </w:p>
        </w:tc>
        <w:tc>
          <w:tcPr>
            <w:tcW w:w="2605" w:type="dxa"/>
            <w:tcBorders>
              <w:top w:val="single" w:sz="4" w:space="0" w:color="000000"/>
              <w:left w:val="single" w:sz="4" w:space="0" w:color="000000"/>
              <w:bottom w:val="single" w:sz="4" w:space="0" w:color="000000"/>
              <w:right w:val="single" w:sz="4" w:space="0" w:color="000000"/>
            </w:tcBorders>
            <w:vAlign w:val="center"/>
          </w:tcPr>
          <w:p w14:paraId="635970C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手提式干粉灭火器</w:t>
            </w:r>
          </w:p>
        </w:tc>
        <w:tc>
          <w:tcPr>
            <w:tcW w:w="1049" w:type="dxa"/>
            <w:tcBorders>
              <w:top w:val="single" w:sz="4" w:space="0" w:color="000000"/>
              <w:left w:val="single" w:sz="4" w:space="0" w:color="000000"/>
              <w:bottom w:val="single" w:sz="4" w:space="0" w:color="000000"/>
              <w:right w:val="single" w:sz="4" w:space="0" w:color="000000"/>
            </w:tcBorders>
            <w:vAlign w:val="center"/>
          </w:tcPr>
          <w:p w14:paraId="7947D508"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10</w:t>
            </w:r>
          </w:p>
        </w:tc>
        <w:tc>
          <w:tcPr>
            <w:tcW w:w="1049" w:type="dxa"/>
            <w:tcBorders>
              <w:top w:val="single" w:sz="4" w:space="0" w:color="000000"/>
              <w:left w:val="single" w:sz="4" w:space="0" w:color="000000"/>
              <w:bottom w:val="single" w:sz="4" w:space="0" w:color="000000"/>
              <w:right w:val="single" w:sz="4" w:space="0" w:color="000000"/>
            </w:tcBorders>
            <w:vAlign w:val="center"/>
          </w:tcPr>
          <w:p w14:paraId="53C49F3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0.01</w:t>
            </w:r>
          </w:p>
        </w:tc>
        <w:tc>
          <w:tcPr>
            <w:tcW w:w="1049" w:type="dxa"/>
            <w:tcBorders>
              <w:top w:val="single" w:sz="4" w:space="0" w:color="000000"/>
              <w:left w:val="single" w:sz="4" w:space="0" w:color="000000"/>
              <w:bottom w:val="single" w:sz="4" w:space="0" w:color="000000"/>
              <w:right w:val="single" w:sz="4" w:space="0" w:color="000000"/>
            </w:tcBorders>
            <w:vAlign w:val="center"/>
          </w:tcPr>
          <w:p w14:paraId="391C34C7"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0.1</w:t>
            </w:r>
          </w:p>
        </w:tc>
        <w:tc>
          <w:tcPr>
            <w:tcW w:w="2272" w:type="dxa"/>
            <w:tcBorders>
              <w:top w:val="single" w:sz="4" w:space="0" w:color="000000"/>
              <w:left w:val="single" w:sz="4" w:space="0" w:color="000000"/>
              <w:bottom w:val="single" w:sz="4" w:space="0" w:color="000000"/>
              <w:right w:val="single" w:sz="4" w:space="0" w:color="000000"/>
            </w:tcBorders>
          </w:tcPr>
          <w:p w14:paraId="0A219A8D"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3kg</w:t>
            </w:r>
          </w:p>
        </w:tc>
      </w:tr>
      <w:tr w:rsidR="009219A0" w14:paraId="199E801D"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25315060"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2.2.6</w:t>
            </w:r>
          </w:p>
        </w:tc>
        <w:tc>
          <w:tcPr>
            <w:tcW w:w="2605" w:type="dxa"/>
            <w:tcBorders>
              <w:top w:val="single" w:sz="4" w:space="0" w:color="000000"/>
              <w:left w:val="single" w:sz="4" w:space="0" w:color="000000"/>
              <w:bottom w:val="single" w:sz="4" w:space="0" w:color="000000"/>
              <w:right w:val="single" w:sz="4" w:space="0" w:color="000000"/>
            </w:tcBorders>
            <w:vAlign w:val="center"/>
          </w:tcPr>
          <w:p w14:paraId="6FE5287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手提式干粉灭火器</w:t>
            </w:r>
          </w:p>
        </w:tc>
        <w:tc>
          <w:tcPr>
            <w:tcW w:w="1049" w:type="dxa"/>
            <w:tcBorders>
              <w:top w:val="single" w:sz="4" w:space="0" w:color="000000"/>
              <w:left w:val="single" w:sz="4" w:space="0" w:color="000000"/>
              <w:bottom w:val="single" w:sz="4" w:space="0" w:color="000000"/>
              <w:right w:val="single" w:sz="4" w:space="0" w:color="000000"/>
            </w:tcBorders>
            <w:vAlign w:val="center"/>
          </w:tcPr>
          <w:p w14:paraId="454D98B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10</w:t>
            </w:r>
          </w:p>
        </w:tc>
        <w:tc>
          <w:tcPr>
            <w:tcW w:w="1049" w:type="dxa"/>
            <w:tcBorders>
              <w:top w:val="single" w:sz="4" w:space="0" w:color="000000"/>
              <w:left w:val="single" w:sz="4" w:space="0" w:color="000000"/>
              <w:bottom w:val="single" w:sz="4" w:space="0" w:color="000000"/>
              <w:right w:val="single" w:sz="4" w:space="0" w:color="000000"/>
            </w:tcBorders>
            <w:vAlign w:val="center"/>
          </w:tcPr>
          <w:p w14:paraId="4CE9B0A0"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0.015</w:t>
            </w:r>
          </w:p>
        </w:tc>
        <w:tc>
          <w:tcPr>
            <w:tcW w:w="1049" w:type="dxa"/>
            <w:tcBorders>
              <w:top w:val="single" w:sz="4" w:space="0" w:color="000000"/>
              <w:left w:val="single" w:sz="4" w:space="0" w:color="000000"/>
              <w:bottom w:val="single" w:sz="4" w:space="0" w:color="000000"/>
              <w:right w:val="single" w:sz="4" w:space="0" w:color="000000"/>
            </w:tcBorders>
            <w:vAlign w:val="center"/>
          </w:tcPr>
          <w:p w14:paraId="3C29D0C7"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0.15</w:t>
            </w:r>
          </w:p>
        </w:tc>
        <w:tc>
          <w:tcPr>
            <w:tcW w:w="2272" w:type="dxa"/>
            <w:tcBorders>
              <w:top w:val="single" w:sz="4" w:space="0" w:color="000000"/>
              <w:left w:val="single" w:sz="4" w:space="0" w:color="000000"/>
              <w:bottom w:val="single" w:sz="4" w:space="0" w:color="000000"/>
              <w:right w:val="single" w:sz="4" w:space="0" w:color="000000"/>
            </w:tcBorders>
          </w:tcPr>
          <w:p w14:paraId="2B3B364A"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4kg</w:t>
            </w:r>
          </w:p>
        </w:tc>
      </w:tr>
      <w:tr w:rsidR="009219A0" w14:paraId="4185BC87"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70A59A18"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2.2.7</w:t>
            </w:r>
          </w:p>
        </w:tc>
        <w:tc>
          <w:tcPr>
            <w:tcW w:w="2605" w:type="dxa"/>
            <w:tcBorders>
              <w:top w:val="single" w:sz="4" w:space="0" w:color="000000"/>
              <w:left w:val="single" w:sz="4" w:space="0" w:color="000000"/>
              <w:bottom w:val="single" w:sz="4" w:space="0" w:color="000000"/>
              <w:right w:val="single" w:sz="4" w:space="0" w:color="000000"/>
            </w:tcBorders>
            <w:vAlign w:val="center"/>
          </w:tcPr>
          <w:p w14:paraId="1C15887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手提式干粉灭火器</w:t>
            </w:r>
          </w:p>
        </w:tc>
        <w:tc>
          <w:tcPr>
            <w:tcW w:w="1049" w:type="dxa"/>
            <w:tcBorders>
              <w:top w:val="single" w:sz="4" w:space="0" w:color="000000"/>
              <w:left w:val="single" w:sz="4" w:space="0" w:color="000000"/>
              <w:bottom w:val="single" w:sz="4" w:space="0" w:color="000000"/>
              <w:right w:val="single" w:sz="4" w:space="0" w:color="000000"/>
            </w:tcBorders>
            <w:vAlign w:val="center"/>
          </w:tcPr>
          <w:p w14:paraId="012075D4"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8</w:t>
            </w:r>
          </w:p>
        </w:tc>
        <w:tc>
          <w:tcPr>
            <w:tcW w:w="1049" w:type="dxa"/>
            <w:tcBorders>
              <w:top w:val="single" w:sz="4" w:space="0" w:color="000000"/>
              <w:left w:val="single" w:sz="4" w:space="0" w:color="000000"/>
              <w:bottom w:val="single" w:sz="4" w:space="0" w:color="000000"/>
              <w:right w:val="single" w:sz="4" w:space="0" w:color="000000"/>
            </w:tcBorders>
            <w:vAlign w:val="center"/>
          </w:tcPr>
          <w:p w14:paraId="5554F585"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0.02</w:t>
            </w:r>
          </w:p>
        </w:tc>
        <w:tc>
          <w:tcPr>
            <w:tcW w:w="1049" w:type="dxa"/>
            <w:tcBorders>
              <w:top w:val="single" w:sz="4" w:space="0" w:color="000000"/>
              <w:left w:val="single" w:sz="4" w:space="0" w:color="000000"/>
              <w:bottom w:val="single" w:sz="4" w:space="0" w:color="000000"/>
              <w:right w:val="single" w:sz="4" w:space="0" w:color="000000"/>
            </w:tcBorders>
            <w:vAlign w:val="center"/>
          </w:tcPr>
          <w:p w14:paraId="375BCF4D"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0.16</w:t>
            </w:r>
          </w:p>
        </w:tc>
        <w:tc>
          <w:tcPr>
            <w:tcW w:w="2272" w:type="dxa"/>
            <w:tcBorders>
              <w:top w:val="single" w:sz="4" w:space="0" w:color="000000"/>
              <w:left w:val="single" w:sz="4" w:space="0" w:color="000000"/>
              <w:bottom w:val="single" w:sz="4" w:space="0" w:color="000000"/>
              <w:right w:val="single" w:sz="4" w:space="0" w:color="000000"/>
            </w:tcBorders>
          </w:tcPr>
          <w:p w14:paraId="582C9610"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5kg</w:t>
            </w:r>
          </w:p>
        </w:tc>
      </w:tr>
      <w:tr w:rsidR="009219A0" w14:paraId="2C042343"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429E6348"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2.2.8</w:t>
            </w:r>
          </w:p>
        </w:tc>
        <w:tc>
          <w:tcPr>
            <w:tcW w:w="2605" w:type="dxa"/>
            <w:tcBorders>
              <w:top w:val="single" w:sz="4" w:space="0" w:color="000000"/>
              <w:left w:val="single" w:sz="4" w:space="0" w:color="000000"/>
              <w:bottom w:val="single" w:sz="4" w:space="0" w:color="000000"/>
              <w:right w:val="single" w:sz="4" w:space="0" w:color="000000"/>
            </w:tcBorders>
          </w:tcPr>
          <w:p w14:paraId="51538BA2" w14:textId="77777777" w:rsidR="009219A0" w:rsidRDefault="00000000">
            <w:pPr>
              <w:widowControl/>
              <w:adjustRightInd/>
              <w:snapToGrid/>
              <w:spacing w:line="240" w:lineRule="auto"/>
              <w:ind w:firstLineChars="0" w:firstLine="0"/>
              <w:jc w:val="center"/>
              <w:textAlignment w:val="top"/>
              <w:rPr>
                <w:rFonts w:ascii="宋体" w:hAnsi="宋体" w:cs="宋体" w:hint="eastAsia"/>
                <w:color w:val="auto"/>
                <w:kern w:val="0"/>
                <w:sz w:val="21"/>
                <w:szCs w:val="21"/>
                <w:lang w:bidi="ar"/>
              </w:rPr>
            </w:pPr>
            <w:r>
              <w:rPr>
                <w:rFonts w:ascii="宋体" w:hAnsi="宋体" w:cs="宋体" w:hint="eastAsia"/>
                <w:color w:val="auto"/>
                <w:kern w:val="0"/>
                <w:sz w:val="21"/>
                <w:szCs w:val="21"/>
                <w:lang w:bidi="ar"/>
              </w:rPr>
              <w:t>消防水泵接合器</w:t>
            </w:r>
          </w:p>
        </w:tc>
        <w:tc>
          <w:tcPr>
            <w:tcW w:w="1049" w:type="dxa"/>
            <w:tcBorders>
              <w:top w:val="single" w:sz="4" w:space="0" w:color="000000"/>
              <w:left w:val="single" w:sz="4" w:space="0" w:color="000000"/>
              <w:bottom w:val="single" w:sz="4" w:space="0" w:color="000000"/>
              <w:right w:val="single" w:sz="4" w:space="0" w:color="000000"/>
            </w:tcBorders>
            <w:vAlign w:val="center"/>
          </w:tcPr>
          <w:p w14:paraId="0D20B4D3"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3AC5B681"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4DF7410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0.1</w:t>
            </w:r>
          </w:p>
        </w:tc>
        <w:tc>
          <w:tcPr>
            <w:tcW w:w="2272" w:type="dxa"/>
            <w:tcBorders>
              <w:top w:val="single" w:sz="4" w:space="0" w:color="000000"/>
              <w:left w:val="single" w:sz="4" w:space="0" w:color="000000"/>
              <w:bottom w:val="single" w:sz="4" w:space="0" w:color="000000"/>
              <w:right w:val="single" w:sz="4" w:space="0" w:color="000000"/>
            </w:tcBorders>
          </w:tcPr>
          <w:p w14:paraId="2185FB3D"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r>
      <w:tr w:rsidR="009219A0" w14:paraId="22351CC7"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35C97B7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2.2.9</w:t>
            </w:r>
          </w:p>
        </w:tc>
        <w:tc>
          <w:tcPr>
            <w:tcW w:w="2605" w:type="dxa"/>
            <w:tcBorders>
              <w:top w:val="single" w:sz="4" w:space="0" w:color="000000"/>
              <w:left w:val="single" w:sz="4" w:space="0" w:color="000000"/>
              <w:bottom w:val="single" w:sz="4" w:space="0" w:color="000000"/>
              <w:right w:val="single" w:sz="4" w:space="0" w:color="000000"/>
            </w:tcBorders>
            <w:vAlign w:val="center"/>
          </w:tcPr>
          <w:p w14:paraId="0D931C17"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消防排烟设施</w:t>
            </w:r>
          </w:p>
        </w:tc>
        <w:tc>
          <w:tcPr>
            <w:tcW w:w="1049" w:type="dxa"/>
            <w:tcBorders>
              <w:top w:val="single" w:sz="4" w:space="0" w:color="000000"/>
              <w:left w:val="single" w:sz="4" w:space="0" w:color="000000"/>
              <w:bottom w:val="single" w:sz="4" w:space="0" w:color="000000"/>
              <w:right w:val="single" w:sz="4" w:space="0" w:color="000000"/>
            </w:tcBorders>
            <w:vAlign w:val="center"/>
          </w:tcPr>
          <w:p w14:paraId="5FA9623D"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002AADBC"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0057A42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5</w:t>
            </w:r>
          </w:p>
        </w:tc>
        <w:tc>
          <w:tcPr>
            <w:tcW w:w="2272" w:type="dxa"/>
            <w:tcBorders>
              <w:top w:val="single" w:sz="4" w:space="0" w:color="000000"/>
              <w:left w:val="single" w:sz="4" w:space="0" w:color="000000"/>
              <w:bottom w:val="single" w:sz="4" w:space="0" w:color="000000"/>
              <w:right w:val="single" w:sz="4" w:space="0" w:color="000000"/>
            </w:tcBorders>
            <w:vAlign w:val="bottom"/>
          </w:tcPr>
          <w:p w14:paraId="3D41D92B"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44BAEF06"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6A9DCE2A"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2.3</w:t>
            </w:r>
          </w:p>
        </w:tc>
        <w:tc>
          <w:tcPr>
            <w:tcW w:w="2605" w:type="dxa"/>
            <w:tcBorders>
              <w:top w:val="single" w:sz="4" w:space="0" w:color="000000"/>
              <w:left w:val="single" w:sz="4" w:space="0" w:color="000000"/>
              <w:bottom w:val="single" w:sz="4" w:space="0" w:color="000000"/>
              <w:right w:val="single" w:sz="4" w:space="0" w:color="000000"/>
            </w:tcBorders>
            <w:vAlign w:val="center"/>
          </w:tcPr>
          <w:p w14:paraId="42FB133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紧急个体处置设施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351D561D"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417D594C"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00D78C62"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683141EC"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096143F5"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52709AE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2.3.1</w:t>
            </w:r>
          </w:p>
        </w:tc>
        <w:tc>
          <w:tcPr>
            <w:tcW w:w="2605" w:type="dxa"/>
            <w:tcBorders>
              <w:top w:val="single" w:sz="4" w:space="0" w:color="000000"/>
              <w:left w:val="single" w:sz="4" w:space="0" w:color="000000"/>
              <w:bottom w:val="single" w:sz="4" w:space="0" w:color="000000"/>
              <w:right w:val="single" w:sz="4" w:space="0" w:color="000000"/>
            </w:tcBorders>
            <w:vAlign w:val="center"/>
          </w:tcPr>
          <w:p w14:paraId="44F2CAE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喷</w:t>
            </w:r>
            <w:proofErr w:type="gramStart"/>
            <w:r>
              <w:rPr>
                <w:rFonts w:ascii="宋体" w:hAnsi="宋体" w:cs="宋体" w:hint="eastAsia"/>
                <w:color w:val="auto"/>
                <w:kern w:val="0"/>
                <w:sz w:val="21"/>
                <w:szCs w:val="21"/>
                <w:lang w:bidi="ar"/>
              </w:rPr>
              <w:t>淋洗眼器</w:t>
            </w:r>
            <w:proofErr w:type="gramEnd"/>
          </w:p>
        </w:tc>
        <w:tc>
          <w:tcPr>
            <w:tcW w:w="1049" w:type="dxa"/>
            <w:tcBorders>
              <w:top w:val="single" w:sz="4" w:space="0" w:color="000000"/>
              <w:left w:val="single" w:sz="4" w:space="0" w:color="000000"/>
              <w:bottom w:val="single" w:sz="4" w:space="0" w:color="000000"/>
              <w:right w:val="single" w:sz="4" w:space="0" w:color="000000"/>
            </w:tcBorders>
            <w:vAlign w:val="center"/>
          </w:tcPr>
          <w:p w14:paraId="315F1B5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w:t>
            </w:r>
          </w:p>
        </w:tc>
        <w:tc>
          <w:tcPr>
            <w:tcW w:w="1049" w:type="dxa"/>
            <w:tcBorders>
              <w:top w:val="single" w:sz="4" w:space="0" w:color="000000"/>
              <w:left w:val="single" w:sz="4" w:space="0" w:color="000000"/>
              <w:bottom w:val="single" w:sz="4" w:space="0" w:color="000000"/>
              <w:right w:val="single" w:sz="4" w:space="0" w:color="000000"/>
            </w:tcBorders>
            <w:vAlign w:val="center"/>
          </w:tcPr>
          <w:p w14:paraId="28A7E7FD"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0.2</w:t>
            </w:r>
          </w:p>
        </w:tc>
        <w:tc>
          <w:tcPr>
            <w:tcW w:w="1049" w:type="dxa"/>
            <w:tcBorders>
              <w:top w:val="single" w:sz="4" w:space="0" w:color="000000"/>
              <w:left w:val="single" w:sz="4" w:space="0" w:color="000000"/>
              <w:bottom w:val="single" w:sz="4" w:space="0" w:color="000000"/>
              <w:right w:val="single" w:sz="4" w:space="0" w:color="000000"/>
            </w:tcBorders>
            <w:vAlign w:val="center"/>
          </w:tcPr>
          <w:p w14:paraId="4C7BAE86"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0.6</w:t>
            </w:r>
          </w:p>
        </w:tc>
        <w:tc>
          <w:tcPr>
            <w:tcW w:w="2272" w:type="dxa"/>
            <w:tcBorders>
              <w:top w:val="single" w:sz="4" w:space="0" w:color="000000"/>
              <w:left w:val="single" w:sz="4" w:space="0" w:color="000000"/>
              <w:bottom w:val="single" w:sz="4" w:space="0" w:color="000000"/>
              <w:right w:val="single" w:sz="4" w:space="0" w:color="000000"/>
            </w:tcBorders>
            <w:vAlign w:val="center"/>
          </w:tcPr>
          <w:p w14:paraId="3FE32DC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实验室酸碱使用处、中试车间内</w:t>
            </w:r>
          </w:p>
        </w:tc>
      </w:tr>
      <w:tr w:rsidR="009219A0" w14:paraId="604352F1"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7378B4BD"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2.3.2</w:t>
            </w:r>
          </w:p>
        </w:tc>
        <w:tc>
          <w:tcPr>
            <w:tcW w:w="2605" w:type="dxa"/>
            <w:tcBorders>
              <w:top w:val="single" w:sz="4" w:space="0" w:color="000000"/>
              <w:left w:val="single" w:sz="4" w:space="0" w:color="000000"/>
              <w:bottom w:val="single" w:sz="4" w:space="0" w:color="000000"/>
              <w:right w:val="single" w:sz="4" w:space="0" w:color="000000"/>
            </w:tcBorders>
            <w:vAlign w:val="center"/>
          </w:tcPr>
          <w:p w14:paraId="78BAB356"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应急灯</w:t>
            </w:r>
          </w:p>
        </w:tc>
        <w:tc>
          <w:tcPr>
            <w:tcW w:w="1049" w:type="dxa"/>
            <w:tcBorders>
              <w:top w:val="single" w:sz="4" w:space="0" w:color="000000"/>
              <w:left w:val="single" w:sz="4" w:space="0" w:color="000000"/>
              <w:bottom w:val="single" w:sz="4" w:space="0" w:color="000000"/>
              <w:right w:val="single" w:sz="4" w:space="0" w:color="000000"/>
            </w:tcBorders>
            <w:vAlign w:val="center"/>
          </w:tcPr>
          <w:p w14:paraId="2D7EF40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w:t>
            </w:r>
          </w:p>
        </w:tc>
        <w:tc>
          <w:tcPr>
            <w:tcW w:w="1049" w:type="dxa"/>
            <w:tcBorders>
              <w:top w:val="single" w:sz="4" w:space="0" w:color="000000"/>
              <w:left w:val="single" w:sz="4" w:space="0" w:color="000000"/>
              <w:bottom w:val="single" w:sz="4" w:space="0" w:color="000000"/>
              <w:right w:val="single" w:sz="4" w:space="0" w:color="000000"/>
            </w:tcBorders>
            <w:vAlign w:val="bottom"/>
          </w:tcPr>
          <w:p w14:paraId="7A64D89B" w14:textId="77777777" w:rsidR="009219A0" w:rsidRDefault="00000000">
            <w:pPr>
              <w:adjustRightInd/>
              <w:snapToGrid/>
              <w:spacing w:line="240" w:lineRule="auto"/>
              <w:ind w:firstLineChars="0" w:firstLine="0"/>
              <w:jc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0.1</w:t>
            </w:r>
          </w:p>
        </w:tc>
        <w:tc>
          <w:tcPr>
            <w:tcW w:w="1049" w:type="dxa"/>
            <w:tcBorders>
              <w:top w:val="single" w:sz="4" w:space="0" w:color="000000"/>
              <w:left w:val="single" w:sz="4" w:space="0" w:color="000000"/>
              <w:bottom w:val="single" w:sz="4" w:space="0" w:color="000000"/>
              <w:right w:val="single" w:sz="4" w:space="0" w:color="000000"/>
            </w:tcBorders>
            <w:vAlign w:val="center"/>
          </w:tcPr>
          <w:p w14:paraId="09D69C43"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0.3</w:t>
            </w:r>
          </w:p>
        </w:tc>
        <w:tc>
          <w:tcPr>
            <w:tcW w:w="2272" w:type="dxa"/>
            <w:tcBorders>
              <w:top w:val="single" w:sz="4" w:space="0" w:color="000000"/>
              <w:left w:val="single" w:sz="4" w:space="0" w:color="000000"/>
              <w:bottom w:val="single" w:sz="4" w:space="0" w:color="000000"/>
              <w:right w:val="single" w:sz="4" w:space="0" w:color="000000"/>
            </w:tcBorders>
            <w:vAlign w:val="bottom"/>
          </w:tcPr>
          <w:p w14:paraId="093563D3"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458EB8E9"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11D1D7B9"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2.3.3</w:t>
            </w:r>
          </w:p>
        </w:tc>
        <w:tc>
          <w:tcPr>
            <w:tcW w:w="2605" w:type="dxa"/>
            <w:tcBorders>
              <w:top w:val="single" w:sz="4" w:space="0" w:color="000000"/>
              <w:left w:val="single" w:sz="4" w:space="0" w:color="000000"/>
              <w:bottom w:val="single" w:sz="4" w:space="0" w:color="000000"/>
              <w:right w:val="single" w:sz="4" w:space="0" w:color="000000"/>
            </w:tcBorders>
            <w:vAlign w:val="center"/>
          </w:tcPr>
          <w:p w14:paraId="3A4D8476"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其他</w:t>
            </w:r>
          </w:p>
        </w:tc>
        <w:tc>
          <w:tcPr>
            <w:tcW w:w="1049" w:type="dxa"/>
            <w:tcBorders>
              <w:top w:val="single" w:sz="4" w:space="0" w:color="000000"/>
              <w:left w:val="single" w:sz="4" w:space="0" w:color="000000"/>
              <w:bottom w:val="single" w:sz="4" w:space="0" w:color="000000"/>
              <w:right w:val="single" w:sz="4" w:space="0" w:color="000000"/>
            </w:tcBorders>
            <w:vAlign w:val="bottom"/>
          </w:tcPr>
          <w:p w14:paraId="4ADF7BCF"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7A9D7EF9"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071D214E"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039350C8"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0214EE73"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0F589B96"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2605" w:type="dxa"/>
            <w:tcBorders>
              <w:top w:val="single" w:sz="4" w:space="0" w:color="000000"/>
              <w:left w:val="single" w:sz="4" w:space="0" w:color="000000"/>
              <w:bottom w:val="single" w:sz="4" w:space="0" w:color="000000"/>
              <w:right w:val="single" w:sz="4" w:space="0" w:color="000000"/>
            </w:tcBorders>
            <w:vAlign w:val="center"/>
          </w:tcPr>
          <w:p w14:paraId="55559445"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4F25FF8B"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7FC96796"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6C97DB80"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2272" w:type="dxa"/>
            <w:tcBorders>
              <w:top w:val="single" w:sz="4" w:space="0" w:color="000000"/>
              <w:left w:val="single" w:sz="4" w:space="0" w:color="000000"/>
              <w:bottom w:val="single" w:sz="4" w:space="0" w:color="000000"/>
              <w:right w:val="single" w:sz="4" w:space="0" w:color="000000"/>
            </w:tcBorders>
            <w:vAlign w:val="bottom"/>
          </w:tcPr>
          <w:p w14:paraId="18CCC100"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745B64EF"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780C764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w:t>
            </w:r>
          </w:p>
        </w:tc>
        <w:tc>
          <w:tcPr>
            <w:tcW w:w="2605" w:type="dxa"/>
            <w:tcBorders>
              <w:top w:val="single" w:sz="4" w:space="0" w:color="000000"/>
              <w:left w:val="single" w:sz="4" w:space="0" w:color="000000"/>
              <w:bottom w:val="single" w:sz="4" w:space="0" w:color="000000"/>
              <w:right w:val="single" w:sz="4" w:space="0" w:color="000000"/>
            </w:tcBorders>
            <w:vAlign w:val="center"/>
          </w:tcPr>
          <w:p w14:paraId="1121C2E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olor w:val="auto"/>
                <w:kern w:val="0"/>
                <w:sz w:val="21"/>
                <w:szCs w:val="21"/>
                <w:lang w:bidi="ar"/>
              </w:rPr>
              <w:t>控制事故设施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57400617"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4E369432"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1EE014F6" w14:textId="77777777" w:rsidR="009219A0" w:rsidRDefault="00000000">
            <w:pPr>
              <w:adjustRightInd/>
              <w:snapToGrid/>
              <w:spacing w:line="240" w:lineRule="auto"/>
              <w:ind w:firstLineChars="0" w:firstLine="0"/>
              <w:jc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w:t>
            </w:r>
          </w:p>
        </w:tc>
        <w:tc>
          <w:tcPr>
            <w:tcW w:w="2272" w:type="dxa"/>
            <w:tcBorders>
              <w:top w:val="single" w:sz="4" w:space="0" w:color="000000"/>
              <w:left w:val="single" w:sz="4" w:space="0" w:color="000000"/>
              <w:bottom w:val="single" w:sz="4" w:space="0" w:color="000000"/>
              <w:right w:val="single" w:sz="4" w:space="0" w:color="000000"/>
            </w:tcBorders>
            <w:vAlign w:val="bottom"/>
          </w:tcPr>
          <w:p w14:paraId="1590F032"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2CAFE1A9"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713C1C8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3.1.1</w:t>
            </w:r>
          </w:p>
        </w:tc>
        <w:tc>
          <w:tcPr>
            <w:tcW w:w="2605" w:type="dxa"/>
            <w:tcBorders>
              <w:top w:val="single" w:sz="4" w:space="0" w:color="000000"/>
              <w:left w:val="single" w:sz="4" w:space="0" w:color="000000"/>
              <w:bottom w:val="single" w:sz="4" w:space="0" w:color="000000"/>
              <w:right w:val="single" w:sz="4" w:space="0" w:color="000000"/>
            </w:tcBorders>
            <w:vAlign w:val="center"/>
          </w:tcPr>
          <w:p w14:paraId="2A207DFB"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应急救援设施</w:t>
            </w:r>
          </w:p>
        </w:tc>
        <w:tc>
          <w:tcPr>
            <w:tcW w:w="1049" w:type="dxa"/>
            <w:tcBorders>
              <w:top w:val="single" w:sz="4" w:space="0" w:color="000000"/>
              <w:left w:val="single" w:sz="4" w:space="0" w:color="000000"/>
              <w:bottom w:val="single" w:sz="4" w:space="0" w:color="000000"/>
              <w:right w:val="single" w:sz="4" w:space="0" w:color="000000"/>
            </w:tcBorders>
            <w:vAlign w:val="bottom"/>
          </w:tcPr>
          <w:p w14:paraId="3B8DCC8B"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bottom"/>
          </w:tcPr>
          <w:p w14:paraId="49ECB97A"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19945404" w14:textId="77777777" w:rsidR="009219A0" w:rsidRDefault="00000000">
            <w:pPr>
              <w:adjustRightInd/>
              <w:snapToGrid/>
              <w:spacing w:line="240" w:lineRule="auto"/>
              <w:ind w:firstLineChars="0" w:firstLine="0"/>
              <w:jc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2</w:t>
            </w:r>
          </w:p>
        </w:tc>
        <w:tc>
          <w:tcPr>
            <w:tcW w:w="2272" w:type="dxa"/>
            <w:tcBorders>
              <w:top w:val="single" w:sz="4" w:space="0" w:color="000000"/>
              <w:left w:val="single" w:sz="4" w:space="0" w:color="000000"/>
              <w:bottom w:val="single" w:sz="4" w:space="0" w:color="000000"/>
              <w:right w:val="single" w:sz="4" w:space="0" w:color="000000"/>
            </w:tcBorders>
            <w:vAlign w:val="center"/>
          </w:tcPr>
          <w:p w14:paraId="6A67D6FF"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事故柜</w:t>
            </w:r>
          </w:p>
        </w:tc>
      </w:tr>
      <w:tr w:rsidR="009219A0" w14:paraId="25ADD760"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7270CEE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3.1.2</w:t>
            </w:r>
          </w:p>
        </w:tc>
        <w:tc>
          <w:tcPr>
            <w:tcW w:w="2605" w:type="dxa"/>
            <w:tcBorders>
              <w:top w:val="single" w:sz="4" w:space="0" w:color="000000"/>
              <w:left w:val="single" w:sz="4" w:space="0" w:color="000000"/>
              <w:bottom w:val="single" w:sz="4" w:space="0" w:color="000000"/>
              <w:right w:val="single" w:sz="4" w:space="0" w:color="000000"/>
            </w:tcBorders>
            <w:vAlign w:val="center"/>
          </w:tcPr>
          <w:p w14:paraId="6CBDA0AC"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医疗抢救装备</w:t>
            </w:r>
          </w:p>
        </w:tc>
        <w:tc>
          <w:tcPr>
            <w:tcW w:w="1049" w:type="dxa"/>
            <w:tcBorders>
              <w:top w:val="single" w:sz="4" w:space="0" w:color="000000"/>
              <w:left w:val="single" w:sz="4" w:space="0" w:color="000000"/>
              <w:bottom w:val="single" w:sz="4" w:space="0" w:color="000000"/>
              <w:right w:val="single" w:sz="4" w:space="0" w:color="000000"/>
            </w:tcBorders>
            <w:vAlign w:val="center"/>
          </w:tcPr>
          <w:p w14:paraId="41C9C7F7"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750934B4"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7D37E5C2"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1</w:t>
            </w:r>
          </w:p>
        </w:tc>
        <w:tc>
          <w:tcPr>
            <w:tcW w:w="2272" w:type="dxa"/>
            <w:tcBorders>
              <w:top w:val="single" w:sz="4" w:space="0" w:color="000000"/>
              <w:left w:val="single" w:sz="4" w:space="0" w:color="000000"/>
              <w:bottom w:val="single" w:sz="4" w:space="0" w:color="000000"/>
              <w:right w:val="single" w:sz="4" w:space="0" w:color="000000"/>
            </w:tcBorders>
            <w:vAlign w:val="bottom"/>
          </w:tcPr>
          <w:p w14:paraId="647633CB"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r w:rsidR="009219A0" w14:paraId="1D2B4462" w14:textId="77777777">
        <w:trPr>
          <w:trHeight w:val="301"/>
        </w:trPr>
        <w:tc>
          <w:tcPr>
            <w:tcW w:w="1048" w:type="dxa"/>
            <w:tcBorders>
              <w:top w:val="single" w:sz="4" w:space="0" w:color="000000"/>
              <w:left w:val="single" w:sz="4" w:space="0" w:color="000000"/>
              <w:bottom w:val="single" w:sz="4" w:space="0" w:color="000000"/>
              <w:right w:val="single" w:sz="4" w:space="0" w:color="000000"/>
            </w:tcBorders>
            <w:vAlign w:val="center"/>
          </w:tcPr>
          <w:p w14:paraId="192C558B"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2605" w:type="dxa"/>
            <w:tcBorders>
              <w:top w:val="single" w:sz="4" w:space="0" w:color="000000"/>
              <w:left w:val="single" w:sz="4" w:space="0" w:color="000000"/>
              <w:bottom w:val="single" w:sz="4" w:space="0" w:color="000000"/>
              <w:right w:val="single" w:sz="4" w:space="0" w:color="000000"/>
            </w:tcBorders>
            <w:vAlign w:val="center"/>
          </w:tcPr>
          <w:p w14:paraId="54DA7CE7"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合计</w:t>
            </w:r>
          </w:p>
        </w:tc>
        <w:tc>
          <w:tcPr>
            <w:tcW w:w="1049" w:type="dxa"/>
            <w:tcBorders>
              <w:top w:val="single" w:sz="4" w:space="0" w:color="000000"/>
              <w:left w:val="single" w:sz="4" w:space="0" w:color="000000"/>
              <w:bottom w:val="single" w:sz="4" w:space="0" w:color="000000"/>
              <w:right w:val="single" w:sz="4" w:space="0" w:color="000000"/>
            </w:tcBorders>
            <w:vAlign w:val="center"/>
          </w:tcPr>
          <w:p w14:paraId="5CF687BA"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78C1D44A" w14:textId="77777777" w:rsidR="009219A0" w:rsidRDefault="009219A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3EFA2666" w14:textId="77777777" w:rsidR="009219A0" w:rsidRDefault="00000000">
            <w:pPr>
              <w:widowControl/>
              <w:adjustRightInd/>
              <w:snapToGrid/>
              <w:spacing w:line="240" w:lineRule="auto"/>
              <w:ind w:firstLineChars="0" w:firstLine="0"/>
              <w:jc w:val="center"/>
              <w:textAlignment w:val="center"/>
              <w:rPr>
                <w:rFonts w:ascii="宋体" w:hAnsi="宋体" w:cs="宋体" w:hint="eastAsia"/>
                <w:color w:val="auto"/>
                <w:kern w:val="0"/>
                <w:sz w:val="21"/>
                <w:szCs w:val="21"/>
                <w:lang w:bidi="ar"/>
              </w:rPr>
            </w:pPr>
            <w:r>
              <w:rPr>
                <w:rFonts w:ascii="宋体" w:hAnsi="宋体" w:cs="宋体" w:hint="eastAsia"/>
                <w:color w:val="auto"/>
                <w:kern w:val="0"/>
                <w:sz w:val="21"/>
                <w:szCs w:val="21"/>
                <w:lang w:bidi="ar"/>
              </w:rPr>
              <w:t>46.54</w:t>
            </w:r>
          </w:p>
        </w:tc>
        <w:tc>
          <w:tcPr>
            <w:tcW w:w="2272" w:type="dxa"/>
            <w:tcBorders>
              <w:top w:val="single" w:sz="4" w:space="0" w:color="000000"/>
              <w:left w:val="single" w:sz="4" w:space="0" w:color="000000"/>
              <w:bottom w:val="single" w:sz="4" w:space="0" w:color="000000"/>
              <w:right w:val="single" w:sz="4" w:space="0" w:color="000000"/>
            </w:tcBorders>
            <w:vAlign w:val="bottom"/>
          </w:tcPr>
          <w:p w14:paraId="1D9FF94A" w14:textId="77777777" w:rsidR="009219A0" w:rsidRDefault="009219A0">
            <w:pPr>
              <w:adjustRightInd/>
              <w:snapToGrid/>
              <w:spacing w:line="240" w:lineRule="auto"/>
              <w:ind w:firstLineChars="0" w:firstLine="0"/>
              <w:jc w:val="center"/>
              <w:rPr>
                <w:rFonts w:ascii="宋体" w:hAnsi="宋体" w:cs="宋体" w:hint="eastAsia"/>
                <w:color w:val="auto"/>
                <w:kern w:val="0"/>
                <w:sz w:val="21"/>
                <w:szCs w:val="21"/>
                <w:lang w:bidi="ar"/>
              </w:rPr>
            </w:pPr>
          </w:p>
        </w:tc>
      </w:tr>
    </w:tbl>
    <w:p w14:paraId="1FEB156E" w14:textId="77777777" w:rsidR="009219A0" w:rsidRDefault="009219A0">
      <w:pPr>
        <w:pStyle w:val="Default1"/>
        <w:rPr>
          <w:rFonts w:ascii="宋体" w:hAnsi="宋体"/>
          <w:sz w:val="28"/>
          <w:szCs w:val="28"/>
        </w:rPr>
      </w:pPr>
    </w:p>
    <w:p w14:paraId="18A1EEC9" w14:textId="77777777" w:rsidR="009219A0" w:rsidRDefault="00000000">
      <w:pPr>
        <w:pStyle w:val="2"/>
        <w:rPr>
          <w:rFonts w:hint="eastAsia"/>
        </w:rPr>
      </w:pPr>
      <w:bookmarkStart w:id="90" w:name="_Toc211950428"/>
      <w:bookmarkStart w:id="91" w:name="_Toc165281439"/>
      <w:r>
        <w:t>2.</w:t>
      </w:r>
      <w:r>
        <w:rPr>
          <w:rFonts w:hint="eastAsia"/>
        </w:rPr>
        <w:t>7 工程施工及其质量情况</w:t>
      </w:r>
      <w:bookmarkEnd w:id="90"/>
      <w:bookmarkEnd w:id="91"/>
    </w:p>
    <w:p w14:paraId="175255FC" w14:textId="77777777" w:rsidR="009219A0" w:rsidRDefault="00000000">
      <w:pPr>
        <w:pStyle w:val="3"/>
        <w:rPr>
          <w:rFonts w:hint="eastAsia"/>
        </w:rPr>
      </w:pPr>
      <w:bookmarkStart w:id="92" w:name="_Toc211950429"/>
      <w:r>
        <w:rPr>
          <w:rFonts w:hint="eastAsia"/>
        </w:rPr>
        <w:t>2.7.1 设计变更情况</w:t>
      </w:r>
      <w:bookmarkEnd w:id="92"/>
    </w:p>
    <w:p w14:paraId="4CB96A88" w14:textId="77777777" w:rsidR="009219A0" w:rsidRDefault="00000000">
      <w:pPr>
        <w:ind w:firstLine="560"/>
        <w:rPr>
          <w:color w:val="auto"/>
        </w:rPr>
      </w:pPr>
      <w:r>
        <w:rPr>
          <w:rFonts w:hint="eastAsia"/>
          <w:color w:val="auto"/>
        </w:rPr>
        <w:t>根据现场踏勘以及查阅《个旧市创源科技有限公司新建实验与研究开发中心及实验基地工程建设项目安全设施设计》及相关施工图纸等资料情况，项目安全设施设计评审后，不存在设计变更情况。</w:t>
      </w:r>
    </w:p>
    <w:p w14:paraId="0038AFEA" w14:textId="77777777" w:rsidR="009219A0" w:rsidRDefault="00000000">
      <w:pPr>
        <w:pStyle w:val="3"/>
        <w:rPr>
          <w:rFonts w:hint="eastAsia"/>
          <w:szCs w:val="20"/>
        </w:rPr>
      </w:pPr>
      <w:bookmarkStart w:id="93" w:name="_Toc211950430"/>
      <w:r>
        <w:rPr>
          <w:rFonts w:hint="eastAsia"/>
        </w:rPr>
        <w:lastRenderedPageBreak/>
        <w:t>2.7.2 工程施工及质量情况</w:t>
      </w:r>
      <w:bookmarkEnd w:id="93"/>
    </w:p>
    <w:p w14:paraId="19C14295" w14:textId="77777777" w:rsidR="009219A0" w:rsidRDefault="00000000">
      <w:pPr>
        <w:ind w:firstLine="560"/>
        <w:rPr>
          <w:color w:val="auto"/>
        </w:rPr>
      </w:pPr>
      <w:r>
        <w:rPr>
          <w:rFonts w:hint="eastAsia"/>
          <w:color w:val="auto"/>
        </w:rPr>
        <w:t>本项目施工完成后，施工单位、设计单位及相关部门按规定进行了工程验收，施工单位提交了包括材料和设备质量证明文件及材料检验报告，建筑工程的相关施工、检测检验记录和文件，项目组</w:t>
      </w:r>
      <w:proofErr w:type="gramStart"/>
      <w:r>
        <w:rPr>
          <w:rFonts w:hint="eastAsia"/>
          <w:color w:val="auto"/>
        </w:rPr>
        <w:t>根据创源公司</w:t>
      </w:r>
      <w:proofErr w:type="gramEnd"/>
      <w:r>
        <w:rPr>
          <w:rFonts w:hint="eastAsia"/>
          <w:color w:val="auto"/>
        </w:rPr>
        <w:t>提供的材料及现场测量核实，确认本项目的建设施工及其质量与设计相符合。</w:t>
      </w:r>
    </w:p>
    <w:p w14:paraId="262405CE" w14:textId="77777777" w:rsidR="009219A0" w:rsidRDefault="00000000">
      <w:pPr>
        <w:pStyle w:val="1"/>
        <w:keepNext w:val="0"/>
        <w:keepLines w:val="0"/>
        <w:numPr>
          <w:ilvl w:val="0"/>
          <w:numId w:val="1"/>
        </w:numPr>
        <w:ind w:left="0" w:firstLine="0"/>
        <w:textAlignment w:val="center"/>
        <w:rPr>
          <w:rFonts w:ascii="宋体" w:hAnsi="宋体" w:hint="eastAsia"/>
          <w:b/>
          <w:bCs w:val="0"/>
          <w:color w:val="auto"/>
          <w:szCs w:val="20"/>
        </w:rPr>
      </w:pPr>
      <w:r>
        <w:rPr>
          <w:rFonts w:ascii="宋体" w:hAnsi="宋体" w:hint="eastAsia"/>
          <w:b/>
          <w:bCs w:val="0"/>
          <w:color w:val="auto"/>
          <w:szCs w:val="20"/>
        </w:rPr>
        <w:lastRenderedPageBreak/>
        <w:t xml:space="preserve">  </w:t>
      </w:r>
      <w:bookmarkStart w:id="94" w:name="_Toc211950431"/>
      <w:bookmarkStart w:id="95" w:name="_Toc165281440"/>
      <w:r>
        <w:rPr>
          <w:rFonts w:ascii="宋体" w:hAnsi="宋体" w:hint="eastAsia"/>
          <w:b/>
          <w:bCs w:val="0"/>
          <w:color w:val="auto"/>
          <w:szCs w:val="20"/>
        </w:rPr>
        <w:t>危险、有害因素辨识结果及依据说明</w:t>
      </w:r>
      <w:bookmarkEnd w:id="94"/>
      <w:bookmarkEnd w:id="95"/>
    </w:p>
    <w:p w14:paraId="4EFF701B" w14:textId="77777777" w:rsidR="009219A0" w:rsidRDefault="009219A0">
      <w:pPr>
        <w:ind w:firstLine="560"/>
        <w:rPr>
          <w:color w:val="auto"/>
        </w:rPr>
      </w:pPr>
    </w:p>
    <w:p w14:paraId="387C97AC" w14:textId="77777777" w:rsidR="009219A0" w:rsidRDefault="00000000">
      <w:pPr>
        <w:pStyle w:val="2"/>
        <w:rPr>
          <w:rFonts w:hint="eastAsia"/>
        </w:rPr>
      </w:pPr>
      <w:bookmarkStart w:id="96" w:name="_Toc211950432"/>
      <w:bookmarkStart w:id="97" w:name="_Toc165281441"/>
      <w:r>
        <w:rPr>
          <w:rFonts w:hint="eastAsia"/>
        </w:rPr>
        <w:t>3.1 辨识与分析的目的</w:t>
      </w:r>
      <w:bookmarkEnd w:id="96"/>
      <w:bookmarkEnd w:id="97"/>
    </w:p>
    <w:p w14:paraId="1ED36F7D" w14:textId="77777777" w:rsidR="009219A0" w:rsidRDefault="00000000">
      <w:pPr>
        <w:ind w:firstLine="560"/>
        <w:rPr>
          <w:color w:val="auto"/>
        </w:rPr>
      </w:pPr>
      <w:r>
        <w:rPr>
          <w:rFonts w:hint="eastAsia"/>
          <w:color w:val="auto"/>
        </w:rPr>
        <w:t>危险有害因素是指对人造成伤亡或对物造成突发性损害，以及能影响人的身体健康，导致疾病，或对物造成慢性损坏的因素。</w:t>
      </w:r>
    </w:p>
    <w:p w14:paraId="3068C542" w14:textId="77777777" w:rsidR="009219A0" w:rsidRDefault="00000000">
      <w:pPr>
        <w:ind w:firstLine="560"/>
        <w:rPr>
          <w:color w:val="auto"/>
        </w:rPr>
      </w:pPr>
      <w:r>
        <w:rPr>
          <w:rFonts w:hint="eastAsia"/>
          <w:color w:val="auto"/>
        </w:rPr>
        <w:t>本章主要根据《企业职工伤亡事故分类》（</w:t>
      </w:r>
      <w:r>
        <w:rPr>
          <w:rFonts w:hint="eastAsia"/>
          <w:color w:val="auto"/>
        </w:rPr>
        <w:t>GB 6441-1986</w:t>
      </w:r>
      <w:r>
        <w:rPr>
          <w:rFonts w:hint="eastAsia"/>
          <w:color w:val="auto"/>
        </w:rPr>
        <w:t>）、《生产过程危险和有害因素分类与代码》（</w:t>
      </w:r>
      <w:r>
        <w:rPr>
          <w:rFonts w:hint="eastAsia"/>
          <w:color w:val="auto"/>
        </w:rPr>
        <w:t>GB/T 13861-2022</w:t>
      </w:r>
      <w:r>
        <w:rPr>
          <w:rFonts w:hint="eastAsia"/>
          <w:color w:val="auto"/>
        </w:rPr>
        <w:t>）、《危险化学品目录》、</w:t>
      </w:r>
      <w:r>
        <w:rPr>
          <w:rFonts w:hint="eastAsia"/>
          <w:color w:val="auto"/>
        </w:rPr>
        <w:tab/>
      </w:r>
      <w:r>
        <w:rPr>
          <w:rFonts w:hint="eastAsia"/>
          <w:color w:val="auto"/>
        </w:rPr>
        <w:t>《危险化学品目录（</w:t>
      </w:r>
      <w:r>
        <w:rPr>
          <w:rFonts w:hint="eastAsia"/>
          <w:color w:val="auto"/>
        </w:rPr>
        <w:t>2015</w:t>
      </w:r>
      <w:r>
        <w:rPr>
          <w:rFonts w:hint="eastAsia"/>
          <w:color w:val="auto"/>
        </w:rPr>
        <w:t>版）实施指南（试行）》及《危险化学品分类信息表》等对危险有害因素的分类标准，结合同类行业的以往事故案例和相关安全生产工作经验，对该项目进行危险有害因素辨识与分析。</w:t>
      </w:r>
    </w:p>
    <w:p w14:paraId="3E644D51" w14:textId="77777777" w:rsidR="009219A0" w:rsidRDefault="00000000">
      <w:pPr>
        <w:ind w:firstLine="560"/>
        <w:rPr>
          <w:color w:val="auto"/>
        </w:rPr>
      </w:pPr>
      <w:r>
        <w:rPr>
          <w:rFonts w:hint="eastAsia"/>
          <w:color w:val="auto"/>
        </w:rPr>
        <w:t>同时，根据《危险化学品重大危险源辨识》（</w:t>
      </w:r>
      <w:r>
        <w:rPr>
          <w:rFonts w:hint="eastAsia"/>
          <w:color w:val="auto"/>
        </w:rPr>
        <w:t>GB 18218-2018</w:t>
      </w:r>
      <w:r>
        <w:rPr>
          <w:rFonts w:hint="eastAsia"/>
          <w:color w:val="auto"/>
        </w:rPr>
        <w:t>）的规定，对存在危险化学品的场所进行重大危险源辨识与分析</w:t>
      </w:r>
      <w:r>
        <w:rPr>
          <w:color w:val="auto"/>
        </w:rPr>
        <w:t>。</w:t>
      </w:r>
    </w:p>
    <w:p w14:paraId="28F6FC30" w14:textId="77777777" w:rsidR="009219A0" w:rsidRDefault="00000000">
      <w:pPr>
        <w:pStyle w:val="2"/>
        <w:rPr>
          <w:rFonts w:hint="eastAsia"/>
        </w:rPr>
      </w:pPr>
      <w:bookmarkStart w:id="98" w:name="_Toc165281442"/>
      <w:bookmarkStart w:id="99" w:name="_Toc211950433"/>
      <w:r>
        <w:rPr>
          <w:rFonts w:hint="eastAsia"/>
        </w:rPr>
        <w:t>3.2 危险有害因素辨识主要依据</w:t>
      </w:r>
      <w:bookmarkEnd w:id="98"/>
      <w:bookmarkEnd w:id="99"/>
    </w:p>
    <w:p w14:paraId="26357629" w14:textId="77777777" w:rsidR="009219A0" w:rsidRDefault="00000000">
      <w:pPr>
        <w:ind w:firstLine="560"/>
        <w:rPr>
          <w:color w:val="auto"/>
        </w:rPr>
      </w:pPr>
      <w:r>
        <w:rPr>
          <w:color w:val="auto"/>
        </w:rPr>
        <w:t>本报告对危险、有害因素的辨识，是根据</w:t>
      </w:r>
      <w:r>
        <w:rPr>
          <w:rFonts w:hint="eastAsia"/>
          <w:color w:val="auto"/>
        </w:rPr>
        <w:t>本项目</w:t>
      </w:r>
      <w:r>
        <w:rPr>
          <w:color w:val="auto"/>
        </w:rPr>
        <w:t>在运行过程中涉及的危险、有害物质及其危险特性、工艺、设备等方面进行分析，以辨识该项目存在的主要危险、有害因素。</w:t>
      </w:r>
    </w:p>
    <w:p w14:paraId="6C02C9A0" w14:textId="77777777" w:rsidR="009219A0" w:rsidRDefault="00000000">
      <w:pPr>
        <w:ind w:firstLine="560"/>
        <w:rPr>
          <w:color w:val="auto"/>
        </w:rPr>
      </w:pPr>
      <w:r>
        <w:rPr>
          <w:color w:val="auto"/>
        </w:rPr>
        <w:t>按照《企业职工伤亡事故分类》（</w:t>
      </w:r>
      <w:r>
        <w:rPr>
          <w:color w:val="auto"/>
        </w:rPr>
        <w:t>GB6441-1986</w:t>
      </w:r>
      <w:r>
        <w:rPr>
          <w:color w:val="auto"/>
        </w:rPr>
        <w:t>），综合考虑起因物、引起事故的诱导性原因、致害物、伤害方式等，将危险因素</w:t>
      </w:r>
      <w:r>
        <w:rPr>
          <w:rFonts w:hint="eastAsia"/>
          <w:color w:val="auto"/>
        </w:rPr>
        <w:t>导致的事故类型</w:t>
      </w:r>
      <w:r>
        <w:rPr>
          <w:color w:val="auto"/>
        </w:rPr>
        <w:t>分为</w:t>
      </w:r>
      <w:r>
        <w:rPr>
          <w:color w:val="auto"/>
        </w:rPr>
        <w:t>20</w:t>
      </w:r>
      <w:r>
        <w:rPr>
          <w:color w:val="auto"/>
        </w:rPr>
        <w:t>类，分别为物体打击、车辆伤害、机械伤害、起重伤害、触电、淹溺、灼烫、火灾、高处坠落、坍塌、锅炉爆炸、容器爆炸、其他爆炸、中毒和窒息及其他伤害等。</w:t>
      </w:r>
    </w:p>
    <w:p w14:paraId="41FDEAF2" w14:textId="77777777" w:rsidR="009219A0" w:rsidRDefault="00000000">
      <w:pPr>
        <w:ind w:firstLine="560"/>
        <w:rPr>
          <w:color w:val="auto"/>
        </w:rPr>
      </w:pPr>
      <w:r>
        <w:rPr>
          <w:color w:val="auto"/>
        </w:rPr>
        <w:t>根据《生产过程危险和有害因素分类与代码》（</w:t>
      </w:r>
      <w:r>
        <w:rPr>
          <w:color w:val="auto"/>
        </w:rPr>
        <w:t>GB/T13861-20</w:t>
      </w:r>
      <w:r>
        <w:rPr>
          <w:rFonts w:hint="eastAsia"/>
          <w:color w:val="auto"/>
        </w:rPr>
        <w:t>22</w:t>
      </w:r>
      <w:r>
        <w:rPr>
          <w:color w:val="auto"/>
        </w:rPr>
        <w:t>）的规定，将危险因素分为四类：</w:t>
      </w:r>
    </w:p>
    <w:p w14:paraId="452B2E70" w14:textId="77777777" w:rsidR="009219A0" w:rsidRDefault="00000000">
      <w:pPr>
        <w:ind w:firstLine="560"/>
        <w:rPr>
          <w:color w:val="auto"/>
        </w:rPr>
      </w:pPr>
      <w:r>
        <w:rPr>
          <w:rFonts w:hint="eastAsia"/>
          <w:color w:val="auto"/>
        </w:rPr>
        <w:t>1</w:t>
      </w:r>
      <w:r>
        <w:rPr>
          <w:rFonts w:hint="eastAsia"/>
          <w:color w:val="auto"/>
        </w:rPr>
        <w:t>．</w:t>
      </w:r>
      <w:r>
        <w:rPr>
          <w:color w:val="auto"/>
        </w:rPr>
        <w:t>人的因素；</w:t>
      </w:r>
    </w:p>
    <w:p w14:paraId="24A16770" w14:textId="77777777" w:rsidR="009219A0" w:rsidRDefault="00000000">
      <w:pPr>
        <w:ind w:firstLine="560"/>
        <w:rPr>
          <w:color w:val="auto"/>
        </w:rPr>
      </w:pPr>
      <w:r>
        <w:rPr>
          <w:color w:val="auto"/>
        </w:rPr>
        <w:t>1</w:t>
      </w:r>
      <w:r>
        <w:rPr>
          <w:rFonts w:hint="eastAsia"/>
          <w:color w:val="auto"/>
        </w:rPr>
        <w:t>）</w:t>
      </w:r>
      <w:r>
        <w:rPr>
          <w:color w:val="auto"/>
        </w:rPr>
        <w:t>心理、生理</w:t>
      </w:r>
      <w:proofErr w:type="gramStart"/>
      <w:r>
        <w:rPr>
          <w:color w:val="auto"/>
        </w:rPr>
        <w:t>性危险</w:t>
      </w:r>
      <w:proofErr w:type="gramEnd"/>
      <w:r>
        <w:rPr>
          <w:color w:val="auto"/>
        </w:rPr>
        <w:t>和有害因素；</w:t>
      </w:r>
    </w:p>
    <w:p w14:paraId="5F0A0AFA" w14:textId="77777777" w:rsidR="009219A0" w:rsidRDefault="00000000">
      <w:pPr>
        <w:ind w:firstLine="560"/>
        <w:rPr>
          <w:color w:val="auto"/>
        </w:rPr>
      </w:pPr>
      <w:r>
        <w:rPr>
          <w:color w:val="auto"/>
        </w:rPr>
        <w:lastRenderedPageBreak/>
        <w:t>2</w:t>
      </w:r>
      <w:r>
        <w:rPr>
          <w:rFonts w:hint="eastAsia"/>
          <w:color w:val="auto"/>
        </w:rPr>
        <w:t>）</w:t>
      </w:r>
      <w:r>
        <w:rPr>
          <w:color w:val="auto"/>
        </w:rPr>
        <w:t>行为</w:t>
      </w:r>
      <w:proofErr w:type="gramStart"/>
      <w:r>
        <w:rPr>
          <w:color w:val="auto"/>
        </w:rPr>
        <w:t>性危险</w:t>
      </w:r>
      <w:proofErr w:type="gramEnd"/>
      <w:r>
        <w:rPr>
          <w:color w:val="auto"/>
        </w:rPr>
        <w:t>和有害因素。</w:t>
      </w:r>
    </w:p>
    <w:p w14:paraId="1F540A1D" w14:textId="77777777" w:rsidR="009219A0" w:rsidRDefault="00000000">
      <w:pPr>
        <w:ind w:firstLine="560"/>
        <w:rPr>
          <w:color w:val="auto"/>
        </w:rPr>
      </w:pPr>
      <w:r>
        <w:rPr>
          <w:rFonts w:hint="eastAsia"/>
          <w:color w:val="auto"/>
        </w:rPr>
        <w:t>2</w:t>
      </w:r>
      <w:r>
        <w:rPr>
          <w:rFonts w:hint="eastAsia"/>
          <w:color w:val="auto"/>
        </w:rPr>
        <w:t>．</w:t>
      </w:r>
      <w:r>
        <w:rPr>
          <w:color w:val="auto"/>
        </w:rPr>
        <w:t>物的因素；</w:t>
      </w:r>
    </w:p>
    <w:p w14:paraId="7614C696" w14:textId="77777777" w:rsidR="009219A0" w:rsidRDefault="00000000">
      <w:pPr>
        <w:ind w:firstLine="560"/>
        <w:rPr>
          <w:color w:val="auto"/>
        </w:rPr>
      </w:pPr>
      <w:r>
        <w:rPr>
          <w:color w:val="auto"/>
        </w:rPr>
        <w:t>1</w:t>
      </w:r>
      <w:r>
        <w:rPr>
          <w:rFonts w:hint="eastAsia"/>
          <w:color w:val="auto"/>
        </w:rPr>
        <w:t>）</w:t>
      </w:r>
      <w:r>
        <w:rPr>
          <w:color w:val="auto"/>
        </w:rPr>
        <w:t>物理</w:t>
      </w:r>
      <w:proofErr w:type="gramStart"/>
      <w:r>
        <w:rPr>
          <w:color w:val="auto"/>
        </w:rPr>
        <w:t>性危险</w:t>
      </w:r>
      <w:proofErr w:type="gramEnd"/>
      <w:r>
        <w:rPr>
          <w:color w:val="auto"/>
        </w:rPr>
        <w:t>和有害因素；</w:t>
      </w:r>
    </w:p>
    <w:p w14:paraId="16135058" w14:textId="77777777" w:rsidR="009219A0" w:rsidRDefault="00000000">
      <w:pPr>
        <w:ind w:firstLine="560"/>
        <w:rPr>
          <w:color w:val="auto"/>
        </w:rPr>
      </w:pPr>
      <w:r>
        <w:rPr>
          <w:color w:val="auto"/>
        </w:rPr>
        <w:t>2</w:t>
      </w:r>
      <w:r>
        <w:rPr>
          <w:rFonts w:hint="eastAsia"/>
          <w:color w:val="auto"/>
        </w:rPr>
        <w:t>）</w:t>
      </w:r>
      <w:r>
        <w:rPr>
          <w:color w:val="auto"/>
        </w:rPr>
        <w:t>化学</w:t>
      </w:r>
      <w:proofErr w:type="gramStart"/>
      <w:r>
        <w:rPr>
          <w:color w:val="auto"/>
        </w:rPr>
        <w:t>性危险</w:t>
      </w:r>
      <w:proofErr w:type="gramEnd"/>
      <w:r>
        <w:rPr>
          <w:color w:val="auto"/>
        </w:rPr>
        <w:t>和有害因素；</w:t>
      </w:r>
    </w:p>
    <w:p w14:paraId="7DFE1083" w14:textId="77777777" w:rsidR="009219A0" w:rsidRDefault="00000000">
      <w:pPr>
        <w:ind w:firstLine="560"/>
        <w:rPr>
          <w:color w:val="auto"/>
        </w:rPr>
      </w:pPr>
      <w:r>
        <w:rPr>
          <w:color w:val="auto"/>
        </w:rPr>
        <w:t>3</w:t>
      </w:r>
      <w:r>
        <w:rPr>
          <w:rFonts w:hint="eastAsia"/>
          <w:color w:val="auto"/>
        </w:rPr>
        <w:t>）</w:t>
      </w:r>
      <w:r>
        <w:rPr>
          <w:color w:val="auto"/>
        </w:rPr>
        <w:t>生物</w:t>
      </w:r>
      <w:proofErr w:type="gramStart"/>
      <w:r>
        <w:rPr>
          <w:color w:val="auto"/>
        </w:rPr>
        <w:t>性危险</w:t>
      </w:r>
      <w:proofErr w:type="gramEnd"/>
      <w:r>
        <w:rPr>
          <w:color w:val="auto"/>
        </w:rPr>
        <w:t>和有害因素。</w:t>
      </w:r>
    </w:p>
    <w:p w14:paraId="16CC7BE9" w14:textId="77777777" w:rsidR="009219A0" w:rsidRDefault="00000000">
      <w:pPr>
        <w:ind w:firstLine="560"/>
        <w:rPr>
          <w:color w:val="auto"/>
        </w:rPr>
      </w:pPr>
      <w:r>
        <w:rPr>
          <w:rFonts w:hint="eastAsia"/>
          <w:color w:val="auto"/>
        </w:rPr>
        <w:t>3</w:t>
      </w:r>
      <w:r>
        <w:rPr>
          <w:color w:val="auto"/>
        </w:rPr>
        <w:t>．环境因素；</w:t>
      </w:r>
    </w:p>
    <w:p w14:paraId="3DBA591C" w14:textId="77777777" w:rsidR="009219A0" w:rsidRDefault="00000000">
      <w:pPr>
        <w:ind w:firstLine="560"/>
        <w:rPr>
          <w:color w:val="auto"/>
        </w:rPr>
      </w:pPr>
      <w:r>
        <w:rPr>
          <w:color w:val="auto"/>
        </w:rPr>
        <w:t>1</w:t>
      </w:r>
      <w:r>
        <w:rPr>
          <w:rFonts w:hint="eastAsia"/>
          <w:color w:val="auto"/>
        </w:rPr>
        <w:t>）</w:t>
      </w:r>
      <w:r>
        <w:rPr>
          <w:color w:val="auto"/>
        </w:rPr>
        <w:t>室内作业场所环境不良；</w:t>
      </w:r>
    </w:p>
    <w:p w14:paraId="30F95B3E" w14:textId="77777777" w:rsidR="009219A0" w:rsidRDefault="00000000">
      <w:pPr>
        <w:ind w:firstLine="560"/>
        <w:rPr>
          <w:color w:val="auto"/>
        </w:rPr>
      </w:pPr>
      <w:r>
        <w:rPr>
          <w:color w:val="auto"/>
        </w:rPr>
        <w:t>2</w:t>
      </w:r>
      <w:r>
        <w:rPr>
          <w:rFonts w:hint="eastAsia"/>
          <w:color w:val="auto"/>
        </w:rPr>
        <w:t>）</w:t>
      </w:r>
      <w:r>
        <w:rPr>
          <w:color w:val="auto"/>
        </w:rPr>
        <w:t>室外作业场地环境不良；</w:t>
      </w:r>
    </w:p>
    <w:p w14:paraId="692E2BB8" w14:textId="77777777" w:rsidR="009219A0" w:rsidRDefault="00000000">
      <w:pPr>
        <w:ind w:firstLine="560"/>
        <w:rPr>
          <w:color w:val="auto"/>
        </w:rPr>
      </w:pPr>
      <w:r>
        <w:rPr>
          <w:color w:val="auto"/>
        </w:rPr>
        <w:t>3</w:t>
      </w:r>
      <w:r>
        <w:rPr>
          <w:rFonts w:hint="eastAsia"/>
          <w:color w:val="auto"/>
        </w:rPr>
        <w:t>）</w:t>
      </w:r>
      <w:r>
        <w:rPr>
          <w:color w:val="auto"/>
        </w:rPr>
        <w:t>地下（含水下）作业环境不良；</w:t>
      </w:r>
    </w:p>
    <w:p w14:paraId="2B5015A6" w14:textId="77777777" w:rsidR="009219A0" w:rsidRDefault="00000000">
      <w:pPr>
        <w:ind w:firstLine="560"/>
        <w:rPr>
          <w:color w:val="auto"/>
        </w:rPr>
      </w:pPr>
      <w:r>
        <w:rPr>
          <w:color w:val="auto"/>
        </w:rPr>
        <w:t>4</w:t>
      </w:r>
      <w:r>
        <w:rPr>
          <w:rFonts w:hint="eastAsia"/>
          <w:color w:val="auto"/>
        </w:rPr>
        <w:t>）</w:t>
      </w:r>
      <w:r>
        <w:rPr>
          <w:color w:val="auto"/>
        </w:rPr>
        <w:t>其他作业环境不良。</w:t>
      </w:r>
    </w:p>
    <w:p w14:paraId="3A5B590C" w14:textId="77777777" w:rsidR="009219A0" w:rsidRDefault="00000000">
      <w:pPr>
        <w:ind w:firstLine="560"/>
        <w:rPr>
          <w:color w:val="auto"/>
        </w:rPr>
      </w:pPr>
      <w:r>
        <w:rPr>
          <w:rFonts w:hint="eastAsia"/>
          <w:color w:val="auto"/>
        </w:rPr>
        <w:t>4</w:t>
      </w:r>
      <w:r>
        <w:rPr>
          <w:color w:val="auto"/>
        </w:rPr>
        <w:t>．管理因素。</w:t>
      </w:r>
    </w:p>
    <w:p w14:paraId="5D73EFBC" w14:textId="77777777" w:rsidR="009219A0" w:rsidRDefault="00000000">
      <w:pPr>
        <w:ind w:firstLine="560"/>
        <w:rPr>
          <w:color w:val="auto"/>
        </w:rPr>
      </w:pPr>
      <w:r>
        <w:rPr>
          <w:color w:val="auto"/>
        </w:rPr>
        <w:t>1</w:t>
      </w:r>
      <w:r>
        <w:rPr>
          <w:rFonts w:hint="eastAsia"/>
          <w:color w:val="auto"/>
        </w:rPr>
        <w:t>）</w:t>
      </w:r>
      <w:r>
        <w:rPr>
          <w:color w:val="auto"/>
        </w:rPr>
        <w:t>职业安全卫生管理机构设置和人员配备不健全；</w:t>
      </w:r>
    </w:p>
    <w:p w14:paraId="43C0D8FC" w14:textId="77777777" w:rsidR="009219A0" w:rsidRDefault="00000000">
      <w:pPr>
        <w:ind w:firstLine="560"/>
        <w:rPr>
          <w:color w:val="auto"/>
        </w:rPr>
      </w:pPr>
      <w:r>
        <w:rPr>
          <w:color w:val="auto"/>
        </w:rPr>
        <w:t>2</w:t>
      </w:r>
      <w:r>
        <w:rPr>
          <w:rFonts w:hint="eastAsia"/>
          <w:color w:val="auto"/>
        </w:rPr>
        <w:t>）</w:t>
      </w:r>
      <w:r>
        <w:rPr>
          <w:color w:val="auto"/>
        </w:rPr>
        <w:t>职业安全卫生责任制不完善或未落实；</w:t>
      </w:r>
    </w:p>
    <w:p w14:paraId="585125A5" w14:textId="77777777" w:rsidR="009219A0" w:rsidRDefault="00000000">
      <w:pPr>
        <w:ind w:firstLine="560"/>
        <w:rPr>
          <w:color w:val="auto"/>
        </w:rPr>
      </w:pPr>
      <w:r>
        <w:rPr>
          <w:color w:val="auto"/>
        </w:rPr>
        <w:t>3</w:t>
      </w:r>
      <w:r>
        <w:rPr>
          <w:rFonts w:hint="eastAsia"/>
          <w:color w:val="auto"/>
        </w:rPr>
        <w:t>）</w:t>
      </w:r>
      <w:r>
        <w:rPr>
          <w:color w:val="auto"/>
        </w:rPr>
        <w:t>职业安全卫生管理制度不完善或未落实；</w:t>
      </w:r>
    </w:p>
    <w:p w14:paraId="3C1E0C93" w14:textId="77777777" w:rsidR="009219A0" w:rsidRDefault="00000000">
      <w:pPr>
        <w:ind w:firstLine="560"/>
        <w:rPr>
          <w:color w:val="auto"/>
        </w:rPr>
      </w:pPr>
      <w:r>
        <w:rPr>
          <w:color w:val="auto"/>
        </w:rPr>
        <w:t>4</w:t>
      </w:r>
      <w:r>
        <w:rPr>
          <w:rFonts w:hint="eastAsia"/>
          <w:color w:val="auto"/>
        </w:rPr>
        <w:t>）</w:t>
      </w:r>
      <w:r>
        <w:rPr>
          <w:color w:val="auto"/>
        </w:rPr>
        <w:t>职业安全卫生投入不足；</w:t>
      </w:r>
    </w:p>
    <w:p w14:paraId="67D530E0" w14:textId="77777777" w:rsidR="009219A0" w:rsidRDefault="00000000">
      <w:pPr>
        <w:ind w:firstLine="560"/>
        <w:rPr>
          <w:color w:val="auto"/>
        </w:rPr>
      </w:pPr>
      <w:r>
        <w:rPr>
          <w:color w:val="auto"/>
        </w:rPr>
        <w:t>5</w:t>
      </w:r>
      <w:r>
        <w:rPr>
          <w:rFonts w:hint="eastAsia"/>
          <w:color w:val="auto"/>
        </w:rPr>
        <w:t>）</w:t>
      </w:r>
      <w:r>
        <w:rPr>
          <w:color w:val="auto"/>
        </w:rPr>
        <w:t>应急管理缺陷；</w:t>
      </w:r>
    </w:p>
    <w:p w14:paraId="78C0FA88" w14:textId="77777777" w:rsidR="009219A0" w:rsidRDefault="00000000">
      <w:pPr>
        <w:ind w:firstLine="560"/>
        <w:rPr>
          <w:color w:val="auto"/>
        </w:rPr>
      </w:pPr>
      <w:r>
        <w:rPr>
          <w:color w:val="auto"/>
        </w:rPr>
        <w:t>6</w:t>
      </w:r>
      <w:r>
        <w:rPr>
          <w:rFonts w:hint="eastAsia"/>
          <w:color w:val="auto"/>
        </w:rPr>
        <w:t>）</w:t>
      </w:r>
      <w:r>
        <w:rPr>
          <w:color w:val="auto"/>
        </w:rPr>
        <w:t>其他管理因素缺陷。</w:t>
      </w:r>
    </w:p>
    <w:p w14:paraId="1E582899" w14:textId="77777777" w:rsidR="009219A0" w:rsidRDefault="00000000">
      <w:pPr>
        <w:ind w:firstLine="560"/>
        <w:rPr>
          <w:color w:val="auto"/>
        </w:rPr>
      </w:pPr>
      <w:r>
        <w:rPr>
          <w:color w:val="auto"/>
        </w:rPr>
        <w:t>根据</w:t>
      </w:r>
      <w:proofErr w:type="gramStart"/>
      <w:r>
        <w:rPr>
          <w:color w:val="auto"/>
        </w:rPr>
        <w:t>《</w:t>
      </w:r>
      <w:proofErr w:type="gramEnd"/>
      <w:r>
        <w:rPr>
          <w:color w:val="auto"/>
        </w:rPr>
        <w:t>关于印发</w:t>
      </w:r>
      <w:proofErr w:type="gramStart"/>
      <w:r>
        <w:rPr>
          <w:color w:val="auto"/>
        </w:rPr>
        <w:t>《</w:t>
      </w:r>
      <w:proofErr w:type="gramEnd"/>
      <w:r>
        <w:rPr>
          <w:color w:val="auto"/>
        </w:rPr>
        <w:t>职业病危害因素分类目录</w:t>
      </w:r>
      <w:proofErr w:type="gramStart"/>
      <w:r>
        <w:rPr>
          <w:color w:val="auto"/>
        </w:rPr>
        <w:t>》</w:t>
      </w:r>
      <w:proofErr w:type="gramEnd"/>
      <w:r>
        <w:rPr>
          <w:color w:val="auto"/>
        </w:rPr>
        <w:t>的通知</w:t>
      </w:r>
      <w:proofErr w:type="gramStart"/>
      <w:r>
        <w:rPr>
          <w:color w:val="auto"/>
        </w:rPr>
        <w:t>》</w:t>
      </w:r>
      <w:proofErr w:type="gramEnd"/>
      <w:r>
        <w:rPr>
          <w:color w:val="auto"/>
        </w:rPr>
        <w:t>（国卫疾控发〔</w:t>
      </w:r>
      <w:r>
        <w:rPr>
          <w:color w:val="auto"/>
        </w:rPr>
        <w:t>2015</w:t>
      </w:r>
      <w:r>
        <w:rPr>
          <w:color w:val="auto"/>
        </w:rPr>
        <w:t>〕</w:t>
      </w:r>
      <w:r>
        <w:rPr>
          <w:color w:val="auto"/>
        </w:rPr>
        <w:t>92</w:t>
      </w:r>
      <w:r>
        <w:rPr>
          <w:color w:val="auto"/>
        </w:rPr>
        <w:t>号），将有害因素分为六类：</w:t>
      </w:r>
    </w:p>
    <w:p w14:paraId="371A2C5B" w14:textId="77777777" w:rsidR="009219A0" w:rsidRDefault="00000000">
      <w:pPr>
        <w:ind w:firstLine="560"/>
        <w:rPr>
          <w:color w:val="auto"/>
        </w:rPr>
      </w:pPr>
      <w:r>
        <w:rPr>
          <w:rFonts w:hint="eastAsia"/>
          <w:color w:val="auto"/>
        </w:rPr>
        <w:t>1</w:t>
      </w:r>
      <w:r>
        <w:rPr>
          <w:rFonts w:hint="eastAsia"/>
          <w:color w:val="auto"/>
        </w:rPr>
        <w:t>．</w:t>
      </w:r>
      <w:r>
        <w:rPr>
          <w:color w:val="auto"/>
        </w:rPr>
        <w:t>粉尘类；</w:t>
      </w:r>
    </w:p>
    <w:p w14:paraId="0224706F" w14:textId="77777777" w:rsidR="009219A0" w:rsidRDefault="00000000">
      <w:pPr>
        <w:ind w:firstLine="560"/>
        <w:rPr>
          <w:color w:val="auto"/>
        </w:rPr>
      </w:pPr>
      <w:r>
        <w:rPr>
          <w:rFonts w:hint="eastAsia"/>
          <w:color w:val="auto"/>
        </w:rPr>
        <w:t>2</w:t>
      </w:r>
      <w:r>
        <w:rPr>
          <w:rFonts w:hint="eastAsia"/>
          <w:color w:val="auto"/>
        </w:rPr>
        <w:t>．</w:t>
      </w:r>
      <w:r>
        <w:rPr>
          <w:color w:val="auto"/>
        </w:rPr>
        <w:t>化学物质；</w:t>
      </w:r>
    </w:p>
    <w:p w14:paraId="4AFA0FD7" w14:textId="77777777" w:rsidR="009219A0" w:rsidRDefault="00000000">
      <w:pPr>
        <w:ind w:firstLine="560"/>
        <w:rPr>
          <w:color w:val="auto"/>
        </w:rPr>
      </w:pPr>
      <w:r>
        <w:rPr>
          <w:rFonts w:hint="eastAsia"/>
          <w:color w:val="auto"/>
        </w:rPr>
        <w:t>3</w:t>
      </w:r>
      <w:r>
        <w:rPr>
          <w:rFonts w:hint="eastAsia"/>
          <w:color w:val="auto"/>
        </w:rPr>
        <w:t>．</w:t>
      </w:r>
      <w:r>
        <w:rPr>
          <w:color w:val="auto"/>
        </w:rPr>
        <w:t>物理因素；</w:t>
      </w:r>
    </w:p>
    <w:p w14:paraId="763E89D0" w14:textId="77777777" w:rsidR="009219A0" w:rsidRDefault="00000000">
      <w:pPr>
        <w:ind w:firstLine="560"/>
        <w:rPr>
          <w:color w:val="auto"/>
        </w:rPr>
      </w:pPr>
      <w:r>
        <w:rPr>
          <w:rFonts w:hint="eastAsia"/>
          <w:color w:val="auto"/>
        </w:rPr>
        <w:t>4</w:t>
      </w:r>
      <w:r>
        <w:rPr>
          <w:rFonts w:hint="eastAsia"/>
          <w:color w:val="auto"/>
        </w:rPr>
        <w:t>．</w:t>
      </w:r>
      <w:r>
        <w:rPr>
          <w:color w:val="auto"/>
        </w:rPr>
        <w:t>放射性因素；</w:t>
      </w:r>
    </w:p>
    <w:p w14:paraId="5839F82E" w14:textId="77777777" w:rsidR="009219A0" w:rsidRDefault="00000000">
      <w:pPr>
        <w:ind w:firstLine="560"/>
        <w:rPr>
          <w:color w:val="auto"/>
        </w:rPr>
      </w:pPr>
      <w:r>
        <w:rPr>
          <w:rFonts w:hint="eastAsia"/>
          <w:color w:val="auto"/>
        </w:rPr>
        <w:t>5</w:t>
      </w:r>
      <w:r>
        <w:rPr>
          <w:rFonts w:hint="eastAsia"/>
          <w:color w:val="auto"/>
        </w:rPr>
        <w:t>．</w:t>
      </w:r>
      <w:r>
        <w:rPr>
          <w:color w:val="auto"/>
        </w:rPr>
        <w:t>生物因素；</w:t>
      </w:r>
    </w:p>
    <w:p w14:paraId="42F2F439" w14:textId="77777777" w:rsidR="009219A0" w:rsidRDefault="00000000">
      <w:pPr>
        <w:ind w:firstLine="560"/>
        <w:rPr>
          <w:color w:val="auto"/>
        </w:rPr>
      </w:pPr>
      <w:r>
        <w:rPr>
          <w:rFonts w:hint="eastAsia"/>
          <w:color w:val="auto"/>
        </w:rPr>
        <w:t>6</w:t>
      </w:r>
      <w:r>
        <w:rPr>
          <w:rFonts w:hint="eastAsia"/>
          <w:color w:val="auto"/>
        </w:rPr>
        <w:t>．</w:t>
      </w:r>
      <w:r>
        <w:rPr>
          <w:color w:val="auto"/>
        </w:rPr>
        <w:t>其他因素。</w:t>
      </w:r>
    </w:p>
    <w:p w14:paraId="7D8FFDAE" w14:textId="77777777" w:rsidR="009219A0" w:rsidRDefault="00000000">
      <w:pPr>
        <w:ind w:firstLine="560"/>
        <w:rPr>
          <w:color w:val="auto"/>
        </w:rPr>
      </w:pPr>
      <w:r>
        <w:rPr>
          <w:rFonts w:hint="eastAsia"/>
          <w:color w:val="auto"/>
        </w:rPr>
        <w:lastRenderedPageBreak/>
        <w:t>同时，根据《危险化学品重大危险源辨识》（</w:t>
      </w:r>
      <w:r>
        <w:rPr>
          <w:rFonts w:hint="eastAsia"/>
          <w:color w:val="auto"/>
        </w:rPr>
        <w:t>GB 18218-2018</w:t>
      </w:r>
      <w:r>
        <w:rPr>
          <w:rFonts w:hint="eastAsia"/>
          <w:color w:val="auto"/>
        </w:rPr>
        <w:t>）的规定，对存在危险化学品的场所进行重大危险源辨识与分析。</w:t>
      </w:r>
    </w:p>
    <w:p w14:paraId="1803E749" w14:textId="77777777" w:rsidR="009219A0" w:rsidRDefault="00000000">
      <w:pPr>
        <w:pStyle w:val="2"/>
        <w:rPr>
          <w:rFonts w:hint="eastAsia"/>
        </w:rPr>
      </w:pPr>
      <w:bookmarkStart w:id="100" w:name="_Toc211950434"/>
      <w:bookmarkStart w:id="101" w:name="_Toc165281443"/>
      <w:bookmarkStart w:id="102" w:name="_Toc246965449"/>
      <w:bookmarkStart w:id="103" w:name="_Toc174244031"/>
      <w:bookmarkStart w:id="104" w:name="_Toc503269866"/>
      <w:r>
        <w:rPr>
          <w:rFonts w:hint="eastAsia"/>
        </w:rPr>
        <w:t>3.3 危险、有害因素产生的原因</w:t>
      </w:r>
      <w:bookmarkEnd w:id="100"/>
      <w:bookmarkEnd w:id="101"/>
    </w:p>
    <w:p w14:paraId="68CCA4B9" w14:textId="77777777" w:rsidR="009219A0" w:rsidRDefault="00000000">
      <w:pPr>
        <w:pStyle w:val="3"/>
        <w:rPr>
          <w:rFonts w:hint="eastAsia"/>
        </w:rPr>
      </w:pPr>
      <w:bookmarkStart w:id="105" w:name="_Toc211950435"/>
      <w:r>
        <w:rPr>
          <w:rFonts w:hint="eastAsia"/>
        </w:rPr>
        <w:t>3.3.1 运行失控与设备故障</w:t>
      </w:r>
      <w:bookmarkEnd w:id="105"/>
    </w:p>
    <w:p w14:paraId="0DD838CF" w14:textId="77777777" w:rsidR="009219A0" w:rsidRDefault="00000000">
      <w:pPr>
        <w:ind w:firstLine="560"/>
        <w:rPr>
          <w:color w:val="auto"/>
        </w:rPr>
      </w:pPr>
      <w:r>
        <w:rPr>
          <w:rFonts w:hint="eastAsia"/>
          <w:color w:val="auto"/>
        </w:rPr>
        <w:t>运行失控是指装置运行过程中偏离或超过了正常的工艺技术条件，出现危险状态。故障是指设备、元件等在运行过程中由于性能低下而不能实现预期功能的现象。在生产过程中运行失控故障的发生是可能的，故障具有随机性和突发性，故障的发生一般是随机事件。造成故障发生的原因很复杂（如设计、制造、安装、腐蚀、疲劳、检查和检修保养、人员失误、环境及其它系统的影响等），但故障发生的规律是可知的，通过定期检查、维修、保养可使故障在预定期间内得到控制、避免、减少。</w:t>
      </w:r>
    </w:p>
    <w:p w14:paraId="3B080A62" w14:textId="77777777" w:rsidR="009219A0" w:rsidRDefault="00000000">
      <w:pPr>
        <w:pStyle w:val="3"/>
        <w:rPr>
          <w:rFonts w:hint="eastAsia"/>
        </w:rPr>
      </w:pPr>
      <w:bookmarkStart w:id="106" w:name="_Toc211950436"/>
      <w:r>
        <w:rPr>
          <w:rFonts w:hint="eastAsia"/>
        </w:rPr>
        <w:t>3.3.2 人员失误</w:t>
      </w:r>
      <w:bookmarkEnd w:id="106"/>
    </w:p>
    <w:p w14:paraId="3E831962" w14:textId="77777777" w:rsidR="009219A0" w:rsidRDefault="00000000">
      <w:pPr>
        <w:ind w:firstLine="560"/>
        <w:rPr>
          <w:color w:val="auto"/>
        </w:rPr>
      </w:pPr>
      <w:r>
        <w:rPr>
          <w:rFonts w:hint="eastAsia"/>
          <w:color w:val="auto"/>
        </w:rPr>
        <w:t>人员失误系指不安全行为（指职工在劳动过程中违反劳动纪律、操作程序、方法等具有危险性的作法）产生不良后果的行为。人员失误在生产过程中是不可避免的，它具有随机性和偶然性，往往是不可预测的意外行为。影响人员失误的因素很多，但发生人员失误的规律和失误率通过大量的观测、统计分析是可以预测的。</w:t>
      </w:r>
    </w:p>
    <w:p w14:paraId="46719EE4" w14:textId="77777777" w:rsidR="009219A0" w:rsidRDefault="00000000">
      <w:pPr>
        <w:pStyle w:val="3"/>
        <w:rPr>
          <w:rFonts w:hint="eastAsia"/>
        </w:rPr>
      </w:pPr>
      <w:bookmarkStart w:id="107" w:name="_Toc211950437"/>
      <w:r>
        <w:rPr>
          <w:rFonts w:hint="eastAsia"/>
        </w:rPr>
        <w:t>3.3.3 管理缺陷</w:t>
      </w:r>
      <w:bookmarkEnd w:id="107"/>
    </w:p>
    <w:p w14:paraId="0FE965F3" w14:textId="77777777" w:rsidR="009219A0" w:rsidRDefault="00000000">
      <w:pPr>
        <w:ind w:firstLine="560"/>
        <w:rPr>
          <w:color w:val="auto"/>
        </w:rPr>
      </w:pPr>
      <w:r>
        <w:rPr>
          <w:rFonts w:hint="eastAsia"/>
          <w:color w:val="auto"/>
        </w:rPr>
        <w:t>安全管理是为保证及时、有效地实现既定的安全目标，是在预测、分析的基础上进行的计划、组织、协调、检查等工作，是预防故障和人员失误发生的有效手段。管理缺陷是影响运行失控发生的重要因素。</w:t>
      </w:r>
    </w:p>
    <w:p w14:paraId="07F8DBF2" w14:textId="77777777" w:rsidR="009219A0" w:rsidRDefault="00000000">
      <w:pPr>
        <w:pStyle w:val="3"/>
        <w:rPr>
          <w:rFonts w:hint="eastAsia"/>
        </w:rPr>
      </w:pPr>
      <w:bookmarkStart w:id="108" w:name="_Toc211950438"/>
      <w:r>
        <w:rPr>
          <w:rFonts w:hint="eastAsia"/>
        </w:rPr>
        <w:t>3.3.4 环境因素</w:t>
      </w:r>
      <w:bookmarkEnd w:id="108"/>
    </w:p>
    <w:p w14:paraId="711A7D05" w14:textId="77777777" w:rsidR="009219A0" w:rsidRDefault="00000000">
      <w:pPr>
        <w:ind w:firstLine="560"/>
        <w:rPr>
          <w:color w:val="auto"/>
        </w:rPr>
      </w:pPr>
      <w:r>
        <w:rPr>
          <w:rFonts w:hint="eastAsia"/>
          <w:color w:val="auto"/>
        </w:rPr>
        <w:t>不良环境的影响包括自然环境和作业环境。作业环境如温度、湿度、通风、照明、噪声、采光等因素的变化均可能导致人的情绪异常而引发误操作，从而引发事故；自然环境如风、雨、雷电、水文、地质条件等均可</w:t>
      </w:r>
      <w:r>
        <w:rPr>
          <w:rFonts w:hint="eastAsia"/>
          <w:color w:val="auto"/>
        </w:rPr>
        <w:lastRenderedPageBreak/>
        <w:t>能引发安全事故。</w:t>
      </w:r>
    </w:p>
    <w:p w14:paraId="203B2C2B" w14:textId="77777777" w:rsidR="009219A0" w:rsidRDefault="00000000">
      <w:pPr>
        <w:pStyle w:val="2"/>
        <w:rPr>
          <w:rFonts w:hint="eastAsia"/>
        </w:rPr>
      </w:pPr>
      <w:bookmarkStart w:id="109" w:name="_Toc211950439"/>
      <w:bookmarkStart w:id="110" w:name="_Toc165281444"/>
      <w:r>
        <w:rPr>
          <w:rFonts w:hint="eastAsia"/>
        </w:rPr>
        <w:t>3.4 危险、有害</w:t>
      </w:r>
      <w:bookmarkEnd w:id="102"/>
      <w:bookmarkEnd w:id="103"/>
      <w:bookmarkEnd w:id="104"/>
      <w:r>
        <w:rPr>
          <w:rFonts w:hint="eastAsia"/>
        </w:rPr>
        <w:t>物质辨识</w:t>
      </w:r>
      <w:bookmarkEnd w:id="109"/>
      <w:bookmarkEnd w:id="110"/>
    </w:p>
    <w:p w14:paraId="191A3122" w14:textId="77777777" w:rsidR="009219A0" w:rsidRDefault="00000000">
      <w:pPr>
        <w:pStyle w:val="3"/>
        <w:rPr>
          <w:rFonts w:hint="eastAsia"/>
        </w:rPr>
      </w:pPr>
      <w:bookmarkStart w:id="111" w:name="_Toc93300970"/>
      <w:bookmarkStart w:id="112" w:name="_Toc93301265"/>
      <w:bookmarkStart w:id="113" w:name="_Toc93301155"/>
      <w:bookmarkStart w:id="114" w:name="_Toc503269867"/>
      <w:bookmarkStart w:id="115" w:name="_Toc211950440"/>
      <w:bookmarkStart w:id="116" w:name="_Toc93301223"/>
      <w:bookmarkStart w:id="117" w:name="_Toc355972232"/>
      <w:bookmarkStart w:id="118" w:name="_Toc109812324"/>
      <w:r>
        <w:rPr>
          <w:rFonts w:hint="eastAsia"/>
        </w:rPr>
        <w:t>3.4.1 主要危险物质辨识</w:t>
      </w:r>
      <w:bookmarkEnd w:id="111"/>
      <w:bookmarkEnd w:id="112"/>
      <w:bookmarkEnd w:id="113"/>
      <w:bookmarkEnd w:id="114"/>
      <w:bookmarkEnd w:id="115"/>
      <w:bookmarkEnd w:id="116"/>
      <w:bookmarkEnd w:id="117"/>
      <w:bookmarkEnd w:id="118"/>
    </w:p>
    <w:p w14:paraId="1CDBB215" w14:textId="77777777" w:rsidR="009219A0" w:rsidRDefault="00000000">
      <w:pPr>
        <w:ind w:firstLine="560"/>
        <w:rPr>
          <w:color w:val="auto"/>
        </w:rPr>
      </w:pPr>
      <w:r>
        <w:rPr>
          <w:rFonts w:hint="eastAsia"/>
          <w:color w:val="auto"/>
        </w:rPr>
        <w:t>根据《爆炸危险环境电力装置设计规范》（</w:t>
      </w:r>
      <w:r>
        <w:rPr>
          <w:rFonts w:hint="eastAsia"/>
          <w:color w:val="auto"/>
        </w:rPr>
        <w:t>GB50058-2014</w:t>
      </w:r>
      <w:r>
        <w:rPr>
          <w:rFonts w:hint="eastAsia"/>
          <w:color w:val="auto"/>
        </w:rPr>
        <w:t>）附录</w:t>
      </w:r>
      <w:r>
        <w:rPr>
          <w:rFonts w:hint="eastAsia"/>
          <w:color w:val="auto"/>
        </w:rPr>
        <w:t>E</w:t>
      </w:r>
      <w:r>
        <w:rPr>
          <w:rFonts w:hint="eastAsia"/>
          <w:color w:val="auto"/>
        </w:rPr>
        <w:t>及建设方提供资料可知，项目使用的原料铁粉平均粒径约为</w:t>
      </w:r>
      <w:r>
        <w:rPr>
          <w:rFonts w:hint="eastAsia"/>
          <w:color w:val="auto"/>
        </w:rPr>
        <w:t>300um</w:t>
      </w:r>
      <w:r>
        <w:rPr>
          <w:rFonts w:hint="eastAsia"/>
          <w:color w:val="auto"/>
        </w:rPr>
        <w:t>，含水量大于</w:t>
      </w:r>
      <w:r>
        <w:rPr>
          <w:rFonts w:hint="eastAsia"/>
          <w:color w:val="auto"/>
        </w:rPr>
        <w:t>15%</w:t>
      </w:r>
      <w:r>
        <w:rPr>
          <w:rFonts w:hint="eastAsia"/>
          <w:color w:val="auto"/>
        </w:rPr>
        <w:t>，不属于可燃性粉尘；铁粉脱杂、硫铁矿脱砷中试实验过程中不锈钢循环槽、氧化槽浸出反应过程和真空过滤工序产生的酸雾（少量硫化氢气体、</w:t>
      </w:r>
      <w:proofErr w:type="gramStart"/>
      <w:r>
        <w:rPr>
          <w:rFonts w:hint="eastAsia"/>
          <w:color w:val="auto"/>
        </w:rPr>
        <w:t>微量砷化氢气</w:t>
      </w:r>
      <w:proofErr w:type="gramEnd"/>
      <w:r>
        <w:rPr>
          <w:rFonts w:hint="eastAsia"/>
          <w:color w:val="auto"/>
        </w:rPr>
        <w:t>体）由风机形成负压进入二级碱液喷淋塔内进行处理。</w:t>
      </w:r>
    </w:p>
    <w:p w14:paraId="334B831B" w14:textId="77777777" w:rsidR="009219A0" w:rsidRDefault="00000000">
      <w:pPr>
        <w:ind w:firstLine="560"/>
        <w:rPr>
          <w:color w:val="auto"/>
        </w:rPr>
      </w:pPr>
      <w:r>
        <w:rPr>
          <w:rFonts w:hint="eastAsia"/>
          <w:color w:val="auto"/>
        </w:rPr>
        <w:t>危险化学品：依据《危险化学品目录》（</w:t>
      </w:r>
      <w:r>
        <w:rPr>
          <w:rFonts w:hint="eastAsia"/>
          <w:color w:val="auto"/>
        </w:rPr>
        <w:t>2022</w:t>
      </w:r>
      <w:r>
        <w:rPr>
          <w:rFonts w:hint="eastAsia"/>
          <w:color w:val="auto"/>
        </w:rPr>
        <w:t>年调整版）及《国家安全监管总局办公厅关于印发危险化学品目录（</w:t>
      </w:r>
      <w:r>
        <w:rPr>
          <w:rFonts w:hint="eastAsia"/>
          <w:color w:val="auto"/>
        </w:rPr>
        <w:t>2015</w:t>
      </w:r>
      <w:r>
        <w:rPr>
          <w:rFonts w:hint="eastAsia"/>
          <w:color w:val="auto"/>
        </w:rPr>
        <w:t>版）实施指南（试行）的通知》（安</w:t>
      </w:r>
      <w:proofErr w:type="gramStart"/>
      <w:r>
        <w:rPr>
          <w:rFonts w:hint="eastAsia"/>
          <w:color w:val="auto"/>
        </w:rPr>
        <w:t>监总厅</w:t>
      </w:r>
      <w:proofErr w:type="gramEnd"/>
      <w:r>
        <w:rPr>
          <w:rFonts w:hint="eastAsia"/>
          <w:color w:val="auto"/>
        </w:rPr>
        <w:t>管三〔</w:t>
      </w:r>
      <w:r>
        <w:rPr>
          <w:rFonts w:hint="eastAsia"/>
          <w:color w:val="auto"/>
        </w:rPr>
        <w:t>2015</w:t>
      </w:r>
      <w:r>
        <w:rPr>
          <w:rFonts w:hint="eastAsia"/>
          <w:color w:val="auto"/>
        </w:rPr>
        <w:t>〕</w:t>
      </w:r>
      <w:r>
        <w:rPr>
          <w:rFonts w:hint="eastAsia"/>
          <w:color w:val="auto"/>
        </w:rPr>
        <w:t>80</w:t>
      </w:r>
      <w:r>
        <w:rPr>
          <w:rFonts w:hint="eastAsia"/>
          <w:color w:val="auto"/>
        </w:rPr>
        <w:t>号）判定可知：硫酸、盐酸、硫化氢、砷化氢（铁粉脱杂、硫铁矿脱砷中试实验过程中不锈钢循环槽、氧化槽浸出反应过程和真空过滤工序产生少量硫化氢气体和</w:t>
      </w:r>
      <w:proofErr w:type="gramStart"/>
      <w:r>
        <w:rPr>
          <w:rFonts w:hint="eastAsia"/>
          <w:color w:val="auto"/>
        </w:rPr>
        <w:t>微量砷化氢气</w:t>
      </w:r>
      <w:proofErr w:type="gramEnd"/>
      <w:r>
        <w:rPr>
          <w:rFonts w:hint="eastAsia"/>
          <w:color w:val="auto"/>
        </w:rPr>
        <w:t>体，由风机形成负压进入二级碱液喷淋塔内进行处理）属于危险化学品。</w:t>
      </w:r>
    </w:p>
    <w:p w14:paraId="72F1747A" w14:textId="77777777" w:rsidR="009219A0" w:rsidRDefault="00000000">
      <w:pPr>
        <w:pStyle w:val="3"/>
        <w:rPr>
          <w:rFonts w:hint="eastAsia"/>
        </w:rPr>
      </w:pPr>
      <w:bookmarkStart w:id="119" w:name="_Toc211950441"/>
      <w:r>
        <w:rPr>
          <w:rFonts w:hint="eastAsia"/>
        </w:rPr>
        <w:t>3.4.2 主要危险、有害物质危险性分析</w:t>
      </w:r>
      <w:bookmarkEnd w:id="119"/>
    </w:p>
    <w:p w14:paraId="340E6C13" w14:textId="77777777" w:rsidR="009219A0" w:rsidRDefault="00000000">
      <w:pPr>
        <w:ind w:firstLine="560"/>
        <w:rPr>
          <w:color w:val="auto"/>
        </w:rPr>
      </w:pPr>
      <w:r>
        <w:rPr>
          <w:color w:val="auto"/>
        </w:rPr>
        <w:t>根据《危险化学品分类信息表》，涉及的危险化学品危险性类别分类信息如表</w:t>
      </w:r>
      <w:r>
        <w:rPr>
          <w:color w:val="auto"/>
        </w:rPr>
        <w:t>3</w:t>
      </w:r>
      <w:r>
        <w:rPr>
          <w:rFonts w:hint="eastAsia"/>
          <w:color w:val="auto"/>
        </w:rPr>
        <w:t>.4</w:t>
      </w:r>
      <w:r>
        <w:rPr>
          <w:color w:val="auto"/>
        </w:rPr>
        <w:t>-1</w:t>
      </w:r>
      <w:r>
        <w:rPr>
          <w:color w:val="auto"/>
        </w:rPr>
        <w:t>所示</w:t>
      </w:r>
      <w:r>
        <w:rPr>
          <w:rFonts w:hint="eastAsia"/>
          <w:color w:val="auto"/>
        </w:rPr>
        <w:t>，</w:t>
      </w:r>
      <w:r>
        <w:rPr>
          <w:color w:val="auto"/>
        </w:rPr>
        <w:t>涉及的危险化学品理化特性表见附件附表</w:t>
      </w:r>
      <w:r>
        <w:rPr>
          <w:rFonts w:hint="eastAsia"/>
          <w:color w:val="auto"/>
        </w:rPr>
        <w:t>2.1-1</w:t>
      </w:r>
      <w:r>
        <w:rPr>
          <w:color w:val="auto"/>
        </w:rPr>
        <w:t>。</w:t>
      </w:r>
    </w:p>
    <w:p w14:paraId="2854E334" w14:textId="77777777" w:rsidR="009219A0" w:rsidRDefault="00000000">
      <w:pPr>
        <w:pStyle w:val="Style2"/>
        <w:topLinePunct/>
        <w:ind w:firstLineChars="0" w:firstLine="0"/>
        <w:jc w:val="center"/>
        <w:rPr>
          <w:rFonts w:ascii="宋体" w:hAnsi="宋体" w:hint="eastAsia"/>
          <w:color w:val="auto"/>
          <w:szCs w:val="28"/>
        </w:rPr>
      </w:pPr>
      <w:r>
        <w:rPr>
          <w:rFonts w:ascii="宋体" w:hAnsi="宋体" w:hint="eastAsia"/>
          <w:color w:val="auto"/>
          <w:szCs w:val="28"/>
        </w:rPr>
        <w:t>表3.4-1  涉及的危险化学品的</w:t>
      </w:r>
      <w:r>
        <w:rPr>
          <w:rFonts w:ascii="宋体" w:hAnsi="宋体"/>
          <w:color w:val="auto"/>
          <w:szCs w:val="28"/>
        </w:rPr>
        <w:t>危险性类别分类信息</w:t>
      </w:r>
      <w:r>
        <w:rPr>
          <w:rFonts w:ascii="宋体" w:hAnsi="宋体" w:hint="eastAsia"/>
          <w:color w:val="auto"/>
          <w:szCs w:val="28"/>
        </w:rPr>
        <w:t>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112"/>
        <w:gridCol w:w="1134"/>
        <w:gridCol w:w="850"/>
        <w:gridCol w:w="1276"/>
        <w:gridCol w:w="3544"/>
        <w:gridCol w:w="707"/>
      </w:tblGrid>
      <w:tr w:rsidR="009219A0" w14:paraId="4F10FD0D" w14:textId="77777777">
        <w:trPr>
          <w:trHeight w:val="340"/>
          <w:jc w:val="center"/>
        </w:trPr>
        <w:tc>
          <w:tcPr>
            <w:tcW w:w="449" w:type="dxa"/>
            <w:tcBorders>
              <w:top w:val="single" w:sz="4" w:space="0" w:color="auto"/>
              <w:left w:val="single" w:sz="4" w:space="0" w:color="auto"/>
              <w:bottom w:val="single" w:sz="4" w:space="0" w:color="auto"/>
              <w:right w:val="single" w:sz="4" w:space="0" w:color="auto"/>
            </w:tcBorders>
            <w:vAlign w:val="center"/>
          </w:tcPr>
          <w:p w14:paraId="5B9D149C" w14:textId="77777777" w:rsidR="009219A0" w:rsidRDefault="00000000">
            <w:pPr>
              <w:snapToGrid/>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序号</w:t>
            </w:r>
          </w:p>
        </w:tc>
        <w:tc>
          <w:tcPr>
            <w:tcW w:w="1112" w:type="dxa"/>
            <w:tcBorders>
              <w:top w:val="single" w:sz="4" w:space="0" w:color="auto"/>
              <w:left w:val="single" w:sz="4" w:space="0" w:color="auto"/>
              <w:bottom w:val="single" w:sz="4" w:space="0" w:color="auto"/>
              <w:right w:val="single" w:sz="4" w:space="0" w:color="auto"/>
            </w:tcBorders>
            <w:vAlign w:val="center"/>
          </w:tcPr>
          <w:p w14:paraId="342C92E4" w14:textId="77777777" w:rsidR="009219A0" w:rsidRDefault="00000000">
            <w:pPr>
              <w:snapToGrid/>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危险化学品名称</w:t>
            </w:r>
          </w:p>
        </w:tc>
        <w:tc>
          <w:tcPr>
            <w:tcW w:w="1134" w:type="dxa"/>
            <w:tcBorders>
              <w:top w:val="single" w:sz="4" w:space="0" w:color="auto"/>
              <w:left w:val="single" w:sz="4" w:space="0" w:color="auto"/>
              <w:bottom w:val="single" w:sz="4" w:space="0" w:color="auto"/>
              <w:right w:val="single" w:sz="4" w:space="0" w:color="auto"/>
            </w:tcBorders>
            <w:vAlign w:val="center"/>
          </w:tcPr>
          <w:p w14:paraId="2D0C1616" w14:textId="77777777" w:rsidR="009219A0" w:rsidRDefault="00000000">
            <w:pPr>
              <w:snapToGrid/>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危险化学品序号</w:t>
            </w:r>
          </w:p>
        </w:tc>
        <w:tc>
          <w:tcPr>
            <w:tcW w:w="850" w:type="dxa"/>
            <w:tcBorders>
              <w:top w:val="single" w:sz="4" w:space="0" w:color="auto"/>
              <w:left w:val="single" w:sz="4" w:space="0" w:color="auto"/>
              <w:bottom w:val="single" w:sz="4" w:space="0" w:color="auto"/>
              <w:right w:val="single" w:sz="4" w:space="0" w:color="auto"/>
            </w:tcBorders>
            <w:vAlign w:val="center"/>
          </w:tcPr>
          <w:p w14:paraId="43B81AFD" w14:textId="77777777" w:rsidR="009219A0" w:rsidRDefault="00000000">
            <w:pPr>
              <w:snapToGrid/>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别名</w:t>
            </w:r>
          </w:p>
        </w:tc>
        <w:tc>
          <w:tcPr>
            <w:tcW w:w="1276" w:type="dxa"/>
            <w:tcBorders>
              <w:top w:val="single" w:sz="4" w:space="0" w:color="auto"/>
              <w:left w:val="single" w:sz="4" w:space="0" w:color="auto"/>
              <w:bottom w:val="single" w:sz="4" w:space="0" w:color="auto"/>
              <w:right w:val="single" w:sz="4" w:space="0" w:color="auto"/>
            </w:tcBorders>
            <w:vAlign w:val="center"/>
          </w:tcPr>
          <w:p w14:paraId="08F04351" w14:textId="77777777" w:rsidR="009219A0" w:rsidRDefault="00000000">
            <w:pPr>
              <w:snapToGrid/>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CAS号</w:t>
            </w:r>
          </w:p>
        </w:tc>
        <w:tc>
          <w:tcPr>
            <w:tcW w:w="3544" w:type="dxa"/>
            <w:tcBorders>
              <w:top w:val="single" w:sz="4" w:space="0" w:color="auto"/>
              <w:left w:val="single" w:sz="4" w:space="0" w:color="auto"/>
              <w:bottom w:val="single" w:sz="4" w:space="0" w:color="auto"/>
              <w:right w:val="single" w:sz="4" w:space="0" w:color="auto"/>
            </w:tcBorders>
            <w:vAlign w:val="center"/>
          </w:tcPr>
          <w:p w14:paraId="04532105" w14:textId="77777777" w:rsidR="009219A0" w:rsidRDefault="00000000">
            <w:pPr>
              <w:snapToGrid/>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危险性类别</w:t>
            </w:r>
          </w:p>
        </w:tc>
        <w:tc>
          <w:tcPr>
            <w:tcW w:w="707" w:type="dxa"/>
            <w:tcBorders>
              <w:top w:val="single" w:sz="4" w:space="0" w:color="auto"/>
              <w:left w:val="single" w:sz="4" w:space="0" w:color="auto"/>
              <w:bottom w:val="single" w:sz="4" w:space="0" w:color="auto"/>
              <w:right w:val="single" w:sz="4" w:space="0" w:color="auto"/>
            </w:tcBorders>
            <w:vAlign w:val="center"/>
          </w:tcPr>
          <w:p w14:paraId="04265ED6" w14:textId="77777777" w:rsidR="009219A0" w:rsidRDefault="00000000">
            <w:pPr>
              <w:snapToGrid/>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备注</w:t>
            </w:r>
          </w:p>
        </w:tc>
      </w:tr>
      <w:tr w:rsidR="009219A0" w14:paraId="28CA883E" w14:textId="77777777">
        <w:trPr>
          <w:trHeight w:val="340"/>
          <w:jc w:val="center"/>
        </w:trPr>
        <w:tc>
          <w:tcPr>
            <w:tcW w:w="449" w:type="dxa"/>
            <w:tcBorders>
              <w:top w:val="single" w:sz="4" w:space="0" w:color="auto"/>
              <w:left w:val="single" w:sz="4" w:space="0" w:color="auto"/>
              <w:bottom w:val="single" w:sz="4" w:space="0" w:color="auto"/>
              <w:right w:val="single" w:sz="4" w:space="0" w:color="auto"/>
            </w:tcBorders>
            <w:vAlign w:val="center"/>
          </w:tcPr>
          <w:p w14:paraId="59C8B63C"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w:t>
            </w:r>
          </w:p>
        </w:tc>
        <w:tc>
          <w:tcPr>
            <w:tcW w:w="1112" w:type="dxa"/>
            <w:tcBorders>
              <w:top w:val="single" w:sz="4" w:space="0" w:color="auto"/>
              <w:left w:val="single" w:sz="4" w:space="0" w:color="auto"/>
              <w:bottom w:val="single" w:sz="4" w:space="0" w:color="auto"/>
              <w:right w:val="single" w:sz="4" w:space="0" w:color="auto"/>
            </w:tcBorders>
            <w:vAlign w:val="center"/>
          </w:tcPr>
          <w:p w14:paraId="040405D3" w14:textId="77777777" w:rsidR="009219A0" w:rsidRDefault="00000000">
            <w:pPr>
              <w:snapToGrid/>
              <w:spacing w:line="240" w:lineRule="auto"/>
              <w:ind w:firstLineChars="0" w:firstLine="0"/>
              <w:rPr>
                <w:rFonts w:ascii="宋体" w:hAnsi="宋体" w:hint="eastAsia"/>
                <w:color w:val="auto"/>
                <w:kern w:val="0"/>
                <w:sz w:val="21"/>
                <w:szCs w:val="21"/>
              </w:rPr>
            </w:pPr>
            <w:r>
              <w:rPr>
                <w:rFonts w:ascii="宋体" w:hAnsi="宋体" w:hint="eastAsia"/>
                <w:color w:val="auto"/>
                <w:kern w:val="0"/>
                <w:sz w:val="21"/>
                <w:szCs w:val="21"/>
              </w:rPr>
              <w:t>硫酸</w:t>
            </w:r>
          </w:p>
        </w:tc>
        <w:tc>
          <w:tcPr>
            <w:tcW w:w="1134" w:type="dxa"/>
            <w:tcBorders>
              <w:top w:val="single" w:sz="4" w:space="0" w:color="auto"/>
              <w:left w:val="single" w:sz="4" w:space="0" w:color="auto"/>
              <w:bottom w:val="single" w:sz="4" w:space="0" w:color="auto"/>
              <w:right w:val="single" w:sz="4" w:space="0" w:color="auto"/>
            </w:tcBorders>
            <w:vAlign w:val="center"/>
          </w:tcPr>
          <w:p w14:paraId="296023F4"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1302</w:t>
            </w:r>
          </w:p>
        </w:tc>
        <w:tc>
          <w:tcPr>
            <w:tcW w:w="850" w:type="dxa"/>
            <w:tcBorders>
              <w:top w:val="single" w:sz="4" w:space="0" w:color="auto"/>
              <w:left w:val="single" w:sz="4" w:space="0" w:color="auto"/>
              <w:bottom w:val="single" w:sz="4" w:space="0" w:color="auto"/>
              <w:right w:val="single" w:sz="4" w:space="0" w:color="auto"/>
            </w:tcBorders>
            <w:vAlign w:val="center"/>
          </w:tcPr>
          <w:p w14:paraId="6850193C" w14:textId="77777777" w:rsidR="009219A0" w:rsidRDefault="00000000">
            <w:pPr>
              <w:snapToGrid/>
              <w:spacing w:line="240" w:lineRule="auto"/>
              <w:ind w:firstLineChars="0" w:firstLine="0"/>
              <w:rPr>
                <w:rFonts w:ascii="宋体" w:hAnsi="宋体" w:hint="eastAsia"/>
                <w:color w:val="auto"/>
                <w:kern w:val="0"/>
                <w:sz w:val="21"/>
                <w:szCs w:val="21"/>
              </w:rPr>
            </w:pPr>
            <w:r>
              <w:rPr>
                <w:rFonts w:ascii="宋体" w:hAnsi="宋体" w:hint="eastAsia"/>
                <w:color w:val="auto"/>
                <w:kern w:val="0"/>
                <w:sz w:val="21"/>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63E50B94" w14:textId="77777777" w:rsidR="009219A0" w:rsidRDefault="00000000">
            <w:pPr>
              <w:snapToGrid/>
              <w:spacing w:line="240" w:lineRule="auto"/>
              <w:ind w:firstLineChars="0" w:firstLine="0"/>
              <w:rPr>
                <w:rFonts w:ascii="宋体" w:hAnsi="宋体" w:hint="eastAsia"/>
                <w:color w:val="auto"/>
                <w:kern w:val="0"/>
                <w:sz w:val="21"/>
                <w:szCs w:val="21"/>
              </w:rPr>
            </w:pPr>
            <w:r>
              <w:rPr>
                <w:rFonts w:ascii="宋体" w:hAnsi="宋体" w:hint="eastAsia"/>
                <w:color w:val="auto"/>
                <w:kern w:val="0"/>
                <w:sz w:val="21"/>
                <w:szCs w:val="21"/>
              </w:rPr>
              <w:t>7664-93-9</w:t>
            </w:r>
          </w:p>
        </w:tc>
        <w:tc>
          <w:tcPr>
            <w:tcW w:w="3544" w:type="dxa"/>
            <w:tcBorders>
              <w:top w:val="single" w:sz="4" w:space="0" w:color="auto"/>
              <w:left w:val="single" w:sz="4" w:space="0" w:color="auto"/>
              <w:bottom w:val="single" w:sz="4" w:space="0" w:color="auto"/>
              <w:right w:val="single" w:sz="4" w:space="0" w:color="auto"/>
            </w:tcBorders>
            <w:vAlign w:val="center"/>
          </w:tcPr>
          <w:p w14:paraId="64FA2579"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皮肤腐蚀/刺激,类别1A</w:t>
            </w:r>
          </w:p>
          <w:p w14:paraId="6B7C84B2" w14:textId="77777777" w:rsidR="009219A0" w:rsidRDefault="00000000">
            <w:pPr>
              <w:snapToGrid/>
              <w:spacing w:line="240" w:lineRule="auto"/>
              <w:ind w:firstLineChars="0" w:firstLine="0"/>
              <w:rPr>
                <w:rFonts w:ascii="宋体" w:hAnsi="宋体" w:cs="宋体" w:hint="eastAsia"/>
                <w:color w:val="auto"/>
                <w:sz w:val="21"/>
                <w:szCs w:val="21"/>
              </w:rPr>
            </w:pPr>
            <w:r>
              <w:rPr>
                <w:rFonts w:ascii="宋体" w:hAnsi="宋体" w:cs="宋体" w:hint="eastAsia"/>
                <w:color w:val="auto"/>
                <w:kern w:val="0"/>
                <w:sz w:val="21"/>
                <w:szCs w:val="21"/>
              </w:rPr>
              <w:t>严重眼损伤/眼刺激,类别1</w:t>
            </w:r>
          </w:p>
        </w:tc>
        <w:tc>
          <w:tcPr>
            <w:tcW w:w="707" w:type="dxa"/>
            <w:tcBorders>
              <w:top w:val="single" w:sz="4" w:space="0" w:color="auto"/>
              <w:left w:val="single" w:sz="4" w:space="0" w:color="auto"/>
              <w:bottom w:val="single" w:sz="4" w:space="0" w:color="auto"/>
              <w:right w:val="single" w:sz="4" w:space="0" w:color="auto"/>
            </w:tcBorders>
          </w:tcPr>
          <w:p w14:paraId="22FB9687" w14:textId="77777777" w:rsidR="009219A0" w:rsidRDefault="009219A0">
            <w:pPr>
              <w:snapToGrid/>
              <w:spacing w:line="240" w:lineRule="auto"/>
              <w:ind w:firstLineChars="0" w:firstLine="0"/>
              <w:textAlignment w:val="baseline"/>
              <w:rPr>
                <w:rFonts w:ascii="宋体" w:hAnsi="宋体" w:cs="宋体" w:hint="eastAsia"/>
                <w:color w:val="auto"/>
                <w:kern w:val="0"/>
                <w:sz w:val="21"/>
                <w:szCs w:val="21"/>
              </w:rPr>
            </w:pPr>
          </w:p>
        </w:tc>
      </w:tr>
      <w:tr w:rsidR="009219A0" w14:paraId="0714FEC4" w14:textId="77777777">
        <w:trPr>
          <w:trHeight w:val="340"/>
          <w:jc w:val="center"/>
        </w:trPr>
        <w:tc>
          <w:tcPr>
            <w:tcW w:w="449" w:type="dxa"/>
            <w:tcBorders>
              <w:top w:val="single" w:sz="4" w:space="0" w:color="auto"/>
              <w:left w:val="single" w:sz="4" w:space="0" w:color="auto"/>
              <w:bottom w:val="single" w:sz="4" w:space="0" w:color="auto"/>
              <w:right w:val="single" w:sz="4" w:space="0" w:color="auto"/>
            </w:tcBorders>
            <w:vAlign w:val="center"/>
          </w:tcPr>
          <w:p w14:paraId="7CD98C22"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2</w:t>
            </w:r>
          </w:p>
        </w:tc>
        <w:tc>
          <w:tcPr>
            <w:tcW w:w="1112" w:type="dxa"/>
            <w:tcBorders>
              <w:top w:val="single" w:sz="4" w:space="0" w:color="auto"/>
              <w:left w:val="single" w:sz="4" w:space="0" w:color="auto"/>
              <w:bottom w:val="single" w:sz="4" w:space="0" w:color="auto"/>
              <w:right w:val="single" w:sz="4" w:space="0" w:color="auto"/>
            </w:tcBorders>
            <w:vAlign w:val="center"/>
          </w:tcPr>
          <w:p w14:paraId="40E1FDD8"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盐酸</w:t>
            </w:r>
          </w:p>
        </w:tc>
        <w:tc>
          <w:tcPr>
            <w:tcW w:w="1134" w:type="dxa"/>
            <w:tcBorders>
              <w:top w:val="single" w:sz="4" w:space="0" w:color="auto"/>
              <w:left w:val="single" w:sz="4" w:space="0" w:color="auto"/>
              <w:bottom w:val="single" w:sz="4" w:space="0" w:color="auto"/>
              <w:right w:val="single" w:sz="4" w:space="0" w:color="auto"/>
            </w:tcBorders>
            <w:vAlign w:val="center"/>
          </w:tcPr>
          <w:p w14:paraId="38D42D4C"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2507</w:t>
            </w:r>
          </w:p>
        </w:tc>
        <w:tc>
          <w:tcPr>
            <w:tcW w:w="850" w:type="dxa"/>
            <w:tcBorders>
              <w:top w:val="single" w:sz="4" w:space="0" w:color="auto"/>
              <w:left w:val="single" w:sz="4" w:space="0" w:color="auto"/>
              <w:bottom w:val="single" w:sz="4" w:space="0" w:color="auto"/>
              <w:right w:val="single" w:sz="4" w:space="0" w:color="auto"/>
            </w:tcBorders>
            <w:vAlign w:val="center"/>
          </w:tcPr>
          <w:p w14:paraId="3EDA90AE"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氢氯酸</w:t>
            </w:r>
          </w:p>
        </w:tc>
        <w:tc>
          <w:tcPr>
            <w:tcW w:w="1276" w:type="dxa"/>
            <w:tcBorders>
              <w:top w:val="single" w:sz="4" w:space="0" w:color="auto"/>
              <w:left w:val="single" w:sz="4" w:space="0" w:color="auto"/>
              <w:bottom w:val="single" w:sz="4" w:space="0" w:color="auto"/>
              <w:right w:val="single" w:sz="4" w:space="0" w:color="auto"/>
            </w:tcBorders>
            <w:vAlign w:val="center"/>
          </w:tcPr>
          <w:p w14:paraId="61ED3568"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7647-01-0</w:t>
            </w:r>
          </w:p>
        </w:tc>
        <w:tc>
          <w:tcPr>
            <w:tcW w:w="3544" w:type="dxa"/>
            <w:tcBorders>
              <w:top w:val="single" w:sz="4" w:space="0" w:color="auto"/>
              <w:left w:val="single" w:sz="4" w:space="0" w:color="auto"/>
              <w:bottom w:val="single" w:sz="4" w:space="0" w:color="auto"/>
              <w:right w:val="single" w:sz="4" w:space="0" w:color="auto"/>
            </w:tcBorders>
            <w:vAlign w:val="center"/>
          </w:tcPr>
          <w:p w14:paraId="6426BA95"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皮肤腐蚀/刺激,类别1B</w:t>
            </w:r>
          </w:p>
          <w:p w14:paraId="3CD0E43C"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严重眼损伤/眼刺激,类别1</w:t>
            </w:r>
          </w:p>
          <w:p w14:paraId="34D0A02C"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特异性靶器官毒性-一次接触,类别3（呼吸道刺激）</w:t>
            </w:r>
          </w:p>
          <w:p w14:paraId="429D91AC"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危害水生环境-急性危害,类别2</w:t>
            </w:r>
          </w:p>
        </w:tc>
        <w:tc>
          <w:tcPr>
            <w:tcW w:w="707" w:type="dxa"/>
            <w:tcBorders>
              <w:top w:val="single" w:sz="4" w:space="0" w:color="auto"/>
              <w:left w:val="single" w:sz="4" w:space="0" w:color="auto"/>
              <w:bottom w:val="single" w:sz="4" w:space="0" w:color="auto"/>
              <w:right w:val="single" w:sz="4" w:space="0" w:color="auto"/>
            </w:tcBorders>
          </w:tcPr>
          <w:p w14:paraId="31EA5D96" w14:textId="77777777" w:rsidR="009219A0" w:rsidRDefault="009219A0">
            <w:pPr>
              <w:snapToGrid/>
              <w:spacing w:line="240" w:lineRule="auto"/>
              <w:ind w:firstLineChars="0" w:firstLine="0"/>
              <w:rPr>
                <w:rFonts w:ascii="宋体" w:hAnsi="宋体" w:hint="eastAsia"/>
                <w:color w:val="auto"/>
                <w:sz w:val="21"/>
                <w:szCs w:val="21"/>
              </w:rPr>
            </w:pPr>
          </w:p>
        </w:tc>
      </w:tr>
      <w:tr w:rsidR="009219A0" w14:paraId="06DA7632" w14:textId="77777777">
        <w:trPr>
          <w:trHeight w:val="340"/>
          <w:jc w:val="center"/>
        </w:trPr>
        <w:tc>
          <w:tcPr>
            <w:tcW w:w="449" w:type="dxa"/>
            <w:tcBorders>
              <w:top w:val="single" w:sz="4" w:space="0" w:color="auto"/>
              <w:left w:val="single" w:sz="4" w:space="0" w:color="auto"/>
              <w:bottom w:val="single" w:sz="4" w:space="0" w:color="auto"/>
              <w:right w:val="single" w:sz="4" w:space="0" w:color="auto"/>
            </w:tcBorders>
            <w:vAlign w:val="center"/>
          </w:tcPr>
          <w:p w14:paraId="4B7E4C51"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3</w:t>
            </w:r>
          </w:p>
        </w:tc>
        <w:tc>
          <w:tcPr>
            <w:tcW w:w="1112" w:type="dxa"/>
            <w:tcBorders>
              <w:top w:val="single" w:sz="4" w:space="0" w:color="auto"/>
              <w:left w:val="single" w:sz="4" w:space="0" w:color="auto"/>
              <w:bottom w:val="single" w:sz="4" w:space="0" w:color="auto"/>
              <w:right w:val="single" w:sz="4" w:space="0" w:color="auto"/>
            </w:tcBorders>
            <w:vAlign w:val="center"/>
          </w:tcPr>
          <w:p w14:paraId="47429239"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硫化氢</w:t>
            </w:r>
          </w:p>
        </w:tc>
        <w:tc>
          <w:tcPr>
            <w:tcW w:w="1134" w:type="dxa"/>
            <w:tcBorders>
              <w:top w:val="single" w:sz="4" w:space="0" w:color="auto"/>
              <w:left w:val="single" w:sz="4" w:space="0" w:color="auto"/>
              <w:bottom w:val="single" w:sz="4" w:space="0" w:color="auto"/>
              <w:right w:val="single" w:sz="4" w:space="0" w:color="auto"/>
            </w:tcBorders>
            <w:vAlign w:val="center"/>
          </w:tcPr>
          <w:p w14:paraId="5FF06388"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1289</w:t>
            </w:r>
          </w:p>
        </w:tc>
        <w:tc>
          <w:tcPr>
            <w:tcW w:w="850" w:type="dxa"/>
            <w:tcBorders>
              <w:top w:val="single" w:sz="4" w:space="0" w:color="auto"/>
              <w:left w:val="single" w:sz="4" w:space="0" w:color="auto"/>
              <w:bottom w:val="single" w:sz="4" w:space="0" w:color="auto"/>
              <w:right w:val="single" w:sz="4" w:space="0" w:color="auto"/>
            </w:tcBorders>
            <w:vAlign w:val="center"/>
          </w:tcPr>
          <w:p w14:paraId="2427358B"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0F3DE6DF"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7783-06-4</w:t>
            </w:r>
          </w:p>
        </w:tc>
        <w:tc>
          <w:tcPr>
            <w:tcW w:w="3544" w:type="dxa"/>
            <w:tcBorders>
              <w:top w:val="single" w:sz="4" w:space="0" w:color="auto"/>
              <w:left w:val="single" w:sz="4" w:space="0" w:color="auto"/>
              <w:bottom w:val="single" w:sz="4" w:space="0" w:color="auto"/>
              <w:right w:val="single" w:sz="4" w:space="0" w:color="auto"/>
            </w:tcBorders>
            <w:vAlign w:val="center"/>
          </w:tcPr>
          <w:p w14:paraId="54CEB687"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易燃气体,类别1</w:t>
            </w:r>
          </w:p>
          <w:p w14:paraId="193D37C1"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加压气体</w:t>
            </w:r>
          </w:p>
          <w:p w14:paraId="5C90B15E"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急性毒性-吸入,类别2*</w:t>
            </w:r>
          </w:p>
          <w:p w14:paraId="35F13D37"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lastRenderedPageBreak/>
              <w:t>危害水生环境-急性危害,类别1</w:t>
            </w:r>
          </w:p>
        </w:tc>
        <w:tc>
          <w:tcPr>
            <w:tcW w:w="707" w:type="dxa"/>
            <w:tcBorders>
              <w:top w:val="single" w:sz="4" w:space="0" w:color="auto"/>
              <w:left w:val="single" w:sz="4" w:space="0" w:color="auto"/>
              <w:bottom w:val="single" w:sz="4" w:space="0" w:color="auto"/>
              <w:right w:val="single" w:sz="4" w:space="0" w:color="auto"/>
            </w:tcBorders>
          </w:tcPr>
          <w:p w14:paraId="02C62733" w14:textId="77777777" w:rsidR="009219A0" w:rsidRDefault="009219A0">
            <w:pPr>
              <w:snapToGrid/>
              <w:spacing w:line="240" w:lineRule="auto"/>
              <w:ind w:firstLineChars="0" w:firstLine="0"/>
              <w:rPr>
                <w:rFonts w:ascii="宋体" w:hAnsi="宋体" w:hint="eastAsia"/>
                <w:color w:val="auto"/>
                <w:sz w:val="21"/>
                <w:szCs w:val="21"/>
              </w:rPr>
            </w:pPr>
          </w:p>
        </w:tc>
      </w:tr>
      <w:tr w:rsidR="009219A0" w14:paraId="6B1AD919" w14:textId="77777777">
        <w:trPr>
          <w:trHeight w:val="340"/>
          <w:jc w:val="center"/>
        </w:trPr>
        <w:tc>
          <w:tcPr>
            <w:tcW w:w="449" w:type="dxa"/>
            <w:tcBorders>
              <w:top w:val="single" w:sz="4" w:space="0" w:color="auto"/>
              <w:left w:val="single" w:sz="4" w:space="0" w:color="auto"/>
              <w:bottom w:val="single" w:sz="4" w:space="0" w:color="auto"/>
              <w:right w:val="single" w:sz="4" w:space="0" w:color="auto"/>
            </w:tcBorders>
            <w:vAlign w:val="center"/>
          </w:tcPr>
          <w:p w14:paraId="05F50528"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4</w:t>
            </w:r>
          </w:p>
        </w:tc>
        <w:tc>
          <w:tcPr>
            <w:tcW w:w="1112" w:type="dxa"/>
            <w:tcBorders>
              <w:top w:val="single" w:sz="4" w:space="0" w:color="auto"/>
              <w:left w:val="single" w:sz="4" w:space="0" w:color="auto"/>
              <w:bottom w:val="single" w:sz="4" w:space="0" w:color="auto"/>
              <w:right w:val="single" w:sz="4" w:space="0" w:color="auto"/>
            </w:tcBorders>
            <w:vAlign w:val="center"/>
          </w:tcPr>
          <w:p w14:paraId="23D3815A"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砷化氢</w:t>
            </w:r>
          </w:p>
        </w:tc>
        <w:tc>
          <w:tcPr>
            <w:tcW w:w="1134" w:type="dxa"/>
            <w:tcBorders>
              <w:top w:val="single" w:sz="4" w:space="0" w:color="auto"/>
              <w:left w:val="single" w:sz="4" w:space="0" w:color="auto"/>
              <w:bottom w:val="single" w:sz="4" w:space="0" w:color="auto"/>
              <w:right w:val="single" w:sz="4" w:space="0" w:color="auto"/>
            </w:tcBorders>
            <w:vAlign w:val="center"/>
          </w:tcPr>
          <w:p w14:paraId="04161C44"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1927</w:t>
            </w:r>
          </w:p>
        </w:tc>
        <w:tc>
          <w:tcPr>
            <w:tcW w:w="850" w:type="dxa"/>
            <w:tcBorders>
              <w:top w:val="single" w:sz="4" w:space="0" w:color="auto"/>
              <w:left w:val="single" w:sz="4" w:space="0" w:color="auto"/>
              <w:bottom w:val="single" w:sz="4" w:space="0" w:color="auto"/>
              <w:right w:val="single" w:sz="4" w:space="0" w:color="auto"/>
            </w:tcBorders>
            <w:vAlign w:val="center"/>
          </w:tcPr>
          <w:p w14:paraId="5F46FC9F"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砷化三氢；</w:t>
            </w:r>
            <w:proofErr w:type="gramStart"/>
            <w:r>
              <w:rPr>
                <w:rFonts w:ascii="宋体" w:hAnsi="宋体" w:hint="eastAsia"/>
                <w:color w:val="auto"/>
                <w:sz w:val="21"/>
                <w:szCs w:val="21"/>
              </w:rPr>
              <w:t>胂</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14:paraId="41564823"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color w:val="auto"/>
                <w:sz w:val="21"/>
                <w:szCs w:val="21"/>
              </w:rPr>
              <w:t>7784-42-1</w:t>
            </w:r>
          </w:p>
        </w:tc>
        <w:tc>
          <w:tcPr>
            <w:tcW w:w="3544" w:type="dxa"/>
            <w:tcBorders>
              <w:top w:val="single" w:sz="4" w:space="0" w:color="auto"/>
              <w:left w:val="single" w:sz="4" w:space="0" w:color="auto"/>
              <w:bottom w:val="single" w:sz="4" w:space="0" w:color="auto"/>
              <w:right w:val="single" w:sz="4" w:space="0" w:color="auto"/>
            </w:tcBorders>
            <w:vAlign w:val="center"/>
          </w:tcPr>
          <w:p w14:paraId="261A4188"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易燃气体,类别1</w:t>
            </w:r>
          </w:p>
          <w:p w14:paraId="5850B793"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加压气体</w:t>
            </w:r>
          </w:p>
          <w:p w14:paraId="2B9F72F2"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急性毒性-吸入,类别2*</w:t>
            </w:r>
          </w:p>
          <w:p w14:paraId="1F098103"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致癌性,类别1A</w:t>
            </w:r>
          </w:p>
          <w:p w14:paraId="4AA7146D"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特异性靶器官毒性-反复接触,类别2*</w:t>
            </w:r>
          </w:p>
          <w:p w14:paraId="06C76641"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危害水生环境-急性危害,类别1</w:t>
            </w:r>
          </w:p>
          <w:p w14:paraId="2AAA781F"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危害水生环境-长期危害,类别1</w:t>
            </w:r>
          </w:p>
        </w:tc>
        <w:tc>
          <w:tcPr>
            <w:tcW w:w="707" w:type="dxa"/>
            <w:tcBorders>
              <w:top w:val="single" w:sz="4" w:space="0" w:color="auto"/>
              <w:left w:val="single" w:sz="4" w:space="0" w:color="auto"/>
              <w:bottom w:val="single" w:sz="4" w:space="0" w:color="auto"/>
              <w:right w:val="single" w:sz="4" w:space="0" w:color="auto"/>
            </w:tcBorders>
          </w:tcPr>
          <w:p w14:paraId="68CF130D" w14:textId="77777777" w:rsidR="009219A0" w:rsidRDefault="00000000">
            <w:pPr>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剧毒</w:t>
            </w:r>
          </w:p>
        </w:tc>
      </w:tr>
    </w:tbl>
    <w:p w14:paraId="00078C32" w14:textId="77777777" w:rsidR="009219A0" w:rsidRDefault="00000000">
      <w:pPr>
        <w:pStyle w:val="2"/>
        <w:rPr>
          <w:rFonts w:hint="eastAsia"/>
        </w:rPr>
      </w:pPr>
      <w:bookmarkStart w:id="120" w:name="_Toc211950442"/>
      <w:bookmarkStart w:id="121" w:name="_Toc165281445"/>
      <w:r>
        <w:rPr>
          <w:rFonts w:hint="eastAsia"/>
        </w:rPr>
        <w:t>3.5 危险、有害因素辨识</w:t>
      </w:r>
      <w:bookmarkEnd w:id="120"/>
      <w:bookmarkEnd w:id="121"/>
    </w:p>
    <w:p w14:paraId="3C9A143C" w14:textId="77777777" w:rsidR="009219A0" w:rsidRDefault="00000000">
      <w:pPr>
        <w:pStyle w:val="3"/>
        <w:rPr>
          <w:rFonts w:hint="eastAsia"/>
        </w:rPr>
      </w:pPr>
      <w:bookmarkStart w:id="122" w:name="_Toc211950443"/>
      <w:r>
        <w:rPr>
          <w:rFonts w:hint="eastAsia"/>
        </w:rPr>
        <w:t>3.5.1 作业过程危险、有害因素分析结果</w:t>
      </w:r>
      <w:bookmarkEnd w:id="122"/>
    </w:p>
    <w:p w14:paraId="7E0712DE" w14:textId="77777777" w:rsidR="009219A0" w:rsidRDefault="00000000">
      <w:pPr>
        <w:ind w:firstLine="560"/>
        <w:rPr>
          <w:color w:val="auto"/>
        </w:rPr>
      </w:pPr>
      <w:r>
        <w:rPr>
          <w:rFonts w:hint="eastAsia"/>
          <w:color w:val="auto"/>
        </w:rPr>
        <w:t>项目运行过程可能发生泄漏、火灾、机械伤害、灼烫、触电、车辆伤害、起重伤害、中毒和窒息、雷电和静电危害、噪声危害等危险、有害因素。</w:t>
      </w:r>
    </w:p>
    <w:p w14:paraId="706BCAA7" w14:textId="77777777" w:rsidR="009219A0" w:rsidRDefault="00000000">
      <w:pPr>
        <w:ind w:firstLine="560"/>
        <w:rPr>
          <w:color w:val="auto"/>
        </w:rPr>
      </w:pPr>
      <w:r>
        <w:rPr>
          <w:rFonts w:hint="eastAsia"/>
          <w:color w:val="auto"/>
        </w:rPr>
        <w:t>具体分析详见报告附件第</w:t>
      </w:r>
      <w:r>
        <w:rPr>
          <w:rFonts w:ascii="宋体" w:hAnsi="宋体" w:hint="eastAsia"/>
          <w:color w:val="auto"/>
        </w:rPr>
        <w:t>2章2.3节。</w:t>
      </w:r>
    </w:p>
    <w:p w14:paraId="724A5A2E" w14:textId="77777777" w:rsidR="009219A0" w:rsidRDefault="00000000">
      <w:pPr>
        <w:pStyle w:val="3"/>
        <w:rPr>
          <w:rFonts w:hint="eastAsia"/>
        </w:rPr>
      </w:pPr>
      <w:bookmarkStart w:id="123" w:name="_Toc211950444"/>
      <w:r>
        <w:rPr>
          <w:rFonts w:hint="eastAsia"/>
        </w:rPr>
        <w:t>3.5.2 危险、有害因素分布情况</w:t>
      </w:r>
      <w:bookmarkEnd w:id="123"/>
    </w:p>
    <w:p w14:paraId="29729E1C" w14:textId="77777777" w:rsidR="009219A0" w:rsidRDefault="00000000">
      <w:pPr>
        <w:ind w:firstLine="560"/>
        <w:rPr>
          <w:color w:val="auto"/>
        </w:rPr>
      </w:pPr>
      <w:r>
        <w:rPr>
          <w:rFonts w:hint="eastAsia"/>
          <w:color w:val="auto"/>
        </w:rPr>
        <w:t>通过以上危险、有害因素的分析，本项目主要存在泄漏、火灾、机械伤害、灼烫、触电、车辆伤害、起重伤害、中毒和窒息、雷电和静电危害、噪声危害等危险、有害因素。</w:t>
      </w:r>
    </w:p>
    <w:p w14:paraId="2D285457" w14:textId="77777777" w:rsidR="009219A0" w:rsidRDefault="00000000">
      <w:pPr>
        <w:ind w:firstLine="560"/>
        <w:rPr>
          <w:color w:val="auto"/>
        </w:rPr>
      </w:pPr>
      <w:r>
        <w:rPr>
          <w:rFonts w:hint="eastAsia"/>
          <w:color w:val="auto"/>
        </w:rPr>
        <w:t>各因素在项目工艺或设备设施中的主要</w:t>
      </w:r>
      <w:proofErr w:type="gramStart"/>
      <w:r>
        <w:rPr>
          <w:rFonts w:hint="eastAsia"/>
          <w:color w:val="auto"/>
        </w:rPr>
        <w:t>分布见</w:t>
      </w:r>
      <w:proofErr w:type="gramEnd"/>
      <w:r>
        <w:rPr>
          <w:rFonts w:hint="eastAsia"/>
          <w:color w:val="auto"/>
        </w:rPr>
        <w:t>下表。</w:t>
      </w:r>
    </w:p>
    <w:p w14:paraId="7F3861F9" w14:textId="77777777" w:rsidR="009219A0" w:rsidRDefault="00000000">
      <w:pPr>
        <w:topLinePunct/>
        <w:ind w:firstLineChars="0" w:firstLine="0"/>
        <w:jc w:val="center"/>
        <w:rPr>
          <w:rFonts w:ascii="宋体" w:hAnsi="宋体" w:hint="eastAsia"/>
          <w:color w:val="auto"/>
          <w:szCs w:val="21"/>
        </w:rPr>
      </w:pPr>
      <w:r>
        <w:rPr>
          <w:rFonts w:ascii="宋体" w:hAnsi="宋体" w:hint="eastAsia"/>
          <w:color w:val="auto"/>
          <w:szCs w:val="21"/>
        </w:rPr>
        <w:t>表3.5</w:t>
      </w:r>
      <w:r>
        <w:rPr>
          <w:rFonts w:ascii="宋体" w:hAnsi="宋体"/>
          <w:color w:val="auto"/>
          <w:szCs w:val="21"/>
        </w:rPr>
        <w:t>-</w:t>
      </w:r>
      <w:r>
        <w:rPr>
          <w:rFonts w:ascii="宋体" w:hAnsi="宋体" w:hint="eastAsia"/>
          <w:color w:val="auto"/>
          <w:szCs w:val="21"/>
        </w:rPr>
        <w:t>1  各危险、有害因素分布表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6484"/>
      </w:tblGrid>
      <w:tr w:rsidR="009219A0" w14:paraId="10A8A0BA" w14:textId="77777777">
        <w:trPr>
          <w:cantSplit/>
          <w:trHeight w:val="227"/>
          <w:tblHeader/>
        </w:trPr>
        <w:tc>
          <w:tcPr>
            <w:tcW w:w="675" w:type="dxa"/>
            <w:vAlign w:val="center"/>
          </w:tcPr>
          <w:p w14:paraId="31137B87" w14:textId="77777777" w:rsidR="009219A0" w:rsidRDefault="00000000">
            <w:pPr>
              <w:adjustRightInd/>
              <w:snapToGrid/>
              <w:spacing w:line="240" w:lineRule="auto"/>
              <w:ind w:firstLineChars="0" w:firstLine="0"/>
              <w:jc w:val="center"/>
              <w:rPr>
                <w:b/>
                <w:color w:val="auto"/>
                <w:sz w:val="21"/>
              </w:rPr>
            </w:pPr>
            <w:r>
              <w:rPr>
                <w:rFonts w:hint="eastAsia"/>
                <w:b/>
                <w:color w:val="auto"/>
                <w:sz w:val="21"/>
              </w:rPr>
              <w:t>序号</w:t>
            </w:r>
          </w:p>
        </w:tc>
        <w:tc>
          <w:tcPr>
            <w:tcW w:w="2127" w:type="dxa"/>
            <w:vAlign w:val="center"/>
          </w:tcPr>
          <w:p w14:paraId="5376BD70" w14:textId="77777777" w:rsidR="009219A0" w:rsidRDefault="00000000">
            <w:pPr>
              <w:adjustRightInd/>
              <w:snapToGrid/>
              <w:spacing w:line="240" w:lineRule="auto"/>
              <w:ind w:firstLineChars="0" w:firstLine="0"/>
              <w:jc w:val="center"/>
              <w:rPr>
                <w:b/>
                <w:color w:val="auto"/>
                <w:sz w:val="21"/>
              </w:rPr>
            </w:pPr>
            <w:r>
              <w:rPr>
                <w:rFonts w:hint="eastAsia"/>
                <w:b/>
                <w:color w:val="auto"/>
                <w:sz w:val="21"/>
              </w:rPr>
              <w:t>主要危险、有害因素</w:t>
            </w:r>
          </w:p>
        </w:tc>
        <w:tc>
          <w:tcPr>
            <w:tcW w:w="6484" w:type="dxa"/>
            <w:vAlign w:val="center"/>
          </w:tcPr>
          <w:p w14:paraId="0D4E51E6" w14:textId="77777777" w:rsidR="009219A0" w:rsidRDefault="00000000">
            <w:pPr>
              <w:adjustRightInd/>
              <w:snapToGrid/>
              <w:spacing w:line="240" w:lineRule="auto"/>
              <w:ind w:firstLineChars="0" w:firstLine="0"/>
              <w:jc w:val="center"/>
              <w:rPr>
                <w:b/>
                <w:color w:val="auto"/>
                <w:sz w:val="21"/>
              </w:rPr>
            </w:pPr>
            <w:r>
              <w:rPr>
                <w:rFonts w:hint="eastAsia"/>
                <w:b/>
                <w:color w:val="auto"/>
                <w:sz w:val="21"/>
              </w:rPr>
              <w:t>主要存在部位</w:t>
            </w:r>
          </w:p>
        </w:tc>
      </w:tr>
      <w:tr w:rsidR="009219A0" w14:paraId="55053C08" w14:textId="77777777">
        <w:trPr>
          <w:cantSplit/>
          <w:trHeight w:val="227"/>
          <w:tblHeader/>
        </w:trPr>
        <w:tc>
          <w:tcPr>
            <w:tcW w:w="675" w:type="dxa"/>
            <w:vAlign w:val="center"/>
          </w:tcPr>
          <w:p w14:paraId="302AAD94" w14:textId="77777777" w:rsidR="009219A0" w:rsidRDefault="00000000">
            <w:pPr>
              <w:adjustRightInd/>
              <w:snapToGrid/>
              <w:spacing w:line="240" w:lineRule="auto"/>
              <w:ind w:firstLineChars="0" w:firstLine="0"/>
              <w:jc w:val="center"/>
              <w:rPr>
                <w:color w:val="auto"/>
                <w:sz w:val="21"/>
              </w:rPr>
            </w:pPr>
            <w:r>
              <w:rPr>
                <w:rFonts w:hint="eastAsia"/>
                <w:color w:val="auto"/>
                <w:sz w:val="21"/>
              </w:rPr>
              <w:t>1</w:t>
            </w:r>
          </w:p>
        </w:tc>
        <w:tc>
          <w:tcPr>
            <w:tcW w:w="2127" w:type="dxa"/>
            <w:vAlign w:val="center"/>
          </w:tcPr>
          <w:p w14:paraId="7051CE78" w14:textId="77777777" w:rsidR="009219A0" w:rsidRDefault="00000000">
            <w:pPr>
              <w:adjustRightInd/>
              <w:snapToGrid/>
              <w:spacing w:line="240" w:lineRule="auto"/>
              <w:ind w:firstLineChars="0" w:firstLine="0"/>
              <w:jc w:val="center"/>
              <w:rPr>
                <w:color w:val="auto"/>
                <w:sz w:val="21"/>
              </w:rPr>
            </w:pPr>
            <w:r>
              <w:rPr>
                <w:rFonts w:hint="eastAsia"/>
                <w:color w:val="auto"/>
                <w:sz w:val="21"/>
              </w:rPr>
              <w:t>泄漏</w:t>
            </w:r>
          </w:p>
        </w:tc>
        <w:tc>
          <w:tcPr>
            <w:tcW w:w="6484" w:type="dxa"/>
            <w:vAlign w:val="center"/>
          </w:tcPr>
          <w:p w14:paraId="0D6ACB48" w14:textId="77777777" w:rsidR="009219A0" w:rsidRDefault="00000000">
            <w:pPr>
              <w:adjustRightInd/>
              <w:snapToGrid/>
              <w:spacing w:line="240" w:lineRule="auto"/>
              <w:ind w:firstLineChars="0" w:firstLine="0"/>
              <w:rPr>
                <w:color w:val="auto"/>
                <w:sz w:val="21"/>
              </w:rPr>
            </w:pPr>
            <w:r>
              <w:rPr>
                <w:rFonts w:hint="eastAsia"/>
                <w:color w:val="auto"/>
                <w:sz w:val="21"/>
              </w:rPr>
              <w:t>实验室试剂存放、使用处；中试车间硫酸、盐酸储罐和使用点</w:t>
            </w:r>
          </w:p>
        </w:tc>
      </w:tr>
      <w:tr w:rsidR="009219A0" w14:paraId="05394202" w14:textId="77777777">
        <w:trPr>
          <w:cantSplit/>
          <w:trHeight w:val="227"/>
        </w:trPr>
        <w:tc>
          <w:tcPr>
            <w:tcW w:w="675" w:type="dxa"/>
            <w:vAlign w:val="center"/>
          </w:tcPr>
          <w:p w14:paraId="44DCE58F" w14:textId="77777777" w:rsidR="009219A0" w:rsidRDefault="00000000">
            <w:pPr>
              <w:adjustRightInd/>
              <w:snapToGrid/>
              <w:spacing w:line="240" w:lineRule="auto"/>
              <w:ind w:firstLineChars="0" w:firstLine="0"/>
              <w:jc w:val="center"/>
              <w:rPr>
                <w:color w:val="auto"/>
                <w:sz w:val="21"/>
              </w:rPr>
            </w:pPr>
            <w:r>
              <w:rPr>
                <w:rFonts w:hint="eastAsia"/>
                <w:color w:val="auto"/>
                <w:sz w:val="21"/>
              </w:rPr>
              <w:t>2</w:t>
            </w:r>
          </w:p>
        </w:tc>
        <w:tc>
          <w:tcPr>
            <w:tcW w:w="2127" w:type="dxa"/>
            <w:vAlign w:val="center"/>
          </w:tcPr>
          <w:p w14:paraId="695F72F1" w14:textId="77777777" w:rsidR="009219A0" w:rsidRDefault="00000000">
            <w:pPr>
              <w:adjustRightInd/>
              <w:snapToGrid/>
              <w:spacing w:line="240" w:lineRule="auto"/>
              <w:ind w:firstLineChars="0" w:firstLine="0"/>
              <w:jc w:val="center"/>
              <w:rPr>
                <w:color w:val="auto"/>
                <w:sz w:val="21"/>
              </w:rPr>
            </w:pPr>
            <w:r>
              <w:rPr>
                <w:color w:val="auto"/>
                <w:sz w:val="21"/>
              </w:rPr>
              <w:t>火灾</w:t>
            </w:r>
          </w:p>
        </w:tc>
        <w:tc>
          <w:tcPr>
            <w:tcW w:w="6484" w:type="dxa"/>
            <w:vAlign w:val="center"/>
          </w:tcPr>
          <w:p w14:paraId="0DC97925" w14:textId="77777777" w:rsidR="009219A0" w:rsidRDefault="00000000">
            <w:pPr>
              <w:adjustRightInd/>
              <w:snapToGrid/>
              <w:spacing w:line="240" w:lineRule="auto"/>
              <w:ind w:firstLineChars="0" w:firstLine="0"/>
              <w:rPr>
                <w:color w:val="auto"/>
                <w:sz w:val="21"/>
              </w:rPr>
            </w:pPr>
            <w:r>
              <w:rPr>
                <w:rFonts w:hint="eastAsia"/>
                <w:color w:val="auto"/>
                <w:sz w:val="21"/>
              </w:rPr>
              <w:t>实验室、</w:t>
            </w:r>
            <w:r>
              <w:rPr>
                <w:color w:val="auto"/>
                <w:sz w:val="21"/>
              </w:rPr>
              <w:t>电气设备周围</w:t>
            </w:r>
            <w:r>
              <w:rPr>
                <w:rFonts w:hint="eastAsia"/>
                <w:color w:val="auto"/>
                <w:sz w:val="21"/>
              </w:rPr>
              <w:t>，检维修</w:t>
            </w:r>
            <w:r>
              <w:rPr>
                <w:color w:val="auto"/>
                <w:sz w:val="21"/>
              </w:rPr>
              <w:t>使用氧气、乙炔区域</w:t>
            </w:r>
          </w:p>
        </w:tc>
      </w:tr>
      <w:tr w:rsidR="009219A0" w14:paraId="40E97377" w14:textId="77777777">
        <w:trPr>
          <w:cantSplit/>
          <w:trHeight w:val="227"/>
        </w:trPr>
        <w:tc>
          <w:tcPr>
            <w:tcW w:w="675" w:type="dxa"/>
            <w:vAlign w:val="center"/>
          </w:tcPr>
          <w:p w14:paraId="00A5F7BC" w14:textId="77777777" w:rsidR="009219A0" w:rsidRDefault="00000000">
            <w:pPr>
              <w:adjustRightInd/>
              <w:snapToGrid/>
              <w:spacing w:line="240" w:lineRule="auto"/>
              <w:ind w:firstLineChars="0" w:firstLine="0"/>
              <w:jc w:val="center"/>
              <w:rPr>
                <w:color w:val="auto"/>
                <w:sz w:val="21"/>
              </w:rPr>
            </w:pPr>
            <w:r>
              <w:rPr>
                <w:rFonts w:hint="eastAsia"/>
                <w:color w:val="auto"/>
                <w:sz w:val="21"/>
              </w:rPr>
              <w:t>3</w:t>
            </w:r>
          </w:p>
        </w:tc>
        <w:tc>
          <w:tcPr>
            <w:tcW w:w="2127" w:type="dxa"/>
            <w:vAlign w:val="center"/>
          </w:tcPr>
          <w:p w14:paraId="7A1D92D4" w14:textId="77777777" w:rsidR="009219A0" w:rsidRDefault="00000000">
            <w:pPr>
              <w:adjustRightInd/>
              <w:snapToGrid/>
              <w:spacing w:line="240" w:lineRule="auto"/>
              <w:ind w:firstLineChars="0" w:firstLine="0"/>
              <w:jc w:val="center"/>
              <w:rPr>
                <w:color w:val="auto"/>
                <w:sz w:val="21"/>
              </w:rPr>
            </w:pPr>
            <w:r>
              <w:rPr>
                <w:rFonts w:hint="eastAsia"/>
                <w:color w:val="auto"/>
                <w:sz w:val="21"/>
              </w:rPr>
              <w:t>机械伤害</w:t>
            </w:r>
          </w:p>
        </w:tc>
        <w:tc>
          <w:tcPr>
            <w:tcW w:w="6484" w:type="dxa"/>
            <w:vAlign w:val="center"/>
          </w:tcPr>
          <w:p w14:paraId="5B96BD4F" w14:textId="77777777" w:rsidR="009219A0" w:rsidRDefault="00000000">
            <w:pPr>
              <w:adjustRightInd/>
              <w:snapToGrid/>
              <w:spacing w:line="240" w:lineRule="auto"/>
              <w:ind w:firstLineChars="0" w:firstLine="0"/>
              <w:rPr>
                <w:color w:val="auto"/>
                <w:sz w:val="21"/>
              </w:rPr>
            </w:pPr>
            <w:r>
              <w:rPr>
                <w:rFonts w:hint="eastAsia"/>
                <w:color w:val="auto"/>
                <w:sz w:val="21"/>
              </w:rPr>
              <w:t>各种设备转（传）动处</w:t>
            </w:r>
          </w:p>
        </w:tc>
      </w:tr>
      <w:tr w:rsidR="009219A0" w14:paraId="5D800408" w14:textId="77777777">
        <w:trPr>
          <w:cantSplit/>
          <w:trHeight w:val="227"/>
        </w:trPr>
        <w:tc>
          <w:tcPr>
            <w:tcW w:w="675" w:type="dxa"/>
            <w:vAlign w:val="center"/>
          </w:tcPr>
          <w:p w14:paraId="56FF680F" w14:textId="77777777" w:rsidR="009219A0" w:rsidRDefault="00000000">
            <w:pPr>
              <w:adjustRightInd/>
              <w:snapToGrid/>
              <w:spacing w:line="240" w:lineRule="auto"/>
              <w:ind w:firstLineChars="0" w:firstLine="0"/>
              <w:jc w:val="center"/>
              <w:rPr>
                <w:color w:val="auto"/>
                <w:sz w:val="21"/>
              </w:rPr>
            </w:pPr>
            <w:r>
              <w:rPr>
                <w:rFonts w:hint="eastAsia"/>
                <w:color w:val="auto"/>
                <w:sz w:val="21"/>
              </w:rPr>
              <w:t>4</w:t>
            </w:r>
          </w:p>
        </w:tc>
        <w:tc>
          <w:tcPr>
            <w:tcW w:w="2127" w:type="dxa"/>
            <w:vAlign w:val="center"/>
          </w:tcPr>
          <w:p w14:paraId="1F47DA66" w14:textId="77777777" w:rsidR="009219A0" w:rsidRDefault="00000000">
            <w:pPr>
              <w:adjustRightInd/>
              <w:snapToGrid/>
              <w:spacing w:line="240" w:lineRule="auto"/>
              <w:ind w:firstLineChars="0" w:firstLine="0"/>
              <w:jc w:val="center"/>
              <w:rPr>
                <w:color w:val="auto"/>
                <w:sz w:val="21"/>
              </w:rPr>
            </w:pPr>
            <w:r>
              <w:rPr>
                <w:rFonts w:hint="eastAsia"/>
                <w:color w:val="auto"/>
                <w:sz w:val="21"/>
              </w:rPr>
              <w:t>灼烫</w:t>
            </w:r>
          </w:p>
        </w:tc>
        <w:tc>
          <w:tcPr>
            <w:tcW w:w="6484" w:type="dxa"/>
            <w:vAlign w:val="center"/>
          </w:tcPr>
          <w:p w14:paraId="22923174" w14:textId="77777777" w:rsidR="009219A0" w:rsidRDefault="00000000">
            <w:pPr>
              <w:adjustRightInd/>
              <w:snapToGrid/>
              <w:spacing w:line="240" w:lineRule="auto"/>
              <w:ind w:firstLineChars="0" w:firstLine="0"/>
              <w:rPr>
                <w:color w:val="auto"/>
                <w:sz w:val="21"/>
              </w:rPr>
            </w:pPr>
            <w:r>
              <w:rPr>
                <w:rFonts w:hint="eastAsia"/>
                <w:color w:val="auto"/>
                <w:sz w:val="21"/>
              </w:rPr>
              <w:t>实验室高温设备周围</w:t>
            </w:r>
          </w:p>
        </w:tc>
      </w:tr>
      <w:tr w:rsidR="009219A0" w14:paraId="68E11A69" w14:textId="77777777">
        <w:trPr>
          <w:cantSplit/>
          <w:trHeight w:val="227"/>
        </w:trPr>
        <w:tc>
          <w:tcPr>
            <w:tcW w:w="675" w:type="dxa"/>
            <w:vAlign w:val="center"/>
          </w:tcPr>
          <w:p w14:paraId="13279F65" w14:textId="77777777" w:rsidR="009219A0" w:rsidRDefault="00000000">
            <w:pPr>
              <w:adjustRightInd/>
              <w:snapToGrid/>
              <w:spacing w:line="240" w:lineRule="auto"/>
              <w:ind w:firstLineChars="0" w:firstLine="0"/>
              <w:jc w:val="center"/>
              <w:rPr>
                <w:color w:val="auto"/>
                <w:sz w:val="21"/>
              </w:rPr>
            </w:pPr>
            <w:r>
              <w:rPr>
                <w:rFonts w:hint="eastAsia"/>
                <w:color w:val="auto"/>
                <w:sz w:val="21"/>
              </w:rPr>
              <w:t>5</w:t>
            </w:r>
          </w:p>
        </w:tc>
        <w:tc>
          <w:tcPr>
            <w:tcW w:w="2127" w:type="dxa"/>
            <w:vAlign w:val="center"/>
          </w:tcPr>
          <w:p w14:paraId="721A9C29" w14:textId="77777777" w:rsidR="009219A0" w:rsidRDefault="00000000">
            <w:pPr>
              <w:adjustRightInd/>
              <w:snapToGrid/>
              <w:spacing w:line="240" w:lineRule="auto"/>
              <w:ind w:firstLineChars="0" w:firstLine="0"/>
              <w:jc w:val="center"/>
              <w:rPr>
                <w:color w:val="auto"/>
                <w:sz w:val="21"/>
              </w:rPr>
            </w:pPr>
            <w:r>
              <w:rPr>
                <w:rFonts w:hint="eastAsia"/>
                <w:color w:val="auto"/>
                <w:sz w:val="21"/>
              </w:rPr>
              <w:t>触电</w:t>
            </w:r>
          </w:p>
        </w:tc>
        <w:tc>
          <w:tcPr>
            <w:tcW w:w="6484" w:type="dxa"/>
            <w:vAlign w:val="center"/>
          </w:tcPr>
          <w:p w14:paraId="01E5D320" w14:textId="77777777" w:rsidR="009219A0" w:rsidRDefault="00000000">
            <w:pPr>
              <w:adjustRightInd/>
              <w:snapToGrid/>
              <w:spacing w:line="240" w:lineRule="auto"/>
              <w:ind w:firstLineChars="0" w:firstLine="0"/>
              <w:rPr>
                <w:color w:val="auto"/>
                <w:sz w:val="21"/>
              </w:rPr>
            </w:pPr>
            <w:r>
              <w:rPr>
                <w:rFonts w:hint="eastAsia"/>
                <w:color w:val="auto"/>
                <w:sz w:val="21"/>
              </w:rPr>
              <w:t>电气设备、移动电气设备、照明线路及照明器具等周围</w:t>
            </w:r>
          </w:p>
        </w:tc>
      </w:tr>
      <w:tr w:rsidR="009219A0" w14:paraId="4B269ECB" w14:textId="77777777">
        <w:trPr>
          <w:cantSplit/>
          <w:trHeight w:val="227"/>
        </w:trPr>
        <w:tc>
          <w:tcPr>
            <w:tcW w:w="675" w:type="dxa"/>
            <w:vAlign w:val="center"/>
          </w:tcPr>
          <w:p w14:paraId="1EBF194C" w14:textId="77777777" w:rsidR="009219A0" w:rsidRDefault="00000000">
            <w:pPr>
              <w:adjustRightInd/>
              <w:snapToGrid/>
              <w:spacing w:line="240" w:lineRule="auto"/>
              <w:ind w:firstLineChars="0" w:firstLine="0"/>
              <w:jc w:val="center"/>
              <w:rPr>
                <w:color w:val="auto"/>
                <w:sz w:val="21"/>
              </w:rPr>
            </w:pPr>
            <w:r>
              <w:rPr>
                <w:rFonts w:hint="eastAsia"/>
                <w:color w:val="auto"/>
                <w:sz w:val="21"/>
              </w:rPr>
              <w:t>6</w:t>
            </w:r>
          </w:p>
        </w:tc>
        <w:tc>
          <w:tcPr>
            <w:tcW w:w="2127" w:type="dxa"/>
            <w:vAlign w:val="center"/>
          </w:tcPr>
          <w:p w14:paraId="243A3959" w14:textId="77777777" w:rsidR="009219A0" w:rsidRDefault="00000000">
            <w:pPr>
              <w:adjustRightInd/>
              <w:snapToGrid/>
              <w:spacing w:line="240" w:lineRule="auto"/>
              <w:ind w:firstLineChars="0" w:firstLine="0"/>
              <w:jc w:val="center"/>
              <w:rPr>
                <w:color w:val="auto"/>
                <w:sz w:val="21"/>
              </w:rPr>
            </w:pPr>
            <w:r>
              <w:rPr>
                <w:rFonts w:hint="eastAsia"/>
                <w:color w:val="auto"/>
                <w:sz w:val="21"/>
              </w:rPr>
              <w:t>车辆伤害</w:t>
            </w:r>
          </w:p>
        </w:tc>
        <w:tc>
          <w:tcPr>
            <w:tcW w:w="6484" w:type="dxa"/>
            <w:vAlign w:val="center"/>
          </w:tcPr>
          <w:p w14:paraId="68B6E2C5" w14:textId="77777777" w:rsidR="009219A0" w:rsidRDefault="00000000">
            <w:pPr>
              <w:adjustRightInd/>
              <w:snapToGrid/>
              <w:spacing w:line="240" w:lineRule="auto"/>
              <w:ind w:firstLineChars="0" w:firstLine="0"/>
              <w:rPr>
                <w:color w:val="auto"/>
                <w:sz w:val="21"/>
              </w:rPr>
            </w:pPr>
            <w:r>
              <w:rPr>
                <w:color w:val="auto"/>
                <w:sz w:val="21"/>
              </w:rPr>
              <w:t>厂区道路、车辆</w:t>
            </w:r>
            <w:r>
              <w:rPr>
                <w:rFonts w:hint="eastAsia"/>
                <w:color w:val="auto"/>
                <w:sz w:val="21"/>
              </w:rPr>
              <w:t>通行</w:t>
            </w:r>
            <w:r>
              <w:rPr>
                <w:color w:val="auto"/>
                <w:sz w:val="21"/>
              </w:rPr>
              <w:t>区域</w:t>
            </w:r>
          </w:p>
        </w:tc>
      </w:tr>
      <w:tr w:rsidR="009219A0" w14:paraId="021A11BD" w14:textId="77777777">
        <w:trPr>
          <w:cantSplit/>
          <w:trHeight w:val="227"/>
        </w:trPr>
        <w:tc>
          <w:tcPr>
            <w:tcW w:w="675" w:type="dxa"/>
            <w:vAlign w:val="center"/>
          </w:tcPr>
          <w:p w14:paraId="23A6BBEC" w14:textId="77777777" w:rsidR="009219A0" w:rsidRDefault="00000000">
            <w:pPr>
              <w:adjustRightInd/>
              <w:snapToGrid/>
              <w:spacing w:line="240" w:lineRule="auto"/>
              <w:ind w:firstLineChars="0" w:firstLine="0"/>
              <w:jc w:val="center"/>
              <w:rPr>
                <w:color w:val="auto"/>
                <w:sz w:val="21"/>
              </w:rPr>
            </w:pPr>
            <w:r>
              <w:rPr>
                <w:rFonts w:hint="eastAsia"/>
                <w:color w:val="auto"/>
                <w:sz w:val="21"/>
              </w:rPr>
              <w:t>7</w:t>
            </w:r>
          </w:p>
        </w:tc>
        <w:tc>
          <w:tcPr>
            <w:tcW w:w="2127" w:type="dxa"/>
            <w:vAlign w:val="center"/>
          </w:tcPr>
          <w:p w14:paraId="4E840EF8" w14:textId="77777777" w:rsidR="009219A0" w:rsidRDefault="00000000">
            <w:pPr>
              <w:adjustRightInd/>
              <w:snapToGrid/>
              <w:spacing w:line="240" w:lineRule="auto"/>
              <w:ind w:firstLineChars="0" w:firstLine="0"/>
              <w:jc w:val="center"/>
              <w:rPr>
                <w:color w:val="auto"/>
                <w:sz w:val="21"/>
              </w:rPr>
            </w:pPr>
            <w:r>
              <w:rPr>
                <w:rFonts w:hint="eastAsia"/>
                <w:color w:val="auto"/>
                <w:sz w:val="21"/>
              </w:rPr>
              <w:t>起重伤害</w:t>
            </w:r>
          </w:p>
        </w:tc>
        <w:tc>
          <w:tcPr>
            <w:tcW w:w="6484" w:type="dxa"/>
            <w:vAlign w:val="center"/>
          </w:tcPr>
          <w:p w14:paraId="3B3F2FD0" w14:textId="77777777" w:rsidR="009219A0" w:rsidRDefault="00000000">
            <w:pPr>
              <w:adjustRightInd/>
              <w:snapToGrid/>
              <w:spacing w:line="240" w:lineRule="auto"/>
              <w:ind w:firstLineChars="0" w:firstLine="0"/>
              <w:rPr>
                <w:color w:val="auto"/>
                <w:sz w:val="21"/>
              </w:rPr>
            </w:pPr>
            <w:r>
              <w:rPr>
                <w:rFonts w:hint="eastAsia"/>
                <w:color w:val="auto"/>
                <w:sz w:val="21"/>
              </w:rPr>
              <w:t>电动葫芦、单梁行车等起重设备处</w:t>
            </w:r>
          </w:p>
        </w:tc>
      </w:tr>
      <w:tr w:rsidR="009219A0" w14:paraId="755B443E" w14:textId="77777777">
        <w:trPr>
          <w:cantSplit/>
          <w:trHeight w:val="227"/>
        </w:trPr>
        <w:tc>
          <w:tcPr>
            <w:tcW w:w="675" w:type="dxa"/>
            <w:vAlign w:val="center"/>
          </w:tcPr>
          <w:p w14:paraId="3D27249A" w14:textId="77777777" w:rsidR="009219A0" w:rsidRDefault="00000000">
            <w:pPr>
              <w:adjustRightInd/>
              <w:snapToGrid/>
              <w:spacing w:line="240" w:lineRule="auto"/>
              <w:ind w:firstLineChars="0" w:firstLine="0"/>
              <w:jc w:val="center"/>
              <w:rPr>
                <w:color w:val="auto"/>
                <w:sz w:val="21"/>
              </w:rPr>
            </w:pPr>
            <w:r>
              <w:rPr>
                <w:rFonts w:hint="eastAsia"/>
                <w:color w:val="auto"/>
                <w:sz w:val="21"/>
              </w:rPr>
              <w:t>8</w:t>
            </w:r>
          </w:p>
        </w:tc>
        <w:tc>
          <w:tcPr>
            <w:tcW w:w="2127" w:type="dxa"/>
            <w:vAlign w:val="center"/>
          </w:tcPr>
          <w:p w14:paraId="21B3F07B" w14:textId="77777777" w:rsidR="009219A0" w:rsidRDefault="00000000">
            <w:pPr>
              <w:adjustRightInd/>
              <w:snapToGrid/>
              <w:spacing w:line="240" w:lineRule="auto"/>
              <w:ind w:firstLineChars="0" w:firstLine="0"/>
              <w:jc w:val="center"/>
              <w:rPr>
                <w:color w:val="auto"/>
                <w:sz w:val="21"/>
              </w:rPr>
            </w:pPr>
            <w:r>
              <w:rPr>
                <w:rFonts w:hint="eastAsia"/>
                <w:color w:val="auto"/>
                <w:sz w:val="21"/>
              </w:rPr>
              <w:t>中毒和窒息</w:t>
            </w:r>
          </w:p>
        </w:tc>
        <w:tc>
          <w:tcPr>
            <w:tcW w:w="6484" w:type="dxa"/>
            <w:vAlign w:val="center"/>
          </w:tcPr>
          <w:p w14:paraId="0F1D6292" w14:textId="77777777" w:rsidR="009219A0" w:rsidRDefault="00000000">
            <w:pPr>
              <w:adjustRightInd/>
              <w:snapToGrid/>
              <w:spacing w:line="240" w:lineRule="auto"/>
              <w:ind w:firstLineChars="0" w:firstLine="0"/>
              <w:rPr>
                <w:color w:val="auto"/>
                <w:sz w:val="21"/>
              </w:rPr>
            </w:pPr>
            <w:r>
              <w:rPr>
                <w:rFonts w:hint="eastAsia"/>
                <w:color w:val="auto"/>
                <w:sz w:val="21"/>
              </w:rPr>
              <w:t>实验室试剂存放、使用处；中试车间尾气管管件、阀门、法兰等连接处，储罐、水池等有限空间内</w:t>
            </w:r>
          </w:p>
        </w:tc>
      </w:tr>
      <w:tr w:rsidR="009219A0" w14:paraId="14305D7A" w14:textId="77777777">
        <w:trPr>
          <w:cantSplit/>
          <w:trHeight w:val="227"/>
        </w:trPr>
        <w:tc>
          <w:tcPr>
            <w:tcW w:w="675" w:type="dxa"/>
            <w:vAlign w:val="center"/>
          </w:tcPr>
          <w:p w14:paraId="4955EA1F" w14:textId="77777777" w:rsidR="009219A0" w:rsidRDefault="00000000">
            <w:pPr>
              <w:adjustRightInd/>
              <w:snapToGrid/>
              <w:spacing w:line="240" w:lineRule="auto"/>
              <w:ind w:firstLineChars="0" w:firstLine="0"/>
              <w:jc w:val="center"/>
              <w:rPr>
                <w:color w:val="auto"/>
                <w:sz w:val="21"/>
              </w:rPr>
            </w:pPr>
            <w:r>
              <w:rPr>
                <w:rFonts w:hint="eastAsia"/>
                <w:color w:val="auto"/>
                <w:sz w:val="21"/>
              </w:rPr>
              <w:t>9</w:t>
            </w:r>
          </w:p>
        </w:tc>
        <w:tc>
          <w:tcPr>
            <w:tcW w:w="2127" w:type="dxa"/>
            <w:vAlign w:val="center"/>
          </w:tcPr>
          <w:p w14:paraId="00037AD0" w14:textId="77777777" w:rsidR="009219A0" w:rsidRDefault="00000000">
            <w:pPr>
              <w:adjustRightInd/>
              <w:snapToGrid/>
              <w:spacing w:line="240" w:lineRule="auto"/>
              <w:ind w:firstLineChars="0" w:firstLine="0"/>
              <w:jc w:val="center"/>
              <w:rPr>
                <w:color w:val="auto"/>
                <w:sz w:val="21"/>
              </w:rPr>
            </w:pPr>
            <w:r>
              <w:rPr>
                <w:rFonts w:hint="eastAsia"/>
                <w:color w:val="auto"/>
                <w:sz w:val="21"/>
              </w:rPr>
              <w:t>雷电</w:t>
            </w:r>
            <w:r>
              <w:rPr>
                <w:color w:val="auto"/>
                <w:sz w:val="21"/>
              </w:rPr>
              <w:t>、静电危害</w:t>
            </w:r>
          </w:p>
        </w:tc>
        <w:tc>
          <w:tcPr>
            <w:tcW w:w="6484" w:type="dxa"/>
            <w:vAlign w:val="center"/>
          </w:tcPr>
          <w:p w14:paraId="208B1EFC" w14:textId="77777777" w:rsidR="009219A0" w:rsidRDefault="00000000">
            <w:pPr>
              <w:adjustRightInd/>
              <w:snapToGrid/>
              <w:spacing w:line="240" w:lineRule="auto"/>
              <w:ind w:firstLineChars="0" w:firstLine="0"/>
              <w:rPr>
                <w:color w:val="auto"/>
                <w:sz w:val="21"/>
              </w:rPr>
            </w:pPr>
            <w:r>
              <w:rPr>
                <w:rFonts w:hint="eastAsia"/>
                <w:color w:val="auto"/>
                <w:sz w:val="21"/>
              </w:rPr>
              <w:t>建（</w:t>
            </w:r>
            <w:r>
              <w:rPr>
                <w:color w:val="auto"/>
                <w:sz w:val="21"/>
              </w:rPr>
              <w:t>构）筑物、设备等区域</w:t>
            </w:r>
          </w:p>
        </w:tc>
      </w:tr>
      <w:tr w:rsidR="009219A0" w14:paraId="0D42843A" w14:textId="77777777">
        <w:trPr>
          <w:cantSplit/>
          <w:trHeight w:val="227"/>
        </w:trPr>
        <w:tc>
          <w:tcPr>
            <w:tcW w:w="675" w:type="dxa"/>
            <w:vAlign w:val="center"/>
          </w:tcPr>
          <w:p w14:paraId="1E7ECDE7" w14:textId="77777777" w:rsidR="009219A0" w:rsidRDefault="00000000">
            <w:pPr>
              <w:adjustRightInd/>
              <w:snapToGrid/>
              <w:spacing w:line="240" w:lineRule="auto"/>
              <w:ind w:firstLineChars="0" w:firstLine="0"/>
              <w:jc w:val="center"/>
              <w:rPr>
                <w:color w:val="auto"/>
                <w:sz w:val="21"/>
              </w:rPr>
            </w:pPr>
            <w:r>
              <w:rPr>
                <w:rFonts w:hint="eastAsia"/>
                <w:color w:val="auto"/>
                <w:sz w:val="21"/>
              </w:rPr>
              <w:t>10</w:t>
            </w:r>
          </w:p>
        </w:tc>
        <w:tc>
          <w:tcPr>
            <w:tcW w:w="2127" w:type="dxa"/>
            <w:vAlign w:val="center"/>
          </w:tcPr>
          <w:p w14:paraId="01ADD812" w14:textId="77777777" w:rsidR="009219A0" w:rsidRDefault="00000000">
            <w:pPr>
              <w:adjustRightInd/>
              <w:snapToGrid/>
              <w:spacing w:line="240" w:lineRule="auto"/>
              <w:ind w:firstLineChars="0" w:firstLine="0"/>
              <w:jc w:val="center"/>
              <w:rPr>
                <w:color w:val="auto"/>
                <w:sz w:val="21"/>
              </w:rPr>
            </w:pPr>
            <w:r>
              <w:rPr>
                <w:rFonts w:hint="eastAsia"/>
                <w:color w:val="auto"/>
                <w:sz w:val="21"/>
              </w:rPr>
              <w:t>噪声</w:t>
            </w:r>
            <w:r>
              <w:rPr>
                <w:color w:val="auto"/>
                <w:sz w:val="21"/>
              </w:rPr>
              <w:t>危害</w:t>
            </w:r>
          </w:p>
        </w:tc>
        <w:tc>
          <w:tcPr>
            <w:tcW w:w="6484" w:type="dxa"/>
            <w:vAlign w:val="center"/>
          </w:tcPr>
          <w:p w14:paraId="0546EEC4" w14:textId="77777777" w:rsidR="009219A0" w:rsidRDefault="00000000">
            <w:pPr>
              <w:adjustRightInd/>
              <w:snapToGrid/>
              <w:spacing w:line="240" w:lineRule="auto"/>
              <w:ind w:firstLineChars="0" w:firstLine="0"/>
              <w:rPr>
                <w:color w:val="auto"/>
                <w:sz w:val="21"/>
              </w:rPr>
            </w:pPr>
            <w:r>
              <w:rPr>
                <w:rFonts w:hint="eastAsia"/>
                <w:color w:val="auto"/>
                <w:sz w:val="21"/>
              </w:rPr>
              <w:t>各种运</w:t>
            </w:r>
            <w:r>
              <w:rPr>
                <w:color w:val="auto"/>
                <w:sz w:val="21"/>
              </w:rPr>
              <w:t>动设备处</w:t>
            </w:r>
          </w:p>
        </w:tc>
      </w:tr>
    </w:tbl>
    <w:p w14:paraId="4BD75B92" w14:textId="77777777" w:rsidR="009219A0" w:rsidRDefault="009219A0">
      <w:pPr>
        <w:ind w:firstLine="560"/>
        <w:rPr>
          <w:color w:val="auto"/>
        </w:rPr>
      </w:pPr>
    </w:p>
    <w:p w14:paraId="1FE0D350" w14:textId="77777777" w:rsidR="009219A0" w:rsidRDefault="00000000">
      <w:pPr>
        <w:pStyle w:val="2"/>
        <w:rPr>
          <w:rFonts w:hint="eastAsia"/>
        </w:rPr>
      </w:pPr>
      <w:bookmarkStart w:id="124" w:name="_Toc503269881"/>
      <w:bookmarkStart w:id="125" w:name="_Toc165281446"/>
      <w:bookmarkStart w:id="126" w:name="_Toc456082313"/>
      <w:bookmarkStart w:id="127" w:name="_Toc211950445"/>
      <w:r>
        <w:rPr>
          <w:rFonts w:hint="eastAsia"/>
        </w:rPr>
        <w:lastRenderedPageBreak/>
        <w:t>3.6</w:t>
      </w:r>
      <w:r>
        <w:t xml:space="preserve"> 危险化学品</w:t>
      </w:r>
      <w:r>
        <w:rPr>
          <w:rFonts w:hint="eastAsia"/>
        </w:rPr>
        <w:t>重大危险源辨识</w:t>
      </w:r>
      <w:bookmarkEnd w:id="124"/>
      <w:bookmarkEnd w:id="125"/>
      <w:bookmarkEnd w:id="126"/>
      <w:bookmarkEnd w:id="127"/>
    </w:p>
    <w:p w14:paraId="0F17621B" w14:textId="77777777" w:rsidR="009219A0" w:rsidRDefault="00000000">
      <w:pPr>
        <w:ind w:firstLine="560"/>
        <w:rPr>
          <w:b/>
          <w:color w:val="auto"/>
        </w:rPr>
      </w:pPr>
      <w:r>
        <w:rPr>
          <w:rFonts w:hint="eastAsia"/>
          <w:color w:val="auto"/>
        </w:rPr>
        <w:t>根据《危险化学品重大危险源辨识》（</w:t>
      </w:r>
      <w:r>
        <w:rPr>
          <w:rFonts w:hint="eastAsia"/>
          <w:color w:val="auto"/>
        </w:rPr>
        <w:t>GB 18218-2018</w:t>
      </w:r>
      <w:r>
        <w:rPr>
          <w:rFonts w:hint="eastAsia"/>
          <w:color w:val="auto"/>
        </w:rPr>
        <w:t>）的要求，本项目</w:t>
      </w:r>
      <w:r>
        <w:rPr>
          <w:rFonts w:hint="eastAsia"/>
          <w:b/>
          <w:color w:val="auto"/>
        </w:rPr>
        <w:t>不构成危险化学品重大危险源。</w:t>
      </w:r>
      <w:r>
        <w:rPr>
          <w:rFonts w:hint="eastAsia"/>
          <w:color w:val="auto"/>
        </w:rPr>
        <w:t>具体分析过程</w:t>
      </w:r>
      <w:proofErr w:type="gramStart"/>
      <w:r>
        <w:rPr>
          <w:rFonts w:hint="eastAsia"/>
          <w:color w:val="auto"/>
        </w:rPr>
        <w:t>见报告</w:t>
      </w:r>
      <w:proofErr w:type="gramEnd"/>
      <w:r>
        <w:rPr>
          <w:rFonts w:hint="eastAsia"/>
          <w:color w:val="auto"/>
        </w:rPr>
        <w:t>附件</w:t>
      </w:r>
      <w:r>
        <w:rPr>
          <w:rFonts w:hint="eastAsia"/>
          <w:color w:val="auto"/>
        </w:rPr>
        <w:t>2.7</w:t>
      </w:r>
      <w:r>
        <w:rPr>
          <w:rFonts w:hint="eastAsia"/>
          <w:color w:val="auto"/>
        </w:rPr>
        <w:t>节。</w:t>
      </w:r>
    </w:p>
    <w:p w14:paraId="0F1B6893" w14:textId="77777777" w:rsidR="009219A0" w:rsidRDefault="00000000">
      <w:pPr>
        <w:pStyle w:val="2"/>
        <w:rPr>
          <w:rFonts w:hint="eastAsia"/>
        </w:rPr>
      </w:pPr>
      <w:bookmarkStart w:id="128" w:name="_Toc211950446"/>
      <w:bookmarkStart w:id="129" w:name="_Toc165281447"/>
      <w:r>
        <w:rPr>
          <w:rFonts w:hint="eastAsia"/>
        </w:rPr>
        <w:t>3.7 剧毒化学品、易制毒品化学品、监控化学品、易制</w:t>
      </w:r>
      <w:proofErr w:type="gramStart"/>
      <w:r>
        <w:rPr>
          <w:rFonts w:hint="eastAsia"/>
        </w:rPr>
        <w:t>爆</w:t>
      </w:r>
      <w:proofErr w:type="gramEnd"/>
      <w:r>
        <w:rPr>
          <w:rFonts w:hint="eastAsia"/>
        </w:rPr>
        <w:t>危险化学品以及重点监管危险化学品辨识结果</w:t>
      </w:r>
      <w:bookmarkEnd w:id="128"/>
      <w:bookmarkEnd w:id="129"/>
    </w:p>
    <w:p w14:paraId="29877CD0" w14:textId="77777777" w:rsidR="009219A0" w:rsidRDefault="00000000">
      <w:pPr>
        <w:ind w:firstLine="560"/>
        <w:rPr>
          <w:color w:val="auto"/>
        </w:rPr>
      </w:pPr>
      <w:r>
        <w:rPr>
          <w:rFonts w:hint="eastAsia"/>
          <w:color w:val="auto"/>
        </w:rPr>
        <w:t>根据《危险化学品目录》（</w:t>
      </w:r>
      <w:r>
        <w:rPr>
          <w:rFonts w:hint="eastAsia"/>
          <w:color w:val="auto"/>
        </w:rPr>
        <w:t>2022</w:t>
      </w:r>
      <w:r>
        <w:rPr>
          <w:rFonts w:hint="eastAsia"/>
          <w:color w:val="auto"/>
        </w:rPr>
        <w:t>年调整版）的相关规定，该项目涉及的砷化氢为剧毒化学品。</w:t>
      </w:r>
    </w:p>
    <w:p w14:paraId="4DCBEDE3" w14:textId="77777777" w:rsidR="009219A0" w:rsidRDefault="00000000">
      <w:pPr>
        <w:ind w:firstLine="560"/>
        <w:rPr>
          <w:color w:val="auto"/>
        </w:rPr>
      </w:pPr>
      <w:r>
        <w:rPr>
          <w:rFonts w:hint="eastAsia"/>
          <w:color w:val="auto"/>
        </w:rPr>
        <w:t>根据《易制毒化学品管理条例》（中华人民共和国务院令第</w:t>
      </w:r>
      <w:r>
        <w:rPr>
          <w:rFonts w:hint="eastAsia"/>
          <w:color w:val="auto"/>
        </w:rPr>
        <w:t>445</w:t>
      </w:r>
      <w:r>
        <w:rPr>
          <w:rFonts w:hint="eastAsia"/>
          <w:color w:val="auto"/>
        </w:rPr>
        <w:t>号，根据</w:t>
      </w:r>
      <w:r>
        <w:rPr>
          <w:rFonts w:hint="eastAsia"/>
          <w:color w:val="auto"/>
        </w:rPr>
        <w:t>2018</w:t>
      </w:r>
      <w:r>
        <w:rPr>
          <w:rFonts w:hint="eastAsia"/>
          <w:color w:val="auto"/>
        </w:rPr>
        <w:t>年</w:t>
      </w:r>
      <w:r>
        <w:rPr>
          <w:rFonts w:hint="eastAsia"/>
          <w:color w:val="auto"/>
        </w:rPr>
        <w:t>9</w:t>
      </w:r>
      <w:r>
        <w:rPr>
          <w:rFonts w:hint="eastAsia"/>
          <w:color w:val="auto"/>
        </w:rPr>
        <w:t>月</w:t>
      </w:r>
      <w:r>
        <w:rPr>
          <w:rFonts w:hint="eastAsia"/>
          <w:color w:val="auto"/>
        </w:rPr>
        <w:t>18</w:t>
      </w:r>
      <w:r>
        <w:rPr>
          <w:rFonts w:hint="eastAsia"/>
          <w:color w:val="auto"/>
        </w:rPr>
        <w:t>日《国务院关于修改部分行政法规的决定》第三次修订）的相关规定，该项目涉及的易制毒化学品有：硫酸、盐酸、砷化氢。</w:t>
      </w:r>
    </w:p>
    <w:p w14:paraId="2371EB64" w14:textId="77777777" w:rsidR="009219A0" w:rsidRDefault="00000000">
      <w:pPr>
        <w:ind w:firstLine="560"/>
        <w:rPr>
          <w:color w:val="auto"/>
        </w:rPr>
      </w:pPr>
      <w:r>
        <w:rPr>
          <w:rFonts w:hint="eastAsia"/>
          <w:color w:val="auto"/>
        </w:rPr>
        <w:t>根据《易制爆危险化学品名录（</w:t>
      </w:r>
      <w:r>
        <w:rPr>
          <w:rFonts w:hint="eastAsia"/>
          <w:color w:val="auto"/>
        </w:rPr>
        <w:t>2017</w:t>
      </w:r>
      <w:r>
        <w:rPr>
          <w:rFonts w:hint="eastAsia"/>
          <w:color w:val="auto"/>
        </w:rPr>
        <w:t>年版）》（公安部</w:t>
      </w:r>
      <w:r>
        <w:rPr>
          <w:rFonts w:hint="eastAsia"/>
          <w:color w:val="auto"/>
        </w:rPr>
        <w:t>2017</w:t>
      </w:r>
      <w:r>
        <w:rPr>
          <w:rFonts w:hint="eastAsia"/>
          <w:color w:val="auto"/>
        </w:rPr>
        <w:t>年</w:t>
      </w:r>
      <w:r>
        <w:rPr>
          <w:rFonts w:hint="eastAsia"/>
          <w:color w:val="auto"/>
        </w:rPr>
        <w:t>5</w:t>
      </w:r>
      <w:r>
        <w:rPr>
          <w:rFonts w:hint="eastAsia"/>
          <w:color w:val="auto"/>
        </w:rPr>
        <w:t>月</w:t>
      </w:r>
      <w:r>
        <w:rPr>
          <w:rFonts w:hint="eastAsia"/>
          <w:color w:val="auto"/>
        </w:rPr>
        <w:t>11</w:t>
      </w:r>
      <w:r>
        <w:rPr>
          <w:rFonts w:hint="eastAsia"/>
          <w:color w:val="auto"/>
        </w:rPr>
        <w:t>日公告），该项目涉及的砷化氢属于易制</w:t>
      </w:r>
      <w:proofErr w:type="gramStart"/>
      <w:r>
        <w:rPr>
          <w:rFonts w:hint="eastAsia"/>
          <w:color w:val="auto"/>
        </w:rPr>
        <w:t>爆</w:t>
      </w:r>
      <w:proofErr w:type="gramEnd"/>
      <w:r>
        <w:rPr>
          <w:rFonts w:hint="eastAsia"/>
          <w:color w:val="auto"/>
        </w:rPr>
        <w:t>危险化学品。</w:t>
      </w:r>
    </w:p>
    <w:p w14:paraId="64603192" w14:textId="77777777" w:rsidR="009219A0" w:rsidRDefault="00000000">
      <w:pPr>
        <w:ind w:firstLine="560"/>
        <w:rPr>
          <w:color w:val="auto"/>
        </w:rPr>
      </w:pPr>
      <w:r>
        <w:rPr>
          <w:rFonts w:hint="eastAsia"/>
          <w:color w:val="auto"/>
        </w:rPr>
        <w:t>根据《特别管控危险化学品目录（第一版）》（应急管理部</w:t>
      </w:r>
      <w:r>
        <w:rPr>
          <w:rFonts w:hint="eastAsia"/>
          <w:color w:val="auto"/>
        </w:rPr>
        <w:t>2020</w:t>
      </w:r>
      <w:r>
        <w:rPr>
          <w:rFonts w:hint="eastAsia"/>
          <w:color w:val="auto"/>
        </w:rPr>
        <w:t>年第</w:t>
      </w:r>
      <w:r>
        <w:rPr>
          <w:rFonts w:hint="eastAsia"/>
          <w:color w:val="auto"/>
        </w:rPr>
        <w:t>1</w:t>
      </w:r>
      <w:r>
        <w:rPr>
          <w:rFonts w:hint="eastAsia"/>
          <w:color w:val="auto"/>
        </w:rPr>
        <w:t>号）的相关规定，该项目不涉及特别管</w:t>
      </w:r>
      <w:proofErr w:type="gramStart"/>
      <w:r>
        <w:rPr>
          <w:rFonts w:hint="eastAsia"/>
          <w:color w:val="auto"/>
        </w:rPr>
        <w:t>控危险</w:t>
      </w:r>
      <w:proofErr w:type="gramEnd"/>
      <w:r>
        <w:rPr>
          <w:rFonts w:hint="eastAsia"/>
          <w:color w:val="auto"/>
        </w:rPr>
        <w:t>化学品。</w:t>
      </w:r>
    </w:p>
    <w:p w14:paraId="595A8A80" w14:textId="77777777" w:rsidR="009219A0" w:rsidRDefault="00000000">
      <w:pPr>
        <w:ind w:firstLine="560"/>
        <w:rPr>
          <w:color w:val="auto"/>
        </w:rPr>
      </w:pPr>
      <w:r>
        <w:rPr>
          <w:rFonts w:hint="eastAsia"/>
          <w:color w:val="auto"/>
        </w:rPr>
        <w:t>根据《国家安全监管总局关于公布首批重点监管的危险化学品名录的通知》（安监总管三〔</w:t>
      </w:r>
      <w:r>
        <w:rPr>
          <w:rFonts w:hint="eastAsia"/>
          <w:color w:val="auto"/>
        </w:rPr>
        <w:t>2011</w:t>
      </w:r>
      <w:r>
        <w:rPr>
          <w:rFonts w:hint="eastAsia"/>
          <w:color w:val="auto"/>
        </w:rPr>
        <w:t>〕</w:t>
      </w:r>
      <w:r>
        <w:rPr>
          <w:rFonts w:hint="eastAsia"/>
          <w:color w:val="auto"/>
        </w:rPr>
        <w:t>95</w:t>
      </w:r>
      <w:r>
        <w:rPr>
          <w:rFonts w:hint="eastAsia"/>
          <w:color w:val="auto"/>
        </w:rPr>
        <w:t>号）和《国家安全监管总局关于公布第二批重点监管的危险化学品名录的通知》（安监总管三</w:t>
      </w:r>
      <w:r>
        <w:rPr>
          <w:rFonts w:hint="eastAsia"/>
          <w:color w:val="auto"/>
        </w:rPr>
        <w:t>]2013]12</w:t>
      </w:r>
      <w:r>
        <w:rPr>
          <w:rFonts w:hint="eastAsia"/>
          <w:color w:val="auto"/>
        </w:rPr>
        <w:t>号），该项目涉及的砷化氢为首批重点监管的危险化学品，不涉及第二批重点监管的危险化学品。</w:t>
      </w:r>
    </w:p>
    <w:p w14:paraId="01802FE3" w14:textId="77777777" w:rsidR="009219A0" w:rsidRDefault="00000000">
      <w:pPr>
        <w:pStyle w:val="2"/>
        <w:rPr>
          <w:rFonts w:hint="eastAsia"/>
        </w:rPr>
      </w:pPr>
      <w:bookmarkStart w:id="130" w:name="_Toc211950447"/>
      <w:bookmarkStart w:id="131" w:name="_Toc165281448"/>
      <w:r>
        <w:t>3.8</w:t>
      </w:r>
      <w:r>
        <w:rPr>
          <w:rFonts w:hint="eastAsia"/>
        </w:rPr>
        <w:t>淘汰落后危险化学品安全生产工艺技术设备辨识</w:t>
      </w:r>
      <w:r>
        <w:t>结果</w:t>
      </w:r>
      <w:bookmarkEnd w:id="130"/>
      <w:bookmarkEnd w:id="131"/>
    </w:p>
    <w:p w14:paraId="2DB9D3B5" w14:textId="77777777" w:rsidR="009219A0" w:rsidRDefault="00000000">
      <w:pPr>
        <w:ind w:firstLine="560"/>
      </w:pPr>
      <w:r>
        <w:rPr>
          <w:rFonts w:hint="eastAsia"/>
        </w:rPr>
        <w:t>根据《淘汰落后危险化学品安全生产工艺技术设备目录（第一批）》（应急厅〔</w:t>
      </w:r>
      <w:r>
        <w:rPr>
          <w:rFonts w:hint="eastAsia"/>
        </w:rPr>
        <w:t>2020</w:t>
      </w:r>
      <w:r>
        <w:rPr>
          <w:rFonts w:hint="eastAsia"/>
        </w:rPr>
        <w:t>〕</w:t>
      </w:r>
      <w:r>
        <w:rPr>
          <w:rFonts w:hint="eastAsia"/>
        </w:rPr>
        <w:t>38</w:t>
      </w:r>
      <w:r>
        <w:rPr>
          <w:rFonts w:hint="eastAsia"/>
        </w:rPr>
        <w:t>号，</w:t>
      </w:r>
      <w:r>
        <w:rPr>
          <w:rFonts w:hint="eastAsia"/>
        </w:rPr>
        <w:t>2020</w:t>
      </w:r>
      <w:r>
        <w:rPr>
          <w:rFonts w:hint="eastAsia"/>
        </w:rPr>
        <w:t>年</w:t>
      </w:r>
      <w:r>
        <w:rPr>
          <w:rFonts w:hint="eastAsia"/>
        </w:rPr>
        <w:t>10</w:t>
      </w:r>
      <w:r>
        <w:rPr>
          <w:rFonts w:hint="eastAsia"/>
        </w:rPr>
        <w:t>月</w:t>
      </w:r>
      <w:r>
        <w:rPr>
          <w:rFonts w:hint="eastAsia"/>
        </w:rPr>
        <w:t>23</w:t>
      </w:r>
      <w:r>
        <w:rPr>
          <w:rFonts w:hint="eastAsia"/>
        </w:rPr>
        <w:t>日公布）、应急管理部办公厅关于印发《淘汰落后危险化学品安全生产工艺技术设备目录（第二批）》的通知（应急厅〔</w:t>
      </w:r>
      <w:r>
        <w:rPr>
          <w:rFonts w:hint="eastAsia"/>
        </w:rPr>
        <w:t>2024</w:t>
      </w:r>
      <w:r>
        <w:rPr>
          <w:rFonts w:hint="eastAsia"/>
        </w:rPr>
        <w:t>〕</w:t>
      </w:r>
      <w:r>
        <w:rPr>
          <w:rFonts w:hint="eastAsia"/>
        </w:rPr>
        <w:t>86</w:t>
      </w:r>
      <w:r>
        <w:rPr>
          <w:rFonts w:hint="eastAsia"/>
        </w:rPr>
        <w:t>号）、安</w:t>
      </w:r>
      <w:proofErr w:type="gramStart"/>
      <w:r>
        <w:rPr>
          <w:rFonts w:hint="eastAsia"/>
        </w:rPr>
        <w:t>监总科技</w:t>
      </w:r>
      <w:proofErr w:type="gramEnd"/>
      <w:r>
        <w:rPr>
          <w:rFonts w:hint="eastAsia"/>
        </w:rPr>
        <w:t>〔</w:t>
      </w:r>
      <w:r>
        <w:rPr>
          <w:rFonts w:hint="eastAsia"/>
        </w:rPr>
        <w:t>2015</w:t>
      </w:r>
      <w:r>
        <w:rPr>
          <w:rFonts w:hint="eastAsia"/>
        </w:rPr>
        <w:t>〕</w:t>
      </w:r>
      <w:r>
        <w:rPr>
          <w:rFonts w:hint="eastAsia"/>
        </w:rPr>
        <w:t>75</w:t>
      </w:r>
      <w:r>
        <w:rPr>
          <w:rFonts w:hint="eastAsia"/>
        </w:rPr>
        <w:t>号—关于印发淘汰落后安全技术装备目录（</w:t>
      </w:r>
      <w:r>
        <w:rPr>
          <w:rFonts w:hint="eastAsia"/>
        </w:rPr>
        <w:t>2015</w:t>
      </w:r>
      <w:r>
        <w:rPr>
          <w:rFonts w:hint="eastAsia"/>
        </w:rPr>
        <w:t>第一批）的通知、安</w:t>
      </w:r>
      <w:proofErr w:type="gramStart"/>
      <w:r>
        <w:rPr>
          <w:rFonts w:hint="eastAsia"/>
        </w:rPr>
        <w:t>监总科技</w:t>
      </w:r>
      <w:proofErr w:type="gramEnd"/>
      <w:r>
        <w:rPr>
          <w:rFonts w:hint="eastAsia"/>
        </w:rPr>
        <w:t>〔</w:t>
      </w:r>
      <w:r>
        <w:rPr>
          <w:rFonts w:hint="eastAsia"/>
        </w:rPr>
        <w:t>2016</w:t>
      </w:r>
      <w:r>
        <w:rPr>
          <w:rFonts w:hint="eastAsia"/>
        </w:rPr>
        <w:t>〕</w:t>
      </w:r>
      <w:r>
        <w:rPr>
          <w:rFonts w:hint="eastAsia"/>
        </w:rPr>
        <w:t>137</w:t>
      </w:r>
      <w:r>
        <w:rPr>
          <w:rFonts w:hint="eastAsia"/>
        </w:rPr>
        <w:lastRenderedPageBreak/>
        <w:t>号关于印发淘汰落后安全技术工艺、设备目录（</w:t>
      </w:r>
      <w:r>
        <w:rPr>
          <w:rFonts w:hint="eastAsia"/>
        </w:rPr>
        <w:t>2016</w:t>
      </w:r>
      <w:r>
        <w:rPr>
          <w:rFonts w:hint="eastAsia"/>
        </w:rPr>
        <w:t>年）的通知、安监</w:t>
      </w:r>
      <w:proofErr w:type="gramStart"/>
      <w:r>
        <w:rPr>
          <w:rFonts w:hint="eastAsia"/>
        </w:rPr>
        <w:t>总管四</w:t>
      </w:r>
      <w:proofErr w:type="gramEnd"/>
      <w:r>
        <w:rPr>
          <w:rFonts w:hint="eastAsia"/>
        </w:rPr>
        <w:t>【</w:t>
      </w:r>
      <w:r>
        <w:rPr>
          <w:rFonts w:hint="eastAsia"/>
        </w:rPr>
        <w:t>2017</w:t>
      </w:r>
      <w:r>
        <w:rPr>
          <w:rFonts w:hint="eastAsia"/>
        </w:rPr>
        <w:t>】</w:t>
      </w:r>
      <w:r>
        <w:rPr>
          <w:rFonts w:hint="eastAsia"/>
        </w:rPr>
        <w:t>142</w:t>
      </w:r>
      <w:r>
        <w:rPr>
          <w:rFonts w:hint="eastAsia"/>
        </w:rPr>
        <w:t>号—金属冶炼企业禁止使用的设备及工艺目录（第一批）有关规定，本项目不涉及淘汰落后危险化学品安全生产工艺技术设备的内容。具体辨识内容详见附件</w:t>
      </w:r>
      <w:r>
        <w:rPr>
          <w:rFonts w:hint="eastAsia"/>
        </w:rPr>
        <w:t>2.9</w:t>
      </w:r>
      <w:r>
        <w:rPr>
          <w:rFonts w:hint="eastAsia"/>
        </w:rPr>
        <w:t>。</w:t>
      </w:r>
    </w:p>
    <w:p w14:paraId="4CFBA218" w14:textId="77777777" w:rsidR="009219A0" w:rsidRDefault="00000000">
      <w:pPr>
        <w:pStyle w:val="1"/>
        <w:keepNext w:val="0"/>
        <w:keepLines w:val="0"/>
        <w:numPr>
          <w:ilvl w:val="0"/>
          <w:numId w:val="1"/>
        </w:numPr>
        <w:ind w:left="0" w:firstLine="0"/>
        <w:textAlignment w:val="center"/>
        <w:rPr>
          <w:rFonts w:ascii="宋体" w:hAnsi="宋体" w:hint="eastAsia"/>
          <w:b/>
          <w:bCs w:val="0"/>
          <w:color w:val="auto"/>
          <w:szCs w:val="20"/>
        </w:rPr>
      </w:pPr>
      <w:bookmarkStart w:id="132" w:name="_Toc503269885"/>
      <w:r>
        <w:rPr>
          <w:rFonts w:ascii="宋体" w:hAnsi="宋体" w:hint="eastAsia"/>
          <w:b/>
          <w:bCs w:val="0"/>
          <w:color w:val="auto"/>
          <w:szCs w:val="20"/>
        </w:rPr>
        <w:lastRenderedPageBreak/>
        <w:t xml:space="preserve">  </w:t>
      </w:r>
      <w:bookmarkStart w:id="133" w:name="_Toc165281449"/>
      <w:bookmarkStart w:id="134" w:name="_Toc211950448"/>
      <w:r>
        <w:rPr>
          <w:rFonts w:ascii="宋体" w:hAnsi="宋体" w:hint="eastAsia"/>
          <w:b/>
          <w:bCs w:val="0"/>
          <w:color w:val="auto"/>
          <w:szCs w:val="20"/>
        </w:rPr>
        <w:t>评价单元划分及评价方法</w:t>
      </w:r>
      <w:bookmarkEnd w:id="132"/>
      <w:r>
        <w:rPr>
          <w:rFonts w:ascii="宋体" w:hAnsi="宋体" w:hint="eastAsia"/>
          <w:b/>
          <w:bCs w:val="0"/>
          <w:color w:val="auto"/>
          <w:szCs w:val="20"/>
        </w:rPr>
        <w:t>选择</w:t>
      </w:r>
      <w:bookmarkEnd w:id="133"/>
      <w:bookmarkEnd w:id="134"/>
    </w:p>
    <w:p w14:paraId="6C8641CE" w14:textId="77777777" w:rsidR="009219A0" w:rsidRDefault="00000000">
      <w:pPr>
        <w:pStyle w:val="2"/>
        <w:rPr>
          <w:rFonts w:hint="eastAsia"/>
        </w:rPr>
      </w:pPr>
      <w:bookmarkStart w:id="135" w:name="_Toc247620201"/>
      <w:bookmarkStart w:id="136" w:name="_Toc503269886"/>
      <w:bookmarkStart w:id="137" w:name="_Toc165281450"/>
      <w:bookmarkStart w:id="138" w:name="_Toc211950449"/>
      <w:bookmarkStart w:id="139" w:name="_Toc472693301"/>
      <w:bookmarkStart w:id="140" w:name="_Toc207003179"/>
      <w:r>
        <w:rPr>
          <w:rFonts w:hint="eastAsia"/>
        </w:rPr>
        <w:t>4.1 评价单元的划分</w:t>
      </w:r>
      <w:bookmarkEnd w:id="135"/>
      <w:bookmarkEnd w:id="136"/>
      <w:bookmarkEnd w:id="137"/>
      <w:bookmarkEnd w:id="138"/>
      <w:bookmarkEnd w:id="139"/>
      <w:bookmarkEnd w:id="140"/>
    </w:p>
    <w:p w14:paraId="75975E24" w14:textId="77777777" w:rsidR="009219A0" w:rsidRDefault="00000000">
      <w:pPr>
        <w:pStyle w:val="3"/>
        <w:rPr>
          <w:rFonts w:hint="eastAsia"/>
        </w:rPr>
      </w:pPr>
      <w:bookmarkStart w:id="141" w:name="_Toc503269887"/>
      <w:bookmarkStart w:id="142" w:name="_Toc211950450"/>
      <w:bookmarkStart w:id="143" w:name="_Toc472693302"/>
      <w:bookmarkStart w:id="144" w:name="_Toc454199067"/>
      <w:r>
        <w:rPr>
          <w:rFonts w:hint="eastAsia"/>
        </w:rPr>
        <w:t>4.1.1 评价单元的划分原则</w:t>
      </w:r>
      <w:bookmarkEnd w:id="141"/>
      <w:bookmarkEnd w:id="142"/>
      <w:bookmarkEnd w:id="143"/>
      <w:bookmarkEnd w:id="144"/>
    </w:p>
    <w:p w14:paraId="4B0370E8" w14:textId="77777777" w:rsidR="009219A0" w:rsidRDefault="00000000">
      <w:pPr>
        <w:spacing w:line="500" w:lineRule="exact"/>
        <w:ind w:firstLine="560"/>
        <w:rPr>
          <w:color w:val="auto"/>
        </w:rPr>
      </w:pPr>
      <w:r>
        <w:rPr>
          <w:rFonts w:hint="eastAsia"/>
          <w:color w:val="auto"/>
        </w:rPr>
        <w:t>评价单元就是在危险、有害因素识别与分析的基础上，根据评价目标和评价方法的需要，将系统分成有限的、确定范围的评价单元。</w:t>
      </w:r>
    </w:p>
    <w:p w14:paraId="5E0F486D" w14:textId="77777777" w:rsidR="009219A0" w:rsidRDefault="00000000">
      <w:pPr>
        <w:spacing w:line="500" w:lineRule="exact"/>
        <w:ind w:firstLine="560"/>
        <w:rPr>
          <w:color w:val="auto"/>
        </w:rPr>
      </w:pPr>
      <w:r>
        <w:rPr>
          <w:rFonts w:hint="eastAsia"/>
          <w:color w:val="auto"/>
        </w:rPr>
        <w:t>为便于评价工作的进行，有利于提高评价工作的准确性，评价单元一般以生产工艺、工艺装置、物料的特点和特征与危险、有害因素的类别、分布有机结合进行划分。</w:t>
      </w:r>
    </w:p>
    <w:p w14:paraId="0B5A56C4" w14:textId="77777777" w:rsidR="009219A0" w:rsidRDefault="00000000">
      <w:pPr>
        <w:pStyle w:val="3"/>
        <w:spacing w:line="500" w:lineRule="exact"/>
        <w:rPr>
          <w:rFonts w:hint="eastAsia"/>
        </w:rPr>
      </w:pPr>
      <w:bookmarkStart w:id="145" w:name="_Toc201697618"/>
      <w:bookmarkStart w:id="146" w:name="_Toc211950451"/>
      <w:bookmarkStart w:id="147" w:name="_Toc44404719"/>
      <w:r>
        <w:t>4.1.2</w:t>
      </w:r>
      <w:r>
        <w:rPr>
          <w:rFonts w:hint="eastAsia"/>
        </w:rPr>
        <w:t xml:space="preserve"> </w:t>
      </w:r>
      <w:r>
        <w:t>评价单元划分方法</w:t>
      </w:r>
      <w:bookmarkEnd w:id="145"/>
      <w:bookmarkEnd w:id="146"/>
      <w:bookmarkEnd w:id="147"/>
    </w:p>
    <w:p w14:paraId="23BF5686" w14:textId="77777777" w:rsidR="009219A0" w:rsidRDefault="00000000">
      <w:pPr>
        <w:spacing w:line="500" w:lineRule="exact"/>
        <w:ind w:firstLine="560"/>
        <w:rPr>
          <w:snapToGrid w:val="0"/>
          <w:color w:val="auto"/>
        </w:rPr>
      </w:pPr>
      <w:r>
        <w:rPr>
          <w:snapToGrid w:val="0"/>
          <w:color w:val="auto"/>
        </w:rPr>
        <w:t>常用的评价单元划分方法有：</w:t>
      </w:r>
    </w:p>
    <w:p w14:paraId="7E672ACB" w14:textId="77777777" w:rsidR="009219A0" w:rsidRDefault="00000000">
      <w:pPr>
        <w:spacing w:line="500" w:lineRule="exact"/>
        <w:ind w:firstLine="560"/>
        <w:rPr>
          <w:snapToGrid w:val="0"/>
          <w:color w:val="auto"/>
        </w:rPr>
      </w:pPr>
      <w:r>
        <w:rPr>
          <w:snapToGrid w:val="0"/>
          <w:color w:val="auto"/>
        </w:rPr>
        <w:t>1.</w:t>
      </w:r>
      <w:r>
        <w:rPr>
          <w:snapToGrid w:val="0"/>
          <w:color w:val="auto"/>
        </w:rPr>
        <w:t>以危险、有害因素的类别为主划分评价单元。</w:t>
      </w:r>
    </w:p>
    <w:p w14:paraId="56E19EF6" w14:textId="77777777" w:rsidR="009219A0" w:rsidRDefault="00000000">
      <w:pPr>
        <w:spacing w:line="500" w:lineRule="exact"/>
        <w:ind w:firstLine="560"/>
        <w:rPr>
          <w:snapToGrid w:val="0"/>
          <w:color w:val="auto"/>
        </w:rPr>
      </w:pPr>
      <w:r>
        <w:rPr>
          <w:snapToGrid w:val="0"/>
          <w:color w:val="auto"/>
        </w:rPr>
        <w:t>（</w:t>
      </w:r>
      <w:r>
        <w:rPr>
          <w:snapToGrid w:val="0"/>
          <w:color w:val="auto"/>
        </w:rPr>
        <w:t>1</w:t>
      </w:r>
      <w:r>
        <w:rPr>
          <w:snapToGrid w:val="0"/>
          <w:color w:val="auto"/>
        </w:rPr>
        <w:t>）对工艺方案、总体布置及自然条件、环境对系统影响等综合方面的危险、有害因素的分析和评价，可将整个系统作为一个评价单元；</w:t>
      </w:r>
    </w:p>
    <w:p w14:paraId="289C2EE4" w14:textId="77777777" w:rsidR="009219A0" w:rsidRDefault="00000000">
      <w:pPr>
        <w:spacing w:line="500" w:lineRule="exact"/>
        <w:ind w:firstLine="560"/>
        <w:rPr>
          <w:snapToGrid w:val="0"/>
          <w:color w:val="auto"/>
        </w:rPr>
      </w:pPr>
      <w:r>
        <w:rPr>
          <w:snapToGrid w:val="0"/>
          <w:color w:val="auto"/>
        </w:rPr>
        <w:t>（</w:t>
      </w:r>
      <w:r>
        <w:rPr>
          <w:snapToGrid w:val="0"/>
          <w:color w:val="auto"/>
        </w:rPr>
        <w:t>2</w:t>
      </w:r>
      <w:r>
        <w:rPr>
          <w:snapToGrid w:val="0"/>
          <w:color w:val="auto"/>
        </w:rPr>
        <w:t>）将具有共性危险因素、有害因素的场所和装置划为一个单元。</w:t>
      </w:r>
    </w:p>
    <w:p w14:paraId="0ABFAD69" w14:textId="77777777" w:rsidR="009219A0" w:rsidRDefault="00000000">
      <w:pPr>
        <w:spacing w:line="500" w:lineRule="exact"/>
        <w:ind w:firstLine="560"/>
        <w:rPr>
          <w:snapToGrid w:val="0"/>
          <w:color w:val="auto"/>
        </w:rPr>
      </w:pPr>
      <w:r>
        <w:rPr>
          <w:snapToGrid w:val="0"/>
          <w:color w:val="auto"/>
        </w:rPr>
        <w:t>2.</w:t>
      </w:r>
      <w:r>
        <w:rPr>
          <w:snapToGrid w:val="0"/>
          <w:color w:val="auto"/>
        </w:rPr>
        <w:t>以装置和物质特征划分评价单元。</w:t>
      </w:r>
    </w:p>
    <w:p w14:paraId="766C3AAE" w14:textId="77777777" w:rsidR="009219A0" w:rsidRDefault="00000000">
      <w:pPr>
        <w:spacing w:line="500" w:lineRule="exact"/>
        <w:ind w:firstLine="560"/>
        <w:rPr>
          <w:snapToGrid w:val="0"/>
          <w:color w:val="auto"/>
        </w:rPr>
      </w:pPr>
      <w:r>
        <w:rPr>
          <w:snapToGrid w:val="0"/>
          <w:color w:val="auto"/>
        </w:rPr>
        <w:t>（</w:t>
      </w:r>
      <w:r>
        <w:rPr>
          <w:snapToGrid w:val="0"/>
          <w:color w:val="auto"/>
        </w:rPr>
        <w:t>1</w:t>
      </w:r>
      <w:r>
        <w:rPr>
          <w:snapToGrid w:val="0"/>
          <w:color w:val="auto"/>
        </w:rPr>
        <w:t>）</w:t>
      </w:r>
      <w:proofErr w:type="gramStart"/>
      <w:r>
        <w:rPr>
          <w:snapToGrid w:val="0"/>
          <w:color w:val="auto"/>
        </w:rPr>
        <w:t>按装</w:t>
      </w:r>
      <w:proofErr w:type="gramEnd"/>
      <w:r>
        <w:rPr>
          <w:snapToGrid w:val="0"/>
          <w:color w:val="auto"/>
        </w:rPr>
        <w:t>置工艺功能划分；</w:t>
      </w:r>
    </w:p>
    <w:p w14:paraId="3114257D" w14:textId="77777777" w:rsidR="009219A0" w:rsidRDefault="00000000">
      <w:pPr>
        <w:spacing w:line="500" w:lineRule="exact"/>
        <w:ind w:firstLine="560"/>
        <w:rPr>
          <w:snapToGrid w:val="0"/>
          <w:color w:val="auto"/>
        </w:rPr>
      </w:pPr>
      <w:r>
        <w:rPr>
          <w:snapToGrid w:val="0"/>
          <w:color w:val="auto"/>
        </w:rPr>
        <w:t>（</w:t>
      </w:r>
      <w:r>
        <w:rPr>
          <w:snapToGrid w:val="0"/>
          <w:color w:val="auto"/>
        </w:rPr>
        <w:t>2</w:t>
      </w:r>
      <w:r>
        <w:rPr>
          <w:snapToGrid w:val="0"/>
          <w:color w:val="auto"/>
        </w:rPr>
        <w:t>）按布置的相对独立性划分；</w:t>
      </w:r>
    </w:p>
    <w:p w14:paraId="6CEF050C" w14:textId="77777777" w:rsidR="009219A0" w:rsidRDefault="00000000">
      <w:pPr>
        <w:spacing w:line="500" w:lineRule="exact"/>
        <w:ind w:firstLine="560"/>
        <w:rPr>
          <w:snapToGrid w:val="0"/>
          <w:color w:val="auto"/>
        </w:rPr>
      </w:pPr>
      <w:r>
        <w:rPr>
          <w:snapToGrid w:val="0"/>
          <w:color w:val="auto"/>
        </w:rPr>
        <w:t>（</w:t>
      </w:r>
      <w:r>
        <w:rPr>
          <w:snapToGrid w:val="0"/>
          <w:color w:val="auto"/>
        </w:rPr>
        <w:t>3</w:t>
      </w:r>
      <w:r>
        <w:rPr>
          <w:snapToGrid w:val="0"/>
          <w:color w:val="auto"/>
        </w:rPr>
        <w:t>）按工艺条件划分评价单元；</w:t>
      </w:r>
    </w:p>
    <w:p w14:paraId="28A198FE" w14:textId="77777777" w:rsidR="009219A0" w:rsidRDefault="00000000">
      <w:pPr>
        <w:spacing w:line="500" w:lineRule="exact"/>
        <w:ind w:firstLine="560"/>
        <w:rPr>
          <w:snapToGrid w:val="0"/>
          <w:color w:val="auto"/>
        </w:rPr>
      </w:pPr>
      <w:r>
        <w:rPr>
          <w:snapToGrid w:val="0"/>
          <w:color w:val="auto"/>
        </w:rPr>
        <w:t>（</w:t>
      </w:r>
      <w:r>
        <w:rPr>
          <w:snapToGrid w:val="0"/>
          <w:color w:val="auto"/>
        </w:rPr>
        <w:t>4</w:t>
      </w:r>
      <w:r>
        <w:rPr>
          <w:snapToGrid w:val="0"/>
          <w:color w:val="auto"/>
        </w:rPr>
        <w:t>）按贮存、处理危险物品的潜在化学能、毒性和危险物品的数量划分评价单元；</w:t>
      </w:r>
    </w:p>
    <w:p w14:paraId="5A771706" w14:textId="77777777" w:rsidR="009219A0" w:rsidRDefault="00000000">
      <w:pPr>
        <w:spacing w:line="500" w:lineRule="exact"/>
        <w:ind w:firstLine="560"/>
        <w:rPr>
          <w:snapToGrid w:val="0"/>
          <w:color w:val="auto"/>
        </w:rPr>
      </w:pPr>
      <w:r>
        <w:rPr>
          <w:snapToGrid w:val="0"/>
          <w:color w:val="auto"/>
        </w:rPr>
        <w:t>（</w:t>
      </w:r>
      <w:r>
        <w:rPr>
          <w:snapToGrid w:val="0"/>
          <w:color w:val="auto"/>
        </w:rPr>
        <w:t>5</w:t>
      </w:r>
      <w:r>
        <w:rPr>
          <w:snapToGrid w:val="0"/>
          <w:color w:val="auto"/>
        </w:rPr>
        <w:t>）根据以往事故资料，将发生事故能导致停产、波及范围大、造成巨大损失和伤害的关键设备作为一个单元；</w:t>
      </w:r>
    </w:p>
    <w:p w14:paraId="25BB1759" w14:textId="77777777" w:rsidR="009219A0" w:rsidRDefault="00000000">
      <w:pPr>
        <w:spacing w:line="500" w:lineRule="exact"/>
        <w:ind w:firstLine="560"/>
        <w:rPr>
          <w:snapToGrid w:val="0"/>
          <w:color w:val="auto"/>
        </w:rPr>
      </w:pPr>
      <w:r>
        <w:rPr>
          <w:snapToGrid w:val="0"/>
          <w:color w:val="auto"/>
        </w:rPr>
        <w:t>（</w:t>
      </w:r>
      <w:r>
        <w:rPr>
          <w:snapToGrid w:val="0"/>
          <w:color w:val="auto"/>
        </w:rPr>
        <w:t>6</w:t>
      </w:r>
      <w:r>
        <w:rPr>
          <w:snapToGrid w:val="0"/>
          <w:color w:val="auto"/>
        </w:rPr>
        <w:t>）将危险性大且资金密度大的区域作为一个评价单元；</w:t>
      </w:r>
    </w:p>
    <w:p w14:paraId="157B86D4" w14:textId="77777777" w:rsidR="009219A0" w:rsidRDefault="00000000">
      <w:pPr>
        <w:spacing w:line="500" w:lineRule="exact"/>
        <w:ind w:firstLine="560"/>
        <w:rPr>
          <w:snapToGrid w:val="0"/>
          <w:color w:val="auto"/>
        </w:rPr>
      </w:pPr>
      <w:r>
        <w:rPr>
          <w:snapToGrid w:val="0"/>
          <w:color w:val="auto"/>
        </w:rPr>
        <w:t>（</w:t>
      </w:r>
      <w:r>
        <w:rPr>
          <w:snapToGrid w:val="0"/>
          <w:color w:val="auto"/>
        </w:rPr>
        <w:t>7</w:t>
      </w:r>
      <w:r>
        <w:rPr>
          <w:snapToGrid w:val="0"/>
          <w:color w:val="auto"/>
        </w:rPr>
        <w:t>）将危险性特别大的区域、装置作为一个评价单元；</w:t>
      </w:r>
    </w:p>
    <w:p w14:paraId="3EF03028" w14:textId="77777777" w:rsidR="009219A0" w:rsidRDefault="00000000">
      <w:pPr>
        <w:spacing w:line="500" w:lineRule="exact"/>
        <w:ind w:firstLine="560"/>
        <w:rPr>
          <w:snapToGrid w:val="0"/>
          <w:color w:val="auto"/>
        </w:rPr>
      </w:pPr>
      <w:r>
        <w:rPr>
          <w:snapToGrid w:val="0"/>
          <w:color w:val="auto"/>
        </w:rPr>
        <w:t>（</w:t>
      </w:r>
      <w:r>
        <w:rPr>
          <w:snapToGrid w:val="0"/>
          <w:color w:val="auto"/>
        </w:rPr>
        <w:t>8</w:t>
      </w:r>
      <w:r>
        <w:rPr>
          <w:snapToGrid w:val="0"/>
          <w:color w:val="auto"/>
        </w:rPr>
        <w:t>）将具有类似危险性潜能的单元合并为一个大单元。</w:t>
      </w:r>
    </w:p>
    <w:p w14:paraId="1F7450C4" w14:textId="77777777" w:rsidR="009219A0" w:rsidRDefault="00000000">
      <w:pPr>
        <w:pStyle w:val="3"/>
        <w:spacing w:line="500" w:lineRule="exact"/>
        <w:rPr>
          <w:rFonts w:hint="eastAsia"/>
        </w:rPr>
      </w:pPr>
      <w:bookmarkStart w:id="148" w:name="_Toc503269888"/>
      <w:bookmarkStart w:id="149" w:name="_Toc472693303"/>
      <w:bookmarkStart w:id="150" w:name="_Toc211950452"/>
      <w:r>
        <w:rPr>
          <w:rFonts w:hint="eastAsia"/>
        </w:rPr>
        <w:t>4.1.2 评价单元划分</w:t>
      </w:r>
      <w:bookmarkEnd w:id="148"/>
      <w:bookmarkEnd w:id="149"/>
      <w:r>
        <w:rPr>
          <w:rFonts w:hint="eastAsia"/>
        </w:rPr>
        <w:t>结果</w:t>
      </w:r>
      <w:bookmarkEnd w:id="150"/>
    </w:p>
    <w:p w14:paraId="4C4B27B3" w14:textId="77777777" w:rsidR="009219A0" w:rsidRDefault="00000000">
      <w:pPr>
        <w:spacing w:line="500" w:lineRule="exact"/>
        <w:ind w:firstLine="560"/>
        <w:rPr>
          <w:color w:val="auto"/>
        </w:rPr>
      </w:pPr>
      <w:r>
        <w:rPr>
          <w:color w:val="auto"/>
        </w:rPr>
        <w:t>根据上述安全评价单元的划分原则和方法，</w:t>
      </w:r>
      <w:r>
        <w:rPr>
          <w:rFonts w:hint="eastAsia"/>
          <w:color w:val="auto"/>
        </w:rPr>
        <w:t>将项目正常运行划分为以</w:t>
      </w:r>
      <w:r>
        <w:rPr>
          <w:rFonts w:hint="eastAsia"/>
          <w:color w:val="auto"/>
        </w:rPr>
        <w:lastRenderedPageBreak/>
        <w:t>下</w:t>
      </w:r>
      <w:r>
        <w:rPr>
          <w:color w:val="auto"/>
        </w:rPr>
        <w:t>6</w:t>
      </w:r>
      <w:r>
        <w:rPr>
          <w:rFonts w:hint="eastAsia"/>
          <w:color w:val="auto"/>
        </w:rPr>
        <w:t>个单元进行评价：</w:t>
      </w:r>
    </w:p>
    <w:p w14:paraId="7A3ED637" w14:textId="77777777" w:rsidR="009219A0" w:rsidRDefault="00000000">
      <w:pPr>
        <w:spacing w:line="500" w:lineRule="exact"/>
        <w:ind w:firstLine="560"/>
        <w:rPr>
          <w:color w:val="auto"/>
        </w:rPr>
      </w:pPr>
      <w:bookmarkStart w:id="151" w:name="_Hlk68649057"/>
      <w:r>
        <w:rPr>
          <w:rFonts w:hint="eastAsia"/>
          <w:color w:val="auto"/>
        </w:rPr>
        <w:t>（</w:t>
      </w:r>
      <w:r>
        <w:rPr>
          <w:rFonts w:hint="eastAsia"/>
          <w:color w:val="auto"/>
        </w:rPr>
        <w:t>1</w:t>
      </w:r>
      <w:r>
        <w:rPr>
          <w:rFonts w:hint="eastAsia"/>
          <w:color w:val="auto"/>
        </w:rPr>
        <w:t>）“三同时”符合性评价单元；</w:t>
      </w:r>
    </w:p>
    <w:p w14:paraId="57ACF42A" w14:textId="77777777" w:rsidR="009219A0" w:rsidRDefault="00000000">
      <w:pPr>
        <w:spacing w:line="500" w:lineRule="exact"/>
        <w:ind w:firstLine="560"/>
        <w:rPr>
          <w:color w:val="auto"/>
        </w:rPr>
      </w:pPr>
      <w:r>
        <w:rPr>
          <w:rFonts w:hint="eastAsia"/>
          <w:color w:val="auto"/>
        </w:rPr>
        <w:t>（</w:t>
      </w:r>
      <w:r>
        <w:rPr>
          <w:rFonts w:hint="eastAsia"/>
          <w:color w:val="auto"/>
        </w:rPr>
        <w:t>2</w:t>
      </w:r>
      <w:r>
        <w:rPr>
          <w:rFonts w:hint="eastAsia"/>
          <w:color w:val="auto"/>
        </w:rPr>
        <w:t>）厂址和总平面布置单元；</w:t>
      </w:r>
    </w:p>
    <w:p w14:paraId="211FD696" w14:textId="77777777" w:rsidR="009219A0" w:rsidRDefault="00000000">
      <w:pPr>
        <w:spacing w:line="500" w:lineRule="exact"/>
        <w:ind w:firstLine="560"/>
        <w:rPr>
          <w:color w:val="auto"/>
        </w:rPr>
      </w:pPr>
      <w:r>
        <w:rPr>
          <w:rFonts w:hint="eastAsia"/>
          <w:color w:val="auto"/>
        </w:rPr>
        <w:t>（</w:t>
      </w:r>
      <w:r>
        <w:rPr>
          <w:color w:val="auto"/>
        </w:rPr>
        <w:t>3</w:t>
      </w:r>
      <w:r>
        <w:rPr>
          <w:rFonts w:hint="eastAsia"/>
          <w:color w:val="auto"/>
        </w:rPr>
        <w:t>）工艺及设备设施单元；</w:t>
      </w:r>
    </w:p>
    <w:p w14:paraId="5D77FE79" w14:textId="77777777" w:rsidR="009219A0" w:rsidRDefault="00000000">
      <w:pPr>
        <w:spacing w:line="500" w:lineRule="exact"/>
        <w:ind w:firstLine="560"/>
        <w:rPr>
          <w:color w:val="auto"/>
        </w:rPr>
      </w:pPr>
      <w:r>
        <w:rPr>
          <w:rFonts w:hint="eastAsia"/>
          <w:color w:val="auto"/>
        </w:rPr>
        <w:t>（</w:t>
      </w:r>
      <w:r>
        <w:rPr>
          <w:rFonts w:hint="eastAsia"/>
          <w:color w:val="auto"/>
        </w:rPr>
        <w:t>4</w:t>
      </w:r>
      <w:r>
        <w:rPr>
          <w:rFonts w:hint="eastAsia"/>
          <w:color w:val="auto"/>
        </w:rPr>
        <w:t>）公用工程及辅助设施单元；</w:t>
      </w:r>
    </w:p>
    <w:p w14:paraId="5F6A5AD2" w14:textId="77777777" w:rsidR="009219A0" w:rsidRDefault="00000000">
      <w:pPr>
        <w:spacing w:line="500" w:lineRule="exact"/>
        <w:ind w:firstLine="560"/>
        <w:rPr>
          <w:color w:val="auto"/>
        </w:rPr>
      </w:pPr>
      <w:r>
        <w:rPr>
          <w:rFonts w:hint="eastAsia"/>
          <w:color w:val="auto"/>
        </w:rPr>
        <w:t>（</w:t>
      </w:r>
      <w:r>
        <w:rPr>
          <w:rFonts w:hint="eastAsia"/>
          <w:color w:val="auto"/>
        </w:rPr>
        <w:t>5</w:t>
      </w:r>
      <w:r>
        <w:rPr>
          <w:rFonts w:hint="eastAsia"/>
          <w:color w:val="auto"/>
        </w:rPr>
        <w:t>）安全管理及应急救援单元。</w:t>
      </w:r>
    </w:p>
    <w:p w14:paraId="0E2B1597" w14:textId="77777777" w:rsidR="009219A0" w:rsidRDefault="00000000">
      <w:pPr>
        <w:spacing w:line="500" w:lineRule="exact"/>
        <w:ind w:firstLine="560"/>
        <w:rPr>
          <w:color w:val="auto"/>
        </w:rPr>
      </w:pPr>
      <w:r>
        <w:rPr>
          <w:rFonts w:hint="eastAsia"/>
          <w:color w:val="auto"/>
        </w:rPr>
        <w:t>（</w:t>
      </w:r>
      <w:r>
        <w:rPr>
          <w:rFonts w:hint="eastAsia"/>
          <w:color w:val="auto"/>
        </w:rPr>
        <w:t>6</w:t>
      </w:r>
      <w:r>
        <w:rPr>
          <w:rFonts w:hint="eastAsia"/>
          <w:color w:val="auto"/>
        </w:rPr>
        <w:t>）重大安全隐患判定符合性</w:t>
      </w:r>
      <w:r>
        <w:rPr>
          <w:color w:val="auto"/>
        </w:rPr>
        <w:t>分析单元</w:t>
      </w:r>
      <w:r>
        <w:rPr>
          <w:rFonts w:hint="eastAsia"/>
          <w:color w:val="auto"/>
        </w:rPr>
        <w:t>。</w:t>
      </w:r>
      <w:bookmarkEnd w:id="151"/>
    </w:p>
    <w:p w14:paraId="25E7F987" w14:textId="77777777" w:rsidR="009219A0" w:rsidRDefault="00000000">
      <w:pPr>
        <w:pStyle w:val="2"/>
        <w:spacing w:line="500" w:lineRule="exact"/>
        <w:rPr>
          <w:rFonts w:hint="eastAsia"/>
        </w:rPr>
      </w:pPr>
      <w:bookmarkStart w:id="152" w:name="_Toc503269889"/>
      <w:bookmarkStart w:id="153" w:name="_Toc207003180"/>
      <w:bookmarkStart w:id="154" w:name="_Toc247620202"/>
      <w:bookmarkStart w:id="155" w:name="_Toc211950453"/>
      <w:bookmarkStart w:id="156" w:name="_Toc165281451"/>
      <w:bookmarkStart w:id="157" w:name="_Toc472693304"/>
      <w:r>
        <w:rPr>
          <w:rFonts w:hint="eastAsia"/>
        </w:rPr>
        <w:t>4.2 评价方法的选择</w:t>
      </w:r>
      <w:bookmarkEnd w:id="152"/>
      <w:bookmarkEnd w:id="153"/>
      <w:bookmarkEnd w:id="154"/>
      <w:bookmarkEnd w:id="155"/>
      <w:bookmarkEnd w:id="156"/>
      <w:bookmarkEnd w:id="157"/>
    </w:p>
    <w:p w14:paraId="4F5C884F" w14:textId="77777777" w:rsidR="009219A0" w:rsidRDefault="00000000">
      <w:pPr>
        <w:spacing w:line="500" w:lineRule="exact"/>
        <w:ind w:firstLine="560"/>
        <w:rPr>
          <w:color w:val="auto"/>
        </w:rPr>
      </w:pPr>
      <w:bookmarkStart w:id="158" w:name="_Toc287516384"/>
      <w:bookmarkStart w:id="159" w:name="_Toc297723511"/>
      <w:bookmarkStart w:id="160" w:name="_Toc291600583"/>
      <w:r>
        <w:rPr>
          <w:color w:val="auto"/>
        </w:rPr>
        <w:t>安全评价方法是对系统的各种危险、危害因素进行分析、评价的工具。目前已开发出数十种，每一种评价方法的原理、目标、应用条件、适用对象不尽相同，各有其特点和优缺点。</w:t>
      </w:r>
    </w:p>
    <w:p w14:paraId="2BE6177E" w14:textId="77777777" w:rsidR="009219A0" w:rsidRDefault="00000000">
      <w:pPr>
        <w:spacing w:line="500" w:lineRule="exact"/>
        <w:ind w:firstLine="560"/>
        <w:rPr>
          <w:color w:val="auto"/>
        </w:rPr>
      </w:pPr>
      <w:r>
        <w:rPr>
          <w:color w:val="auto"/>
        </w:rPr>
        <w:t>根据有关规定对评价方法的具体要求为：</w:t>
      </w:r>
      <w:r>
        <w:rPr>
          <w:rFonts w:hint="eastAsia"/>
          <w:color w:val="auto"/>
        </w:rPr>
        <w:t>①</w:t>
      </w:r>
      <w:r>
        <w:rPr>
          <w:color w:val="auto"/>
        </w:rPr>
        <w:t>安全生产条件的安全评价，以安全检查表的方法为主，其他方法为辅。</w:t>
      </w:r>
      <w:r>
        <w:rPr>
          <w:rFonts w:hint="eastAsia"/>
          <w:color w:val="auto"/>
        </w:rPr>
        <w:t>②</w:t>
      </w:r>
      <w:r>
        <w:rPr>
          <w:color w:val="auto"/>
        </w:rPr>
        <w:t>其他方面的安全评价，根据生产的实际情况，可选择国际、国内通行的安全评价方法。</w:t>
      </w:r>
    </w:p>
    <w:p w14:paraId="351FF99E" w14:textId="77777777" w:rsidR="009219A0" w:rsidRDefault="00000000">
      <w:pPr>
        <w:spacing w:line="500" w:lineRule="exact"/>
        <w:ind w:firstLine="560"/>
        <w:rPr>
          <w:color w:val="auto"/>
          <w:szCs w:val="28"/>
        </w:rPr>
      </w:pPr>
      <w:r>
        <w:rPr>
          <w:color w:val="auto"/>
        </w:rPr>
        <w:t>据此，本次评价采用安全检查表法对项目存在的危险有害因素进行定性、定量分析。本项目各单元选择的评价方法及选择</w:t>
      </w:r>
      <w:r>
        <w:rPr>
          <w:color w:val="auto"/>
          <w:szCs w:val="28"/>
        </w:rPr>
        <w:t>理由见下表。</w:t>
      </w:r>
    </w:p>
    <w:p w14:paraId="26B7E8C2" w14:textId="77777777" w:rsidR="009219A0" w:rsidRDefault="00000000">
      <w:pPr>
        <w:spacing w:line="500" w:lineRule="exact"/>
        <w:ind w:firstLineChars="0" w:firstLine="0"/>
        <w:jc w:val="center"/>
        <w:rPr>
          <w:color w:val="auto"/>
          <w:szCs w:val="28"/>
        </w:rPr>
      </w:pPr>
      <w:r>
        <w:rPr>
          <w:rFonts w:hint="eastAsia"/>
          <w:color w:val="auto"/>
          <w:szCs w:val="28"/>
        </w:rPr>
        <w:t>表</w:t>
      </w:r>
      <w:r>
        <w:rPr>
          <w:rFonts w:hint="eastAsia"/>
          <w:color w:val="auto"/>
          <w:szCs w:val="28"/>
        </w:rPr>
        <w:t xml:space="preserve">4.2-1  </w:t>
      </w:r>
      <w:r>
        <w:rPr>
          <w:color w:val="auto"/>
          <w:szCs w:val="28"/>
        </w:rPr>
        <w:t>评价方法选择一览表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403"/>
        <w:gridCol w:w="4534"/>
      </w:tblGrid>
      <w:tr w:rsidR="009219A0" w14:paraId="65CDEB81" w14:textId="77777777">
        <w:trPr>
          <w:trHeight w:val="340"/>
          <w:tblHeader/>
          <w:jc w:val="center"/>
        </w:trPr>
        <w:tc>
          <w:tcPr>
            <w:tcW w:w="1135" w:type="dxa"/>
            <w:vAlign w:val="center"/>
          </w:tcPr>
          <w:p w14:paraId="78692374" w14:textId="77777777" w:rsidR="009219A0" w:rsidRDefault="00000000">
            <w:pPr>
              <w:spacing w:line="240" w:lineRule="auto"/>
              <w:ind w:firstLineChars="0" w:firstLine="0"/>
              <w:jc w:val="center"/>
              <w:rPr>
                <w:b/>
                <w:color w:val="auto"/>
                <w:sz w:val="21"/>
                <w:szCs w:val="21"/>
              </w:rPr>
            </w:pPr>
            <w:r>
              <w:rPr>
                <w:b/>
                <w:color w:val="auto"/>
                <w:sz w:val="21"/>
                <w:szCs w:val="21"/>
              </w:rPr>
              <w:t>序号</w:t>
            </w:r>
          </w:p>
        </w:tc>
        <w:tc>
          <w:tcPr>
            <w:tcW w:w="3403" w:type="dxa"/>
            <w:vAlign w:val="center"/>
          </w:tcPr>
          <w:p w14:paraId="74821631" w14:textId="77777777" w:rsidR="009219A0" w:rsidRDefault="00000000">
            <w:pPr>
              <w:spacing w:line="240" w:lineRule="auto"/>
              <w:ind w:firstLineChars="0" w:firstLine="0"/>
              <w:jc w:val="center"/>
              <w:rPr>
                <w:b/>
                <w:color w:val="auto"/>
                <w:sz w:val="21"/>
                <w:szCs w:val="21"/>
              </w:rPr>
            </w:pPr>
            <w:r>
              <w:rPr>
                <w:b/>
                <w:color w:val="auto"/>
                <w:sz w:val="21"/>
                <w:szCs w:val="21"/>
              </w:rPr>
              <w:t>评价单元划分</w:t>
            </w:r>
          </w:p>
        </w:tc>
        <w:tc>
          <w:tcPr>
            <w:tcW w:w="4534" w:type="dxa"/>
            <w:vAlign w:val="center"/>
          </w:tcPr>
          <w:p w14:paraId="3D9A5C26" w14:textId="77777777" w:rsidR="009219A0" w:rsidRDefault="00000000">
            <w:pPr>
              <w:spacing w:line="240" w:lineRule="auto"/>
              <w:ind w:firstLineChars="0" w:firstLine="0"/>
              <w:jc w:val="center"/>
              <w:rPr>
                <w:b/>
                <w:color w:val="auto"/>
                <w:sz w:val="21"/>
                <w:szCs w:val="21"/>
              </w:rPr>
            </w:pPr>
            <w:r>
              <w:rPr>
                <w:b/>
                <w:color w:val="auto"/>
                <w:sz w:val="21"/>
                <w:szCs w:val="21"/>
              </w:rPr>
              <w:t>评价方法选择</w:t>
            </w:r>
          </w:p>
        </w:tc>
      </w:tr>
      <w:tr w:rsidR="009219A0" w14:paraId="297695A1" w14:textId="77777777">
        <w:trPr>
          <w:trHeight w:val="340"/>
          <w:jc w:val="center"/>
        </w:trPr>
        <w:tc>
          <w:tcPr>
            <w:tcW w:w="1135" w:type="dxa"/>
            <w:vAlign w:val="center"/>
          </w:tcPr>
          <w:p w14:paraId="27D09B91" w14:textId="77777777" w:rsidR="009219A0" w:rsidRDefault="00000000">
            <w:pPr>
              <w:spacing w:line="240" w:lineRule="auto"/>
              <w:ind w:firstLineChars="0" w:firstLine="0"/>
              <w:jc w:val="center"/>
              <w:rPr>
                <w:color w:val="auto"/>
                <w:sz w:val="21"/>
                <w:szCs w:val="21"/>
              </w:rPr>
            </w:pPr>
            <w:r>
              <w:rPr>
                <w:rFonts w:hint="eastAsia"/>
                <w:color w:val="auto"/>
                <w:sz w:val="21"/>
                <w:szCs w:val="21"/>
              </w:rPr>
              <w:t>1</w:t>
            </w:r>
          </w:p>
        </w:tc>
        <w:tc>
          <w:tcPr>
            <w:tcW w:w="3403" w:type="dxa"/>
            <w:vAlign w:val="center"/>
          </w:tcPr>
          <w:p w14:paraId="08ECCC24" w14:textId="77777777" w:rsidR="009219A0" w:rsidRDefault="00000000">
            <w:pPr>
              <w:spacing w:line="240" w:lineRule="auto"/>
              <w:ind w:firstLineChars="0" w:firstLine="0"/>
              <w:rPr>
                <w:color w:val="auto"/>
                <w:sz w:val="21"/>
                <w:szCs w:val="21"/>
              </w:rPr>
            </w:pPr>
            <w:r>
              <w:rPr>
                <w:rFonts w:hint="eastAsia"/>
                <w:color w:val="auto"/>
                <w:sz w:val="21"/>
                <w:szCs w:val="21"/>
              </w:rPr>
              <w:t>“三同时”符合性评价单元</w:t>
            </w:r>
          </w:p>
        </w:tc>
        <w:tc>
          <w:tcPr>
            <w:tcW w:w="4534" w:type="dxa"/>
            <w:vAlign w:val="center"/>
          </w:tcPr>
          <w:p w14:paraId="7F6038F9" w14:textId="77777777" w:rsidR="009219A0" w:rsidRDefault="00000000">
            <w:pPr>
              <w:spacing w:line="240" w:lineRule="auto"/>
              <w:ind w:firstLineChars="0" w:firstLine="0"/>
              <w:rPr>
                <w:color w:val="auto"/>
                <w:sz w:val="21"/>
                <w:szCs w:val="21"/>
              </w:rPr>
            </w:pPr>
            <w:r>
              <w:rPr>
                <w:color w:val="auto"/>
                <w:sz w:val="21"/>
                <w:szCs w:val="21"/>
              </w:rPr>
              <w:t>安全检查表法</w:t>
            </w:r>
          </w:p>
        </w:tc>
      </w:tr>
      <w:tr w:rsidR="009219A0" w14:paraId="6966A025" w14:textId="77777777">
        <w:trPr>
          <w:trHeight w:val="340"/>
          <w:jc w:val="center"/>
        </w:trPr>
        <w:tc>
          <w:tcPr>
            <w:tcW w:w="1135" w:type="dxa"/>
            <w:vAlign w:val="center"/>
          </w:tcPr>
          <w:p w14:paraId="45570DFD" w14:textId="77777777" w:rsidR="009219A0" w:rsidRDefault="00000000">
            <w:pPr>
              <w:spacing w:line="240" w:lineRule="auto"/>
              <w:ind w:firstLineChars="0" w:firstLine="0"/>
              <w:jc w:val="center"/>
              <w:rPr>
                <w:color w:val="auto"/>
                <w:sz w:val="21"/>
                <w:szCs w:val="21"/>
              </w:rPr>
            </w:pPr>
            <w:r>
              <w:rPr>
                <w:rFonts w:hint="eastAsia"/>
                <w:color w:val="auto"/>
                <w:sz w:val="21"/>
                <w:szCs w:val="21"/>
              </w:rPr>
              <w:t>2</w:t>
            </w:r>
          </w:p>
        </w:tc>
        <w:tc>
          <w:tcPr>
            <w:tcW w:w="3403" w:type="dxa"/>
            <w:vAlign w:val="center"/>
          </w:tcPr>
          <w:p w14:paraId="37C08E35" w14:textId="77777777" w:rsidR="009219A0" w:rsidRDefault="00000000">
            <w:pPr>
              <w:spacing w:line="240" w:lineRule="auto"/>
              <w:ind w:firstLineChars="0" w:firstLine="0"/>
              <w:rPr>
                <w:color w:val="auto"/>
                <w:sz w:val="21"/>
                <w:szCs w:val="21"/>
              </w:rPr>
            </w:pPr>
            <w:r>
              <w:rPr>
                <w:rFonts w:hint="eastAsia"/>
                <w:color w:val="auto"/>
                <w:sz w:val="21"/>
                <w:szCs w:val="21"/>
              </w:rPr>
              <w:t>厂</w:t>
            </w:r>
            <w:r>
              <w:rPr>
                <w:color w:val="auto"/>
                <w:sz w:val="21"/>
                <w:szCs w:val="21"/>
              </w:rPr>
              <w:t>址及总平面布置安全评价单元</w:t>
            </w:r>
          </w:p>
        </w:tc>
        <w:tc>
          <w:tcPr>
            <w:tcW w:w="4534" w:type="dxa"/>
            <w:vAlign w:val="center"/>
          </w:tcPr>
          <w:p w14:paraId="711C6549" w14:textId="77777777" w:rsidR="009219A0" w:rsidRDefault="00000000">
            <w:pPr>
              <w:spacing w:line="240" w:lineRule="auto"/>
              <w:ind w:firstLineChars="0" w:firstLine="0"/>
              <w:rPr>
                <w:color w:val="auto"/>
                <w:sz w:val="21"/>
                <w:szCs w:val="21"/>
              </w:rPr>
            </w:pPr>
            <w:r>
              <w:rPr>
                <w:color w:val="auto"/>
                <w:sz w:val="21"/>
                <w:szCs w:val="21"/>
              </w:rPr>
              <w:t>安全检查表法</w:t>
            </w:r>
          </w:p>
        </w:tc>
      </w:tr>
      <w:tr w:rsidR="009219A0" w14:paraId="5F36BB63" w14:textId="77777777">
        <w:trPr>
          <w:trHeight w:val="340"/>
          <w:jc w:val="center"/>
        </w:trPr>
        <w:tc>
          <w:tcPr>
            <w:tcW w:w="1135" w:type="dxa"/>
            <w:vAlign w:val="center"/>
          </w:tcPr>
          <w:p w14:paraId="211AAABF" w14:textId="77777777" w:rsidR="009219A0" w:rsidRDefault="00000000">
            <w:pPr>
              <w:spacing w:line="240" w:lineRule="auto"/>
              <w:ind w:firstLineChars="0" w:firstLine="0"/>
              <w:jc w:val="center"/>
              <w:rPr>
                <w:color w:val="auto"/>
                <w:sz w:val="21"/>
                <w:szCs w:val="21"/>
              </w:rPr>
            </w:pPr>
            <w:r>
              <w:rPr>
                <w:color w:val="auto"/>
                <w:sz w:val="21"/>
                <w:szCs w:val="21"/>
              </w:rPr>
              <w:t>3</w:t>
            </w:r>
          </w:p>
        </w:tc>
        <w:tc>
          <w:tcPr>
            <w:tcW w:w="3403" w:type="dxa"/>
            <w:vAlign w:val="center"/>
          </w:tcPr>
          <w:p w14:paraId="17152C2B" w14:textId="77777777" w:rsidR="009219A0" w:rsidRDefault="00000000">
            <w:pPr>
              <w:spacing w:line="240" w:lineRule="auto"/>
              <w:ind w:firstLineChars="0" w:firstLine="0"/>
              <w:rPr>
                <w:color w:val="auto"/>
                <w:sz w:val="21"/>
                <w:szCs w:val="21"/>
              </w:rPr>
            </w:pPr>
            <w:r>
              <w:rPr>
                <w:color w:val="auto"/>
                <w:sz w:val="21"/>
                <w:szCs w:val="21"/>
              </w:rPr>
              <w:t>工艺及设备设施评价单元</w:t>
            </w:r>
          </w:p>
        </w:tc>
        <w:tc>
          <w:tcPr>
            <w:tcW w:w="4534" w:type="dxa"/>
            <w:vAlign w:val="center"/>
          </w:tcPr>
          <w:p w14:paraId="224C2BBD" w14:textId="77777777" w:rsidR="009219A0" w:rsidRDefault="00000000">
            <w:pPr>
              <w:spacing w:line="240" w:lineRule="auto"/>
              <w:ind w:firstLineChars="0" w:firstLine="0"/>
              <w:rPr>
                <w:color w:val="auto"/>
                <w:sz w:val="21"/>
                <w:szCs w:val="21"/>
              </w:rPr>
            </w:pPr>
            <w:r>
              <w:rPr>
                <w:color w:val="auto"/>
                <w:sz w:val="21"/>
                <w:szCs w:val="21"/>
              </w:rPr>
              <w:t>安全检查表法</w:t>
            </w:r>
          </w:p>
        </w:tc>
      </w:tr>
      <w:tr w:rsidR="009219A0" w14:paraId="06DC11DE" w14:textId="77777777">
        <w:trPr>
          <w:trHeight w:val="340"/>
          <w:jc w:val="center"/>
        </w:trPr>
        <w:tc>
          <w:tcPr>
            <w:tcW w:w="1135" w:type="dxa"/>
            <w:vAlign w:val="center"/>
          </w:tcPr>
          <w:p w14:paraId="51BFBAFA" w14:textId="77777777" w:rsidR="009219A0" w:rsidRDefault="00000000">
            <w:pPr>
              <w:spacing w:line="240" w:lineRule="auto"/>
              <w:ind w:firstLineChars="0" w:firstLine="0"/>
              <w:jc w:val="center"/>
              <w:rPr>
                <w:color w:val="auto"/>
                <w:sz w:val="21"/>
                <w:szCs w:val="21"/>
              </w:rPr>
            </w:pPr>
            <w:r>
              <w:rPr>
                <w:color w:val="auto"/>
                <w:sz w:val="21"/>
                <w:szCs w:val="21"/>
              </w:rPr>
              <w:t>4</w:t>
            </w:r>
          </w:p>
        </w:tc>
        <w:tc>
          <w:tcPr>
            <w:tcW w:w="3403" w:type="dxa"/>
            <w:vAlign w:val="center"/>
          </w:tcPr>
          <w:p w14:paraId="4374E5E2" w14:textId="77777777" w:rsidR="009219A0" w:rsidRDefault="00000000">
            <w:pPr>
              <w:spacing w:line="240" w:lineRule="auto"/>
              <w:ind w:firstLineChars="0" w:firstLine="0"/>
              <w:rPr>
                <w:color w:val="auto"/>
                <w:sz w:val="21"/>
                <w:szCs w:val="21"/>
              </w:rPr>
            </w:pPr>
            <w:r>
              <w:rPr>
                <w:rFonts w:hint="eastAsia"/>
                <w:color w:val="auto"/>
                <w:sz w:val="21"/>
                <w:szCs w:val="21"/>
              </w:rPr>
              <w:t>重大安全隐患判定符合性分析单元</w:t>
            </w:r>
          </w:p>
        </w:tc>
        <w:tc>
          <w:tcPr>
            <w:tcW w:w="4534" w:type="dxa"/>
            <w:vAlign w:val="center"/>
          </w:tcPr>
          <w:p w14:paraId="76A3D981" w14:textId="77777777" w:rsidR="009219A0" w:rsidRDefault="00000000">
            <w:pPr>
              <w:spacing w:line="240" w:lineRule="auto"/>
              <w:ind w:firstLineChars="0" w:firstLine="0"/>
              <w:rPr>
                <w:color w:val="auto"/>
                <w:sz w:val="21"/>
                <w:szCs w:val="21"/>
              </w:rPr>
            </w:pPr>
            <w:r>
              <w:rPr>
                <w:color w:val="auto"/>
                <w:sz w:val="21"/>
                <w:szCs w:val="21"/>
              </w:rPr>
              <w:t>安全检查表法</w:t>
            </w:r>
          </w:p>
        </w:tc>
      </w:tr>
      <w:tr w:rsidR="009219A0" w14:paraId="54AFC164" w14:textId="77777777">
        <w:trPr>
          <w:trHeight w:val="340"/>
          <w:jc w:val="center"/>
        </w:trPr>
        <w:tc>
          <w:tcPr>
            <w:tcW w:w="1135" w:type="dxa"/>
            <w:vAlign w:val="center"/>
          </w:tcPr>
          <w:p w14:paraId="43A6299F" w14:textId="77777777" w:rsidR="009219A0" w:rsidRDefault="00000000">
            <w:pPr>
              <w:spacing w:line="240" w:lineRule="auto"/>
              <w:ind w:firstLineChars="0" w:firstLine="0"/>
              <w:jc w:val="center"/>
              <w:rPr>
                <w:color w:val="auto"/>
                <w:sz w:val="21"/>
                <w:szCs w:val="21"/>
              </w:rPr>
            </w:pPr>
            <w:r>
              <w:rPr>
                <w:color w:val="auto"/>
                <w:sz w:val="21"/>
                <w:szCs w:val="21"/>
              </w:rPr>
              <w:t>5</w:t>
            </w:r>
          </w:p>
        </w:tc>
        <w:tc>
          <w:tcPr>
            <w:tcW w:w="3403" w:type="dxa"/>
            <w:vAlign w:val="center"/>
          </w:tcPr>
          <w:p w14:paraId="58978689" w14:textId="77777777" w:rsidR="009219A0" w:rsidRDefault="00000000">
            <w:pPr>
              <w:spacing w:line="240" w:lineRule="auto"/>
              <w:ind w:firstLineChars="0" w:firstLine="0"/>
              <w:rPr>
                <w:color w:val="auto"/>
                <w:sz w:val="21"/>
                <w:szCs w:val="21"/>
              </w:rPr>
            </w:pPr>
            <w:r>
              <w:rPr>
                <w:rFonts w:hint="eastAsia"/>
                <w:color w:val="auto"/>
                <w:sz w:val="21"/>
                <w:szCs w:val="21"/>
              </w:rPr>
              <w:t>公用工程及辅助设施单元</w:t>
            </w:r>
          </w:p>
        </w:tc>
        <w:tc>
          <w:tcPr>
            <w:tcW w:w="4534" w:type="dxa"/>
            <w:vAlign w:val="center"/>
          </w:tcPr>
          <w:p w14:paraId="48112470" w14:textId="77777777" w:rsidR="009219A0" w:rsidRDefault="00000000">
            <w:pPr>
              <w:spacing w:line="240" w:lineRule="auto"/>
              <w:ind w:firstLineChars="0" w:firstLine="0"/>
              <w:rPr>
                <w:color w:val="auto"/>
                <w:sz w:val="21"/>
                <w:szCs w:val="21"/>
              </w:rPr>
            </w:pPr>
            <w:r>
              <w:rPr>
                <w:color w:val="auto"/>
                <w:sz w:val="21"/>
                <w:szCs w:val="21"/>
              </w:rPr>
              <w:t>安全检查表法</w:t>
            </w:r>
          </w:p>
        </w:tc>
      </w:tr>
      <w:tr w:rsidR="009219A0" w14:paraId="73B86028" w14:textId="77777777">
        <w:trPr>
          <w:trHeight w:val="340"/>
          <w:jc w:val="center"/>
        </w:trPr>
        <w:tc>
          <w:tcPr>
            <w:tcW w:w="1135" w:type="dxa"/>
            <w:vAlign w:val="center"/>
          </w:tcPr>
          <w:p w14:paraId="759AF7F6" w14:textId="77777777" w:rsidR="009219A0" w:rsidRDefault="00000000">
            <w:pPr>
              <w:spacing w:line="240" w:lineRule="auto"/>
              <w:ind w:firstLineChars="0" w:firstLine="0"/>
              <w:jc w:val="center"/>
              <w:rPr>
                <w:color w:val="auto"/>
                <w:sz w:val="21"/>
                <w:szCs w:val="21"/>
              </w:rPr>
            </w:pPr>
            <w:r>
              <w:rPr>
                <w:rFonts w:hint="eastAsia"/>
                <w:color w:val="auto"/>
                <w:sz w:val="21"/>
                <w:szCs w:val="21"/>
              </w:rPr>
              <w:t>6</w:t>
            </w:r>
          </w:p>
        </w:tc>
        <w:tc>
          <w:tcPr>
            <w:tcW w:w="3403" w:type="dxa"/>
            <w:vAlign w:val="center"/>
          </w:tcPr>
          <w:p w14:paraId="55278204" w14:textId="77777777" w:rsidR="009219A0" w:rsidRDefault="00000000">
            <w:pPr>
              <w:spacing w:line="240" w:lineRule="auto"/>
              <w:ind w:firstLineChars="0" w:firstLine="0"/>
              <w:rPr>
                <w:color w:val="auto"/>
                <w:sz w:val="21"/>
                <w:szCs w:val="21"/>
              </w:rPr>
            </w:pPr>
            <w:r>
              <w:rPr>
                <w:rFonts w:hint="eastAsia"/>
                <w:color w:val="auto"/>
                <w:sz w:val="21"/>
                <w:szCs w:val="21"/>
              </w:rPr>
              <w:t>安全管理及应急救援单元</w:t>
            </w:r>
          </w:p>
        </w:tc>
        <w:tc>
          <w:tcPr>
            <w:tcW w:w="4534" w:type="dxa"/>
            <w:vAlign w:val="center"/>
          </w:tcPr>
          <w:p w14:paraId="67B3B1C9" w14:textId="77777777" w:rsidR="009219A0" w:rsidRDefault="00000000">
            <w:pPr>
              <w:spacing w:line="240" w:lineRule="auto"/>
              <w:ind w:firstLineChars="0" w:firstLine="0"/>
              <w:rPr>
                <w:color w:val="auto"/>
                <w:sz w:val="21"/>
                <w:szCs w:val="21"/>
              </w:rPr>
            </w:pPr>
            <w:r>
              <w:rPr>
                <w:color w:val="auto"/>
                <w:sz w:val="21"/>
                <w:szCs w:val="21"/>
              </w:rPr>
              <w:t>安全检查表法</w:t>
            </w:r>
          </w:p>
        </w:tc>
      </w:tr>
    </w:tbl>
    <w:p w14:paraId="034DCD34" w14:textId="77777777" w:rsidR="009219A0" w:rsidRDefault="00000000">
      <w:pPr>
        <w:pStyle w:val="2"/>
        <w:rPr>
          <w:rFonts w:hint="eastAsia"/>
        </w:rPr>
      </w:pPr>
      <w:bookmarkStart w:id="161" w:name="_Toc454199070"/>
      <w:bookmarkStart w:id="162" w:name="_Toc472693305"/>
      <w:bookmarkStart w:id="163" w:name="_Toc165281452"/>
      <w:bookmarkStart w:id="164" w:name="_Toc211950454"/>
      <w:bookmarkStart w:id="165" w:name="_Toc503269890"/>
      <w:bookmarkEnd w:id="158"/>
      <w:bookmarkEnd w:id="159"/>
      <w:bookmarkEnd w:id="160"/>
      <w:r>
        <w:rPr>
          <w:rFonts w:hint="eastAsia"/>
        </w:rPr>
        <w:t>4.3 评价方法简介</w:t>
      </w:r>
      <w:bookmarkEnd w:id="161"/>
      <w:bookmarkEnd w:id="162"/>
      <w:bookmarkEnd w:id="163"/>
      <w:bookmarkEnd w:id="164"/>
      <w:bookmarkEnd w:id="165"/>
    </w:p>
    <w:p w14:paraId="5AC6024E" w14:textId="77777777" w:rsidR="009219A0" w:rsidRDefault="00000000">
      <w:pPr>
        <w:ind w:firstLine="560"/>
        <w:rPr>
          <w:color w:val="auto"/>
        </w:rPr>
      </w:pPr>
      <w:r>
        <w:rPr>
          <w:rFonts w:hint="eastAsia"/>
          <w:color w:val="auto"/>
        </w:rPr>
        <w:t>本次评价所采用的评价方法的介绍</w:t>
      </w:r>
      <w:proofErr w:type="gramStart"/>
      <w:r>
        <w:rPr>
          <w:rFonts w:hint="eastAsia"/>
          <w:color w:val="auto"/>
        </w:rPr>
        <w:t>见报告</w:t>
      </w:r>
      <w:proofErr w:type="gramEnd"/>
      <w:r>
        <w:rPr>
          <w:rFonts w:hint="eastAsia"/>
          <w:color w:val="auto"/>
        </w:rPr>
        <w:t>附件第</w:t>
      </w:r>
      <w:r>
        <w:rPr>
          <w:rFonts w:hint="eastAsia"/>
          <w:color w:val="auto"/>
        </w:rPr>
        <w:t>3</w:t>
      </w:r>
      <w:r>
        <w:rPr>
          <w:rFonts w:hint="eastAsia"/>
          <w:color w:val="auto"/>
        </w:rPr>
        <w:t>章。</w:t>
      </w:r>
    </w:p>
    <w:p w14:paraId="79534FF0" w14:textId="77777777" w:rsidR="009219A0" w:rsidRDefault="00000000">
      <w:pPr>
        <w:pStyle w:val="1"/>
        <w:keepNext w:val="0"/>
        <w:keepLines w:val="0"/>
        <w:numPr>
          <w:ilvl w:val="0"/>
          <w:numId w:val="1"/>
        </w:numPr>
        <w:ind w:left="0" w:firstLine="0"/>
        <w:textAlignment w:val="center"/>
        <w:rPr>
          <w:rFonts w:ascii="宋体" w:hAnsi="宋体" w:hint="eastAsia"/>
          <w:b/>
          <w:bCs w:val="0"/>
          <w:color w:val="auto"/>
          <w:szCs w:val="20"/>
        </w:rPr>
      </w:pPr>
      <w:r>
        <w:rPr>
          <w:rFonts w:ascii="宋体" w:hAnsi="宋体" w:hint="eastAsia"/>
          <w:b/>
          <w:bCs w:val="0"/>
          <w:color w:val="auto"/>
          <w:szCs w:val="20"/>
        </w:rPr>
        <w:lastRenderedPageBreak/>
        <w:t xml:space="preserve">  </w:t>
      </w:r>
      <w:bookmarkStart w:id="166" w:name="_Toc211950455"/>
      <w:bookmarkStart w:id="167" w:name="_Toc165281453"/>
      <w:r>
        <w:rPr>
          <w:rFonts w:ascii="宋体" w:hAnsi="宋体" w:hint="eastAsia"/>
          <w:b/>
          <w:bCs w:val="0"/>
          <w:color w:val="auto"/>
          <w:szCs w:val="20"/>
        </w:rPr>
        <w:t>“三同时”符合性评价结果</w:t>
      </w:r>
      <w:bookmarkEnd w:id="166"/>
      <w:bookmarkEnd w:id="167"/>
    </w:p>
    <w:p w14:paraId="0C2EA6B9" w14:textId="77777777" w:rsidR="009219A0" w:rsidRDefault="009219A0">
      <w:pPr>
        <w:ind w:firstLine="560"/>
        <w:rPr>
          <w:color w:val="auto"/>
        </w:rPr>
      </w:pPr>
    </w:p>
    <w:p w14:paraId="74BEB67C" w14:textId="77777777" w:rsidR="009219A0" w:rsidRDefault="00000000">
      <w:pPr>
        <w:pStyle w:val="2"/>
        <w:rPr>
          <w:rFonts w:hint="eastAsia"/>
        </w:rPr>
      </w:pPr>
      <w:bookmarkStart w:id="168" w:name="_Toc211950456"/>
      <w:bookmarkStart w:id="169" w:name="_Toc165281454"/>
      <w:r>
        <w:rPr>
          <w:rFonts w:hint="eastAsia"/>
        </w:rPr>
        <w:t>5.1 建设项目安全设施“三同时”符合性分析评价结果</w:t>
      </w:r>
      <w:bookmarkEnd w:id="168"/>
      <w:bookmarkEnd w:id="169"/>
    </w:p>
    <w:p w14:paraId="536BA47D" w14:textId="77777777" w:rsidR="009219A0" w:rsidRDefault="00000000">
      <w:pPr>
        <w:ind w:firstLine="560"/>
        <w:rPr>
          <w:color w:val="auto"/>
        </w:rPr>
      </w:pPr>
      <w:r>
        <w:rPr>
          <w:rFonts w:hint="eastAsia"/>
          <w:color w:val="auto"/>
        </w:rPr>
        <w:t>根据《中华人民共和国安全生产法（</w:t>
      </w:r>
      <w:r>
        <w:rPr>
          <w:rFonts w:hint="eastAsia"/>
          <w:color w:val="auto"/>
        </w:rPr>
        <w:t>2021</w:t>
      </w:r>
      <w:r>
        <w:rPr>
          <w:rFonts w:hint="eastAsia"/>
          <w:color w:val="auto"/>
        </w:rPr>
        <w:t>年修订）》（中华人民共和国主席令第八十八号修订后公布，</w:t>
      </w:r>
      <w:r>
        <w:rPr>
          <w:rFonts w:hint="eastAsia"/>
          <w:color w:val="auto"/>
        </w:rPr>
        <w:t>2021</w:t>
      </w:r>
      <w:r>
        <w:rPr>
          <w:rFonts w:hint="eastAsia"/>
          <w:color w:val="auto"/>
        </w:rPr>
        <w:t>年</w:t>
      </w:r>
      <w:r>
        <w:rPr>
          <w:rFonts w:hint="eastAsia"/>
          <w:color w:val="auto"/>
        </w:rPr>
        <w:t>9</w:t>
      </w:r>
      <w:r>
        <w:rPr>
          <w:rFonts w:hint="eastAsia"/>
          <w:color w:val="auto"/>
        </w:rPr>
        <w:t>月</w:t>
      </w:r>
      <w:r>
        <w:rPr>
          <w:rFonts w:hint="eastAsia"/>
          <w:color w:val="auto"/>
        </w:rPr>
        <w:t>1</w:t>
      </w:r>
      <w:r>
        <w:rPr>
          <w:rFonts w:hint="eastAsia"/>
          <w:color w:val="auto"/>
        </w:rPr>
        <w:t>日施行）、《建设项目安全设施“三同时”监督管理办法》（国家安全生产监督管理总局令第</w:t>
      </w:r>
      <w:r>
        <w:rPr>
          <w:rFonts w:hint="eastAsia"/>
          <w:color w:val="auto"/>
        </w:rPr>
        <w:t>36</w:t>
      </w:r>
      <w:r>
        <w:rPr>
          <w:rFonts w:hint="eastAsia"/>
          <w:color w:val="auto"/>
        </w:rPr>
        <w:t>号</w:t>
      </w:r>
      <w:r>
        <w:rPr>
          <w:rFonts w:hint="eastAsia"/>
          <w:color w:val="auto"/>
        </w:rPr>
        <w:t>[77</w:t>
      </w:r>
      <w:r>
        <w:rPr>
          <w:rFonts w:hint="eastAsia"/>
          <w:color w:val="auto"/>
        </w:rPr>
        <w:t>号令修订</w:t>
      </w:r>
      <w:r>
        <w:rPr>
          <w:rFonts w:hint="eastAsia"/>
          <w:color w:val="auto"/>
        </w:rPr>
        <w:t>]</w:t>
      </w:r>
      <w:r>
        <w:rPr>
          <w:rFonts w:hint="eastAsia"/>
          <w:color w:val="auto"/>
        </w:rPr>
        <w:t>）等法律、规范的要求，对该项目进行“三同时”符合性评价，检查表</w:t>
      </w:r>
      <w:proofErr w:type="gramStart"/>
      <w:r>
        <w:rPr>
          <w:rFonts w:hint="eastAsia"/>
          <w:color w:val="auto"/>
        </w:rPr>
        <w:t>见报告</w:t>
      </w:r>
      <w:proofErr w:type="gramEnd"/>
      <w:r>
        <w:rPr>
          <w:rFonts w:hint="eastAsia"/>
          <w:color w:val="auto"/>
        </w:rPr>
        <w:t>附件第</w:t>
      </w:r>
      <w:r>
        <w:rPr>
          <w:rFonts w:hint="eastAsia"/>
          <w:color w:val="auto"/>
        </w:rPr>
        <w:t>4</w:t>
      </w:r>
      <w:r>
        <w:rPr>
          <w:rFonts w:hint="eastAsia"/>
          <w:color w:val="auto"/>
        </w:rPr>
        <w:t>章</w:t>
      </w:r>
      <w:r>
        <w:rPr>
          <w:rFonts w:hint="eastAsia"/>
          <w:color w:val="auto"/>
        </w:rPr>
        <w:t>4.1</w:t>
      </w:r>
      <w:r>
        <w:rPr>
          <w:rFonts w:hint="eastAsia"/>
          <w:color w:val="auto"/>
        </w:rPr>
        <w:t>节，表</w:t>
      </w:r>
      <w:r>
        <w:rPr>
          <w:rFonts w:hint="eastAsia"/>
          <w:color w:val="auto"/>
        </w:rPr>
        <w:t>4.1-1</w:t>
      </w:r>
      <w:r>
        <w:rPr>
          <w:rFonts w:hint="eastAsia"/>
          <w:color w:val="auto"/>
        </w:rPr>
        <w:t>。</w:t>
      </w:r>
    </w:p>
    <w:p w14:paraId="6392298C" w14:textId="77777777" w:rsidR="009219A0" w:rsidRDefault="00000000">
      <w:pPr>
        <w:pStyle w:val="2"/>
        <w:rPr>
          <w:rFonts w:hint="eastAsia"/>
        </w:rPr>
      </w:pPr>
      <w:bookmarkStart w:id="170" w:name="_Toc211950457"/>
      <w:bookmarkStart w:id="171" w:name="_Toc165281455"/>
      <w:r>
        <w:t>5.2 安全对策措施落实情况分析评价结果</w:t>
      </w:r>
      <w:bookmarkEnd w:id="170"/>
      <w:bookmarkEnd w:id="171"/>
    </w:p>
    <w:p w14:paraId="7950CD67" w14:textId="77777777" w:rsidR="009219A0" w:rsidRDefault="00000000">
      <w:pPr>
        <w:ind w:firstLine="560"/>
        <w:rPr>
          <w:color w:val="auto"/>
        </w:rPr>
      </w:pPr>
      <w:r>
        <w:rPr>
          <w:color w:val="auto"/>
        </w:rPr>
        <w:t>根据《</w:t>
      </w:r>
      <w:r>
        <w:rPr>
          <w:rFonts w:hint="eastAsia"/>
          <w:color w:val="auto"/>
        </w:rPr>
        <w:t>个旧市创源科技有限公司新建实验与研究开发中心及实验基地工程建设项目安全设施设计</w:t>
      </w:r>
      <w:r>
        <w:rPr>
          <w:color w:val="auto"/>
        </w:rPr>
        <w:t>》第</w:t>
      </w:r>
      <w:r>
        <w:rPr>
          <w:rFonts w:hint="eastAsia"/>
          <w:color w:val="auto"/>
        </w:rPr>
        <w:t>六</w:t>
      </w:r>
      <w:r>
        <w:rPr>
          <w:color w:val="auto"/>
        </w:rPr>
        <w:t>章，复核项目所采取的安全设施设置情况，</w:t>
      </w:r>
      <w:r>
        <w:rPr>
          <w:rFonts w:hint="eastAsia"/>
          <w:color w:val="auto"/>
        </w:rPr>
        <w:t>得出</w:t>
      </w:r>
      <w:r>
        <w:rPr>
          <w:color w:val="auto"/>
        </w:rPr>
        <w:t>如下结论：</w:t>
      </w:r>
    </w:p>
    <w:p w14:paraId="2BE4D7B0" w14:textId="77777777" w:rsidR="009219A0" w:rsidRDefault="00000000">
      <w:pPr>
        <w:ind w:firstLine="560"/>
        <w:rPr>
          <w:color w:val="auto"/>
        </w:rPr>
      </w:pPr>
      <w:r>
        <w:rPr>
          <w:color w:val="auto"/>
        </w:rPr>
        <w:t>建</w:t>
      </w:r>
      <w:r>
        <w:rPr>
          <w:rFonts w:hint="eastAsia"/>
          <w:color w:val="auto"/>
        </w:rPr>
        <w:t>设项目按照《个旧市创源科技有限公司新建实验与研究开发中心及实验基地工程建设项目安全设施设计》提出的安全设施进行设置，与主体设备同时施工，同时投入使用；建设项目采用设备的设计、制造、安装单位具备相应资质</w:t>
      </w:r>
      <w:r>
        <w:rPr>
          <w:color w:val="auto"/>
        </w:rPr>
        <w:t>。</w:t>
      </w:r>
      <w:bookmarkStart w:id="172" w:name="_Toc503269891"/>
    </w:p>
    <w:p w14:paraId="05334ABD" w14:textId="77777777" w:rsidR="009219A0" w:rsidRDefault="00000000">
      <w:pPr>
        <w:pStyle w:val="1"/>
        <w:keepNext w:val="0"/>
        <w:keepLines w:val="0"/>
        <w:ind w:left="1843"/>
        <w:textAlignment w:val="center"/>
        <w:rPr>
          <w:rFonts w:ascii="宋体" w:hAnsi="宋体" w:hint="eastAsia"/>
          <w:b/>
          <w:bCs w:val="0"/>
          <w:color w:val="auto"/>
          <w:szCs w:val="20"/>
        </w:rPr>
      </w:pPr>
      <w:bookmarkStart w:id="173" w:name="_Toc211950458"/>
      <w:bookmarkStart w:id="174" w:name="_Toc165281456"/>
      <w:r>
        <w:rPr>
          <w:rFonts w:ascii="宋体" w:hAnsi="宋体" w:hint="eastAsia"/>
          <w:b/>
          <w:bCs w:val="0"/>
          <w:color w:val="auto"/>
          <w:szCs w:val="20"/>
        </w:rPr>
        <w:lastRenderedPageBreak/>
        <w:t>6  安全条件和安全生产条件分析评价</w:t>
      </w:r>
      <w:bookmarkEnd w:id="172"/>
      <w:r>
        <w:rPr>
          <w:rFonts w:ascii="宋体" w:hAnsi="宋体" w:hint="eastAsia"/>
          <w:b/>
          <w:bCs w:val="0"/>
          <w:color w:val="auto"/>
          <w:szCs w:val="20"/>
        </w:rPr>
        <w:t>结果</w:t>
      </w:r>
      <w:bookmarkEnd w:id="173"/>
      <w:bookmarkEnd w:id="174"/>
    </w:p>
    <w:p w14:paraId="1BC6F94C" w14:textId="77777777" w:rsidR="009219A0" w:rsidRDefault="009219A0">
      <w:pPr>
        <w:ind w:firstLine="560"/>
        <w:rPr>
          <w:color w:val="auto"/>
        </w:rPr>
      </w:pPr>
    </w:p>
    <w:p w14:paraId="3B569AC6" w14:textId="77777777" w:rsidR="009219A0" w:rsidRDefault="00000000">
      <w:pPr>
        <w:pStyle w:val="2"/>
        <w:rPr>
          <w:rFonts w:hint="eastAsia"/>
        </w:rPr>
      </w:pPr>
      <w:bookmarkStart w:id="175" w:name="_Toc247620204"/>
      <w:bookmarkStart w:id="176" w:name="_Toc503269892"/>
      <w:bookmarkStart w:id="177" w:name="_Toc165281457"/>
      <w:bookmarkStart w:id="178" w:name="_Toc211950459"/>
      <w:r>
        <w:rPr>
          <w:rFonts w:hint="eastAsia"/>
        </w:rPr>
        <w:t>6.1</w:t>
      </w:r>
      <w:bookmarkEnd w:id="175"/>
      <w:r>
        <w:rPr>
          <w:rFonts w:hint="eastAsia"/>
        </w:rPr>
        <w:t xml:space="preserve"> 厂址和总平面布置单元评价</w:t>
      </w:r>
      <w:bookmarkEnd w:id="176"/>
      <w:bookmarkEnd w:id="177"/>
      <w:bookmarkEnd w:id="178"/>
    </w:p>
    <w:p w14:paraId="047C6052" w14:textId="77777777" w:rsidR="009219A0" w:rsidRDefault="00000000">
      <w:pPr>
        <w:pStyle w:val="3"/>
        <w:rPr>
          <w:rFonts w:cs="宋体" w:hint="eastAsia"/>
        </w:rPr>
      </w:pPr>
      <w:bookmarkStart w:id="179" w:name="_Toc211950460"/>
      <w:bookmarkStart w:id="180" w:name="_Toc503269894"/>
      <w:r>
        <w:rPr>
          <w:rFonts w:hint="eastAsia"/>
        </w:rPr>
        <w:t>6.1.1 厂址和总平面布置单元评价结果</w:t>
      </w:r>
      <w:bookmarkEnd w:id="179"/>
    </w:p>
    <w:p w14:paraId="3287DAB8" w14:textId="77777777" w:rsidR="009219A0" w:rsidRDefault="00000000">
      <w:pPr>
        <w:ind w:firstLine="560"/>
        <w:rPr>
          <w:color w:val="auto"/>
        </w:rPr>
      </w:pPr>
      <w:r>
        <w:rPr>
          <w:rFonts w:hint="eastAsia"/>
          <w:color w:val="auto"/>
        </w:rPr>
        <w:t>本节通过采用安全检查表评价，</w:t>
      </w:r>
      <w:proofErr w:type="gramStart"/>
      <w:r>
        <w:rPr>
          <w:rFonts w:hint="eastAsia"/>
          <w:color w:val="auto"/>
        </w:rPr>
        <w:t>对创源公司</w:t>
      </w:r>
      <w:proofErr w:type="gramEnd"/>
      <w:r>
        <w:rPr>
          <w:rFonts w:hint="eastAsia"/>
          <w:color w:val="auto"/>
        </w:rPr>
        <w:t>周边环境、总平面布置进行检查评价。</w:t>
      </w:r>
      <w:proofErr w:type="gramStart"/>
      <w:r>
        <w:rPr>
          <w:rFonts w:hint="eastAsia"/>
          <w:color w:val="auto"/>
        </w:rPr>
        <w:t>创源公司</w:t>
      </w:r>
      <w:proofErr w:type="gramEnd"/>
      <w:r>
        <w:rPr>
          <w:rFonts w:hint="eastAsia"/>
          <w:color w:val="auto"/>
        </w:rPr>
        <w:t>周围无重点生态保护区，内部按功能分区，布置合理，装置均位于厂房内部，项目与周边建筑之间的防火距离符合规范和标准要求。</w:t>
      </w:r>
    </w:p>
    <w:p w14:paraId="20DE8FC6" w14:textId="77777777" w:rsidR="009219A0" w:rsidRDefault="00000000">
      <w:pPr>
        <w:ind w:firstLine="560"/>
        <w:rPr>
          <w:color w:val="auto"/>
        </w:rPr>
      </w:pPr>
      <w:proofErr w:type="gramStart"/>
      <w:r>
        <w:rPr>
          <w:rFonts w:hint="eastAsia"/>
          <w:color w:val="auto"/>
        </w:rPr>
        <w:t>创源公司</w:t>
      </w:r>
      <w:proofErr w:type="gramEnd"/>
      <w:r>
        <w:rPr>
          <w:rFonts w:hint="eastAsia"/>
          <w:color w:val="auto"/>
        </w:rPr>
        <w:t>区域周边范围内无重点文物保护单位，不属于风景名胜区、水源保护区、自然保护区，无需要特殊保护的动、植物资源。项目与周边建筑或设施的防火距离符合规范和标准要求；设有通道，能保证物资运输、安全操作及疏散方便。项目总平面布置满足《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）等规范的要求。</w:t>
      </w:r>
    </w:p>
    <w:p w14:paraId="153E6AFC" w14:textId="77777777" w:rsidR="009219A0" w:rsidRDefault="00000000">
      <w:pPr>
        <w:pStyle w:val="3"/>
        <w:rPr>
          <w:rFonts w:cs="宋体" w:hint="eastAsia"/>
        </w:rPr>
      </w:pPr>
      <w:bookmarkStart w:id="181" w:name="_Toc211950461"/>
      <w:r>
        <w:rPr>
          <w:rFonts w:hint="eastAsia"/>
        </w:rPr>
        <w:t>6.1.2 厂内建构筑物与周边建筑物距离检查评价结果</w:t>
      </w:r>
      <w:bookmarkEnd w:id="181"/>
    </w:p>
    <w:p w14:paraId="169B0709" w14:textId="77777777" w:rsidR="009219A0" w:rsidRDefault="00000000">
      <w:pPr>
        <w:ind w:firstLine="560"/>
        <w:rPr>
          <w:color w:val="auto"/>
        </w:rPr>
      </w:pPr>
      <w:r>
        <w:rPr>
          <w:rFonts w:hint="eastAsia"/>
          <w:color w:val="auto"/>
        </w:rPr>
        <w:t>根据表</w:t>
      </w:r>
      <w:r>
        <w:rPr>
          <w:rFonts w:hint="eastAsia"/>
          <w:color w:val="auto"/>
        </w:rPr>
        <w:t>5.1-2</w:t>
      </w:r>
      <w:r>
        <w:rPr>
          <w:rFonts w:hint="eastAsia"/>
          <w:color w:val="auto"/>
        </w:rPr>
        <w:t>本项目总平面布置满足《建筑设计防火规范（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）的要求。当项目内发生事故时，对周边居民生活不会产生影响，外部居住区居民的正常生活对其生产不会产生影响。</w:t>
      </w:r>
    </w:p>
    <w:p w14:paraId="5469B4AB" w14:textId="77777777" w:rsidR="009219A0" w:rsidRDefault="00000000">
      <w:pPr>
        <w:pStyle w:val="3"/>
        <w:rPr>
          <w:rFonts w:cs="宋体" w:hint="eastAsia"/>
        </w:rPr>
      </w:pPr>
      <w:bookmarkStart w:id="182" w:name="_Toc211950462"/>
      <w:r>
        <w:rPr>
          <w:rFonts w:hint="eastAsia"/>
        </w:rPr>
        <w:t>6.1.3 项目所在地的自然条件对项目生产的影响分析评价结果</w:t>
      </w:r>
      <w:bookmarkEnd w:id="180"/>
      <w:bookmarkEnd w:id="182"/>
    </w:p>
    <w:p w14:paraId="7644DA23" w14:textId="77777777" w:rsidR="009219A0" w:rsidRDefault="00000000">
      <w:pPr>
        <w:ind w:firstLine="560"/>
        <w:rPr>
          <w:color w:val="auto"/>
        </w:rPr>
      </w:pPr>
      <w:bookmarkStart w:id="183" w:name="_Toc472693308"/>
      <w:bookmarkStart w:id="184" w:name="_Toc503269895"/>
      <w:r>
        <w:rPr>
          <w:color w:val="auto"/>
          <w:lang w:val="zh-CN"/>
        </w:rPr>
        <w:t>项目所在地的自然条件对该建设项目的影响在可接受和</w:t>
      </w:r>
      <w:proofErr w:type="gramStart"/>
      <w:r>
        <w:rPr>
          <w:color w:val="auto"/>
          <w:lang w:val="zh-CN"/>
        </w:rPr>
        <w:t>可</w:t>
      </w:r>
      <w:proofErr w:type="gramEnd"/>
      <w:r>
        <w:rPr>
          <w:color w:val="auto"/>
          <w:lang w:val="zh-CN"/>
        </w:rPr>
        <w:t>控制的范围内，没有发现重大不利安全影响。</w:t>
      </w:r>
    </w:p>
    <w:p w14:paraId="4A715EA2" w14:textId="77777777" w:rsidR="009219A0" w:rsidRDefault="00000000">
      <w:pPr>
        <w:pStyle w:val="2"/>
        <w:rPr>
          <w:rFonts w:hint="eastAsia"/>
        </w:rPr>
      </w:pPr>
      <w:bookmarkStart w:id="185" w:name="_Toc165281458"/>
      <w:bookmarkStart w:id="186" w:name="_Toc211950463"/>
      <w:r>
        <w:rPr>
          <w:rFonts w:hint="eastAsia"/>
        </w:rPr>
        <w:t>6.2 生产工艺及设备设施单元评价</w:t>
      </w:r>
      <w:bookmarkEnd w:id="183"/>
      <w:bookmarkEnd w:id="184"/>
      <w:r>
        <w:rPr>
          <w:rFonts w:hint="eastAsia"/>
        </w:rPr>
        <w:t>结果</w:t>
      </w:r>
      <w:bookmarkEnd w:id="185"/>
      <w:bookmarkEnd w:id="186"/>
    </w:p>
    <w:p w14:paraId="7A4858AC" w14:textId="77777777" w:rsidR="009219A0" w:rsidRDefault="00000000">
      <w:pPr>
        <w:ind w:firstLine="560"/>
        <w:rPr>
          <w:color w:val="auto"/>
        </w:rPr>
      </w:pPr>
      <w:bookmarkStart w:id="187" w:name="_Hlk68538508"/>
      <w:r>
        <w:rPr>
          <w:rFonts w:hint="eastAsia"/>
          <w:color w:val="auto"/>
        </w:rPr>
        <w:t>项目工艺、设备为国内传统工艺、设备生产，不属于国家明令禁止使用或淘汰的。生产设备为正规厂家生产，生产设施、设备安全维护符合相关要求，生产工艺过程及作业场所符合相关安全规范。</w:t>
      </w:r>
    </w:p>
    <w:p w14:paraId="447EA6EF" w14:textId="77777777" w:rsidR="009219A0" w:rsidRDefault="00000000">
      <w:pPr>
        <w:pStyle w:val="2"/>
        <w:rPr>
          <w:rFonts w:hint="eastAsia"/>
        </w:rPr>
      </w:pPr>
      <w:bookmarkStart w:id="188" w:name="_Toc464803665"/>
      <w:bookmarkStart w:id="189" w:name="_Toc247620209"/>
      <w:bookmarkStart w:id="190" w:name="_Toc165281459"/>
      <w:bookmarkStart w:id="191" w:name="_Toc531615485"/>
      <w:bookmarkStart w:id="192" w:name="_Toc211950464"/>
      <w:bookmarkStart w:id="193" w:name="_Toc503269901"/>
      <w:bookmarkStart w:id="194" w:name="_Hlk68539068"/>
      <w:bookmarkEnd w:id="187"/>
      <w:r>
        <w:rPr>
          <w:rFonts w:hint="eastAsia"/>
        </w:rPr>
        <w:lastRenderedPageBreak/>
        <w:t>6.3 公用工程及辅助设施单元评价</w:t>
      </w:r>
      <w:bookmarkEnd w:id="188"/>
      <w:bookmarkEnd w:id="189"/>
      <w:bookmarkEnd w:id="190"/>
      <w:bookmarkEnd w:id="191"/>
      <w:bookmarkEnd w:id="192"/>
      <w:bookmarkEnd w:id="193"/>
    </w:p>
    <w:p w14:paraId="49D700C1" w14:textId="77777777" w:rsidR="009219A0" w:rsidRDefault="00000000">
      <w:pPr>
        <w:pStyle w:val="3"/>
        <w:rPr>
          <w:rFonts w:hint="eastAsia"/>
        </w:rPr>
      </w:pPr>
      <w:bookmarkStart w:id="195" w:name="_Toc211950465"/>
      <w:bookmarkStart w:id="196" w:name="_Toc464803666"/>
      <w:bookmarkStart w:id="197" w:name="_Toc503269902"/>
      <w:r>
        <w:rPr>
          <w:rFonts w:hint="eastAsia"/>
        </w:rPr>
        <w:t>6.3.1 供配电系统安全评价</w:t>
      </w:r>
      <w:bookmarkEnd w:id="195"/>
      <w:bookmarkEnd w:id="196"/>
      <w:bookmarkEnd w:id="197"/>
    </w:p>
    <w:p w14:paraId="5844D576" w14:textId="77777777" w:rsidR="009219A0" w:rsidRDefault="00000000">
      <w:pPr>
        <w:ind w:firstLine="560"/>
        <w:rPr>
          <w:color w:val="auto"/>
        </w:rPr>
      </w:pPr>
      <w:r>
        <w:rPr>
          <w:rFonts w:hint="eastAsia"/>
          <w:color w:val="auto"/>
        </w:rPr>
        <w:t>根据《低压配电设计规范》（</w:t>
      </w:r>
      <w:r>
        <w:rPr>
          <w:rFonts w:hint="eastAsia"/>
          <w:color w:val="auto"/>
        </w:rPr>
        <w:t>GB 50054-2011</w:t>
      </w:r>
      <w:r>
        <w:rPr>
          <w:rFonts w:hint="eastAsia"/>
          <w:color w:val="auto"/>
        </w:rPr>
        <w:t>）、《供配电系统设计规范》（</w:t>
      </w:r>
      <w:r>
        <w:rPr>
          <w:rFonts w:hint="eastAsia"/>
          <w:color w:val="auto"/>
        </w:rPr>
        <w:t>GB 50052-2009</w:t>
      </w:r>
      <w:r>
        <w:rPr>
          <w:rFonts w:hint="eastAsia"/>
          <w:color w:val="auto"/>
        </w:rPr>
        <w:t>）等标准、规范的要求，对项目供配电系统进行分析评价，检查表见附件</w:t>
      </w:r>
      <w:r>
        <w:rPr>
          <w:rFonts w:hint="eastAsia"/>
          <w:color w:val="auto"/>
        </w:rPr>
        <w:t>5.3.1</w:t>
      </w:r>
      <w:r>
        <w:rPr>
          <w:rFonts w:hint="eastAsia"/>
          <w:color w:val="auto"/>
        </w:rPr>
        <w:t>节，项目供电有保障、用电装置配置符合要求。</w:t>
      </w:r>
      <w:bookmarkStart w:id="198" w:name="_Toc503269903"/>
      <w:bookmarkStart w:id="199" w:name="_Toc13802"/>
    </w:p>
    <w:p w14:paraId="63BDF88A" w14:textId="77777777" w:rsidR="009219A0" w:rsidRDefault="00000000">
      <w:pPr>
        <w:pStyle w:val="3"/>
        <w:rPr>
          <w:rFonts w:hint="eastAsia"/>
        </w:rPr>
      </w:pPr>
      <w:bookmarkStart w:id="200" w:name="_Toc211950466"/>
      <w:r>
        <w:rPr>
          <w:rFonts w:hint="eastAsia"/>
        </w:rPr>
        <w:t>6.3.2 消防系统安全评价</w:t>
      </w:r>
      <w:bookmarkEnd w:id="198"/>
      <w:bookmarkEnd w:id="199"/>
      <w:bookmarkEnd w:id="200"/>
    </w:p>
    <w:p w14:paraId="09F4BCD3" w14:textId="77777777" w:rsidR="009219A0" w:rsidRDefault="00000000">
      <w:pPr>
        <w:ind w:firstLine="560"/>
        <w:rPr>
          <w:color w:val="auto"/>
        </w:rPr>
      </w:pPr>
      <w:r>
        <w:rPr>
          <w:rFonts w:hint="eastAsia"/>
          <w:color w:val="auto"/>
        </w:rPr>
        <w:t>根据《中华人民共和国消防法（</w:t>
      </w:r>
      <w:r>
        <w:rPr>
          <w:rFonts w:hint="eastAsia"/>
          <w:color w:val="auto"/>
        </w:rPr>
        <w:t>2021</w:t>
      </w:r>
      <w:r>
        <w:rPr>
          <w:rFonts w:hint="eastAsia"/>
          <w:color w:val="auto"/>
        </w:rPr>
        <w:t>）》（中华人民共和国主席令第</w:t>
      </w:r>
      <w:r>
        <w:rPr>
          <w:rFonts w:hint="eastAsia"/>
          <w:color w:val="auto"/>
        </w:rPr>
        <w:t>81</w:t>
      </w:r>
      <w:r>
        <w:rPr>
          <w:rFonts w:hint="eastAsia"/>
          <w:color w:val="auto"/>
        </w:rPr>
        <w:t>号，</w:t>
      </w:r>
      <w:r>
        <w:rPr>
          <w:rFonts w:hint="eastAsia"/>
          <w:color w:val="auto"/>
        </w:rPr>
        <w:t>2021</w:t>
      </w:r>
      <w:r>
        <w:rPr>
          <w:rFonts w:hint="eastAsia"/>
          <w:color w:val="auto"/>
        </w:rPr>
        <w:t>年</w:t>
      </w:r>
      <w:r>
        <w:rPr>
          <w:rFonts w:hint="eastAsia"/>
          <w:color w:val="auto"/>
        </w:rPr>
        <w:t>4</w:t>
      </w:r>
      <w:r>
        <w:rPr>
          <w:rFonts w:hint="eastAsia"/>
          <w:color w:val="auto"/>
        </w:rPr>
        <w:t>月</w:t>
      </w:r>
      <w:r>
        <w:rPr>
          <w:rFonts w:hint="eastAsia"/>
          <w:color w:val="auto"/>
        </w:rPr>
        <w:t>29</w:t>
      </w:r>
      <w:r>
        <w:rPr>
          <w:rFonts w:hint="eastAsia"/>
          <w:color w:val="auto"/>
        </w:rPr>
        <w:t>日施行）、《建筑灭火器设计配置规范》（</w:t>
      </w:r>
      <w:r>
        <w:rPr>
          <w:rFonts w:hint="eastAsia"/>
          <w:color w:val="auto"/>
        </w:rPr>
        <w:t>GB 50140-2005</w:t>
      </w:r>
      <w:r>
        <w:rPr>
          <w:rFonts w:hint="eastAsia"/>
          <w:color w:val="auto"/>
        </w:rPr>
        <w:t>）、《建筑设计防火规范（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）等标准、规范的要求，对项目消防设施进行分析评价，检查表见附件</w:t>
      </w:r>
      <w:r>
        <w:rPr>
          <w:rFonts w:hint="eastAsia"/>
          <w:color w:val="auto"/>
        </w:rPr>
        <w:t>5.3.2</w:t>
      </w:r>
      <w:r>
        <w:rPr>
          <w:rFonts w:hint="eastAsia"/>
          <w:color w:val="auto"/>
        </w:rPr>
        <w:t>节，消防设施设置符合国家标准和规范要求，</w:t>
      </w:r>
      <w:r>
        <w:rPr>
          <w:color w:val="auto"/>
          <w:szCs w:val="28"/>
        </w:rPr>
        <w:t>能够满足项目安全</w:t>
      </w:r>
      <w:r>
        <w:rPr>
          <w:rFonts w:hint="eastAsia"/>
          <w:color w:val="auto"/>
          <w:szCs w:val="28"/>
        </w:rPr>
        <w:t>生产</w:t>
      </w:r>
      <w:r>
        <w:rPr>
          <w:color w:val="auto"/>
          <w:szCs w:val="28"/>
        </w:rPr>
        <w:t>所需条件</w:t>
      </w:r>
      <w:r>
        <w:rPr>
          <w:rFonts w:hint="eastAsia"/>
          <w:color w:val="auto"/>
        </w:rPr>
        <w:t>。</w:t>
      </w:r>
    </w:p>
    <w:p w14:paraId="0CFC9358" w14:textId="77777777" w:rsidR="009219A0" w:rsidRDefault="00000000">
      <w:pPr>
        <w:pStyle w:val="2"/>
        <w:rPr>
          <w:rFonts w:hint="eastAsia"/>
        </w:rPr>
      </w:pPr>
      <w:bookmarkStart w:id="201" w:name="_Toc503269906"/>
      <w:bookmarkStart w:id="202" w:name="_Toc211950467"/>
      <w:bookmarkStart w:id="203" w:name="_Toc165281460"/>
      <w:bookmarkStart w:id="204" w:name="_Toc503269908"/>
      <w:bookmarkStart w:id="205" w:name="_Toc496104985"/>
      <w:r>
        <w:rPr>
          <w:rFonts w:hint="eastAsia"/>
        </w:rPr>
        <w:t>6.4 安全管理及应急救援单元</w:t>
      </w:r>
      <w:bookmarkEnd w:id="201"/>
      <w:r>
        <w:rPr>
          <w:rFonts w:hint="eastAsia"/>
        </w:rPr>
        <w:t>结果</w:t>
      </w:r>
      <w:bookmarkEnd w:id="202"/>
      <w:bookmarkEnd w:id="203"/>
    </w:p>
    <w:p w14:paraId="50AD3C48" w14:textId="77777777" w:rsidR="009219A0" w:rsidRDefault="00000000">
      <w:pPr>
        <w:ind w:firstLine="560"/>
        <w:rPr>
          <w:color w:val="auto"/>
        </w:rPr>
      </w:pPr>
      <w:bookmarkStart w:id="206" w:name="_Toc503269907"/>
      <w:bookmarkStart w:id="207" w:name="_Toc496104984"/>
      <w:r>
        <w:rPr>
          <w:rFonts w:hint="eastAsia"/>
          <w:color w:val="auto"/>
        </w:rPr>
        <w:t>根据</w:t>
      </w:r>
      <w:r>
        <w:rPr>
          <w:rFonts w:hint="eastAsia"/>
          <w:color w:val="auto"/>
          <w:szCs w:val="28"/>
        </w:rPr>
        <w:t>《中华人民共和国安全生产法》、</w:t>
      </w:r>
      <w:r>
        <w:rPr>
          <w:rFonts w:hint="eastAsia"/>
          <w:color w:val="auto"/>
        </w:rPr>
        <w:t>《生产安全事故应急条例》（国务院令第</w:t>
      </w:r>
      <w:r>
        <w:rPr>
          <w:rFonts w:hint="eastAsia"/>
          <w:color w:val="auto"/>
        </w:rPr>
        <w:t>708</w:t>
      </w:r>
      <w:r>
        <w:rPr>
          <w:rFonts w:hint="eastAsia"/>
          <w:color w:val="auto"/>
        </w:rPr>
        <w:t>号）、《生产安全事故应急预案管理办法》（</w:t>
      </w:r>
      <w:r>
        <w:rPr>
          <w:rFonts w:hint="eastAsia"/>
          <w:color w:val="auto"/>
        </w:rPr>
        <w:t>2019</w:t>
      </w:r>
      <w:r>
        <w:rPr>
          <w:rFonts w:hint="eastAsia"/>
          <w:color w:val="auto"/>
        </w:rPr>
        <w:t>年</w:t>
      </w:r>
      <w:r>
        <w:rPr>
          <w:rFonts w:hint="eastAsia"/>
          <w:color w:val="auto"/>
        </w:rPr>
        <w:t>7</w:t>
      </w:r>
      <w:r>
        <w:rPr>
          <w:rFonts w:hint="eastAsia"/>
          <w:color w:val="auto"/>
        </w:rPr>
        <w:t>月</w:t>
      </w:r>
      <w:r>
        <w:rPr>
          <w:rFonts w:hint="eastAsia"/>
          <w:color w:val="auto"/>
        </w:rPr>
        <w:t>11</w:t>
      </w:r>
      <w:r>
        <w:rPr>
          <w:rFonts w:hint="eastAsia"/>
          <w:color w:val="auto"/>
        </w:rPr>
        <w:t>日应急管理部令第</w:t>
      </w:r>
      <w:r>
        <w:rPr>
          <w:rFonts w:hint="eastAsia"/>
          <w:color w:val="auto"/>
        </w:rPr>
        <w:t>2</w:t>
      </w:r>
      <w:r>
        <w:rPr>
          <w:rFonts w:hint="eastAsia"/>
          <w:color w:val="auto"/>
        </w:rPr>
        <w:t>号令修订）、《生产经营单位生产安全事故应急预案编制导则》（</w:t>
      </w:r>
      <w:r>
        <w:rPr>
          <w:rFonts w:hint="eastAsia"/>
          <w:color w:val="auto"/>
        </w:rPr>
        <w:t>GB/T 29639-2020</w:t>
      </w:r>
      <w:r>
        <w:rPr>
          <w:rFonts w:hint="eastAsia"/>
          <w:color w:val="auto"/>
        </w:rPr>
        <w:t>）等标准、规范的要求，对项目安全管理和应急救援预案进行分析评价，项目</w:t>
      </w:r>
      <w:proofErr w:type="gramStart"/>
      <w:r>
        <w:rPr>
          <w:rFonts w:hint="eastAsia"/>
          <w:color w:val="auto"/>
        </w:rPr>
        <w:t>依托创源公司</w:t>
      </w:r>
      <w:proofErr w:type="gramEnd"/>
      <w:r>
        <w:rPr>
          <w:rFonts w:hint="eastAsia"/>
          <w:color w:val="auto"/>
        </w:rPr>
        <w:t>原有安全管理机构及人员进行安全管理，</w:t>
      </w:r>
      <w:proofErr w:type="gramStart"/>
      <w:r>
        <w:rPr>
          <w:rFonts w:hint="eastAsia"/>
          <w:color w:val="auto"/>
        </w:rPr>
        <w:t>创源公司</w:t>
      </w:r>
      <w:proofErr w:type="gramEnd"/>
      <w:r>
        <w:rPr>
          <w:rFonts w:hint="eastAsia"/>
          <w:color w:val="auto"/>
        </w:rPr>
        <w:t>主要负责人、安全管理人员经过培训，持证上岗；公司为从业人员配备有劳动防护用品；建立了安全生产责任制、安全管理制度、安全操作规程，编制了安全生产应急预案并到应急管局备案；配备了相应急器材及设施，并定期组织演练。</w:t>
      </w:r>
    </w:p>
    <w:p w14:paraId="20EE8188" w14:textId="77777777" w:rsidR="009219A0" w:rsidRDefault="00000000">
      <w:pPr>
        <w:pStyle w:val="2"/>
        <w:rPr>
          <w:rFonts w:hint="eastAsia"/>
        </w:rPr>
      </w:pPr>
      <w:bookmarkStart w:id="208" w:name="_Toc165281461"/>
      <w:bookmarkStart w:id="209" w:name="_Toc211950468"/>
      <w:r>
        <w:rPr>
          <w:rFonts w:hint="eastAsia"/>
        </w:rPr>
        <w:t>6.5 重大安全隐患判定符合性分析结果</w:t>
      </w:r>
      <w:bookmarkEnd w:id="208"/>
      <w:bookmarkEnd w:id="209"/>
    </w:p>
    <w:p w14:paraId="78EBFD0B" w14:textId="77777777" w:rsidR="009219A0" w:rsidRDefault="00000000">
      <w:pPr>
        <w:ind w:firstLine="560"/>
        <w:rPr>
          <w:color w:val="auto"/>
        </w:rPr>
      </w:pPr>
      <w:r>
        <w:rPr>
          <w:rFonts w:hint="eastAsia"/>
          <w:color w:val="auto"/>
        </w:rPr>
        <w:t>由检查表可知，本项目均不涉及《工贸企业重大事故隐患判定标准》（中华人民共和国应急管理部令第</w:t>
      </w:r>
      <w:r>
        <w:rPr>
          <w:rFonts w:hint="eastAsia"/>
          <w:color w:val="auto"/>
        </w:rPr>
        <w:t>10</w:t>
      </w:r>
      <w:r>
        <w:rPr>
          <w:rFonts w:hint="eastAsia"/>
          <w:color w:val="auto"/>
        </w:rPr>
        <w:t>号）中的重大隐患。</w:t>
      </w:r>
    </w:p>
    <w:p w14:paraId="10578982" w14:textId="77777777" w:rsidR="009219A0" w:rsidRDefault="009219A0">
      <w:pPr>
        <w:pStyle w:val="Default1"/>
        <w:rPr>
          <w:rFonts w:hint="default"/>
          <w:color w:val="auto"/>
        </w:rPr>
        <w:sectPr w:rsidR="009219A0">
          <w:headerReference w:type="default" r:id="rId47"/>
          <w:footerReference w:type="default" r:id="rId48"/>
          <w:pgSz w:w="11906" w:h="16838"/>
          <w:pgMar w:top="1418" w:right="1418" w:bottom="1588" w:left="1418" w:header="851" w:footer="992" w:gutter="0"/>
          <w:pgNumType w:start="1"/>
          <w:cols w:space="425"/>
          <w:docGrid w:linePitch="312"/>
        </w:sectPr>
      </w:pPr>
    </w:p>
    <w:p w14:paraId="0942F31B" w14:textId="77777777" w:rsidR="009219A0" w:rsidRDefault="00000000">
      <w:pPr>
        <w:pStyle w:val="1"/>
        <w:keepNext w:val="0"/>
        <w:keepLines w:val="0"/>
        <w:ind w:left="2694"/>
        <w:jc w:val="both"/>
        <w:textAlignment w:val="center"/>
        <w:rPr>
          <w:rFonts w:ascii="宋体" w:hAnsi="宋体" w:hint="eastAsia"/>
          <w:b/>
          <w:bCs w:val="0"/>
          <w:color w:val="auto"/>
          <w:szCs w:val="20"/>
        </w:rPr>
      </w:pPr>
      <w:bookmarkStart w:id="211" w:name="_Toc211950469"/>
      <w:bookmarkStart w:id="212" w:name="_Hlk71636233"/>
      <w:bookmarkStart w:id="213" w:name="_Toc165281462"/>
      <w:r>
        <w:rPr>
          <w:rFonts w:ascii="宋体" w:hAnsi="宋体" w:hint="eastAsia"/>
          <w:b/>
          <w:bCs w:val="0"/>
          <w:color w:val="auto"/>
          <w:szCs w:val="20"/>
        </w:rPr>
        <w:lastRenderedPageBreak/>
        <w:t>7  存在问题及整改措施</w:t>
      </w:r>
      <w:bookmarkEnd w:id="211"/>
      <w:bookmarkEnd w:id="212"/>
      <w:bookmarkEnd w:id="213"/>
    </w:p>
    <w:p w14:paraId="68751318" w14:textId="77777777" w:rsidR="009219A0" w:rsidRDefault="009219A0">
      <w:pPr>
        <w:ind w:firstLine="560"/>
        <w:rPr>
          <w:color w:val="auto"/>
        </w:rPr>
      </w:pPr>
    </w:p>
    <w:p w14:paraId="6E6A7A13" w14:textId="77777777" w:rsidR="009219A0" w:rsidRDefault="00000000">
      <w:pPr>
        <w:pStyle w:val="2"/>
        <w:rPr>
          <w:rFonts w:hint="eastAsia"/>
        </w:rPr>
      </w:pPr>
      <w:bookmarkStart w:id="214" w:name="_Toc211950470"/>
      <w:bookmarkStart w:id="215" w:name="_Toc165281463"/>
      <w:bookmarkStart w:id="216" w:name="_Toc464803681"/>
      <w:bookmarkStart w:id="217" w:name="_Toc503269910"/>
      <w:r>
        <w:rPr>
          <w:rFonts w:hint="eastAsia"/>
        </w:rPr>
        <w:t>7.1 存在的问题</w:t>
      </w:r>
      <w:bookmarkEnd w:id="214"/>
      <w:bookmarkEnd w:id="215"/>
    </w:p>
    <w:p w14:paraId="05DA1C7F" w14:textId="77777777" w:rsidR="009219A0" w:rsidRDefault="00000000">
      <w:pPr>
        <w:ind w:firstLine="560"/>
        <w:rPr>
          <w:rFonts w:ascii="宋体" w:hAnsi="宋体" w:hint="eastAsia"/>
          <w:color w:val="auto"/>
        </w:rPr>
      </w:pPr>
      <w:r>
        <w:rPr>
          <w:rFonts w:hint="eastAsia"/>
          <w:color w:val="auto"/>
        </w:rPr>
        <w:t>昭通市</w:t>
      </w:r>
      <w:proofErr w:type="gramStart"/>
      <w:r>
        <w:rPr>
          <w:rFonts w:hint="eastAsia"/>
          <w:color w:val="auto"/>
        </w:rPr>
        <w:t>鼎安科技</w:t>
      </w:r>
      <w:proofErr w:type="gramEnd"/>
      <w:r>
        <w:rPr>
          <w:rFonts w:hint="eastAsia"/>
          <w:color w:val="auto"/>
        </w:rPr>
        <w:t>有限公司</w:t>
      </w:r>
      <w:r>
        <w:rPr>
          <w:color w:val="auto"/>
        </w:rPr>
        <w:t>项目组到进行现场检查时以及在该报告编写过程中，发现该项目存在以下问题见下表</w:t>
      </w:r>
      <w:r>
        <w:rPr>
          <w:rFonts w:ascii="宋体" w:hAnsi="宋体" w:hint="eastAsia"/>
          <w:color w:val="auto"/>
        </w:rPr>
        <w:t>7.1-1</w:t>
      </w:r>
      <w:r>
        <w:rPr>
          <w:rFonts w:ascii="宋体" w:hAnsi="宋体"/>
          <w:color w:val="auto"/>
        </w:rPr>
        <w:t>：</w:t>
      </w:r>
    </w:p>
    <w:p w14:paraId="1B83F5B4" w14:textId="77777777" w:rsidR="009219A0" w:rsidRDefault="00000000">
      <w:pPr>
        <w:ind w:firstLineChars="0" w:firstLine="0"/>
        <w:jc w:val="center"/>
        <w:rPr>
          <w:color w:val="auto"/>
        </w:rPr>
      </w:pPr>
      <w:r>
        <w:rPr>
          <w:rFonts w:ascii="宋体" w:hAnsi="宋体"/>
          <w:color w:val="auto"/>
        </w:rPr>
        <w:t>表</w:t>
      </w:r>
      <w:r>
        <w:rPr>
          <w:rFonts w:ascii="宋体" w:hAnsi="宋体" w:hint="eastAsia"/>
          <w:color w:val="auto"/>
        </w:rPr>
        <w:t>7</w:t>
      </w:r>
      <w:r>
        <w:rPr>
          <w:rFonts w:ascii="宋体" w:hAnsi="宋体"/>
          <w:color w:val="auto"/>
        </w:rPr>
        <w:t>.1-1  现场存</w:t>
      </w:r>
      <w:r>
        <w:rPr>
          <w:color w:val="auto"/>
        </w:rPr>
        <w:t>在问题</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790"/>
        <w:gridCol w:w="2572"/>
      </w:tblGrid>
      <w:tr w:rsidR="009219A0" w14:paraId="0172BA40" w14:textId="77777777">
        <w:trPr>
          <w:cantSplit/>
          <w:trHeight w:val="340"/>
          <w:jc w:val="center"/>
        </w:trPr>
        <w:tc>
          <w:tcPr>
            <w:tcW w:w="710" w:type="dxa"/>
            <w:vAlign w:val="center"/>
          </w:tcPr>
          <w:p w14:paraId="3075AB65" w14:textId="77777777" w:rsidR="009219A0" w:rsidRDefault="00000000">
            <w:pPr>
              <w:adjustRightInd/>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序号</w:t>
            </w:r>
          </w:p>
        </w:tc>
        <w:tc>
          <w:tcPr>
            <w:tcW w:w="5790" w:type="dxa"/>
            <w:vAlign w:val="center"/>
          </w:tcPr>
          <w:p w14:paraId="2D3D1397" w14:textId="77777777" w:rsidR="009219A0" w:rsidRDefault="00000000">
            <w:pPr>
              <w:adjustRightInd/>
              <w:spacing w:line="240" w:lineRule="auto"/>
              <w:ind w:firstLineChars="0" w:firstLine="0"/>
              <w:jc w:val="center"/>
              <w:rPr>
                <w:rFonts w:ascii="宋体" w:hAnsi="宋体" w:hint="eastAsia"/>
                <w:b/>
                <w:color w:val="auto"/>
                <w:sz w:val="21"/>
                <w:szCs w:val="21"/>
              </w:rPr>
            </w:pPr>
            <w:r>
              <w:rPr>
                <w:rFonts w:ascii="宋体" w:hAnsi="宋体"/>
                <w:b/>
                <w:color w:val="auto"/>
                <w:sz w:val="21"/>
                <w:szCs w:val="21"/>
              </w:rPr>
              <w:t>存在问题</w:t>
            </w:r>
          </w:p>
        </w:tc>
        <w:tc>
          <w:tcPr>
            <w:tcW w:w="2572" w:type="dxa"/>
            <w:vAlign w:val="center"/>
          </w:tcPr>
          <w:p w14:paraId="1B254FCA" w14:textId="77777777" w:rsidR="009219A0" w:rsidRDefault="00000000">
            <w:pPr>
              <w:adjustRightInd/>
              <w:spacing w:line="240" w:lineRule="auto"/>
              <w:ind w:firstLineChars="0" w:firstLine="0"/>
              <w:jc w:val="center"/>
              <w:rPr>
                <w:rFonts w:ascii="宋体" w:hAnsi="宋体" w:hint="eastAsia"/>
                <w:b/>
                <w:color w:val="auto"/>
                <w:sz w:val="21"/>
                <w:szCs w:val="21"/>
              </w:rPr>
            </w:pPr>
            <w:r>
              <w:rPr>
                <w:rFonts w:ascii="宋体" w:hAnsi="宋体"/>
                <w:b/>
                <w:color w:val="auto"/>
                <w:sz w:val="21"/>
                <w:szCs w:val="21"/>
              </w:rPr>
              <w:t>备注</w:t>
            </w:r>
          </w:p>
        </w:tc>
      </w:tr>
      <w:tr w:rsidR="009219A0" w14:paraId="75F2E443" w14:textId="77777777">
        <w:trPr>
          <w:cantSplit/>
          <w:trHeight w:val="340"/>
          <w:jc w:val="center"/>
        </w:trPr>
        <w:tc>
          <w:tcPr>
            <w:tcW w:w="710" w:type="dxa"/>
            <w:vAlign w:val="center"/>
          </w:tcPr>
          <w:p w14:paraId="295FCFC4" w14:textId="77777777" w:rsidR="009219A0" w:rsidRDefault="00000000">
            <w:pPr>
              <w:adjustRightInd/>
              <w:spacing w:line="240" w:lineRule="auto"/>
              <w:ind w:firstLineChars="0" w:firstLine="0"/>
              <w:jc w:val="center"/>
              <w:rPr>
                <w:rFonts w:ascii="宋体" w:hAnsi="宋体" w:hint="eastAsia"/>
                <w:color w:val="auto"/>
                <w:sz w:val="21"/>
                <w:szCs w:val="21"/>
              </w:rPr>
            </w:pPr>
            <w:r>
              <w:rPr>
                <w:rFonts w:ascii="宋体" w:hAnsi="宋体"/>
                <w:color w:val="auto"/>
                <w:sz w:val="21"/>
                <w:szCs w:val="21"/>
              </w:rPr>
              <w:t>1</w:t>
            </w:r>
          </w:p>
        </w:tc>
        <w:tc>
          <w:tcPr>
            <w:tcW w:w="5790" w:type="dxa"/>
            <w:vAlign w:val="center"/>
          </w:tcPr>
          <w:p w14:paraId="5BB2539E"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现场转动机械设备处安全警示标志不足。</w:t>
            </w:r>
            <w:r>
              <w:rPr>
                <w:rFonts w:ascii="宋体" w:hAnsi="宋体"/>
                <w:color w:val="auto"/>
                <w:sz w:val="21"/>
                <w:szCs w:val="21"/>
              </w:rPr>
              <w:t xml:space="preserve"> </w:t>
            </w:r>
          </w:p>
        </w:tc>
        <w:tc>
          <w:tcPr>
            <w:tcW w:w="2572" w:type="dxa"/>
            <w:vAlign w:val="center"/>
          </w:tcPr>
          <w:p w14:paraId="633EA954" w14:textId="77777777" w:rsidR="009219A0" w:rsidRDefault="00000000">
            <w:pPr>
              <w:adjustRightInd/>
              <w:spacing w:line="240" w:lineRule="auto"/>
              <w:ind w:firstLineChars="0" w:firstLine="0"/>
              <w:jc w:val="center"/>
              <w:rPr>
                <w:rFonts w:ascii="宋体" w:hAnsi="宋体" w:hint="eastAsia"/>
                <w:color w:val="auto"/>
                <w:sz w:val="21"/>
                <w:szCs w:val="21"/>
              </w:rPr>
            </w:pPr>
            <w:r>
              <w:rPr>
                <w:rFonts w:ascii="宋体" w:hAnsi="宋体"/>
                <w:color w:val="auto"/>
                <w:sz w:val="21"/>
                <w:szCs w:val="21"/>
              </w:rPr>
              <w:t>已整改完成</w:t>
            </w:r>
          </w:p>
        </w:tc>
      </w:tr>
      <w:tr w:rsidR="009219A0" w14:paraId="159A0651" w14:textId="77777777">
        <w:trPr>
          <w:cantSplit/>
          <w:trHeight w:val="340"/>
          <w:jc w:val="center"/>
        </w:trPr>
        <w:tc>
          <w:tcPr>
            <w:tcW w:w="710" w:type="dxa"/>
            <w:vAlign w:val="center"/>
          </w:tcPr>
          <w:p w14:paraId="022BDC00" w14:textId="77777777" w:rsidR="009219A0" w:rsidRDefault="00000000">
            <w:pPr>
              <w:adjustRightIn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w:t>
            </w:r>
          </w:p>
        </w:tc>
        <w:tc>
          <w:tcPr>
            <w:tcW w:w="5790" w:type="dxa"/>
            <w:vAlign w:val="center"/>
          </w:tcPr>
          <w:p w14:paraId="67A390A3"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现场实验室内可能发生灼烫作业场所未设置“当心灼烫”安全警示标识。</w:t>
            </w:r>
          </w:p>
        </w:tc>
        <w:tc>
          <w:tcPr>
            <w:tcW w:w="2572" w:type="dxa"/>
            <w:vAlign w:val="center"/>
          </w:tcPr>
          <w:p w14:paraId="08F0B69B" w14:textId="77777777" w:rsidR="009219A0" w:rsidRDefault="00000000">
            <w:pPr>
              <w:adjustRightInd/>
              <w:spacing w:line="240" w:lineRule="auto"/>
              <w:ind w:firstLineChars="0" w:firstLine="0"/>
              <w:jc w:val="center"/>
              <w:rPr>
                <w:rFonts w:ascii="宋体" w:hAnsi="宋体" w:hint="eastAsia"/>
                <w:color w:val="auto"/>
                <w:sz w:val="21"/>
                <w:szCs w:val="21"/>
              </w:rPr>
            </w:pPr>
            <w:r>
              <w:rPr>
                <w:rFonts w:ascii="宋体" w:hAnsi="宋体"/>
                <w:color w:val="auto"/>
                <w:sz w:val="21"/>
                <w:szCs w:val="21"/>
              </w:rPr>
              <w:t>已整改完成</w:t>
            </w:r>
          </w:p>
        </w:tc>
      </w:tr>
      <w:tr w:rsidR="009219A0" w14:paraId="0F9862DD" w14:textId="77777777">
        <w:trPr>
          <w:cantSplit/>
          <w:trHeight w:val="340"/>
          <w:jc w:val="center"/>
        </w:trPr>
        <w:tc>
          <w:tcPr>
            <w:tcW w:w="710" w:type="dxa"/>
            <w:vAlign w:val="center"/>
          </w:tcPr>
          <w:p w14:paraId="50F11922" w14:textId="77777777" w:rsidR="009219A0" w:rsidRDefault="00000000">
            <w:pPr>
              <w:adjustRightIn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3</w:t>
            </w:r>
          </w:p>
        </w:tc>
        <w:tc>
          <w:tcPr>
            <w:tcW w:w="5790" w:type="dxa"/>
            <w:vAlign w:val="center"/>
          </w:tcPr>
          <w:p w14:paraId="4C5E00AC"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现场设备未进行标识，功能间未进行标识。</w:t>
            </w:r>
          </w:p>
        </w:tc>
        <w:tc>
          <w:tcPr>
            <w:tcW w:w="2572" w:type="dxa"/>
            <w:vAlign w:val="center"/>
          </w:tcPr>
          <w:p w14:paraId="4D4C9FB9" w14:textId="77777777" w:rsidR="009219A0" w:rsidRDefault="00000000">
            <w:pPr>
              <w:adjustRightInd/>
              <w:spacing w:line="240" w:lineRule="auto"/>
              <w:ind w:firstLineChars="0" w:firstLine="0"/>
              <w:jc w:val="center"/>
              <w:rPr>
                <w:rFonts w:ascii="宋体" w:hAnsi="宋体" w:hint="eastAsia"/>
                <w:color w:val="auto"/>
                <w:sz w:val="21"/>
                <w:szCs w:val="21"/>
              </w:rPr>
            </w:pPr>
            <w:r>
              <w:rPr>
                <w:rFonts w:ascii="宋体" w:hAnsi="宋体"/>
                <w:color w:val="auto"/>
                <w:sz w:val="21"/>
                <w:szCs w:val="21"/>
              </w:rPr>
              <w:t>已整改完成</w:t>
            </w:r>
          </w:p>
        </w:tc>
      </w:tr>
      <w:tr w:rsidR="009219A0" w14:paraId="7B413E97" w14:textId="77777777">
        <w:trPr>
          <w:cantSplit/>
          <w:trHeight w:val="340"/>
          <w:jc w:val="center"/>
        </w:trPr>
        <w:tc>
          <w:tcPr>
            <w:tcW w:w="710" w:type="dxa"/>
            <w:vAlign w:val="center"/>
          </w:tcPr>
          <w:p w14:paraId="641565EA" w14:textId="77777777" w:rsidR="009219A0" w:rsidRDefault="00000000">
            <w:pPr>
              <w:adjustRightIn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4</w:t>
            </w:r>
          </w:p>
        </w:tc>
        <w:tc>
          <w:tcPr>
            <w:tcW w:w="5790" w:type="dxa"/>
            <w:vAlign w:val="center"/>
          </w:tcPr>
          <w:p w14:paraId="23F3B39A"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现场安全标识不足，如高处未设置“当心坠落”安全警示标识；皮带机、泵、风机等处未设置“当心机械伤人”安全警示标识；电气控制柜处未设置“有电危险、当心触电”等安全警示标识。</w:t>
            </w:r>
          </w:p>
        </w:tc>
        <w:tc>
          <w:tcPr>
            <w:tcW w:w="2572" w:type="dxa"/>
            <w:vAlign w:val="center"/>
          </w:tcPr>
          <w:p w14:paraId="573DDC82" w14:textId="77777777" w:rsidR="009219A0" w:rsidRDefault="00000000">
            <w:pPr>
              <w:adjustRightInd/>
              <w:spacing w:line="240" w:lineRule="auto"/>
              <w:ind w:firstLineChars="0" w:firstLine="0"/>
              <w:jc w:val="center"/>
              <w:rPr>
                <w:rFonts w:ascii="宋体" w:hAnsi="宋体" w:hint="eastAsia"/>
                <w:color w:val="auto"/>
                <w:sz w:val="21"/>
                <w:szCs w:val="21"/>
              </w:rPr>
            </w:pPr>
            <w:r>
              <w:rPr>
                <w:rFonts w:ascii="宋体" w:hAnsi="宋体"/>
                <w:color w:val="auto"/>
                <w:sz w:val="21"/>
                <w:szCs w:val="21"/>
              </w:rPr>
              <w:t>已整改完成</w:t>
            </w:r>
          </w:p>
        </w:tc>
      </w:tr>
      <w:tr w:rsidR="009219A0" w14:paraId="57F2EB4A" w14:textId="77777777">
        <w:trPr>
          <w:cantSplit/>
          <w:trHeight w:val="340"/>
          <w:jc w:val="center"/>
        </w:trPr>
        <w:tc>
          <w:tcPr>
            <w:tcW w:w="710" w:type="dxa"/>
            <w:vAlign w:val="center"/>
          </w:tcPr>
          <w:p w14:paraId="110B1F1E" w14:textId="77777777" w:rsidR="009219A0" w:rsidRDefault="00000000">
            <w:pPr>
              <w:adjustRightIn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5</w:t>
            </w:r>
          </w:p>
        </w:tc>
        <w:tc>
          <w:tcPr>
            <w:tcW w:w="5790" w:type="dxa"/>
            <w:vAlign w:val="center"/>
          </w:tcPr>
          <w:p w14:paraId="72B589E7"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中试车间内监控摄像头数量不足，未全面覆盖。</w:t>
            </w:r>
          </w:p>
        </w:tc>
        <w:tc>
          <w:tcPr>
            <w:tcW w:w="2572" w:type="dxa"/>
            <w:vAlign w:val="center"/>
          </w:tcPr>
          <w:p w14:paraId="3978521D" w14:textId="77777777" w:rsidR="009219A0" w:rsidRDefault="00000000">
            <w:pPr>
              <w:adjustRightInd/>
              <w:spacing w:line="240" w:lineRule="auto"/>
              <w:ind w:firstLineChars="0" w:firstLine="0"/>
              <w:jc w:val="center"/>
              <w:rPr>
                <w:rFonts w:ascii="宋体" w:hAnsi="宋体" w:hint="eastAsia"/>
                <w:color w:val="auto"/>
                <w:sz w:val="21"/>
                <w:szCs w:val="21"/>
              </w:rPr>
            </w:pPr>
            <w:r>
              <w:rPr>
                <w:rFonts w:ascii="宋体" w:hAnsi="宋体"/>
                <w:color w:val="auto"/>
                <w:sz w:val="21"/>
                <w:szCs w:val="21"/>
              </w:rPr>
              <w:t>已整改完成</w:t>
            </w:r>
          </w:p>
        </w:tc>
      </w:tr>
      <w:tr w:rsidR="009219A0" w14:paraId="05FF28F2" w14:textId="77777777">
        <w:trPr>
          <w:cantSplit/>
          <w:trHeight w:val="340"/>
          <w:jc w:val="center"/>
        </w:trPr>
        <w:tc>
          <w:tcPr>
            <w:tcW w:w="710" w:type="dxa"/>
            <w:vAlign w:val="center"/>
          </w:tcPr>
          <w:p w14:paraId="1D395E09" w14:textId="77777777" w:rsidR="009219A0" w:rsidRDefault="00000000">
            <w:pPr>
              <w:adjustRightInd/>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6</w:t>
            </w:r>
          </w:p>
        </w:tc>
        <w:tc>
          <w:tcPr>
            <w:tcW w:w="5790" w:type="dxa"/>
            <w:vAlign w:val="center"/>
          </w:tcPr>
          <w:p w14:paraId="3CD9452E"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现场配电室内有杂物、可燃物堆放。</w:t>
            </w:r>
          </w:p>
        </w:tc>
        <w:tc>
          <w:tcPr>
            <w:tcW w:w="2572" w:type="dxa"/>
            <w:vAlign w:val="center"/>
          </w:tcPr>
          <w:p w14:paraId="763FBB3E" w14:textId="77777777" w:rsidR="009219A0" w:rsidRDefault="00000000">
            <w:pPr>
              <w:adjustRightInd/>
              <w:spacing w:line="240" w:lineRule="auto"/>
              <w:ind w:firstLineChars="0" w:firstLine="0"/>
              <w:jc w:val="center"/>
              <w:rPr>
                <w:rFonts w:ascii="宋体" w:hAnsi="宋体" w:hint="eastAsia"/>
                <w:color w:val="auto"/>
                <w:sz w:val="21"/>
                <w:szCs w:val="21"/>
              </w:rPr>
            </w:pPr>
            <w:r>
              <w:rPr>
                <w:rFonts w:ascii="宋体" w:hAnsi="宋体"/>
                <w:color w:val="auto"/>
                <w:sz w:val="21"/>
                <w:szCs w:val="21"/>
              </w:rPr>
              <w:t>已整改完成</w:t>
            </w:r>
          </w:p>
        </w:tc>
      </w:tr>
    </w:tbl>
    <w:p w14:paraId="28D2834A" w14:textId="77777777" w:rsidR="009219A0" w:rsidRDefault="009219A0">
      <w:pPr>
        <w:tabs>
          <w:tab w:val="center" w:pos="4252"/>
        </w:tabs>
        <w:adjustRightInd/>
        <w:snapToGrid/>
        <w:spacing w:line="500" w:lineRule="exact"/>
        <w:ind w:firstLine="560"/>
        <w:rPr>
          <w:color w:val="auto"/>
        </w:rPr>
      </w:pPr>
    </w:p>
    <w:p w14:paraId="2F036A47" w14:textId="77777777" w:rsidR="009219A0" w:rsidRDefault="00000000">
      <w:pPr>
        <w:pStyle w:val="2"/>
        <w:rPr>
          <w:rFonts w:hint="eastAsia"/>
        </w:rPr>
      </w:pPr>
      <w:bookmarkStart w:id="218" w:name="_Toc211950471"/>
      <w:bookmarkStart w:id="219" w:name="_Toc165281464"/>
      <w:r>
        <w:rPr>
          <w:rFonts w:hint="eastAsia"/>
        </w:rPr>
        <w:t>7.2 整改情况</w:t>
      </w:r>
      <w:bookmarkEnd w:id="216"/>
      <w:bookmarkEnd w:id="217"/>
      <w:bookmarkEnd w:id="218"/>
      <w:bookmarkEnd w:id="219"/>
    </w:p>
    <w:p w14:paraId="3110E8B5" w14:textId="77777777" w:rsidR="009219A0" w:rsidRDefault="00000000">
      <w:pPr>
        <w:ind w:firstLine="560"/>
        <w:rPr>
          <w:color w:val="00B050"/>
        </w:rPr>
      </w:pPr>
      <w:proofErr w:type="gramStart"/>
      <w:r>
        <w:rPr>
          <w:rFonts w:hint="eastAsia"/>
          <w:color w:val="auto"/>
        </w:rPr>
        <w:t>创源公司</w:t>
      </w:r>
      <w:proofErr w:type="gramEnd"/>
      <w:r>
        <w:rPr>
          <w:color w:val="auto"/>
        </w:rPr>
        <w:t>与项目组进行交流，针对项目组提出的</w:t>
      </w:r>
      <w:r>
        <w:rPr>
          <w:rFonts w:hint="eastAsia"/>
          <w:color w:val="auto"/>
        </w:rPr>
        <w:t>6</w:t>
      </w:r>
      <w:r>
        <w:rPr>
          <w:rFonts w:hint="eastAsia"/>
          <w:color w:val="auto"/>
        </w:rPr>
        <w:t>条整改</w:t>
      </w:r>
      <w:r>
        <w:rPr>
          <w:color w:val="auto"/>
        </w:rPr>
        <w:t>问题，已全部进行了认真的整改，并提供了整改落实情况回复</w:t>
      </w:r>
      <w:r>
        <w:rPr>
          <w:rFonts w:hint="eastAsia"/>
          <w:color w:val="auto"/>
        </w:rPr>
        <w:t>，详见附件</w:t>
      </w:r>
      <w:r>
        <w:rPr>
          <w:rFonts w:hint="eastAsia"/>
          <w:color w:val="auto"/>
        </w:rPr>
        <w:t>7.26</w:t>
      </w:r>
      <w:r>
        <w:rPr>
          <w:rFonts w:hint="eastAsia"/>
          <w:color w:val="auto"/>
        </w:rPr>
        <w:t>安全隐患整改报告。</w:t>
      </w:r>
    </w:p>
    <w:p w14:paraId="70BC2318" w14:textId="77777777" w:rsidR="009219A0" w:rsidRDefault="009219A0">
      <w:pPr>
        <w:pStyle w:val="Default1"/>
        <w:jc w:val="center"/>
        <w:rPr>
          <w:rFonts w:ascii="宋体" w:hAnsi="宋体"/>
          <w:sz w:val="28"/>
          <w:szCs w:val="28"/>
        </w:rPr>
      </w:pPr>
    </w:p>
    <w:p w14:paraId="7C9B4A86" w14:textId="77777777" w:rsidR="009219A0" w:rsidRDefault="009219A0">
      <w:pPr>
        <w:pStyle w:val="Default1"/>
        <w:rPr>
          <w:rFonts w:hint="default"/>
        </w:rPr>
        <w:sectPr w:rsidR="009219A0">
          <w:pgSz w:w="11906" w:h="16838"/>
          <w:pgMar w:top="1418" w:right="1418" w:bottom="1588" w:left="1418" w:header="851" w:footer="992" w:gutter="0"/>
          <w:cols w:space="425"/>
          <w:docGrid w:linePitch="312"/>
        </w:sectPr>
      </w:pPr>
    </w:p>
    <w:p w14:paraId="6C86EBCA" w14:textId="77777777" w:rsidR="009219A0" w:rsidRDefault="00000000">
      <w:pPr>
        <w:pStyle w:val="1"/>
        <w:keepNext w:val="0"/>
        <w:keepLines w:val="0"/>
        <w:ind w:left="2694"/>
        <w:jc w:val="both"/>
        <w:textAlignment w:val="center"/>
        <w:rPr>
          <w:rFonts w:ascii="宋体" w:hAnsi="宋体" w:hint="eastAsia"/>
          <w:b/>
          <w:bCs w:val="0"/>
          <w:color w:val="auto"/>
          <w:szCs w:val="20"/>
        </w:rPr>
      </w:pPr>
      <w:bookmarkStart w:id="220" w:name="_Toc211950472"/>
      <w:bookmarkStart w:id="221" w:name="_Toc165281465"/>
      <w:r>
        <w:rPr>
          <w:rFonts w:ascii="宋体" w:hAnsi="宋体" w:hint="eastAsia"/>
          <w:b/>
          <w:bCs w:val="0"/>
          <w:color w:val="auto"/>
          <w:szCs w:val="20"/>
        </w:rPr>
        <w:lastRenderedPageBreak/>
        <w:t>8  安全对策措施及建议</w:t>
      </w:r>
      <w:bookmarkEnd w:id="194"/>
      <w:bookmarkEnd w:id="204"/>
      <w:bookmarkEnd w:id="205"/>
      <w:bookmarkEnd w:id="206"/>
      <w:bookmarkEnd w:id="207"/>
      <w:bookmarkEnd w:id="220"/>
      <w:bookmarkEnd w:id="221"/>
    </w:p>
    <w:p w14:paraId="0F10A0FE" w14:textId="77777777" w:rsidR="009219A0" w:rsidRDefault="009219A0">
      <w:pPr>
        <w:ind w:firstLine="560"/>
        <w:rPr>
          <w:color w:val="auto"/>
        </w:rPr>
      </w:pPr>
    </w:p>
    <w:p w14:paraId="0BFCE673" w14:textId="77777777" w:rsidR="009219A0" w:rsidRDefault="00000000">
      <w:pPr>
        <w:pStyle w:val="2"/>
        <w:rPr>
          <w:rFonts w:hint="eastAsia"/>
        </w:rPr>
      </w:pPr>
      <w:bookmarkStart w:id="222" w:name="_Toc520297563"/>
      <w:bookmarkStart w:id="223" w:name="_Toc515540397"/>
      <w:bookmarkStart w:id="224" w:name="_Toc165281466"/>
      <w:bookmarkStart w:id="225" w:name="_Toc211950473"/>
      <w:r>
        <w:rPr>
          <w:rFonts w:hint="eastAsia"/>
        </w:rPr>
        <w:t>8.1 针对本项目主要危险有害因素提出的安全措施及建议</w:t>
      </w:r>
      <w:bookmarkStart w:id="226" w:name="_Toc520297564"/>
      <w:bookmarkStart w:id="227" w:name="_Toc515540398"/>
      <w:bookmarkEnd w:id="222"/>
      <w:bookmarkEnd w:id="223"/>
      <w:bookmarkEnd w:id="224"/>
      <w:bookmarkEnd w:id="225"/>
    </w:p>
    <w:p w14:paraId="002189C5" w14:textId="77777777" w:rsidR="009219A0" w:rsidRDefault="00000000">
      <w:pPr>
        <w:pStyle w:val="3"/>
        <w:rPr>
          <w:rFonts w:hint="eastAsia"/>
        </w:rPr>
      </w:pPr>
      <w:bookmarkStart w:id="228" w:name="_Toc211950474"/>
      <w:r>
        <w:rPr>
          <w:rFonts w:hint="eastAsia"/>
        </w:rPr>
        <w:t>8.1.1 安全生产条件对策措施及建议</w:t>
      </w:r>
      <w:bookmarkEnd w:id="226"/>
      <w:bookmarkEnd w:id="227"/>
      <w:bookmarkEnd w:id="228"/>
    </w:p>
    <w:p w14:paraId="21AF02B1" w14:textId="77777777" w:rsidR="009219A0" w:rsidRDefault="00000000">
      <w:pPr>
        <w:pStyle w:val="11"/>
        <w:numPr>
          <w:ilvl w:val="0"/>
          <w:numId w:val="4"/>
        </w:numPr>
        <w:topLinePunct/>
        <w:ind w:left="0" w:firstLine="560"/>
        <w:rPr>
          <w:color w:val="auto"/>
        </w:rPr>
      </w:pPr>
      <w:r>
        <w:rPr>
          <w:rFonts w:hint="eastAsia"/>
          <w:color w:val="auto"/>
        </w:rPr>
        <w:t>企业应保障安全经费的投入，不断完善安全生产条件，并定期对安全设施进行巡检，保证其有效。</w:t>
      </w:r>
    </w:p>
    <w:p w14:paraId="5206F5A7" w14:textId="77777777" w:rsidR="009219A0" w:rsidRDefault="00000000">
      <w:pPr>
        <w:pStyle w:val="11"/>
        <w:numPr>
          <w:ilvl w:val="0"/>
          <w:numId w:val="4"/>
        </w:numPr>
        <w:topLinePunct/>
        <w:ind w:left="0" w:firstLine="560"/>
        <w:rPr>
          <w:color w:val="auto"/>
        </w:rPr>
      </w:pPr>
      <w:r>
        <w:rPr>
          <w:rFonts w:hint="eastAsia"/>
          <w:color w:val="auto"/>
        </w:rPr>
        <w:t>企业应按相关规定编制危险化学品周知卡，将其拴挂于生产岗位及作业场所显著位置；安全周知卡的</w:t>
      </w:r>
      <w:proofErr w:type="gramStart"/>
      <w:r>
        <w:rPr>
          <w:rFonts w:hint="eastAsia"/>
          <w:color w:val="auto"/>
        </w:rPr>
        <w:t>栓挂要</w:t>
      </w:r>
      <w:proofErr w:type="gramEnd"/>
      <w:r>
        <w:rPr>
          <w:rFonts w:hint="eastAsia"/>
          <w:color w:val="auto"/>
        </w:rPr>
        <w:t>牢固、结实，保证在使用过程中不脱落。</w:t>
      </w:r>
    </w:p>
    <w:p w14:paraId="700AD61E" w14:textId="77777777" w:rsidR="009219A0" w:rsidRDefault="00000000">
      <w:pPr>
        <w:pStyle w:val="11"/>
        <w:numPr>
          <w:ilvl w:val="0"/>
          <w:numId w:val="4"/>
        </w:numPr>
        <w:topLinePunct/>
        <w:ind w:left="0" w:firstLine="560"/>
        <w:rPr>
          <w:color w:val="auto"/>
        </w:rPr>
      </w:pPr>
      <w:r>
        <w:rPr>
          <w:rFonts w:hint="eastAsia"/>
          <w:color w:val="auto"/>
        </w:rPr>
        <w:t>应完善中试车间、实验室内安全警示标识的设置，安全标志牌应至少每半年检查一次，如发现有破损、变形、褪色等不符合要求时，应及时修正或更换。</w:t>
      </w:r>
    </w:p>
    <w:p w14:paraId="6AC51D8E" w14:textId="77777777" w:rsidR="009219A0" w:rsidRDefault="00000000">
      <w:pPr>
        <w:pStyle w:val="11"/>
        <w:numPr>
          <w:ilvl w:val="0"/>
          <w:numId w:val="4"/>
        </w:numPr>
        <w:topLinePunct/>
        <w:ind w:left="0" w:firstLine="560"/>
        <w:rPr>
          <w:color w:val="auto"/>
        </w:rPr>
      </w:pPr>
      <w:r>
        <w:rPr>
          <w:rFonts w:hint="eastAsia"/>
          <w:color w:val="auto"/>
        </w:rPr>
        <w:t>作业现场应杜绝堵塞消防通道，灭火栓、灭火器应杜绝遮挡，灭火器的设置应满足《建筑灭火器配置设计规范》（</w:t>
      </w:r>
      <w:r>
        <w:rPr>
          <w:rFonts w:hint="eastAsia"/>
          <w:color w:val="auto"/>
        </w:rPr>
        <w:t>GB50140-2005</w:t>
      </w:r>
      <w:r>
        <w:rPr>
          <w:rFonts w:hint="eastAsia"/>
          <w:color w:val="auto"/>
        </w:rPr>
        <w:t>）的要求：</w:t>
      </w:r>
    </w:p>
    <w:p w14:paraId="270BB6B7" w14:textId="77777777" w:rsidR="009219A0" w:rsidRDefault="00000000">
      <w:pPr>
        <w:pStyle w:val="11"/>
        <w:topLinePunct/>
        <w:ind w:firstLine="560"/>
        <w:rPr>
          <w:color w:val="auto"/>
        </w:rPr>
      </w:pPr>
      <w:r>
        <w:rPr>
          <w:rFonts w:hint="eastAsia"/>
          <w:color w:val="auto"/>
        </w:rPr>
        <w:t>1</w:t>
      </w:r>
      <w:r>
        <w:rPr>
          <w:rFonts w:hint="eastAsia"/>
          <w:color w:val="auto"/>
        </w:rPr>
        <w:t>）灭火器应设置在位置明显和便于取用的地点，且不得影响安全疏散，摆放应稳固，其铭牌应朝外；</w:t>
      </w:r>
    </w:p>
    <w:p w14:paraId="076D5424" w14:textId="77777777" w:rsidR="009219A0" w:rsidRDefault="00000000">
      <w:pPr>
        <w:pStyle w:val="11"/>
        <w:topLinePunct/>
        <w:ind w:firstLine="560"/>
        <w:rPr>
          <w:color w:val="auto"/>
        </w:rPr>
      </w:pPr>
      <w:r>
        <w:rPr>
          <w:rFonts w:hint="eastAsia"/>
          <w:color w:val="auto"/>
        </w:rPr>
        <w:t>2</w:t>
      </w:r>
      <w:r>
        <w:rPr>
          <w:rFonts w:hint="eastAsia"/>
          <w:color w:val="auto"/>
        </w:rPr>
        <w:t>）手提式灭火器</w:t>
      </w:r>
      <w:proofErr w:type="gramStart"/>
      <w:r>
        <w:rPr>
          <w:rFonts w:hint="eastAsia"/>
          <w:color w:val="auto"/>
        </w:rPr>
        <w:t>宜设置</w:t>
      </w:r>
      <w:proofErr w:type="gramEnd"/>
      <w:r>
        <w:rPr>
          <w:rFonts w:hint="eastAsia"/>
          <w:color w:val="auto"/>
        </w:rPr>
        <w:t>在灭火器箱内或挂钩、托架上，其顶部离地面高度不应大于</w:t>
      </w:r>
      <w:r>
        <w:rPr>
          <w:rFonts w:hint="eastAsia"/>
          <w:color w:val="auto"/>
        </w:rPr>
        <w:t>1.50m</w:t>
      </w:r>
      <w:r>
        <w:rPr>
          <w:rFonts w:hint="eastAsia"/>
          <w:color w:val="auto"/>
        </w:rPr>
        <w:t>；底部离地面高度不宜小于</w:t>
      </w:r>
      <w:r>
        <w:rPr>
          <w:rFonts w:hint="eastAsia"/>
          <w:color w:val="auto"/>
        </w:rPr>
        <w:t>0.08m</w:t>
      </w:r>
      <w:r>
        <w:rPr>
          <w:rFonts w:hint="eastAsia"/>
          <w:color w:val="auto"/>
        </w:rPr>
        <w:t>；</w:t>
      </w:r>
    </w:p>
    <w:p w14:paraId="08418B66" w14:textId="77777777" w:rsidR="009219A0" w:rsidRDefault="00000000">
      <w:pPr>
        <w:pStyle w:val="11"/>
        <w:topLinePunct/>
        <w:ind w:firstLine="560"/>
        <w:rPr>
          <w:color w:val="auto"/>
        </w:rPr>
      </w:pPr>
      <w:r>
        <w:rPr>
          <w:rFonts w:hint="eastAsia"/>
          <w:color w:val="auto"/>
        </w:rPr>
        <w:t>3</w:t>
      </w:r>
      <w:r>
        <w:rPr>
          <w:rFonts w:hint="eastAsia"/>
          <w:color w:val="auto"/>
        </w:rPr>
        <w:t>）灭火器</w:t>
      </w:r>
      <w:proofErr w:type="gramStart"/>
      <w:r>
        <w:rPr>
          <w:rFonts w:hint="eastAsia"/>
          <w:color w:val="auto"/>
        </w:rPr>
        <w:t>箱不得</w:t>
      </w:r>
      <w:proofErr w:type="gramEnd"/>
      <w:r>
        <w:rPr>
          <w:rFonts w:hint="eastAsia"/>
          <w:color w:val="auto"/>
        </w:rPr>
        <w:t>上锁，灭火器不宜设置在潮湿或强腐蚀性的地点。</w:t>
      </w:r>
      <w:proofErr w:type="gramStart"/>
      <w:r>
        <w:rPr>
          <w:rFonts w:hint="eastAsia"/>
          <w:color w:val="auto"/>
        </w:rPr>
        <w:t>当必须</w:t>
      </w:r>
      <w:proofErr w:type="gramEnd"/>
      <w:r>
        <w:rPr>
          <w:rFonts w:hint="eastAsia"/>
          <w:color w:val="auto"/>
        </w:rPr>
        <w:t>设置时，应有相应的保护措施；</w:t>
      </w:r>
    </w:p>
    <w:p w14:paraId="558D82DF" w14:textId="77777777" w:rsidR="009219A0" w:rsidRDefault="00000000">
      <w:pPr>
        <w:pStyle w:val="11"/>
        <w:topLinePunct/>
        <w:ind w:firstLine="560"/>
        <w:rPr>
          <w:color w:val="auto"/>
        </w:rPr>
      </w:pPr>
      <w:r>
        <w:rPr>
          <w:rFonts w:hint="eastAsia"/>
          <w:color w:val="auto"/>
        </w:rPr>
        <w:t>4</w:t>
      </w:r>
      <w:r>
        <w:rPr>
          <w:rFonts w:hint="eastAsia"/>
          <w:color w:val="auto"/>
        </w:rPr>
        <w:t>）灭火器设置在室外时，应有相应的保护措施；</w:t>
      </w:r>
    </w:p>
    <w:p w14:paraId="30E29568" w14:textId="77777777" w:rsidR="009219A0" w:rsidRDefault="00000000">
      <w:pPr>
        <w:pStyle w:val="11"/>
        <w:topLinePunct/>
        <w:ind w:firstLine="560"/>
        <w:rPr>
          <w:color w:val="auto"/>
        </w:rPr>
      </w:pPr>
      <w:r>
        <w:rPr>
          <w:rFonts w:hint="eastAsia"/>
          <w:color w:val="auto"/>
        </w:rPr>
        <w:t>5</w:t>
      </w:r>
      <w:r>
        <w:rPr>
          <w:rFonts w:hint="eastAsia"/>
          <w:color w:val="auto"/>
        </w:rPr>
        <w:t>）一个计算单元内配置的灭火器数量不得少于</w:t>
      </w:r>
      <w:r>
        <w:rPr>
          <w:rFonts w:hint="eastAsia"/>
          <w:color w:val="auto"/>
        </w:rPr>
        <w:t>2</w:t>
      </w:r>
      <w:r>
        <w:rPr>
          <w:rFonts w:hint="eastAsia"/>
          <w:color w:val="auto"/>
        </w:rPr>
        <w:t>具；每个设置点的灭火器数量不宜多于</w:t>
      </w:r>
      <w:r>
        <w:rPr>
          <w:rFonts w:hint="eastAsia"/>
          <w:color w:val="auto"/>
        </w:rPr>
        <w:t>5</w:t>
      </w:r>
      <w:r>
        <w:rPr>
          <w:rFonts w:hint="eastAsia"/>
          <w:color w:val="auto"/>
        </w:rPr>
        <w:t>具。</w:t>
      </w:r>
    </w:p>
    <w:p w14:paraId="7F8A7BF0" w14:textId="77777777" w:rsidR="009219A0" w:rsidRDefault="00000000">
      <w:pPr>
        <w:pStyle w:val="11"/>
        <w:numPr>
          <w:ilvl w:val="0"/>
          <w:numId w:val="4"/>
        </w:numPr>
        <w:topLinePunct/>
        <w:ind w:left="0" w:firstLine="560"/>
        <w:rPr>
          <w:color w:val="auto"/>
        </w:rPr>
      </w:pPr>
      <w:r>
        <w:rPr>
          <w:rFonts w:hint="eastAsia"/>
          <w:color w:val="auto"/>
        </w:rPr>
        <w:t>应规范实验室内物品定置摆放，并留出安全通道。</w:t>
      </w:r>
    </w:p>
    <w:p w14:paraId="7EC19920" w14:textId="77777777" w:rsidR="009219A0" w:rsidRDefault="00000000">
      <w:pPr>
        <w:pStyle w:val="11"/>
        <w:topLinePunct/>
        <w:ind w:firstLine="560"/>
        <w:rPr>
          <w:color w:val="auto"/>
        </w:rPr>
      </w:pPr>
      <w:r>
        <w:rPr>
          <w:rFonts w:hint="eastAsia"/>
          <w:color w:val="auto"/>
        </w:rPr>
        <w:t>1</w:t>
      </w:r>
      <w:r>
        <w:rPr>
          <w:rFonts w:hint="eastAsia"/>
          <w:color w:val="auto"/>
        </w:rPr>
        <w:t>）化学品按其危险性分类摆放，可分为</w:t>
      </w:r>
      <w:r>
        <w:rPr>
          <w:rFonts w:hint="eastAsia"/>
          <w:color w:val="auto"/>
        </w:rPr>
        <w:t>3</w:t>
      </w:r>
      <w:r>
        <w:rPr>
          <w:rFonts w:hint="eastAsia"/>
          <w:color w:val="auto"/>
        </w:rPr>
        <w:t>大类</w:t>
      </w:r>
      <w:r>
        <w:rPr>
          <w:rFonts w:hint="eastAsia"/>
          <w:color w:val="auto"/>
        </w:rPr>
        <w:t>28</w:t>
      </w:r>
      <w:r>
        <w:rPr>
          <w:rFonts w:hint="eastAsia"/>
          <w:color w:val="auto"/>
        </w:rPr>
        <w:t>项：</w:t>
      </w:r>
    </w:p>
    <w:p w14:paraId="641C530A" w14:textId="77777777" w:rsidR="009219A0" w:rsidRDefault="00000000">
      <w:pPr>
        <w:pStyle w:val="11"/>
        <w:topLinePunct/>
        <w:ind w:firstLine="560"/>
        <w:rPr>
          <w:color w:val="auto"/>
        </w:rPr>
      </w:pPr>
      <w:r>
        <w:rPr>
          <w:rFonts w:hint="eastAsia"/>
          <w:color w:val="auto"/>
        </w:rPr>
        <w:lastRenderedPageBreak/>
        <w:t>①理化危险（</w:t>
      </w:r>
      <w:r>
        <w:rPr>
          <w:rFonts w:hint="eastAsia"/>
          <w:color w:val="auto"/>
        </w:rPr>
        <w:t>16</w:t>
      </w:r>
      <w:r>
        <w:rPr>
          <w:rFonts w:hint="eastAsia"/>
          <w:color w:val="auto"/>
        </w:rPr>
        <w:t>项）：爆炸物、易燃气体、气溶胶、氧化性气体、加压气体、易燃液体、易燃固体、</w:t>
      </w:r>
      <w:proofErr w:type="gramStart"/>
      <w:r>
        <w:rPr>
          <w:rFonts w:hint="eastAsia"/>
          <w:color w:val="auto"/>
        </w:rPr>
        <w:t>自反应</w:t>
      </w:r>
      <w:proofErr w:type="gramEnd"/>
      <w:r>
        <w:rPr>
          <w:rFonts w:hint="eastAsia"/>
          <w:color w:val="auto"/>
        </w:rPr>
        <w:t>物质和混合物、自燃液体、自燃固体、自</w:t>
      </w:r>
      <w:proofErr w:type="gramStart"/>
      <w:r>
        <w:rPr>
          <w:rFonts w:hint="eastAsia"/>
          <w:color w:val="auto"/>
        </w:rPr>
        <w:t>热物质</w:t>
      </w:r>
      <w:proofErr w:type="gramEnd"/>
      <w:r>
        <w:rPr>
          <w:rFonts w:hint="eastAsia"/>
          <w:color w:val="auto"/>
        </w:rPr>
        <w:t>和混合物、遇水放出易燃气体的物质和混合物、氧化性液体、氧化性固体、有机过氧化物和金属腐蚀物。</w:t>
      </w:r>
    </w:p>
    <w:p w14:paraId="2DAA8E8F" w14:textId="77777777" w:rsidR="009219A0" w:rsidRDefault="00000000">
      <w:pPr>
        <w:pStyle w:val="11"/>
        <w:topLinePunct/>
        <w:ind w:firstLine="560"/>
        <w:rPr>
          <w:color w:val="auto"/>
        </w:rPr>
      </w:pPr>
      <w:r>
        <w:rPr>
          <w:rFonts w:hint="eastAsia"/>
          <w:color w:val="auto"/>
        </w:rPr>
        <w:t>②健康危险（</w:t>
      </w:r>
      <w:r>
        <w:rPr>
          <w:rFonts w:hint="eastAsia"/>
          <w:color w:val="auto"/>
        </w:rPr>
        <w:t>10</w:t>
      </w:r>
      <w:r>
        <w:rPr>
          <w:rFonts w:hint="eastAsia"/>
          <w:color w:val="auto"/>
        </w:rPr>
        <w:t>项）：急性毒性、皮肤腐蚀</w:t>
      </w:r>
      <w:r>
        <w:rPr>
          <w:rFonts w:hint="eastAsia"/>
          <w:color w:val="auto"/>
        </w:rPr>
        <w:t>/</w:t>
      </w:r>
      <w:r>
        <w:rPr>
          <w:rFonts w:hint="eastAsia"/>
          <w:color w:val="auto"/>
        </w:rPr>
        <w:t>刺激、严重眼损伤</w:t>
      </w:r>
      <w:r>
        <w:rPr>
          <w:rFonts w:hint="eastAsia"/>
          <w:color w:val="auto"/>
        </w:rPr>
        <w:t>/</w:t>
      </w:r>
      <w:r>
        <w:rPr>
          <w:rFonts w:hint="eastAsia"/>
          <w:color w:val="auto"/>
        </w:rPr>
        <w:t>眼刺激、呼吸或皮肤过敏、生殖细胞致突变性、致癌性、生殖毒性、特异性靶器官系统</w:t>
      </w:r>
      <w:proofErr w:type="gramStart"/>
      <w:r>
        <w:rPr>
          <w:rFonts w:hint="eastAsia"/>
          <w:color w:val="auto"/>
        </w:rPr>
        <w:t>毒性—单次</w:t>
      </w:r>
      <w:proofErr w:type="gramEnd"/>
      <w:r>
        <w:rPr>
          <w:rFonts w:hint="eastAsia"/>
          <w:color w:val="auto"/>
        </w:rPr>
        <w:t>接触、特异性靶器官系统毒性</w:t>
      </w:r>
      <w:proofErr w:type="gramStart"/>
      <w:r>
        <w:rPr>
          <w:rFonts w:hint="eastAsia"/>
          <w:color w:val="auto"/>
        </w:rPr>
        <w:t>—反复</w:t>
      </w:r>
      <w:proofErr w:type="gramEnd"/>
      <w:r>
        <w:rPr>
          <w:rFonts w:hint="eastAsia"/>
          <w:color w:val="auto"/>
        </w:rPr>
        <w:t>接触、吸入危险。</w:t>
      </w:r>
    </w:p>
    <w:p w14:paraId="032BDB52" w14:textId="77777777" w:rsidR="009219A0" w:rsidRDefault="00000000">
      <w:pPr>
        <w:pStyle w:val="11"/>
        <w:topLinePunct/>
        <w:ind w:firstLine="560"/>
        <w:rPr>
          <w:color w:val="auto"/>
        </w:rPr>
      </w:pPr>
      <w:r>
        <w:rPr>
          <w:rFonts w:hint="eastAsia"/>
          <w:color w:val="auto"/>
        </w:rPr>
        <w:t>③环境危险（</w:t>
      </w:r>
      <w:r>
        <w:rPr>
          <w:rFonts w:hint="eastAsia"/>
          <w:color w:val="auto"/>
        </w:rPr>
        <w:t>2</w:t>
      </w:r>
      <w:r>
        <w:rPr>
          <w:rFonts w:hint="eastAsia"/>
          <w:color w:val="auto"/>
        </w:rPr>
        <w:t>项）：危害水生环境、危害臭氧层。其具体分类和标签规范详见</w:t>
      </w:r>
      <w:r>
        <w:rPr>
          <w:rFonts w:hint="eastAsia"/>
          <w:color w:val="auto"/>
        </w:rPr>
        <w:t>GB30000.2~GB30000.29</w:t>
      </w:r>
      <w:r>
        <w:rPr>
          <w:rFonts w:hint="eastAsia"/>
          <w:color w:val="auto"/>
        </w:rPr>
        <w:t>。</w:t>
      </w:r>
    </w:p>
    <w:p w14:paraId="44898453" w14:textId="77777777" w:rsidR="009219A0" w:rsidRDefault="00000000">
      <w:pPr>
        <w:pStyle w:val="11"/>
        <w:numPr>
          <w:ilvl w:val="0"/>
          <w:numId w:val="4"/>
        </w:numPr>
        <w:topLinePunct/>
        <w:ind w:left="0" w:firstLine="560"/>
        <w:rPr>
          <w:color w:val="auto"/>
        </w:rPr>
      </w:pPr>
      <w:r>
        <w:rPr>
          <w:rFonts w:hint="eastAsia"/>
          <w:color w:val="auto"/>
        </w:rPr>
        <w:t>作业现场应定置管理，杜绝电气线路裸露及私拉乱接，定期检查电气线路及设备并保留检查记录，按照规范设置作业现场的临时用电；作业现场的照明用电应按照规范使用安全电压。</w:t>
      </w:r>
    </w:p>
    <w:p w14:paraId="6AA62C15" w14:textId="77777777" w:rsidR="009219A0" w:rsidRDefault="00000000">
      <w:pPr>
        <w:pStyle w:val="11"/>
        <w:numPr>
          <w:ilvl w:val="0"/>
          <w:numId w:val="4"/>
        </w:numPr>
        <w:topLinePunct/>
        <w:ind w:left="0" w:firstLine="560"/>
        <w:rPr>
          <w:color w:val="auto"/>
        </w:rPr>
      </w:pPr>
      <w:r>
        <w:rPr>
          <w:rFonts w:hint="eastAsia"/>
          <w:color w:val="auto"/>
        </w:rPr>
        <w:t>应按国家规范要求进行职业危害的评价；对现场作业人员配发相应的劳动防护用品（如防护服、防护鞋、防护手套、防毒面具、防护眼镜等）并督促使用。</w:t>
      </w:r>
    </w:p>
    <w:p w14:paraId="03F620DC" w14:textId="77777777" w:rsidR="009219A0" w:rsidRDefault="00000000">
      <w:pPr>
        <w:pStyle w:val="11"/>
        <w:numPr>
          <w:ilvl w:val="0"/>
          <w:numId w:val="4"/>
        </w:numPr>
        <w:topLinePunct/>
        <w:ind w:left="0" w:firstLine="560"/>
        <w:rPr>
          <w:color w:val="auto"/>
        </w:rPr>
      </w:pPr>
      <w:r>
        <w:rPr>
          <w:rFonts w:hint="eastAsia"/>
          <w:color w:val="auto"/>
        </w:rPr>
        <w:t>设备检修、清理工作，应进行安全交底，严格执行工作票制、安全确认制度、挂牌制、监护制、锁具制，做好现场的安全措施和现场的安全交底等。</w:t>
      </w:r>
    </w:p>
    <w:p w14:paraId="14575BBC" w14:textId="77777777" w:rsidR="009219A0" w:rsidRDefault="00000000">
      <w:pPr>
        <w:pStyle w:val="11"/>
        <w:numPr>
          <w:ilvl w:val="0"/>
          <w:numId w:val="4"/>
        </w:numPr>
        <w:topLinePunct/>
        <w:ind w:left="0" w:firstLine="560"/>
        <w:rPr>
          <w:color w:val="auto"/>
        </w:rPr>
      </w:pPr>
      <w:r>
        <w:rPr>
          <w:rFonts w:hint="eastAsia"/>
          <w:color w:val="auto"/>
        </w:rPr>
        <w:t>检修、清理中拆除的安全装置，检修、清理完毕应及时恢复。</w:t>
      </w:r>
    </w:p>
    <w:p w14:paraId="7666FD88" w14:textId="77777777" w:rsidR="009219A0" w:rsidRDefault="00000000">
      <w:pPr>
        <w:pStyle w:val="11"/>
        <w:numPr>
          <w:ilvl w:val="0"/>
          <w:numId w:val="4"/>
        </w:numPr>
        <w:topLinePunct/>
        <w:ind w:left="0" w:firstLine="560"/>
        <w:rPr>
          <w:color w:val="auto"/>
        </w:rPr>
      </w:pPr>
      <w:r>
        <w:rPr>
          <w:rFonts w:hint="eastAsia"/>
          <w:color w:val="auto"/>
        </w:rPr>
        <w:t>应加强检修等高处作业的管理，采取有效的防坠落措施（配备安全帽、五点安全带），并督促执行。</w:t>
      </w:r>
    </w:p>
    <w:p w14:paraId="68193A1F" w14:textId="77777777" w:rsidR="009219A0" w:rsidRDefault="00000000">
      <w:pPr>
        <w:pStyle w:val="11"/>
        <w:numPr>
          <w:ilvl w:val="0"/>
          <w:numId w:val="4"/>
        </w:numPr>
        <w:topLinePunct/>
        <w:ind w:left="0" w:firstLine="560"/>
        <w:rPr>
          <w:color w:val="auto"/>
        </w:rPr>
      </w:pPr>
      <w:r>
        <w:rPr>
          <w:rFonts w:hint="eastAsia"/>
          <w:color w:val="auto"/>
        </w:rPr>
        <w:t>应在实验室及中试车间配备溴化汞试纸，用于日常操作及设备</w:t>
      </w:r>
      <w:proofErr w:type="gramStart"/>
      <w:r>
        <w:rPr>
          <w:rFonts w:hint="eastAsia"/>
          <w:color w:val="auto"/>
        </w:rPr>
        <w:t>检修时硫化</w:t>
      </w:r>
      <w:proofErr w:type="gramEnd"/>
      <w:r>
        <w:rPr>
          <w:rFonts w:hint="eastAsia"/>
          <w:color w:val="auto"/>
        </w:rPr>
        <w:t>氢气体、</w:t>
      </w:r>
      <w:proofErr w:type="gramStart"/>
      <w:r>
        <w:rPr>
          <w:rFonts w:hint="eastAsia"/>
          <w:color w:val="auto"/>
        </w:rPr>
        <w:t>砷化氢气</w:t>
      </w:r>
      <w:proofErr w:type="gramEnd"/>
      <w:r>
        <w:rPr>
          <w:rFonts w:hint="eastAsia"/>
          <w:color w:val="auto"/>
        </w:rPr>
        <w:t>体的检测。</w:t>
      </w:r>
    </w:p>
    <w:p w14:paraId="2AD7B0DF" w14:textId="77777777" w:rsidR="009219A0" w:rsidRDefault="00000000">
      <w:pPr>
        <w:pStyle w:val="11"/>
        <w:numPr>
          <w:ilvl w:val="0"/>
          <w:numId w:val="4"/>
        </w:numPr>
        <w:topLinePunct/>
        <w:ind w:left="0" w:firstLine="560"/>
        <w:rPr>
          <w:color w:val="auto"/>
        </w:rPr>
      </w:pPr>
      <w:r>
        <w:rPr>
          <w:rFonts w:hint="eastAsia"/>
          <w:color w:val="auto"/>
        </w:rPr>
        <w:t>应加强对本项目硫化氢气体、</w:t>
      </w:r>
      <w:proofErr w:type="gramStart"/>
      <w:r>
        <w:rPr>
          <w:rFonts w:hint="eastAsia"/>
          <w:color w:val="auto"/>
        </w:rPr>
        <w:t>砷化氢气</w:t>
      </w:r>
      <w:proofErr w:type="gramEnd"/>
      <w:r>
        <w:rPr>
          <w:rFonts w:hint="eastAsia"/>
          <w:color w:val="auto"/>
        </w:rPr>
        <w:t>体可能发生泄漏位置以及废气收集、处理、排放设备的巡查与管理，保障安全设施完好、有效，</w:t>
      </w:r>
      <w:r>
        <w:rPr>
          <w:rFonts w:hint="eastAsia"/>
          <w:color w:val="auto"/>
        </w:rPr>
        <w:lastRenderedPageBreak/>
        <w:t>为操作人员配备相应的防护用品。</w:t>
      </w:r>
    </w:p>
    <w:p w14:paraId="2FA92D49" w14:textId="77777777" w:rsidR="009219A0" w:rsidRDefault="00000000">
      <w:pPr>
        <w:pStyle w:val="11"/>
        <w:numPr>
          <w:ilvl w:val="0"/>
          <w:numId w:val="4"/>
        </w:numPr>
        <w:topLinePunct/>
        <w:ind w:left="0" w:firstLine="560"/>
        <w:rPr>
          <w:color w:val="auto"/>
        </w:rPr>
      </w:pPr>
      <w:r>
        <w:rPr>
          <w:rFonts w:hint="eastAsia"/>
          <w:color w:val="auto"/>
        </w:rPr>
        <w:t>硫酸储罐及盐酸计量罐应设置收容措施。</w:t>
      </w:r>
    </w:p>
    <w:p w14:paraId="083B0DEF" w14:textId="77777777" w:rsidR="009219A0" w:rsidRDefault="00000000">
      <w:pPr>
        <w:pStyle w:val="11"/>
        <w:numPr>
          <w:ilvl w:val="0"/>
          <w:numId w:val="4"/>
        </w:numPr>
        <w:topLinePunct/>
        <w:ind w:left="0" w:firstLine="560"/>
        <w:rPr>
          <w:color w:val="auto"/>
        </w:rPr>
      </w:pPr>
      <w:r>
        <w:rPr>
          <w:rFonts w:hint="eastAsia"/>
          <w:color w:val="auto"/>
        </w:rPr>
        <w:t>有限空间作业前，应根据有限空间盛装的物料的特性，对有限空间进行清洗或置换，并达到下列要求：氧含量一般为</w:t>
      </w:r>
      <w:r>
        <w:rPr>
          <w:rFonts w:hint="eastAsia"/>
          <w:color w:val="auto"/>
        </w:rPr>
        <w:t>19.5%~23.5%</w:t>
      </w:r>
      <w:r>
        <w:rPr>
          <w:rFonts w:hint="eastAsia"/>
          <w:color w:val="auto"/>
        </w:rPr>
        <w:t>，在富氧环境下不得大于</w:t>
      </w:r>
      <w:r>
        <w:rPr>
          <w:rFonts w:hint="eastAsia"/>
          <w:color w:val="auto"/>
        </w:rPr>
        <w:t>23.5%</w:t>
      </w:r>
      <w:r>
        <w:rPr>
          <w:rFonts w:hint="eastAsia"/>
          <w:color w:val="auto"/>
        </w:rPr>
        <w:t>。可燃气体（物质）浓度应符合</w:t>
      </w:r>
      <w:r>
        <w:rPr>
          <w:rFonts w:hint="eastAsia"/>
          <w:color w:val="auto"/>
        </w:rPr>
        <w:t>GBZ2.1</w:t>
      </w:r>
      <w:r>
        <w:rPr>
          <w:rFonts w:hint="eastAsia"/>
          <w:color w:val="auto"/>
        </w:rPr>
        <w:t>的规定。</w:t>
      </w:r>
    </w:p>
    <w:p w14:paraId="5C923714" w14:textId="77777777" w:rsidR="009219A0" w:rsidRDefault="00000000">
      <w:pPr>
        <w:pStyle w:val="3"/>
        <w:rPr>
          <w:rFonts w:hint="eastAsia"/>
        </w:rPr>
      </w:pPr>
      <w:bookmarkStart w:id="229" w:name="_Toc211950475"/>
      <w:bookmarkStart w:id="230" w:name="_Toc515540399"/>
      <w:bookmarkStart w:id="231" w:name="_Toc520297565"/>
      <w:r>
        <w:rPr>
          <w:rFonts w:hint="eastAsia"/>
        </w:rPr>
        <w:t>8.1.2 安全管理对策措施及建议</w:t>
      </w:r>
      <w:bookmarkEnd w:id="229"/>
      <w:bookmarkEnd w:id="230"/>
      <w:bookmarkEnd w:id="231"/>
    </w:p>
    <w:p w14:paraId="7057EF60" w14:textId="77777777" w:rsidR="009219A0" w:rsidRDefault="00000000">
      <w:pPr>
        <w:pStyle w:val="11"/>
        <w:numPr>
          <w:ilvl w:val="0"/>
          <w:numId w:val="5"/>
        </w:numPr>
        <w:topLinePunct/>
        <w:ind w:left="0" w:firstLine="560"/>
        <w:rPr>
          <w:color w:val="auto"/>
        </w:rPr>
      </w:pPr>
      <w:r>
        <w:rPr>
          <w:color w:val="auto"/>
        </w:rPr>
        <w:t>安全管理人员安全管理资格证应定期复审</w:t>
      </w:r>
      <w:r>
        <w:rPr>
          <w:rFonts w:hint="eastAsia"/>
          <w:color w:val="auto"/>
        </w:rPr>
        <w:t>。</w:t>
      </w:r>
    </w:p>
    <w:p w14:paraId="78873267" w14:textId="77777777" w:rsidR="009219A0" w:rsidRDefault="00000000">
      <w:pPr>
        <w:pStyle w:val="11"/>
        <w:numPr>
          <w:ilvl w:val="0"/>
          <w:numId w:val="5"/>
        </w:numPr>
        <w:topLinePunct/>
        <w:ind w:left="0" w:firstLineChars="0" w:firstLine="560"/>
        <w:rPr>
          <w:color w:val="auto"/>
        </w:rPr>
      </w:pPr>
      <w:r>
        <w:rPr>
          <w:rFonts w:hint="eastAsia"/>
          <w:color w:val="auto"/>
        </w:rPr>
        <w:t>严格按照操作规程进行操作。</w:t>
      </w:r>
    </w:p>
    <w:p w14:paraId="75A5956C" w14:textId="77777777" w:rsidR="009219A0" w:rsidRDefault="00000000">
      <w:pPr>
        <w:pStyle w:val="11"/>
        <w:numPr>
          <w:ilvl w:val="0"/>
          <w:numId w:val="5"/>
        </w:numPr>
        <w:topLinePunct/>
        <w:ind w:left="0" w:firstLine="560"/>
        <w:rPr>
          <w:color w:val="auto"/>
        </w:rPr>
      </w:pPr>
      <w:r>
        <w:rPr>
          <w:color w:val="auto"/>
        </w:rPr>
        <w:t>对</w:t>
      </w:r>
      <w:r>
        <w:rPr>
          <w:rFonts w:hint="eastAsia"/>
          <w:color w:val="auto"/>
        </w:rPr>
        <w:t>强</w:t>
      </w:r>
      <w:proofErr w:type="gramStart"/>
      <w:r>
        <w:rPr>
          <w:rFonts w:hint="eastAsia"/>
          <w:color w:val="auto"/>
        </w:rPr>
        <w:t>检设备</w:t>
      </w:r>
      <w:proofErr w:type="gramEnd"/>
      <w:r>
        <w:rPr>
          <w:rFonts w:hint="eastAsia"/>
          <w:color w:val="auto"/>
        </w:rPr>
        <w:t>设施</w:t>
      </w:r>
      <w:r>
        <w:rPr>
          <w:color w:val="auto"/>
        </w:rPr>
        <w:t>等定期检测</w:t>
      </w:r>
      <w:r>
        <w:rPr>
          <w:rFonts w:hint="eastAsia"/>
          <w:color w:val="auto"/>
        </w:rPr>
        <w:t>。</w:t>
      </w:r>
    </w:p>
    <w:p w14:paraId="6C6241C0" w14:textId="77777777" w:rsidR="009219A0" w:rsidRDefault="00000000">
      <w:pPr>
        <w:pStyle w:val="11"/>
        <w:numPr>
          <w:ilvl w:val="0"/>
          <w:numId w:val="5"/>
        </w:numPr>
        <w:topLinePunct/>
        <w:ind w:left="0" w:firstLine="560"/>
        <w:rPr>
          <w:color w:val="auto"/>
        </w:rPr>
      </w:pPr>
      <w:r>
        <w:rPr>
          <w:color w:val="auto"/>
        </w:rPr>
        <w:t>定期邀请有检测资质的单位进行防雷防静电检测</w:t>
      </w:r>
      <w:r>
        <w:rPr>
          <w:rFonts w:hint="eastAsia"/>
          <w:color w:val="auto"/>
        </w:rPr>
        <w:t>，</w:t>
      </w:r>
      <w:r>
        <w:rPr>
          <w:color w:val="auto"/>
        </w:rPr>
        <w:t>若有不符合项应及时整改</w:t>
      </w:r>
      <w:r>
        <w:rPr>
          <w:rFonts w:hint="eastAsia"/>
          <w:color w:val="auto"/>
        </w:rPr>
        <w:t>。</w:t>
      </w:r>
    </w:p>
    <w:p w14:paraId="108143C9" w14:textId="77777777" w:rsidR="009219A0" w:rsidRDefault="00000000">
      <w:pPr>
        <w:pStyle w:val="11"/>
        <w:numPr>
          <w:ilvl w:val="0"/>
          <w:numId w:val="5"/>
        </w:numPr>
        <w:topLinePunct/>
        <w:ind w:left="0" w:firstLine="560"/>
        <w:rPr>
          <w:color w:val="auto"/>
        </w:rPr>
      </w:pPr>
      <w:r>
        <w:rPr>
          <w:color w:val="auto"/>
        </w:rPr>
        <w:t>定期对设施设备进行维护，保证安全防护设施有效，并定期检查灭火器等消防设施，及时更换过期、失效的消防器材</w:t>
      </w:r>
      <w:r>
        <w:rPr>
          <w:rFonts w:hint="eastAsia"/>
          <w:color w:val="auto"/>
        </w:rPr>
        <w:t>。</w:t>
      </w:r>
    </w:p>
    <w:p w14:paraId="4A123230" w14:textId="77777777" w:rsidR="009219A0" w:rsidRDefault="00000000">
      <w:pPr>
        <w:pStyle w:val="11"/>
        <w:numPr>
          <w:ilvl w:val="0"/>
          <w:numId w:val="5"/>
        </w:numPr>
        <w:topLinePunct/>
        <w:ind w:left="0" w:firstLine="560"/>
        <w:rPr>
          <w:color w:val="auto"/>
        </w:rPr>
      </w:pPr>
      <w:r>
        <w:rPr>
          <w:color w:val="auto"/>
        </w:rPr>
        <w:t>安全管理人员应不断提高自身的综合安全管理水平，加强对职工及新进人员的安全教育工作，提高全体员工的安全意识和自我保护能力；并做好日常的安全教育培训记录；严禁违章作业、违章指挥；安全管理人员应参加培训，经考核合格后，持证上岗</w:t>
      </w:r>
      <w:r>
        <w:rPr>
          <w:rFonts w:hint="eastAsia"/>
          <w:color w:val="auto"/>
        </w:rPr>
        <w:t>。</w:t>
      </w:r>
    </w:p>
    <w:p w14:paraId="371C2FCF" w14:textId="77777777" w:rsidR="009219A0" w:rsidRDefault="00000000">
      <w:pPr>
        <w:pStyle w:val="11"/>
        <w:numPr>
          <w:ilvl w:val="0"/>
          <w:numId w:val="5"/>
        </w:numPr>
        <w:topLinePunct/>
        <w:ind w:left="0" w:firstLine="560"/>
        <w:rPr>
          <w:color w:val="auto"/>
        </w:rPr>
      </w:pPr>
      <w:r>
        <w:rPr>
          <w:color w:val="auto"/>
        </w:rPr>
        <w:t>根据生产的实际情况，不断完善安全生产管理规章制度</w:t>
      </w:r>
      <w:r>
        <w:rPr>
          <w:rFonts w:hint="eastAsia"/>
          <w:color w:val="auto"/>
        </w:rPr>
        <w:t>，</w:t>
      </w:r>
      <w:r>
        <w:rPr>
          <w:color w:val="auto"/>
        </w:rPr>
        <w:t>补充应急值班制度；完善生产、检修等作业的安全操作规程</w:t>
      </w:r>
      <w:r>
        <w:rPr>
          <w:rFonts w:hint="eastAsia"/>
          <w:color w:val="auto"/>
        </w:rPr>
        <w:t>，</w:t>
      </w:r>
      <w:r>
        <w:rPr>
          <w:color w:val="auto"/>
        </w:rPr>
        <w:t>运行过程中不断完善更新操作规程</w:t>
      </w:r>
      <w:r>
        <w:rPr>
          <w:rFonts w:hint="eastAsia"/>
          <w:color w:val="auto"/>
        </w:rPr>
        <w:t>，</w:t>
      </w:r>
      <w:r>
        <w:rPr>
          <w:color w:val="auto"/>
        </w:rPr>
        <w:t>规范操作；加强作业现场检维修管理</w:t>
      </w:r>
      <w:r>
        <w:rPr>
          <w:rFonts w:hint="eastAsia"/>
          <w:color w:val="auto"/>
        </w:rPr>
        <w:t>，</w:t>
      </w:r>
      <w:r>
        <w:rPr>
          <w:color w:val="auto"/>
        </w:rPr>
        <w:t>做好安全管理台帐</w:t>
      </w:r>
      <w:r>
        <w:rPr>
          <w:rFonts w:hint="eastAsia"/>
          <w:color w:val="auto"/>
        </w:rPr>
        <w:t>（</w:t>
      </w:r>
      <w:r>
        <w:rPr>
          <w:color w:val="auto"/>
        </w:rPr>
        <w:t>作业票票证管理</w:t>
      </w:r>
      <w:r>
        <w:rPr>
          <w:rFonts w:hint="eastAsia"/>
          <w:color w:val="auto"/>
        </w:rPr>
        <w:t>）</w:t>
      </w:r>
      <w:r>
        <w:rPr>
          <w:color w:val="auto"/>
        </w:rPr>
        <w:t>的记录</w:t>
      </w:r>
      <w:r>
        <w:rPr>
          <w:rFonts w:hint="eastAsia"/>
          <w:color w:val="auto"/>
        </w:rPr>
        <w:t>。操作规程完善后应实施规程在对应操作岗位上墙制度。</w:t>
      </w:r>
    </w:p>
    <w:p w14:paraId="4F62DFE8" w14:textId="77777777" w:rsidR="009219A0" w:rsidRDefault="00000000">
      <w:pPr>
        <w:pStyle w:val="11"/>
        <w:numPr>
          <w:ilvl w:val="0"/>
          <w:numId w:val="5"/>
        </w:numPr>
        <w:topLinePunct/>
        <w:ind w:left="0" w:firstLine="560"/>
        <w:rPr>
          <w:color w:val="auto"/>
        </w:rPr>
      </w:pPr>
      <w:r>
        <w:rPr>
          <w:color w:val="auto"/>
        </w:rPr>
        <w:t>企业保证每年安全生产所需要的资金投入，使公司具备安全生产条件，安全设施投资应当纳入建设项目概算。安全资金主要用在以下方面</w:t>
      </w:r>
      <w:r>
        <w:rPr>
          <w:rFonts w:hint="eastAsia"/>
          <w:color w:val="auto"/>
        </w:rPr>
        <w:t>：</w:t>
      </w:r>
    </w:p>
    <w:p w14:paraId="1F349A9B" w14:textId="77777777" w:rsidR="009219A0" w:rsidRDefault="00000000">
      <w:pPr>
        <w:pStyle w:val="11"/>
        <w:numPr>
          <w:ilvl w:val="0"/>
          <w:numId w:val="6"/>
        </w:numPr>
        <w:topLinePunct/>
        <w:ind w:left="0" w:firstLine="560"/>
        <w:rPr>
          <w:color w:val="auto"/>
        </w:rPr>
      </w:pPr>
      <w:r>
        <w:rPr>
          <w:rFonts w:hint="eastAsia"/>
          <w:color w:val="auto"/>
        </w:rPr>
        <w:t>购置购建、更新改造、检测检验、检定校准、运行维护安全防护和</w:t>
      </w:r>
      <w:r>
        <w:rPr>
          <w:rFonts w:hint="eastAsia"/>
          <w:color w:val="auto"/>
        </w:rPr>
        <w:lastRenderedPageBreak/>
        <w:t>紧急避险设施、设备支出</w:t>
      </w:r>
      <w:r>
        <w:rPr>
          <w:rFonts w:hint="eastAsia"/>
          <w:color w:val="auto"/>
        </w:rPr>
        <w:t>[</w:t>
      </w:r>
      <w:r>
        <w:rPr>
          <w:rFonts w:hint="eastAsia"/>
          <w:color w:val="auto"/>
        </w:rPr>
        <w:t>不含按照“建设项目安全设施必须与主体工程同时设计、同时施工、同时投入生产和使用”（以下简称“三同时”）规定投入的安全设施、设备</w:t>
      </w:r>
      <w:r>
        <w:rPr>
          <w:rFonts w:hint="eastAsia"/>
          <w:color w:val="auto"/>
        </w:rPr>
        <w:t>]</w:t>
      </w:r>
      <w:r>
        <w:rPr>
          <w:rFonts w:hint="eastAsia"/>
          <w:color w:val="auto"/>
        </w:rPr>
        <w:t>；</w:t>
      </w:r>
    </w:p>
    <w:p w14:paraId="401BDF2F" w14:textId="77777777" w:rsidR="009219A0" w:rsidRDefault="00000000">
      <w:pPr>
        <w:pStyle w:val="11"/>
        <w:numPr>
          <w:ilvl w:val="0"/>
          <w:numId w:val="6"/>
        </w:numPr>
        <w:topLinePunct/>
        <w:ind w:left="0" w:firstLine="560"/>
        <w:rPr>
          <w:color w:val="auto"/>
        </w:rPr>
      </w:pPr>
      <w:r>
        <w:rPr>
          <w:rFonts w:hint="eastAsia"/>
          <w:color w:val="auto"/>
        </w:rPr>
        <w:t>购置、开发、推广应用、更新升级、运行维护安全生产信息系统、软件、网络安全、技术支出；</w:t>
      </w:r>
    </w:p>
    <w:p w14:paraId="084DF4BB" w14:textId="77777777" w:rsidR="009219A0" w:rsidRDefault="00000000">
      <w:pPr>
        <w:pStyle w:val="11"/>
        <w:numPr>
          <w:ilvl w:val="0"/>
          <w:numId w:val="6"/>
        </w:numPr>
        <w:topLinePunct/>
        <w:ind w:left="0" w:firstLine="560"/>
        <w:rPr>
          <w:color w:val="auto"/>
        </w:rPr>
      </w:pPr>
      <w:r>
        <w:rPr>
          <w:rFonts w:hint="eastAsia"/>
          <w:color w:val="auto"/>
        </w:rPr>
        <w:t>配备、更新、维护、保养安全防护用品和应急救援器材、设备支出；</w:t>
      </w:r>
    </w:p>
    <w:p w14:paraId="31B25791" w14:textId="77777777" w:rsidR="009219A0" w:rsidRDefault="00000000">
      <w:pPr>
        <w:pStyle w:val="11"/>
        <w:numPr>
          <w:ilvl w:val="0"/>
          <w:numId w:val="6"/>
        </w:numPr>
        <w:topLinePunct/>
        <w:ind w:left="0" w:firstLine="560"/>
        <w:rPr>
          <w:color w:val="auto"/>
        </w:rPr>
      </w:pPr>
      <w:r>
        <w:rPr>
          <w:rFonts w:hint="eastAsia"/>
          <w:color w:val="auto"/>
        </w:rPr>
        <w:t>企业应急救援队伍建设（含建设应急救援队伍所需应急救援物资储备、人员培训等方面）、安全生产宣传教育培训、从业人员发现报告事故隐患的奖励支出；</w:t>
      </w:r>
    </w:p>
    <w:p w14:paraId="21D620E8" w14:textId="77777777" w:rsidR="009219A0" w:rsidRDefault="00000000">
      <w:pPr>
        <w:pStyle w:val="11"/>
        <w:numPr>
          <w:ilvl w:val="0"/>
          <w:numId w:val="6"/>
        </w:numPr>
        <w:topLinePunct/>
        <w:ind w:left="0" w:firstLine="560"/>
        <w:rPr>
          <w:color w:val="auto"/>
        </w:rPr>
      </w:pPr>
      <w:r>
        <w:rPr>
          <w:rFonts w:hint="eastAsia"/>
          <w:color w:val="auto"/>
        </w:rPr>
        <w:t>安全生产责任保险、承运人责任险等与安全生产直接相关的法定保险支出；</w:t>
      </w:r>
    </w:p>
    <w:p w14:paraId="2EB925D8" w14:textId="77777777" w:rsidR="009219A0" w:rsidRDefault="00000000">
      <w:pPr>
        <w:pStyle w:val="11"/>
        <w:numPr>
          <w:ilvl w:val="0"/>
          <w:numId w:val="6"/>
        </w:numPr>
        <w:topLinePunct/>
        <w:ind w:left="0" w:firstLine="560"/>
        <w:rPr>
          <w:color w:val="auto"/>
        </w:rPr>
      </w:pPr>
      <w:r>
        <w:rPr>
          <w:rFonts w:hint="eastAsia"/>
          <w:color w:val="auto"/>
        </w:rPr>
        <w:t>安全生产检查检测、评估评价（不含新建、改建、扩建项目安全评价）、评审、咨询、标准化建设、应急预案制修订、应急演练支出；</w:t>
      </w:r>
    </w:p>
    <w:p w14:paraId="0FEDA6D7" w14:textId="77777777" w:rsidR="009219A0" w:rsidRDefault="00000000">
      <w:pPr>
        <w:pStyle w:val="11"/>
        <w:numPr>
          <w:ilvl w:val="0"/>
          <w:numId w:val="6"/>
        </w:numPr>
        <w:topLinePunct/>
        <w:ind w:left="0" w:firstLine="560"/>
        <w:rPr>
          <w:color w:val="auto"/>
        </w:rPr>
      </w:pPr>
      <w:r>
        <w:rPr>
          <w:rFonts w:hint="eastAsia"/>
          <w:color w:val="auto"/>
        </w:rPr>
        <w:t>与安全生产直接相关的其他支出。</w:t>
      </w:r>
    </w:p>
    <w:p w14:paraId="2B2631A4" w14:textId="77777777" w:rsidR="009219A0" w:rsidRDefault="00000000">
      <w:pPr>
        <w:pStyle w:val="11"/>
        <w:numPr>
          <w:ilvl w:val="0"/>
          <w:numId w:val="5"/>
        </w:numPr>
        <w:topLinePunct/>
        <w:ind w:left="0" w:firstLine="560"/>
        <w:rPr>
          <w:color w:val="auto"/>
        </w:rPr>
      </w:pPr>
      <w:r>
        <w:rPr>
          <w:color w:val="auto"/>
        </w:rPr>
        <w:t>应按《中华人民共和国安全生产法》第</w:t>
      </w:r>
      <w:r>
        <w:rPr>
          <w:rFonts w:hint="eastAsia"/>
          <w:color w:val="auto"/>
        </w:rPr>
        <w:t>五十一</w:t>
      </w:r>
      <w:r>
        <w:rPr>
          <w:color w:val="auto"/>
        </w:rPr>
        <w:t>条</w:t>
      </w:r>
      <w:r>
        <w:rPr>
          <w:rFonts w:hint="eastAsia"/>
          <w:color w:val="auto"/>
        </w:rPr>
        <w:t>“</w:t>
      </w:r>
      <w:r>
        <w:rPr>
          <w:color w:val="auto"/>
        </w:rPr>
        <w:t>生产经营单位必须依法参加工伤社会保险，为从业人员缴纳保险费</w:t>
      </w:r>
      <w:r>
        <w:rPr>
          <w:rFonts w:hint="eastAsia"/>
          <w:color w:val="auto"/>
        </w:rPr>
        <w:t>”</w:t>
      </w:r>
      <w:r>
        <w:rPr>
          <w:color w:val="auto"/>
        </w:rPr>
        <w:t>的规定依法为从业人员缴纳工伤保险。</w:t>
      </w:r>
    </w:p>
    <w:p w14:paraId="734B2882" w14:textId="77777777" w:rsidR="009219A0" w:rsidRDefault="00000000">
      <w:pPr>
        <w:pStyle w:val="11"/>
        <w:numPr>
          <w:ilvl w:val="0"/>
          <w:numId w:val="5"/>
        </w:numPr>
        <w:topLinePunct/>
        <w:ind w:left="0" w:firstLine="560"/>
        <w:rPr>
          <w:color w:val="auto"/>
        </w:rPr>
      </w:pPr>
      <w:r>
        <w:rPr>
          <w:color w:val="auto"/>
        </w:rPr>
        <w:t>定期为作业人员配发合格的劳动防护用品，并严格监督作业人员的劳动防护用品佩戴情况，及时更换失效的劳动防护用品。</w:t>
      </w:r>
    </w:p>
    <w:p w14:paraId="255DEB74" w14:textId="77777777" w:rsidR="009219A0" w:rsidRDefault="00000000">
      <w:pPr>
        <w:pStyle w:val="11"/>
        <w:numPr>
          <w:ilvl w:val="0"/>
          <w:numId w:val="5"/>
        </w:numPr>
        <w:topLinePunct/>
        <w:ind w:left="0" w:firstLine="560"/>
        <w:rPr>
          <w:color w:val="auto"/>
        </w:rPr>
      </w:pPr>
      <w:r>
        <w:rPr>
          <w:color w:val="auto"/>
        </w:rPr>
        <w:t>加强人员安全培训教育，定期组织安全培训教育活动，提高职工安全意识，掌握紧急事故处理、救援知识和实际操作方法</w:t>
      </w:r>
      <w:r>
        <w:rPr>
          <w:rFonts w:hint="eastAsia"/>
          <w:color w:val="auto"/>
        </w:rPr>
        <w:t>。</w:t>
      </w:r>
    </w:p>
    <w:p w14:paraId="1F1E8E18" w14:textId="77777777" w:rsidR="009219A0" w:rsidRDefault="00000000">
      <w:pPr>
        <w:pStyle w:val="3"/>
        <w:rPr>
          <w:rFonts w:hint="eastAsia"/>
        </w:rPr>
      </w:pPr>
      <w:bookmarkStart w:id="232" w:name="_Toc211950476"/>
      <w:r>
        <w:rPr>
          <w:rFonts w:hint="eastAsia"/>
        </w:rPr>
        <w:t>8.1.3 应急救援对策措施及建议</w:t>
      </w:r>
      <w:bookmarkEnd w:id="232"/>
    </w:p>
    <w:p w14:paraId="723DF719" w14:textId="77777777" w:rsidR="009219A0" w:rsidRDefault="00000000">
      <w:pPr>
        <w:pStyle w:val="11"/>
        <w:numPr>
          <w:ilvl w:val="0"/>
          <w:numId w:val="7"/>
        </w:numPr>
        <w:topLinePunct/>
        <w:ind w:left="0" w:firstLine="560"/>
        <w:rPr>
          <w:color w:val="auto"/>
        </w:rPr>
      </w:pPr>
      <w:r>
        <w:rPr>
          <w:color w:val="auto"/>
        </w:rPr>
        <w:t>企业应健全事故应急救援体系。依据国家相关法律法规及标准要求，建立、健全应急组织和专（兼）职应急队伍，明确职责，并定期进行事故应急演练。</w:t>
      </w:r>
    </w:p>
    <w:p w14:paraId="4E3D65C1" w14:textId="77777777" w:rsidR="009219A0" w:rsidRDefault="00000000">
      <w:pPr>
        <w:pStyle w:val="11"/>
        <w:numPr>
          <w:ilvl w:val="0"/>
          <w:numId w:val="7"/>
        </w:numPr>
        <w:topLinePunct/>
        <w:ind w:left="0" w:firstLine="560"/>
        <w:rPr>
          <w:color w:val="auto"/>
        </w:rPr>
      </w:pPr>
      <w:r>
        <w:rPr>
          <w:color w:val="auto"/>
        </w:rPr>
        <w:lastRenderedPageBreak/>
        <w:t>企业应配置与抵御企业风险要求相适应的应急装备、物资，做好应急装备、物资的日常管理维护，配备必要的应急药品和急救器材。</w:t>
      </w:r>
    </w:p>
    <w:p w14:paraId="247577B4" w14:textId="77777777" w:rsidR="009219A0" w:rsidRDefault="00000000">
      <w:pPr>
        <w:pStyle w:val="11"/>
        <w:numPr>
          <w:ilvl w:val="0"/>
          <w:numId w:val="7"/>
        </w:numPr>
        <w:topLinePunct/>
        <w:ind w:left="0" w:firstLine="560"/>
        <w:rPr>
          <w:color w:val="auto"/>
        </w:rPr>
      </w:pPr>
      <w:r>
        <w:rPr>
          <w:color w:val="auto"/>
        </w:rPr>
        <w:t>企业应当在编制应急预案的基础上，针对工作场所、岗位的特点，编制简明、实用、有效的应急处置卡。应急</w:t>
      </w:r>
      <w:proofErr w:type="gramStart"/>
      <w:r>
        <w:rPr>
          <w:color w:val="auto"/>
        </w:rPr>
        <w:t>处置卡</w:t>
      </w:r>
      <w:proofErr w:type="gramEnd"/>
      <w:r>
        <w:rPr>
          <w:color w:val="auto"/>
        </w:rPr>
        <w:t>应当规定重点岗位、人员的应急处置程序和措施，以及相关联络人员和联系方式，便于从业人员携带。</w:t>
      </w:r>
    </w:p>
    <w:p w14:paraId="497DFF05" w14:textId="77777777" w:rsidR="009219A0" w:rsidRDefault="00000000">
      <w:pPr>
        <w:pStyle w:val="11"/>
        <w:numPr>
          <w:ilvl w:val="0"/>
          <w:numId w:val="7"/>
        </w:numPr>
        <w:topLinePunct/>
        <w:ind w:left="0" w:firstLine="560"/>
        <w:rPr>
          <w:color w:val="auto"/>
        </w:rPr>
      </w:pPr>
      <w:r>
        <w:rPr>
          <w:color w:val="auto"/>
        </w:rPr>
        <w:t>企业应当组织开展本单位的应急预案、应急知识、自救互救和避险逃生技能的培训活动，使有关人员了解应急预案内容，熟悉应急职责、应急处置程序和措施。</w:t>
      </w:r>
    </w:p>
    <w:p w14:paraId="01AD395D" w14:textId="77777777" w:rsidR="009219A0" w:rsidRDefault="00000000">
      <w:pPr>
        <w:pStyle w:val="11"/>
        <w:numPr>
          <w:ilvl w:val="0"/>
          <w:numId w:val="7"/>
        </w:numPr>
        <w:topLinePunct/>
        <w:ind w:left="0" w:firstLine="560"/>
        <w:rPr>
          <w:color w:val="auto"/>
        </w:rPr>
      </w:pPr>
      <w:r>
        <w:rPr>
          <w:color w:val="auto"/>
        </w:rPr>
        <w:t>企业应当按照应急预案的规定，落实应急指挥体系、应急救援队伍、应急物资及装备，建立应急物资、装备配备及其使用档案，并对应急物资、装备进行定期检测和维护，使其处于适用状态。</w:t>
      </w:r>
    </w:p>
    <w:p w14:paraId="6D7E5064" w14:textId="77777777" w:rsidR="009219A0" w:rsidRDefault="00000000">
      <w:pPr>
        <w:pStyle w:val="11"/>
        <w:numPr>
          <w:ilvl w:val="0"/>
          <w:numId w:val="7"/>
        </w:numPr>
        <w:topLinePunct/>
        <w:ind w:left="0" w:firstLine="560"/>
        <w:rPr>
          <w:color w:val="auto"/>
        </w:rPr>
      </w:pPr>
      <w:r>
        <w:rPr>
          <w:rFonts w:hint="eastAsia"/>
          <w:color w:val="auto"/>
        </w:rPr>
        <w:t>每年至少组织一次综合应急预案演练或者专项应急预案演练，每半年至少组织一次现场处置方案演练。并对演练过程、效果、经验、存在问题、改进措施进行总结。</w:t>
      </w:r>
    </w:p>
    <w:p w14:paraId="21DF0198" w14:textId="77777777" w:rsidR="009219A0" w:rsidRDefault="00000000">
      <w:pPr>
        <w:pStyle w:val="11"/>
        <w:numPr>
          <w:ilvl w:val="0"/>
          <w:numId w:val="7"/>
        </w:numPr>
        <w:topLinePunct/>
        <w:ind w:left="0" w:firstLine="560"/>
        <w:rPr>
          <w:color w:val="auto"/>
        </w:rPr>
      </w:pPr>
      <w:r>
        <w:rPr>
          <w:rFonts w:ascii="宋体" w:hAnsi="宋体" w:hint="eastAsia"/>
          <w:color w:val="auto"/>
        </w:rPr>
        <w:t>按</w:t>
      </w:r>
      <w:r>
        <w:rPr>
          <w:rFonts w:hint="eastAsia"/>
          <w:color w:val="auto"/>
        </w:rPr>
        <w:t>《生产经营单位生产安全事故应急评估指南》</w:t>
      </w:r>
      <w:r>
        <w:rPr>
          <w:rFonts w:ascii="宋体" w:hAnsi="宋体" w:hint="eastAsia"/>
          <w:color w:val="auto"/>
        </w:rPr>
        <w:t>（YJ/T 9011-2019）</w:t>
      </w:r>
      <w:r>
        <w:rPr>
          <w:rFonts w:hint="eastAsia"/>
          <w:color w:val="auto"/>
        </w:rPr>
        <w:t>的规定，对应急演练的效果进行评估，根据评估结果，修订、完善应急预案，改进应急管理工作。</w:t>
      </w:r>
    </w:p>
    <w:p w14:paraId="034CF8F7" w14:textId="77777777" w:rsidR="009219A0" w:rsidRDefault="00000000">
      <w:pPr>
        <w:pStyle w:val="11"/>
        <w:numPr>
          <w:ilvl w:val="0"/>
          <w:numId w:val="7"/>
        </w:numPr>
        <w:topLinePunct/>
        <w:ind w:left="0" w:firstLine="560"/>
        <w:rPr>
          <w:rFonts w:ascii="宋体" w:hAnsi="宋体" w:cs="宋体" w:hint="eastAsia"/>
          <w:color w:val="auto"/>
          <w:kern w:val="0"/>
          <w:szCs w:val="28"/>
        </w:rPr>
      </w:pPr>
      <w:r>
        <w:rPr>
          <w:rFonts w:hint="eastAsia"/>
          <w:color w:val="auto"/>
        </w:rPr>
        <w:t>企业应对预案每三年修订</w:t>
      </w:r>
      <w:r>
        <w:rPr>
          <w:rFonts w:ascii="宋体" w:hAnsi="宋体" w:cs="宋体" w:hint="eastAsia"/>
          <w:color w:val="auto"/>
          <w:kern w:val="0"/>
          <w:szCs w:val="28"/>
        </w:rPr>
        <w:t>一次；有下列情形之一时，应急预案及时修订：</w:t>
      </w:r>
    </w:p>
    <w:p w14:paraId="3AF7DFEA" w14:textId="77777777" w:rsidR="009219A0" w:rsidRDefault="00000000">
      <w:pPr>
        <w:widowControl/>
        <w:numPr>
          <w:ilvl w:val="0"/>
          <w:numId w:val="8"/>
        </w:numPr>
        <w:tabs>
          <w:tab w:val="left" w:pos="840"/>
        </w:tabs>
        <w:adjustRightInd/>
        <w:snapToGrid/>
        <w:ind w:left="0" w:firstLine="560"/>
        <w:jc w:val="left"/>
        <w:rPr>
          <w:rFonts w:ascii="宋体" w:hAnsi="宋体" w:cs="宋体" w:hint="eastAsia"/>
          <w:color w:val="auto"/>
          <w:kern w:val="0"/>
          <w:szCs w:val="28"/>
        </w:rPr>
      </w:pPr>
      <w:r>
        <w:rPr>
          <w:rFonts w:ascii="宋体" w:hAnsi="宋体" w:cs="宋体" w:hint="eastAsia"/>
          <w:color w:val="auto"/>
          <w:kern w:val="0"/>
          <w:szCs w:val="28"/>
        </w:rPr>
        <w:t>依据的法律、法规、规章、标准及有关规定发生重大变化的；</w:t>
      </w:r>
    </w:p>
    <w:p w14:paraId="5255F916" w14:textId="77777777" w:rsidR="009219A0" w:rsidRDefault="00000000">
      <w:pPr>
        <w:widowControl/>
        <w:numPr>
          <w:ilvl w:val="0"/>
          <w:numId w:val="8"/>
        </w:numPr>
        <w:tabs>
          <w:tab w:val="left" w:pos="840"/>
        </w:tabs>
        <w:adjustRightInd/>
        <w:snapToGrid/>
        <w:ind w:left="0" w:firstLine="560"/>
        <w:jc w:val="left"/>
        <w:rPr>
          <w:rFonts w:ascii="宋体" w:hAnsi="宋体" w:cs="宋体" w:hint="eastAsia"/>
          <w:color w:val="auto"/>
          <w:kern w:val="0"/>
          <w:szCs w:val="28"/>
        </w:rPr>
      </w:pPr>
      <w:r>
        <w:rPr>
          <w:rFonts w:ascii="宋体" w:hAnsi="宋体" w:cs="宋体" w:hint="eastAsia"/>
          <w:color w:val="auto"/>
          <w:kern w:val="0"/>
          <w:szCs w:val="28"/>
        </w:rPr>
        <w:t>应急指挥机构及其职责发生调整的；</w:t>
      </w:r>
    </w:p>
    <w:p w14:paraId="4741B31C" w14:textId="77777777" w:rsidR="009219A0" w:rsidRDefault="00000000">
      <w:pPr>
        <w:widowControl/>
        <w:numPr>
          <w:ilvl w:val="0"/>
          <w:numId w:val="8"/>
        </w:numPr>
        <w:tabs>
          <w:tab w:val="left" w:pos="840"/>
        </w:tabs>
        <w:adjustRightInd/>
        <w:snapToGrid/>
        <w:ind w:left="0" w:firstLine="560"/>
        <w:jc w:val="left"/>
        <w:rPr>
          <w:rFonts w:ascii="宋体" w:hAnsi="宋体" w:cs="宋体" w:hint="eastAsia"/>
          <w:color w:val="auto"/>
          <w:kern w:val="0"/>
          <w:szCs w:val="28"/>
        </w:rPr>
      </w:pPr>
      <w:r>
        <w:rPr>
          <w:rFonts w:ascii="宋体" w:hAnsi="宋体" w:cs="宋体" w:hint="eastAsia"/>
          <w:color w:val="auto"/>
          <w:kern w:val="0"/>
          <w:szCs w:val="28"/>
        </w:rPr>
        <w:t>面临的事故风险发生重大变化的；</w:t>
      </w:r>
    </w:p>
    <w:p w14:paraId="3E810526" w14:textId="77777777" w:rsidR="009219A0" w:rsidRDefault="00000000">
      <w:pPr>
        <w:widowControl/>
        <w:numPr>
          <w:ilvl w:val="0"/>
          <w:numId w:val="8"/>
        </w:numPr>
        <w:tabs>
          <w:tab w:val="left" w:pos="840"/>
        </w:tabs>
        <w:adjustRightInd/>
        <w:snapToGrid/>
        <w:ind w:left="0" w:firstLine="560"/>
        <w:jc w:val="left"/>
        <w:rPr>
          <w:rFonts w:ascii="宋体" w:hAnsi="宋体" w:cs="宋体" w:hint="eastAsia"/>
          <w:color w:val="auto"/>
          <w:kern w:val="0"/>
          <w:szCs w:val="28"/>
        </w:rPr>
      </w:pPr>
      <w:r>
        <w:rPr>
          <w:rFonts w:ascii="宋体" w:hAnsi="宋体" w:cs="宋体" w:hint="eastAsia"/>
          <w:color w:val="auto"/>
          <w:kern w:val="0"/>
          <w:szCs w:val="28"/>
        </w:rPr>
        <w:t>重要应急资源发生重大变化的；</w:t>
      </w:r>
    </w:p>
    <w:p w14:paraId="76AF63AF" w14:textId="77777777" w:rsidR="009219A0" w:rsidRDefault="00000000">
      <w:pPr>
        <w:widowControl/>
        <w:numPr>
          <w:ilvl w:val="0"/>
          <w:numId w:val="8"/>
        </w:numPr>
        <w:tabs>
          <w:tab w:val="left" w:pos="840"/>
        </w:tabs>
        <w:adjustRightInd/>
        <w:snapToGrid/>
        <w:ind w:left="0" w:firstLine="560"/>
        <w:jc w:val="left"/>
        <w:rPr>
          <w:rFonts w:ascii="宋体" w:hAnsi="宋体" w:cs="宋体" w:hint="eastAsia"/>
          <w:color w:val="auto"/>
          <w:kern w:val="0"/>
          <w:szCs w:val="28"/>
        </w:rPr>
      </w:pPr>
      <w:r>
        <w:rPr>
          <w:rFonts w:ascii="宋体" w:hAnsi="宋体" w:cs="宋体" w:hint="eastAsia"/>
          <w:color w:val="auto"/>
          <w:kern w:val="0"/>
          <w:szCs w:val="28"/>
        </w:rPr>
        <w:t>预案中的其他重要信息发生变化的；</w:t>
      </w:r>
    </w:p>
    <w:p w14:paraId="41902B75" w14:textId="77777777" w:rsidR="009219A0" w:rsidRDefault="00000000">
      <w:pPr>
        <w:widowControl/>
        <w:numPr>
          <w:ilvl w:val="0"/>
          <w:numId w:val="8"/>
        </w:numPr>
        <w:tabs>
          <w:tab w:val="left" w:pos="840"/>
        </w:tabs>
        <w:adjustRightInd/>
        <w:snapToGrid/>
        <w:ind w:left="0" w:firstLine="560"/>
        <w:jc w:val="left"/>
        <w:rPr>
          <w:rFonts w:ascii="宋体" w:hAnsi="宋体" w:cs="宋体" w:hint="eastAsia"/>
          <w:color w:val="auto"/>
          <w:kern w:val="0"/>
          <w:szCs w:val="28"/>
        </w:rPr>
      </w:pPr>
      <w:r>
        <w:rPr>
          <w:rFonts w:ascii="宋体" w:hAnsi="宋体" w:cs="宋体" w:hint="eastAsia"/>
          <w:color w:val="auto"/>
          <w:kern w:val="0"/>
          <w:szCs w:val="28"/>
        </w:rPr>
        <w:lastRenderedPageBreak/>
        <w:t>在应急演练和事故应急救援中发现问题需要修订的；</w:t>
      </w:r>
    </w:p>
    <w:p w14:paraId="52DFFD25" w14:textId="77777777" w:rsidR="009219A0" w:rsidRDefault="00000000">
      <w:pPr>
        <w:pStyle w:val="11"/>
        <w:numPr>
          <w:ilvl w:val="0"/>
          <w:numId w:val="7"/>
        </w:numPr>
        <w:topLinePunct/>
        <w:ind w:left="0" w:firstLine="560"/>
        <w:rPr>
          <w:rFonts w:ascii="宋体" w:hAnsi="宋体" w:cs="宋体" w:hint="eastAsia"/>
          <w:color w:val="auto"/>
          <w:kern w:val="0"/>
          <w:szCs w:val="28"/>
        </w:rPr>
      </w:pPr>
      <w:r>
        <w:rPr>
          <w:rFonts w:hint="eastAsia"/>
          <w:color w:val="auto"/>
        </w:rPr>
        <w:t>发生事故后，应立即启动相关应急预案，积极开展事故救援；应急结束后，应编制应急救援报告。</w:t>
      </w:r>
    </w:p>
    <w:p w14:paraId="75FF65E1" w14:textId="77777777" w:rsidR="009219A0" w:rsidRDefault="00000000">
      <w:pPr>
        <w:pStyle w:val="3"/>
        <w:rPr>
          <w:rFonts w:hint="eastAsia"/>
        </w:rPr>
      </w:pPr>
      <w:bookmarkStart w:id="233" w:name="_Toc211950477"/>
      <w:bookmarkStart w:id="234" w:name="_Toc515540404"/>
      <w:bookmarkStart w:id="235" w:name="_Toc520297572"/>
      <w:r>
        <w:rPr>
          <w:rFonts w:hint="eastAsia"/>
        </w:rPr>
        <w:t>8.1.4 其他方面</w:t>
      </w:r>
      <w:bookmarkEnd w:id="233"/>
      <w:bookmarkEnd w:id="234"/>
      <w:bookmarkEnd w:id="235"/>
    </w:p>
    <w:p w14:paraId="61F46917" w14:textId="77777777" w:rsidR="009219A0" w:rsidRDefault="00000000">
      <w:pPr>
        <w:pStyle w:val="11"/>
        <w:numPr>
          <w:ilvl w:val="2"/>
          <w:numId w:val="9"/>
        </w:numPr>
        <w:topLinePunct/>
        <w:ind w:left="0" w:firstLine="560"/>
        <w:rPr>
          <w:color w:val="auto"/>
        </w:rPr>
      </w:pPr>
      <w:r>
        <w:rPr>
          <w:rFonts w:hint="eastAsia"/>
          <w:color w:val="auto"/>
        </w:rPr>
        <w:t>不得将生产项目、场所、设备发包或者出租给不具备安全生产条件或者相应资质的单位或者个人。</w:t>
      </w:r>
    </w:p>
    <w:p w14:paraId="78707709" w14:textId="77777777" w:rsidR="009219A0" w:rsidRDefault="00000000">
      <w:pPr>
        <w:pStyle w:val="11"/>
        <w:numPr>
          <w:ilvl w:val="2"/>
          <w:numId w:val="9"/>
        </w:numPr>
        <w:topLinePunct/>
        <w:ind w:left="0" w:firstLine="560"/>
        <w:rPr>
          <w:color w:val="auto"/>
        </w:rPr>
      </w:pPr>
      <w:r>
        <w:rPr>
          <w:rFonts w:hint="eastAsia"/>
          <w:color w:val="auto"/>
        </w:rPr>
        <w:t>与从业人员订立劳动合同。订立的劳动合同，应当载明有关保障从业人员劳动安全、防止职业危害的事项，以及依法为从业人员办理工伤社会保险的事项。生产单位不得以任何形式与从业人员订立协议，免除或者减轻其对从业人员因生产安全事故伤亡依法应承担的责任。</w:t>
      </w:r>
    </w:p>
    <w:p w14:paraId="0D9392C0" w14:textId="77777777" w:rsidR="009219A0" w:rsidRDefault="00000000">
      <w:pPr>
        <w:pStyle w:val="11"/>
        <w:numPr>
          <w:ilvl w:val="2"/>
          <w:numId w:val="9"/>
        </w:numPr>
        <w:topLinePunct/>
        <w:ind w:left="0" w:firstLine="560"/>
        <w:rPr>
          <w:color w:val="auto"/>
        </w:rPr>
      </w:pPr>
      <w:r>
        <w:rPr>
          <w:rFonts w:hint="eastAsia"/>
          <w:color w:val="auto"/>
        </w:rPr>
        <w:t>动火作业时应严格按照公司“动火作业”相关管理制度及操作规程执行。</w:t>
      </w:r>
    </w:p>
    <w:p w14:paraId="71719A9A" w14:textId="77777777" w:rsidR="009219A0" w:rsidRDefault="00000000">
      <w:pPr>
        <w:pStyle w:val="11"/>
        <w:numPr>
          <w:ilvl w:val="2"/>
          <w:numId w:val="9"/>
        </w:numPr>
        <w:topLinePunct/>
        <w:ind w:left="0" w:firstLine="560"/>
        <w:rPr>
          <w:color w:val="auto"/>
        </w:rPr>
      </w:pPr>
      <w:r>
        <w:rPr>
          <w:rFonts w:hint="eastAsia"/>
          <w:color w:val="auto"/>
        </w:rPr>
        <w:t>企业应建立和完善上岗、在岗期间和离岗的职业健康检查，完善和规范“两档”管理。为劳动者建立职业健康监护档案，并按照规定的期限妥善保存。</w:t>
      </w:r>
    </w:p>
    <w:p w14:paraId="2E44F165" w14:textId="77777777" w:rsidR="009219A0" w:rsidRDefault="00000000">
      <w:pPr>
        <w:pStyle w:val="11"/>
        <w:numPr>
          <w:ilvl w:val="2"/>
          <w:numId w:val="9"/>
        </w:numPr>
        <w:topLinePunct/>
        <w:ind w:left="0" w:firstLine="560"/>
        <w:rPr>
          <w:color w:val="auto"/>
        </w:rPr>
      </w:pPr>
      <w:r>
        <w:rPr>
          <w:rFonts w:hint="eastAsia"/>
          <w:color w:val="auto"/>
        </w:rPr>
        <w:t>生产单位应当健全事故隐患排查治理和建档监控等管理制度，逐级建立并落实从主要负责人到每个从业人员的隐患排查治理和监控责任制。</w:t>
      </w:r>
    </w:p>
    <w:p w14:paraId="25ED7574" w14:textId="77777777" w:rsidR="009219A0" w:rsidRDefault="00000000">
      <w:pPr>
        <w:pStyle w:val="11"/>
        <w:numPr>
          <w:ilvl w:val="2"/>
          <w:numId w:val="9"/>
        </w:numPr>
        <w:topLinePunct/>
        <w:ind w:left="0" w:firstLine="560"/>
        <w:rPr>
          <w:color w:val="auto"/>
        </w:rPr>
      </w:pPr>
      <w:r>
        <w:rPr>
          <w:rFonts w:hint="eastAsia"/>
          <w:color w:val="auto"/>
        </w:rPr>
        <w:t>生产单位应当保证事故隐患排查治理所需的资金，建立资金使用专项制度。生产单位对排查出的事故隐患，应当按照事故隐患的等级进行登记，建立事故隐患信息档案，并按照职责分工实施监控治理。</w:t>
      </w:r>
    </w:p>
    <w:p w14:paraId="21BF9ABD" w14:textId="77777777" w:rsidR="009219A0" w:rsidRDefault="00000000">
      <w:pPr>
        <w:pStyle w:val="11"/>
        <w:numPr>
          <w:ilvl w:val="2"/>
          <w:numId w:val="9"/>
        </w:numPr>
        <w:topLinePunct/>
        <w:ind w:left="0" w:firstLine="560"/>
        <w:rPr>
          <w:color w:val="auto"/>
        </w:rPr>
      </w:pPr>
      <w:r>
        <w:rPr>
          <w:rFonts w:hint="eastAsia"/>
          <w:color w:val="auto"/>
        </w:rPr>
        <w:t>对于一般事故隐患，由生产单位负责人或者有关人员立即组织整改；对于重大事故隐患，由生产单位主要负责人组织制定并实施事故隐患治理方案。</w:t>
      </w:r>
    </w:p>
    <w:p w14:paraId="4EA015F5" w14:textId="77777777" w:rsidR="009219A0" w:rsidRDefault="00000000">
      <w:pPr>
        <w:pStyle w:val="11"/>
        <w:numPr>
          <w:ilvl w:val="2"/>
          <w:numId w:val="9"/>
        </w:numPr>
        <w:topLinePunct/>
        <w:ind w:left="0" w:firstLine="560"/>
        <w:rPr>
          <w:color w:val="auto"/>
        </w:rPr>
      </w:pPr>
      <w:r>
        <w:rPr>
          <w:rFonts w:hint="eastAsia"/>
          <w:color w:val="auto"/>
        </w:rPr>
        <w:t>生产单位在事故隐患治理过程中，应当采取相应的安全防范措施，防止事故发生。事故隐患排除前或者排除过程中无法保证安全的，应当从</w:t>
      </w:r>
      <w:r>
        <w:rPr>
          <w:rFonts w:hint="eastAsia"/>
          <w:color w:val="auto"/>
        </w:rPr>
        <w:lastRenderedPageBreak/>
        <w:t>危险区域内撤出作业人员，并疏散可能危及的其他人员，设置警戒标志，暂时停产停业或者停止使用；对暂时难以停产或者停止使用的相关生产储存装置、设施、设备，应当加强维护和保养，防止事故发生。</w:t>
      </w:r>
    </w:p>
    <w:p w14:paraId="6E7734EA" w14:textId="77777777" w:rsidR="009219A0" w:rsidRDefault="00000000">
      <w:pPr>
        <w:pStyle w:val="11"/>
        <w:numPr>
          <w:ilvl w:val="2"/>
          <w:numId w:val="9"/>
        </w:numPr>
        <w:topLinePunct/>
        <w:ind w:left="0" w:firstLine="560"/>
        <w:rPr>
          <w:color w:val="auto"/>
        </w:rPr>
      </w:pPr>
      <w:r>
        <w:rPr>
          <w:rFonts w:hint="eastAsia"/>
          <w:color w:val="auto"/>
        </w:rPr>
        <w:t>制定综合检维修计划，加强日常检维修和定期检维修管理，落实“五定”原则，即定检维修方案、定检维修人员、定安全措施、定检维修质量、定检维修进度，并做好记录。</w:t>
      </w:r>
    </w:p>
    <w:p w14:paraId="6E35D7D6" w14:textId="77777777" w:rsidR="009219A0" w:rsidRDefault="00000000">
      <w:pPr>
        <w:pStyle w:val="11"/>
        <w:numPr>
          <w:ilvl w:val="2"/>
          <w:numId w:val="9"/>
        </w:numPr>
        <w:topLinePunct/>
        <w:ind w:left="0" w:firstLine="560"/>
        <w:rPr>
          <w:color w:val="auto"/>
        </w:rPr>
      </w:pPr>
      <w:r>
        <w:rPr>
          <w:rFonts w:hint="eastAsia"/>
          <w:color w:val="auto"/>
        </w:rPr>
        <w:t>检维修方案包含作业安全风险分析、控制措施、应急处置措施及安全验收标准。检维修过程中执行安全控制措施，隔离能量和危险物质，并进行监督检查，检维修后应进行安全确认。</w:t>
      </w:r>
    </w:p>
    <w:p w14:paraId="22A61D10" w14:textId="77777777" w:rsidR="009219A0" w:rsidRDefault="00000000">
      <w:pPr>
        <w:pStyle w:val="11"/>
        <w:numPr>
          <w:ilvl w:val="2"/>
          <w:numId w:val="9"/>
        </w:numPr>
        <w:topLinePunct/>
        <w:ind w:left="0" w:firstLine="560"/>
        <w:rPr>
          <w:color w:val="auto"/>
        </w:rPr>
      </w:pPr>
      <w:r>
        <w:rPr>
          <w:rFonts w:hint="eastAsia"/>
          <w:color w:val="auto"/>
        </w:rPr>
        <w:t>危险性较大的作业活动，实施作业许可管理，严格履行作业许可审批手续。作业许可包含安全风险分析、安全及职业病危害防护措施、应急处置等内容。作业许可实行闭环管理。</w:t>
      </w:r>
    </w:p>
    <w:p w14:paraId="59B5AD14" w14:textId="77777777" w:rsidR="009219A0" w:rsidRDefault="00000000">
      <w:pPr>
        <w:pStyle w:val="11"/>
        <w:numPr>
          <w:ilvl w:val="2"/>
          <w:numId w:val="9"/>
        </w:numPr>
        <w:topLinePunct/>
        <w:ind w:left="0" w:firstLine="560"/>
        <w:rPr>
          <w:color w:val="auto"/>
        </w:rPr>
      </w:pPr>
      <w:r>
        <w:rPr>
          <w:rFonts w:hint="eastAsia"/>
          <w:color w:val="auto"/>
        </w:rPr>
        <w:t>两个以上作业队伍在同一作业区域内进行作业活动时，不同作业队伍相互之间签订管理协议，明确各自的安全生产、职业卫生管理职责和采取的有效措施，并指定专人进行检</w:t>
      </w:r>
      <w:proofErr w:type="gramStart"/>
      <w:r>
        <w:rPr>
          <w:rFonts w:hint="eastAsia"/>
          <w:color w:val="auto"/>
        </w:rPr>
        <w:t>査</w:t>
      </w:r>
      <w:proofErr w:type="gramEnd"/>
      <w:r>
        <w:rPr>
          <w:rFonts w:hint="eastAsia"/>
          <w:color w:val="auto"/>
        </w:rPr>
        <w:t>与协调。</w:t>
      </w:r>
    </w:p>
    <w:p w14:paraId="29BDAFEF" w14:textId="77777777" w:rsidR="009219A0" w:rsidRDefault="00000000">
      <w:pPr>
        <w:pStyle w:val="11"/>
        <w:numPr>
          <w:ilvl w:val="2"/>
          <w:numId w:val="9"/>
        </w:numPr>
        <w:topLinePunct/>
        <w:ind w:left="0" w:firstLine="560"/>
        <w:rPr>
          <w:color w:val="auto"/>
        </w:rPr>
      </w:pPr>
      <w:r>
        <w:rPr>
          <w:rFonts w:hint="eastAsia"/>
          <w:color w:val="auto"/>
        </w:rPr>
        <w:t>安全设备设施不得随意拆除、挪用或弃置不用；确因检维修拆除的，采取临时安全措施，检维修完毕后立即复原。</w:t>
      </w:r>
      <w:bookmarkStart w:id="236" w:name="_Toc503269940"/>
    </w:p>
    <w:p w14:paraId="6D132B3A" w14:textId="77777777" w:rsidR="009219A0" w:rsidRDefault="00000000">
      <w:pPr>
        <w:pStyle w:val="1"/>
        <w:keepNext w:val="0"/>
        <w:keepLines w:val="0"/>
        <w:ind w:left="420"/>
        <w:textAlignment w:val="center"/>
        <w:rPr>
          <w:rFonts w:ascii="宋体" w:hAnsi="宋体" w:hint="eastAsia"/>
          <w:b/>
          <w:bCs w:val="0"/>
          <w:color w:val="auto"/>
          <w:szCs w:val="20"/>
        </w:rPr>
      </w:pPr>
      <w:bookmarkStart w:id="237" w:name="_Toc211950478"/>
      <w:bookmarkStart w:id="238" w:name="_Toc165281467"/>
      <w:r>
        <w:rPr>
          <w:rFonts w:ascii="宋体" w:hAnsi="宋体" w:hint="eastAsia"/>
          <w:b/>
          <w:bCs w:val="0"/>
          <w:color w:val="auto"/>
          <w:szCs w:val="20"/>
        </w:rPr>
        <w:lastRenderedPageBreak/>
        <w:t>9  安全评价结论</w:t>
      </w:r>
      <w:bookmarkEnd w:id="53"/>
      <w:bookmarkEnd w:id="236"/>
      <w:bookmarkEnd w:id="237"/>
      <w:bookmarkEnd w:id="238"/>
    </w:p>
    <w:p w14:paraId="136E543F" w14:textId="77777777" w:rsidR="009219A0" w:rsidRDefault="009219A0">
      <w:pPr>
        <w:ind w:firstLine="560"/>
        <w:rPr>
          <w:color w:val="auto"/>
        </w:rPr>
      </w:pPr>
      <w:bookmarkStart w:id="239" w:name="_Toc31755_WPSOffice_Level1"/>
      <w:bookmarkStart w:id="240" w:name="_Toc27498_WPSOffice_Level1"/>
    </w:p>
    <w:p w14:paraId="0AA2B840" w14:textId="77777777" w:rsidR="009219A0" w:rsidRDefault="00000000">
      <w:pPr>
        <w:ind w:firstLine="560"/>
        <w:rPr>
          <w:color w:val="auto"/>
        </w:rPr>
      </w:pPr>
      <w:r>
        <w:rPr>
          <w:rFonts w:hint="eastAsia"/>
          <w:color w:val="auto"/>
        </w:rPr>
        <w:t>通过现场核查，</w:t>
      </w:r>
      <w:proofErr w:type="gramStart"/>
      <w:r>
        <w:rPr>
          <w:rFonts w:hint="eastAsia"/>
          <w:color w:val="auto"/>
        </w:rPr>
        <w:t>核对创源公司</w:t>
      </w:r>
      <w:proofErr w:type="gramEnd"/>
      <w:r>
        <w:rPr>
          <w:rFonts w:hint="eastAsia"/>
          <w:color w:val="auto"/>
        </w:rPr>
        <w:t>提供的相关资料并根据国家相关法律、法规及技术标准的要求，对个旧</w:t>
      </w:r>
      <w:proofErr w:type="gramStart"/>
      <w:r>
        <w:rPr>
          <w:rFonts w:hint="eastAsia"/>
          <w:color w:val="auto"/>
        </w:rPr>
        <w:t>市创源科技</w:t>
      </w:r>
      <w:proofErr w:type="gramEnd"/>
      <w:r>
        <w:rPr>
          <w:rFonts w:hint="eastAsia"/>
          <w:color w:val="auto"/>
        </w:rPr>
        <w:t>有限公司新建实验与研究开发中心及实验基地工程建设项目的外部安全条件与厂址及总平面布置、生产工艺及装置、公用工程及辅助设施等进行对比分析得出以下结论：</w:t>
      </w:r>
    </w:p>
    <w:p w14:paraId="1F832E0B" w14:textId="77777777" w:rsidR="009219A0" w:rsidRDefault="00000000">
      <w:pPr>
        <w:ind w:firstLine="560"/>
        <w:rPr>
          <w:color w:val="auto"/>
        </w:rPr>
      </w:pPr>
      <w:r>
        <w:rPr>
          <w:rFonts w:hint="eastAsia"/>
          <w:color w:val="auto"/>
        </w:rPr>
        <w:t>（</w:t>
      </w:r>
      <w:r>
        <w:rPr>
          <w:rFonts w:hint="eastAsia"/>
          <w:color w:val="auto"/>
        </w:rPr>
        <w:t>1</w:t>
      </w:r>
      <w:bookmarkStart w:id="241" w:name="_Hlk68141953"/>
      <w:r>
        <w:rPr>
          <w:color w:val="auto"/>
        </w:rPr>
        <w:t>）</w:t>
      </w:r>
      <w:bookmarkEnd w:id="241"/>
      <w:r>
        <w:rPr>
          <w:rFonts w:hint="eastAsia"/>
          <w:color w:val="auto"/>
        </w:rPr>
        <w:t>本项目的建设程序符合国家安全生产法律、规范的要求；安全设施做到了与主体工程同时设计、同时施工、同时投入生产和使用，符合“三同时”要求。</w:t>
      </w:r>
    </w:p>
    <w:p w14:paraId="068A17B8" w14:textId="77777777" w:rsidR="009219A0" w:rsidRDefault="00000000">
      <w:pPr>
        <w:ind w:firstLine="560"/>
        <w:rPr>
          <w:color w:val="auto"/>
        </w:rPr>
      </w:pPr>
      <w:r>
        <w:rPr>
          <w:rFonts w:hint="eastAsia"/>
          <w:color w:val="auto"/>
        </w:rPr>
        <w:t>（</w:t>
      </w:r>
      <w:r>
        <w:rPr>
          <w:rFonts w:hint="eastAsia"/>
          <w:color w:val="auto"/>
        </w:rPr>
        <w:t>2</w:t>
      </w:r>
      <w:r>
        <w:rPr>
          <w:rFonts w:hint="eastAsia"/>
          <w:color w:val="auto"/>
        </w:rPr>
        <w:t>）本项目</w:t>
      </w:r>
      <w:r>
        <w:rPr>
          <w:color w:val="auto"/>
        </w:rPr>
        <w:t>内设施与</w:t>
      </w:r>
      <w:proofErr w:type="gramStart"/>
      <w:r>
        <w:rPr>
          <w:rFonts w:hint="eastAsia"/>
          <w:color w:val="auto"/>
        </w:rPr>
        <w:t>周边</w:t>
      </w:r>
      <w:r>
        <w:rPr>
          <w:color w:val="auto"/>
        </w:rPr>
        <w:t>建</w:t>
      </w:r>
      <w:proofErr w:type="gramEnd"/>
      <w:r>
        <w:rPr>
          <w:color w:val="auto"/>
        </w:rPr>
        <w:t>构筑物的防火距离符合《工业企业总平面设计规范》（</w:t>
      </w:r>
      <w:r>
        <w:rPr>
          <w:color w:val="auto"/>
        </w:rPr>
        <w:t>GB50187-2012</w:t>
      </w:r>
      <w:r>
        <w:rPr>
          <w:color w:val="auto"/>
        </w:rPr>
        <w:t>）、</w:t>
      </w:r>
      <w:r>
        <w:rPr>
          <w:rFonts w:hint="eastAsia"/>
          <w:color w:val="auto"/>
        </w:rPr>
        <w:t>《建筑设计防火规范（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w:t>
      </w:r>
    </w:p>
    <w:p w14:paraId="7ABC9866" w14:textId="77777777" w:rsidR="009219A0" w:rsidRDefault="00000000">
      <w:pPr>
        <w:ind w:firstLine="560"/>
        <w:rPr>
          <w:color w:val="auto"/>
        </w:rPr>
      </w:pPr>
      <w:r>
        <w:rPr>
          <w:rFonts w:hint="eastAsia"/>
          <w:color w:val="auto"/>
        </w:rPr>
        <w:t>（</w:t>
      </w:r>
      <w:r>
        <w:rPr>
          <w:rFonts w:hint="eastAsia"/>
          <w:color w:val="auto"/>
        </w:rPr>
        <w:t>3</w:t>
      </w:r>
      <w:r>
        <w:rPr>
          <w:rFonts w:hint="eastAsia"/>
          <w:color w:val="auto"/>
        </w:rPr>
        <w:t>）总平面布置、工艺及设施、消防设施、供排水和电气装置等《建筑设计防火规范（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）的相关规定，安全生产条件符合要求。</w:t>
      </w:r>
    </w:p>
    <w:p w14:paraId="302F87DA" w14:textId="77777777" w:rsidR="009219A0" w:rsidRDefault="00000000">
      <w:pPr>
        <w:ind w:firstLine="560"/>
        <w:rPr>
          <w:color w:val="auto"/>
        </w:rPr>
      </w:pPr>
      <w:r>
        <w:rPr>
          <w:rFonts w:hint="eastAsia"/>
          <w:color w:val="auto"/>
        </w:rPr>
        <w:t>（</w:t>
      </w:r>
      <w:r>
        <w:rPr>
          <w:rFonts w:hint="eastAsia"/>
          <w:color w:val="auto"/>
        </w:rPr>
        <w:t>4</w:t>
      </w:r>
      <w:r>
        <w:rPr>
          <w:rFonts w:hint="eastAsia"/>
          <w:color w:val="auto"/>
        </w:rPr>
        <w:t>）根据《危险化学品重大危险源辨识》（</w:t>
      </w:r>
      <w:r>
        <w:rPr>
          <w:rFonts w:hint="eastAsia"/>
          <w:color w:val="auto"/>
        </w:rPr>
        <w:t>GB 18218-2018</w:t>
      </w:r>
      <w:r>
        <w:rPr>
          <w:rFonts w:hint="eastAsia"/>
          <w:color w:val="auto"/>
        </w:rPr>
        <w:t>）有关规定，个旧</w:t>
      </w:r>
      <w:proofErr w:type="gramStart"/>
      <w:r>
        <w:rPr>
          <w:rFonts w:hint="eastAsia"/>
          <w:color w:val="auto"/>
        </w:rPr>
        <w:t>市创源科技</w:t>
      </w:r>
      <w:proofErr w:type="gramEnd"/>
      <w:r>
        <w:rPr>
          <w:rFonts w:hint="eastAsia"/>
          <w:color w:val="auto"/>
        </w:rPr>
        <w:t>有限公司新建实验与研究开发中心及实验基地工程建设项目危险化学品储存不构成危险化学品重大危险源。</w:t>
      </w:r>
    </w:p>
    <w:p w14:paraId="2A7B8758" w14:textId="77777777" w:rsidR="009219A0" w:rsidRDefault="00000000">
      <w:pPr>
        <w:ind w:firstLine="560"/>
        <w:rPr>
          <w:color w:val="auto"/>
        </w:rPr>
      </w:pPr>
      <w:r>
        <w:rPr>
          <w:rFonts w:hint="eastAsia"/>
          <w:color w:val="auto"/>
        </w:rPr>
        <w:t>（</w:t>
      </w:r>
      <w:r>
        <w:rPr>
          <w:rFonts w:hint="eastAsia"/>
          <w:color w:val="auto"/>
        </w:rPr>
        <w:t>5</w:t>
      </w:r>
      <w:r>
        <w:rPr>
          <w:rFonts w:hint="eastAsia"/>
          <w:color w:val="auto"/>
        </w:rPr>
        <w:t>）根据《工贸企业重大事故隐患判定标准》（中华人民共和国应急管理部令第</w:t>
      </w:r>
      <w:r>
        <w:rPr>
          <w:rFonts w:hint="eastAsia"/>
          <w:color w:val="auto"/>
        </w:rPr>
        <w:t>10</w:t>
      </w:r>
      <w:r>
        <w:rPr>
          <w:rFonts w:hint="eastAsia"/>
          <w:color w:val="auto"/>
        </w:rPr>
        <w:t>号）有关内容，个旧</w:t>
      </w:r>
      <w:proofErr w:type="gramStart"/>
      <w:r>
        <w:rPr>
          <w:rFonts w:hint="eastAsia"/>
          <w:color w:val="auto"/>
        </w:rPr>
        <w:t>市创源科技</w:t>
      </w:r>
      <w:proofErr w:type="gramEnd"/>
      <w:r>
        <w:rPr>
          <w:rFonts w:hint="eastAsia"/>
          <w:color w:val="auto"/>
        </w:rPr>
        <w:t>有限公司新建实验与研究开发中心及实验基地工程建设项目无重大生产安全事故隐患。</w:t>
      </w:r>
    </w:p>
    <w:p w14:paraId="600409F1" w14:textId="77777777" w:rsidR="009219A0" w:rsidRDefault="00000000">
      <w:pPr>
        <w:ind w:firstLine="560"/>
        <w:rPr>
          <w:color w:val="auto"/>
        </w:rPr>
      </w:pPr>
      <w:r>
        <w:rPr>
          <w:rFonts w:hint="eastAsia"/>
          <w:color w:val="auto"/>
        </w:rPr>
        <w:t>（</w:t>
      </w:r>
      <w:r>
        <w:rPr>
          <w:rFonts w:hint="eastAsia"/>
          <w:color w:val="auto"/>
        </w:rPr>
        <w:t>6</w:t>
      </w:r>
      <w:r>
        <w:rPr>
          <w:rFonts w:hint="eastAsia"/>
          <w:color w:val="auto"/>
        </w:rPr>
        <w:t>）个旧</w:t>
      </w:r>
      <w:proofErr w:type="gramStart"/>
      <w:r>
        <w:rPr>
          <w:rFonts w:hint="eastAsia"/>
          <w:color w:val="auto"/>
        </w:rPr>
        <w:t>市创源科技</w:t>
      </w:r>
      <w:proofErr w:type="gramEnd"/>
      <w:r>
        <w:rPr>
          <w:rFonts w:hint="eastAsia"/>
          <w:color w:val="auto"/>
        </w:rPr>
        <w:t>有限公司建立了较完善安全管理制度、安全生产责任制和岗位安全操作规程。</w:t>
      </w:r>
    </w:p>
    <w:p w14:paraId="15FE4DA0" w14:textId="77777777" w:rsidR="009219A0" w:rsidRDefault="00000000">
      <w:pPr>
        <w:ind w:firstLine="560"/>
        <w:rPr>
          <w:color w:val="auto"/>
        </w:rPr>
      </w:pPr>
      <w:r>
        <w:rPr>
          <w:rFonts w:hint="eastAsia"/>
          <w:color w:val="auto"/>
        </w:rPr>
        <w:t>（</w:t>
      </w:r>
      <w:r>
        <w:rPr>
          <w:rFonts w:hint="eastAsia"/>
          <w:color w:val="auto"/>
        </w:rPr>
        <w:t>7</w:t>
      </w:r>
      <w:r>
        <w:rPr>
          <w:rFonts w:hint="eastAsia"/>
          <w:color w:val="auto"/>
        </w:rPr>
        <w:t>）个旧</w:t>
      </w:r>
      <w:proofErr w:type="gramStart"/>
      <w:r>
        <w:rPr>
          <w:rFonts w:hint="eastAsia"/>
          <w:color w:val="auto"/>
        </w:rPr>
        <w:t>市创源科技</w:t>
      </w:r>
      <w:proofErr w:type="gramEnd"/>
      <w:r>
        <w:rPr>
          <w:rFonts w:hint="eastAsia"/>
          <w:color w:val="auto"/>
        </w:rPr>
        <w:t>有限公司依法为从业人员缴纳工伤保险费，有保险缴费依据，符合要求。</w:t>
      </w:r>
    </w:p>
    <w:p w14:paraId="57F4BC41" w14:textId="77777777" w:rsidR="009219A0" w:rsidRDefault="00000000">
      <w:pPr>
        <w:ind w:firstLine="560"/>
        <w:rPr>
          <w:color w:val="auto"/>
        </w:rPr>
      </w:pPr>
      <w:r>
        <w:rPr>
          <w:rFonts w:hint="eastAsia"/>
          <w:color w:val="auto"/>
        </w:rPr>
        <w:lastRenderedPageBreak/>
        <w:t>（</w:t>
      </w:r>
      <w:r>
        <w:rPr>
          <w:rFonts w:hint="eastAsia"/>
          <w:color w:val="auto"/>
        </w:rPr>
        <w:t>8</w:t>
      </w:r>
      <w:r>
        <w:rPr>
          <w:rFonts w:hint="eastAsia"/>
          <w:color w:val="auto"/>
        </w:rPr>
        <w:t>）个旧</w:t>
      </w:r>
      <w:proofErr w:type="gramStart"/>
      <w:r>
        <w:rPr>
          <w:rFonts w:hint="eastAsia"/>
          <w:color w:val="auto"/>
        </w:rPr>
        <w:t>市创源科技</w:t>
      </w:r>
      <w:proofErr w:type="gramEnd"/>
      <w:r>
        <w:rPr>
          <w:rFonts w:hint="eastAsia"/>
          <w:color w:val="auto"/>
        </w:rPr>
        <w:t>有限公司</w:t>
      </w:r>
      <w:r>
        <w:rPr>
          <w:color w:val="auto"/>
        </w:rPr>
        <w:t>成立了安全</w:t>
      </w:r>
      <w:r>
        <w:rPr>
          <w:rFonts w:hint="eastAsia"/>
          <w:color w:val="auto"/>
        </w:rPr>
        <w:t>环保部</w:t>
      </w:r>
      <w:r>
        <w:rPr>
          <w:color w:val="auto"/>
        </w:rPr>
        <w:t>，</w:t>
      </w:r>
      <w:r>
        <w:rPr>
          <w:rFonts w:hint="eastAsia"/>
          <w:color w:val="auto"/>
        </w:rPr>
        <w:t>制定了《生产安全事故应急预案》，并定期组织员工进行演练，并报个旧市应急管理局备案。</w:t>
      </w:r>
    </w:p>
    <w:p w14:paraId="62E6EE3D" w14:textId="77777777" w:rsidR="009219A0" w:rsidRDefault="00000000">
      <w:pPr>
        <w:ind w:firstLine="562"/>
        <w:rPr>
          <w:b/>
          <w:bCs/>
          <w:color w:val="auto"/>
        </w:rPr>
      </w:pPr>
      <w:r>
        <w:rPr>
          <w:rFonts w:hint="eastAsia"/>
          <w:b/>
          <w:bCs/>
          <w:color w:val="auto"/>
        </w:rPr>
        <w:t>综上所述，个旧</w:t>
      </w:r>
      <w:proofErr w:type="gramStart"/>
      <w:r>
        <w:rPr>
          <w:rFonts w:hint="eastAsia"/>
          <w:b/>
          <w:bCs/>
          <w:color w:val="auto"/>
        </w:rPr>
        <w:t>市创源科技</w:t>
      </w:r>
      <w:proofErr w:type="gramEnd"/>
      <w:r>
        <w:rPr>
          <w:rFonts w:hint="eastAsia"/>
          <w:b/>
          <w:bCs/>
          <w:color w:val="auto"/>
        </w:rPr>
        <w:t>有限公司新建实验与研究开发中心及实验基地工程建设项目总平面布</w:t>
      </w:r>
      <w:r>
        <w:rPr>
          <w:rFonts w:hint="eastAsia"/>
          <w:b/>
          <w:bCs/>
          <w:noProof/>
          <w:color w:val="auto"/>
        </w:rPr>
        <w:drawing>
          <wp:anchor distT="0" distB="0" distL="114300" distR="114300" simplePos="0" relativeHeight="251659264" behindDoc="1" locked="0" layoutInCell="1" allowOverlap="1" wp14:anchorId="1F1DDFFA" wp14:editId="582640C7">
            <wp:simplePos x="0" y="0"/>
            <wp:positionH relativeFrom="column">
              <wp:posOffset>2150110</wp:posOffset>
            </wp:positionH>
            <wp:positionV relativeFrom="paragraph">
              <wp:posOffset>346075</wp:posOffset>
            </wp:positionV>
            <wp:extent cx="1633855" cy="1633855"/>
            <wp:effectExtent l="0" t="0" r="4445" b="4445"/>
            <wp:wrapNone/>
            <wp:docPr id="1" name="图片 1" descr="电子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电子章"/>
                    <pic:cNvPicPr>
                      <a:picLocks noChangeAspect="1"/>
                    </pic:cNvPicPr>
                  </pic:nvPicPr>
                  <pic:blipFill>
                    <a:blip r:embed="rId49"/>
                    <a:stretch>
                      <a:fillRect/>
                    </a:stretch>
                  </pic:blipFill>
                  <pic:spPr>
                    <a:xfrm>
                      <a:off x="0" y="0"/>
                      <a:ext cx="1633855" cy="1633855"/>
                    </a:xfrm>
                    <a:prstGeom prst="rect">
                      <a:avLst/>
                    </a:prstGeom>
                  </pic:spPr>
                </pic:pic>
              </a:graphicData>
            </a:graphic>
          </wp:anchor>
        </w:drawing>
      </w:r>
      <w:proofErr w:type="gramStart"/>
      <w:r>
        <w:rPr>
          <w:rFonts w:hint="eastAsia"/>
          <w:b/>
          <w:bCs/>
          <w:color w:val="auto"/>
        </w:rPr>
        <w:t>置符合</w:t>
      </w:r>
      <w:proofErr w:type="gramEnd"/>
      <w:r>
        <w:rPr>
          <w:rFonts w:hint="eastAsia"/>
          <w:b/>
          <w:bCs/>
          <w:color w:val="auto"/>
        </w:rPr>
        <w:t>《建筑设计防火规范（</w:t>
      </w:r>
      <w:r>
        <w:rPr>
          <w:rFonts w:hint="eastAsia"/>
          <w:b/>
          <w:bCs/>
          <w:color w:val="auto"/>
        </w:rPr>
        <w:t>2018</w:t>
      </w:r>
      <w:r>
        <w:rPr>
          <w:rFonts w:hint="eastAsia"/>
          <w:b/>
          <w:bCs/>
          <w:color w:val="auto"/>
        </w:rPr>
        <w:t>年版）》（</w:t>
      </w:r>
      <w:r>
        <w:rPr>
          <w:rFonts w:hint="eastAsia"/>
          <w:b/>
          <w:bCs/>
          <w:color w:val="auto"/>
        </w:rPr>
        <w:t>GB50016-2014</w:t>
      </w:r>
      <w:r>
        <w:rPr>
          <w:rFonts w:hint="eastAsia"/>
          <w:b/>
          <w:bCs/>
          <w:color w:val="auto"/>
        </w:rPr>
        <w:t>）及国家现行相关法规标准要求；项目已按《个旧市创源科技有限公司新建实验与研究开发中心及实验基地工程建设项目安全设施设计》进行建设，装置安全设施有效，安全对策措施得到落实，安全管理制度齐全、从业人员经过培训持证上岗，具备安全验收条件。</w:t>
      </w:r>
    </w:p>
    <w:p w14:paraId="504E9830" w14:textId="77777777" w:rsidR="009219A0" w:rsidRDefault="009219A0">
      <w:pPr>
        <w:pStyle w:val="aff1"/>
        <w:topLinePunct/>
        <w:ind w:firstLine="562"/>
        <w:rPr>
          <w:rFonts w:ascii="宋体" w:hAnsi="宋体" w:hint="eastAsia"/>
          <w:b/>
          <w:bCs/>
          <w:color w:val="auto"/>
          <w:sz w:val="28"/>
        </w:rPr>
      </w:pPr>
    </w:p>
    <w:p w14:paraId="72315734" w14:textId="77777777" w:rsidR="009219A0" w:rsidRDefault="009219A0">
      <w:pPr>
        <w:pStyle w:val="aff1"/>
        <w:topLinePunct/>
        <w:ind w:firstLine="562"/>
        <w:rPr>
          <w:rFonts w:ascii="宋体" w:hAnsi="宋体" w:hint="eastAsia"/>
          <w:b/>
          <w:bCs/>
          <w:color w:val="auto"/>
          <w:sz w:val="28"/>
        </w:rPr>
        <w:sectPr w:rsidR="009219A0">
          <w:pgSz w:w="11906" w:h="16838"/>
          <w:pgMar w:top="1418" w:right="1418" w:bottom="1588" w:left="1418" w:header="851" w:footer="992" w:gutter="0"/>
          <w:cols w:space="425"/>
          <w:docGrid w:linePitch="312"/>
        </w:sectPr>
      </w:pPr>
    </w:p>
    <w:p w14:paraId="69EB6A10" w14:textId="77777777" w:rsidR="009219A0" w:rsidRDefault="00000000">
      <w:pPr>
        <w:pStyle w:val="1"/>
        <w:keepNext w:val="0"/>
        <w:keepLines w:val="0"/>
        <w:ind w:left="420"/>
        <w:textAlignment w:val="center"/>
        <w:rPr>
          <w:rFonts w:ascii="宋体" w:hAnsi="宋体" w:hint="eastAsia"/>
          <w:b/>
          <w:bCs w:val="0"/>
          <w:color w:val="auto"/>
          <w:szCs w:val="20"/>
        </w:rPr>
      </w:pPr>
      <w:bookmarkStart w:id="242" w:name="_Toc165281468"/>
      <w:bookmarkStart w:id="243" w:name="_Toc211950479"/>
      <w:r>
        <w:rPr>
          <w:rFonts w:ascii="宋体" w:hAnsi="宋体" w:hint="eastAsia"/>
          <w:b/>
          <w:bCs w:val="0"/>
          <w:color w:val="auto"/>
          <w:szCs w:val="20"/>
        </w:rPr>
        <w:lastRenderedPageBreak/>
        <w:t>10  与建设单位交换意见</w:t>
      </w:r>
      <w:bookmarkEnd w:id="242"/>
      <w:bookmarkEnd w:id="243"/>
    </w:p>
    <w:p w14:paraId="0750D18A" w14:textId="77777777" w:rsidR="009219A0" w:rsidRDefault="009219A0">
      <w:pPr>
        <w:ind w:firstLine="560"/>
        <w:rPr>
          <w:color w:val="auto"/>
        </w:rPr>
      </w:pPr>
    </w:p>
    <w:p w14:paraId="428359EC" w14:textId="77777777" w:rsidR="009219A0" w:rsidRDefault="00000000">
      <w:pPr>
        <w:ind w:firstLine="560"/>
        <w:rPr>
          <w:b/>
          <w:bCs/>
          <w:color w:val="auto"/>
        </w:rPr>
      </w:pPr>
      <w:r>
        <w:rPr>
          <w:rFonts w:hint="eastAsia"/>
          <w:color w:val="auto"/>
        </w:rPr>
        <w:t>通过</w:t>
      </w:r>
      <w:proofErr w:type="gramStart"/>
      <w:r>
        <w:rPr>
          <w:rFonts w:hint="eastAsia"/>
          <w:color w:val="auto"/>
        </w:rPr>
        <w:t>评价组</w:t>
      </w:r>
      <w:proofErr w:type="gramEnd"/>
      <w:r>
        <w:rPr>
          <w:rFonts w:hint="eastAsia"/>
          <w:color w:val="auto"/>
        </w:rPr>
        <w:t>成员对本项目现场实地勘查，按照相关规范要求，经与甲方交流后，甲方同意形成评价结论。</w:t>
      </w:r>
      <w:proofErr w:type="gramStart"/>
      <w:r>
        <w:rPr>
          <w:rFonts w:hint="eastAsia"/>
          <w:color w:val="auto"/>
        </w:rPr>
        <w:t>创源公司</w:t>
      </w:r>
      <w:proofErr w:type="gramEnd"/>
      <w:r>
        <w:rPr>
          <w:rFonts w:hint="eastAsia"/>
          <w:color w:val="auto"/>
        </w:rPr>
        <w:t>应逐条落实本评价报告中提出的安全对策措施及建议，通过对项目的安全验收评价，</w:t>
      </w:r>
      <w:proofErr w:type="gramStart"/>
      <w:r>
        <w:rPr>
          <w:rFonts w:hint="eastAsia"/>
          <w:color w:val="auto"/>
        </w:rPr>
        <w:t>评价组</w:t>
      </w:r>
      <w:proofErr w:type="gramEnd"/>
      <w:r>
        <w:rPr>
          <w:rFonts w:hint="eastAsia"/>
          <w:color w:val="auto"/>
        </w:rPr>
        <w:t>提出了相应的建议措施如：应为企业员工购买安全责任险等，</w:t>
      </w:r>
      <w:proofErr w:type="gramStart"/>
      <w:r>
        <w:rPr>
          <w:rFonts w:hint="eastAsia"/>
          <w:color w:val="auto"/>
        </w:rPr>
        <w:t>创源公司</w:t>
      </w:r>
      <w:proofErr w:type="gramEnd"/>
      <w:r>
        <w:rPr>
          <w:rFonts w:hint="eastAsia"/>
          <w:color w:val="auto"/>
        </w:rPr>
        <w:t>接受</w:t>
      </w:r>
      <w:proofErr w:type="gramStart"/>
      <w:r>
        <w:rPr>
          <w:rFonts w:hint="eastAsia"/>
          <w:color w:val="auto"/>
        </w:rPr>
        <w:t>评价组</w:t>
      </w:r>
      <w:proofErr w:type="gramEnd"/>
      <w:r>
        <w:rPr>
          <w:rFonts w:hint="eastAsia"/>
          <w:color w:val="auto"/>
        </w:rPr>
        <w:t>提出的意见并认真地进行了整改。</w:t>
      </w:r>
    </w:p>
    <w:p w14:paraId="441D94D1" w14:textId="77777777" w:rsidR="009219A0" w:rsidRDefault="009219A0">
      <w:pPr>
        <w:pStyle w:val="aff1"/>
        <w:topLinePunct/>
        <w:ind w:firstLine="562"/>
        <w:rPr>
          <w:rFonts w:ascii="宋体" w:hAnsi="宋体" w:hint="eastAsia"/>
          <w:b/>
          <w:bCs/>
          <w:color w:val="auto"/>
          <w:sz w:val="28"/>
        </w:rPr>
      </w:pPr>
    </w:p>
    <w:p w14:paraId="3DE2E6D9" w14:textId="77777777" w:rsidR="009219A0" w:rsidRDefault="009219A0">
      <w:pPr>
        <w:pStyle w:val="aff1"/>
        <w:topLinePunct/>
        <w:ind w:firstLine="562"/>
        <w:rPr>
          <w:rFonts w:ascii="宋体" w:hAnsi="宋体" w:hint="eastAsia"/>
          <w:b/>
          <w:bCs/>
          <w:color w:val="auto"/>
          <w:sz w:val="28"/>
        </w:rPr>
        <w:sectPr w:rsidR="009219A0">
          <w:pgSz w:w="11906" w:h="16838"/>
          <w:pgMar w:top="1418" w:right="1418" w:bottom="1588" w:left="1418" w:header="851" w:footer="992" w:gutter="0"/>
          <w:cols w:space="425"/>
          <w:docGrid w:linePitch="312"/>
        </w:sectPr>
      </w:pPr>
    </w:p>
    <w:p w14:paraId="44BEF344" w14:textId="77777777" w:rsidR="009219A0" w:rsidRDefault="00000000">
      <w:pPr>
        <w:pStyle w:val="1"/>
        <w:keepNext w:val="0"/>
        <w:keepLines w:val="0"/>
        <w:textAlignment w:val="center"/>
        <w:rPr>
          <w:rFonts w:ascii="宋体" w:hAnsi="宋体" w:hint="eastAsia"/>
          <w:b/>
          <w:bCs w:val="0"/>
          <w:color w:val="auto"/>
          <w:szCs w:val="20"/>
        </w:rPr>
      </w:pPr>
      <w:bookmarkStart w:id="244" w:name="_Toc165281469"/>
      <w:bookmarkStart w:id="245" w:name="_Toc211950480"/>
      <w:r>
        <w:rPr>
          <w:rFonts w:ascii="宋体" w:hAnsi="宋体" w:hint="eastAsia"/>
          <w:b/>
          <w:bCs w:val="0"/>
          <w:color w:val="auto"/>
          <w:szCs w:val="20"/>
        </w:rPr>
        <w:lastRenderedPageBreak/>
        <w:t>附件1  建设项目相关图</w:t>
      </w:r>
      <w:bookmarkEnd w:id="244"/>
      <w:r>
        <w:rPr>
          <w:rFonts w:ascii="宋体" w:hAnsi="宋体" w:hint="eastAsia"/>
          <w:b/>
          <w:bCs w:val="0"/>
          <w:color w:val="auto"/>
          <w:szCs w:val="20"/>
        </w:rPr>
        <w:t>纸</w:t>
      </w:r>
      <w:bookmarkEnd w:id="245"/>
    </w:p>
    <w:p w14:paraId="6C8748C6" w14:textId="77777777" w:rsidR="009219A0" w:rsidRDefault="009219A0">
      <w:pPr>
        <w:ind w:firstLine="560"/>
        <w:rPr>
          <w:color w:val="auto"/>
        </w:rPr>
      </w:pPr>
    </w:p>
    <w:p w14:paraId="1CFFC24D" w14:textId="77777777" w:rsidR="009219A0" w:rsidRDefault="00000000">
      <w:pPr>
        <w:pStyle w:val="2"/>
        <w:rPr>
          <w:rFonts w:hint="eastAsia"/>
        </w:rPr>
      </w:pPr>
      <w:bookmarkStart w:id="246" w:name="_Toc165281470"/>
      <w:bookmarkStart w:id="247" w:name="_Toc211950481"/>
      <w:r>
        <w:rPr>
          <w:rFonts w:hint="eastAsia"/>
        </w:rPr>
        <w:t xml:space="preserve">1.1 </w:t>
      </w:r>
      <w:bookmarkEnd w:id="246"/>
      <w:r>
        <w:rPr>
          <w:rFonts w:hint="eastAsia"/>
        </w:rPr>
        <w:t>图纸</w:t>
      </w:r>
      <w:bookmarkEnd w:id="247"/>
    </w:p>
    <w:p w14:paraId="1ACDCCE1" w14:textId="77777777" w:rsidR="009219A0" w:rsidRDefault="00000000">
      <w:pPr>
        <w:ind w:firstLine="560"/>
        <w:rPr>
          <w:color w:val="auto"/>
        </w:rPr>
      </w:pPr>
      <w:r>
        <w:rPr>
          <w:rFonts w:hint="eastAsia"/>
          <w:color w:val="auto"/>
        </w:rPr>
        <w:t>1.</w:t>
      </w:r>
      <w:r>
        <w:rPr>
          <w:rFonts w:hint="eastAsia"/>
          <w:color w:val="auto"/>
        </w:rPr>
        <w:t>总</w:t>
      </w:r>
      <w:r>
        <w:rPr>
          <w:color w:val="auto"/>
        </w:rPr>
        <w:t>平面布置图</w:t>
      </w:r>
      <w:r>
        <w:rPr>
          <w:rFonts w:hint="eastAsia"/>
          <w:color w:val="auto"/>
        </w:rPr>
        <w:t>（竣工图）；</w:t>
      </w:r>
    </w:p>
    <w:p w14:paraId="6439A376" w14:textId="77777777" w:rsidR="009219A0" w:rsidRDefault="00000000">
      <w:pPr>
        <w:ind w:firstLine="560"/>
        <w:rPr>
          <w:color w:val="auto"/>
        </w:rPr>
      </w:pPr>
      <w:r>
        <w:rPr>
          <w:rFonts w:hint="eastAsia"/>
          <w:color w:val="auto"/>
        </w:rPr>
        <w:t>2.</w:t>
      </w:r>
      <w:r>
        <w:rPr>
          <w:rFonts w:hint="eastAsia"/>
          <w:color w:val="auto"/>
        </w:rPr>
        <w:t>有毒气体检测布置图（竣工图）。</w:t>
      </w:r>
    </w:p>
    <w:p w14:paraId="1240C9E6" w14:textId="77777777" w:rsidR="009219A0" w:rsidRDefault="009219A0">
      <w:pPr>
        <w:pStyle w:val="aff1"/>
        <w:tabs>
          <w:tab w:val="center" w:pos="4885"/>
          <w:tab w:val="left" w:pos="8041"/>
        </w:tabs>
        <w:topLinePunct/>
        <w:ind w:firstLineChars="250" w:firstLine="700"/>
        <w:jc w:val="center"/>
        <w:rPr>
          <w:rFonts w:ascii="宋体" w:hAnsi="宋体" w:hint="eastAsia"/>
          <w:color w:val="auto"/>
          <w:sz w:val="28"/>
        </w:rPr>
      </w:pPr>
    </w:p>
    <w:p w14:paraId="5A8E42D6" w14:textId="77777777" w:rsidR="009219A0" w:rsidRDefault="009219A0">
      <w:pPr>
        <w:pStyle w:val="Default1"/>
        <w:rPr>
          <w:rFonts w:hint="default"/>
          <w:color w:val="auto"/>
        </w:rPr>
        <w:sectPr w:rsidR="009219A0">
          <w:pgSz w:w="11906" w:h="16838"/>
          <w:pgMar w:top="1418" w:right="1418" w:bottom="1588" w:left="1418" w:header="851" w:footer="992" w:gutter="0"/>
          <w:cols w:space="425"/>
          <w:docGrid w:linePitch="312"/>
        </w:sectPr>
      </w:pPr>
    </w:p>
    <w:p w14:paraId="1EA6F41F" w14:textId="77777777" w:rsidR="009219A0" w:rsidRDefault="00000000">
      <w:pPr>
        <w:pStyle w:val="1"/>
        <w:keepNext w:val="0"/>
        <w:keepLines w:val="0"/>
        <w:textAlignment w:val="center"/>
        <w:rPr>
          <w:rFonts w:ascii="宋体" w:hAnsi="宋体" w:hint="eastAsia"/>
          <w:b/>
          <w:bCs w:val="0"/>
          <w:color w:val="auto"/>
          <w:szCs w:val="20"/>
        </w:rPr>
      </w:pPr>
      <w:bookmarkStart w:id="248" w:name="_Toc165281471"/>
      <w:bookmarkStart w:id="249" w:name="_Toc211950482"/>
      <w:r>
        <w:rPr>
          <w:rFonts w:ascii="宋体" w:hAnsi="宋体" w:hint="eastAsia"/>
          <w:b/>
          <w:bCs w:val="0"/>
          <w:color w:val="auto"/>
          <w:szCs w:val="20"/>
        </w:rPr>
        <w:lastRenderedPageBreak/>
        <w:t>附件2  危险和有害因素分析</w:t>
      </w:r>
      <w:bookmarkEnd w:id="248"/>
      <w:bookmarkEnd w:id="249"/>
    </w:p>
    <w:p w14:paraId="05EFFDB7" w14:textId="77777777" w:rsidR="009219A0" w:rsidRDefault="00000000">
      <w:pPr>
        <w:pStyle w:val="2"/>
        <w:rPr>
          <w:rFonts w:hint="eastAsia"/>
        </w:rPr>
      </w:pPr>
      <w:bookmarkStart w:id="250" w:name="_Toc211950483"/>
      <w:bookmarkStart w:id="251" w:name="_Toc165281472"/>
      <w:r>
        <w:rPr>
          <w:rFonts w:hint="eastAsia"/>
        </w:rPr>
        <w:t>2.1 主要危险、有害物质的理化特性</w:t>
      </w:r>
      <w:bookmarkEnd w:id="250"/>
      <w:bookmarkEnd w:id="251"/>
    </w:p>
    <w:p w14:paraId="62E50EA6" w14:textId="77777777" w:rsidR="009219A0" w:rsidRDefault="00000000">
      <w:pPr>
        <w:ind w:firstLineChars="0" w:firstLine="0"/>
        <w:jc w:val="center"/>
        <w:rPr>
          <w:rFonts w:ascii="宋体" w:hAnsi="宋体" w:cs="宋体" w:hint="eastAsia"/>
          <w:color w:val="auto"/>
          <w:szCs w:val="21"/>
        </w:rPr>
      </w:pPr>
      <w:r>
        <w:rPr>
          <w:rFonts w:ascii="宋体" w:hAnsi="宋体" w:cs="宋体" w:hint="eastAsia"/>
          <w:color w:val="auto"/>
          <w:szCs w:val="21"/>
        </w:rPr>
        <w:t>附表2.1-1危险化学品特性表</w:t>
      </w:r>
    </w:p>
    <w:tbl>
      <w:tblPr>
        <w:tblW w:w="141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75"/>
        <w:gridCol w:w="1539"/>
        <w:gridCol w:w="1275"/>
        <w:gridCol w:w="709"/>
        <w:gridCol w:w="709"/>
        <w:gridCol w:w="709"/>
        <w:gridCol w:w="567"/>
        <w:gridCol w:w="850"/>
        <w:gridCol w:w="1276"/>
        <w:gridCol w:w="850"/>
        <w:gridCol w:w="993"/>
        <w:gridCol w:w="4023"/>
      </w:tblGrid>
      <w:tr w:rsidR="009219A0" w14:paraId="3FC8F5A8" w14:textId="77777777">
        <w:trPr>
          <w:tblHeader/>
          <w:jc w:val="center"/>
        </w:trPr>
        <w:tc>
          <w:tcPr>
            <w:tcW w:w="675" w:type="dxa"/>
            <w:vAlign w:val="center"/>
          </w:tcPr>
          <w:p w14:paraId="086FE6DA" w14:textId="77777777" w:rsidR="009219A0" w:rsidRDefault="00000000">
            <w:pPr>
              <w:snapToGrid/>
              <w:spacing w:line="240" w:lineRule="auto"/>
              <w:ind w:firstLineChars="0" w:firstLine="0"/>
              <w:jc w:val="center"/>
              <w:textAlignment w:val="baseline"/>
              <w:rPr>
                <w:rFonts w:ascii="宋体" w:hAnsi="宋体" w:cs="宋体" w:hint="eastAsia"/>
                <w:b/>
                <w:color w:val="auto"/>
                <w:kern w:val="0"/>
                <w:sz w:val="21"/>
                <w:szCs w:val="21"/>
              </w:rPr>
            </w:pPr>
            <w:r>
              <w:rPr>
                <w:rFonts w:ascii="宋体" w:hAnsi="宋体" w:cs="宋体" w:hint="eastAsia"/>
                <w:b/>
                <w:color w:val="auto"/>
                <w:kern w:val="0"/>
                <w:sz w:val="21"/>
                <w:szCs w:val="21"/>
              </w:rPr>
              <w:t>物料名称</w:t>
            </w:r>
          </w:p>
        </w:tc>
        <w:tc>
          <w:tcPr>
            <w:tcW w:w="1539" w:type="dxa"/>
            <w:vAlign w:val="center"/>
          </w:tcPr>
          <w:p w14:paraId="47F7E5ED" w14:textId="77777777" w:rsidR="009219A0" w:rsidRDefault="00000000">
            <w:pPr>
              <w:snapToGrid/>
              <w:spacing w:line="240" w:lineRule="auto"/>
              <w:ind w:firstLineChars="0" w:firstLine="0"/>
              <w:jc w:val="center"/>
              <w:textAlignment w:val="baseline"/>
              <w:rPr>
                <w:rFonts w:ascii="宋体" w:hAnsi="宋体" w:cs="宋体" w:hint="eastAsia"/>
                <w:b/>
                <w:color w:val="auto"/>
                <w:kern w:val="0"/>
                <w:sz w:val="21"/>
                <w:szCs w:val="21"/>
              </w:rPr>
            </w:pPr>
            <w:r>
              <w:rPr>
                <w:rFonts w:ascii="宋体" w:hAnsi="宋体" w:cs="宋体" w:hint="eastAsia"/>
                <w:b/>
                <w:color w:val="auto"/>
                <w:kern w:val="0"/>
                <w:sz w:val="21"/>
                <w:szCs w:val="21"/>
              </w:rPr>
              <w:t>危险化学品分类</w:t>
            </w:r>
          </w:p>
        </w:tc>
        <w:tc>
          <w:tcPr>
            <w:tcW w:w="1275" w:type="dxa"/>
            <w:vAlign w:val="center"/>
          </w:tcPr>
          <w:p w14:paraId="0C3C9FCD" w14:textId="77777777" w:rsidR="009219A0" w:rsidRDefault="00000000">
            <w:pPr>
              <w:snapToGrid/>
              <w:spacing w:line="240" w:lineRule="auto"/>
              <w:ind w:firstLineChars="0" w:firstLine="0"/>
              <w:jc w:val="center"/>
              <w:textAlignment w:val="baseline"/>
              <w:rPr>
                <w:rFonts w:ascii="宋体" w:hAnsi="宋体" w:cs="宋体" w:hint="eastAsia"/>
                <w:b/>
                <w:color w:val="auto"/>
                <w:kern w:val="0"/>
                <w:sz w:val="21"/>
                <w:szCs w:val="21"/>
              </w:rPr>
            </w:pPr>
            <w:r>
              <w:rPr>
                <w:rFonts w:ascii="宋体" w:hAnsi="宋体" w:cs="宋体" w:hint="eastAsia"/>
                <w:b/>
                <w:color w:val="auto"/>
                <w:kern w:val="0"/>
                <w:sz w:val="21"/>
                <w:szCs w:val="21"/>
              </w:rPr>
              <w:t>相态</w:t>
            </w:r>
          </w:p>
        </w:tc>
        <w:tc>
          <w:tcPr>
            <w:tcW w:w="709" w:type="dxa"/>
            <w:vAlign w:val="center"/>
          </w:tcPr>
          <w:p w14:paraId="0CCB21C4" w14:textId="77777777" w:rsidR="009219A0" w:rsidRDefault="00000000">
            <w:pPr>
              <w:snapToGrid/>
              <w:spacing w:line="240" w:lineRule="auto"/>
              <w:ind w:firstLineChars="0" w:firstLine="0"/>
              <w:jc w:val="center"/>
              <w:textAlignment w:val="baseline"/>
              <w:rPr>
                <w:rFonts w:ascii="宋体" w:hAnsi="宋体" w:cs="宋体" w:hint="eastAsia"/>
                <w:b/>
                <w:color w:val="auto"/>
                <w:kern w:val="0"/>
                <w:sz w:val="21"/>
                <w:szCs w:val="21"/>
              </w:rPr>
            </w:pPr>
            <w:r>
              <w:rPr>
                <w:rFonts w:ascii="宋体" w:hAnsi="宋体" w:cs="宋体" w:hint="eastAsia"/>
                <w:b/>
                <w:color w:val="auto"/>
                <w:kern w:val="0"/>
                <w:sz w:val="21"/>
                <w:szCs w:val="21"/>
              </w:rPr>
              <w:t>密度</w:t>
            </w:r>
          </w:p>
        </w:tc>
        <w:tc>
          <w:tcPr>
            <w:tcW w:w="709" w:type="dxa"/>
            <w:vAlign w:val="center"/>
          </w:tcPr>
          <w:p w14:paraId="67DB08B5" w14:textId="77777777" w:rsidR="009219A0" w:rsidRDefault="00000000">
            <w:pPr>
              <w:snapToGrid/>
              <w:spacing w:line="240" w:lineRule="auto"/>
              <w:ind w:firstLineChars="0" w:firstLine="0"/>
              <w:jc w:val="center"/>
              <w:textAlignment w:val="baseline"/>
              <w:rPr>
                <w:rFonts w:ascii="宋体" w:hAnsi="宋体" w:cs="宋体" w:hint="eastAsia"/>
                <w:b/>
                <w:color w:val="auto"/>
                <w:kern w:val="0"/>
                <w:sz w:val="21"/>
                <w:szCs w:val="21"/>
              </w:rPr>
            </w:pPr>
            <w:r>
              <w:rPr>
                <w:rFonts w:ascii="宋体" w:hAnsi="宋体" w:cs="宋体" w:hint="eastAsia"/>
                <w:b/>
                <w:color w:val="auto"/>
                <w:kern w:val="0"/>
                <w:sz w:val="21"/>
                <w:szCs w:val="21"/>
              </w:rPr>
              <w:t>沸点℃</w:t>
            </w:r>
          </w:p>
        </w:tc>
        <w:tc>
          <w:tcPr>
            <w:tcW w:w="709" w:type="dxa"/>
            <w:vAlign w:val="center"/>
          </w:tcPr>
          <w:p w14:paraId="58EA03E9" w14:textId="77777777" w:rsidR="009219A0" w:rsidRDefault="00000000">
            <w:pPr>
              <w:snapToGrid/>
              <w:spacing w:line="240" w:lineRule="auto"/>
              <w:ind w:firstLineChars="0" w:firstLine="0"/>
              <w:jc w:val="center"/>
              <w:textAlignment w:val="baseline"/>
              <w:rPr>
                <w:rFonts w:ascii="宋体" w:hAnsi="宋体" w:cs="宋体" w:hint="eastAsia"/>
                <w:b/>
                <w:color w:val="auto"/>
                <w:kern w:val="0"/>
                <w:sz w:val="21"/>
                <w:szCs w:val="21"/>
              </w:rPr>
            </w:pPr>
            <w:r>
              <w:rPr>
                <w:rFonts w:ascii="宋体" w:hAnsi="宋体" w:cs="宋体" w:hint="eastAsia"/>
                <w:b/>
                <w:color w:val="auto"/>
                <w:kern w:val="0"/>
                <w:sz w:val="21"/>
                <w:szCs w:val="21"/>
              </w:rPr>
              <w:t>熔点℃</w:t>
            </w:r>
          </w:p>
        </w:tc>
        <w:tc>
          <w:tcPr>
            <w:tcW w:w="567" w:type="dxa"/>
            <w:vAlign w:val="center"/>
          </w:tcPr>
          <w:p w14:paraId="24A4DAA9" w14:textId="77777777" w:rsidR="009219A0" w:rsidRDefault="00000000">
            <w:pPr>
              <w:snapToGrid/>
              <w:spacing w:line="240" w:lineRule="auto"/>
              <w:ind w:firstLineChars="0" w:firstLine="0"/>
              <w:jc w:val="center"/>
              <w:textAlignment w:val="baseline"/>
              <w:rPr>
                <w:rFonts w:ascii="宋体" w:hAnsi="宋体" w:cs="宋体" w:hint="eastAsia"/>
                <w:b/>
                <w:color w:val="auto"/>
                <w:kern w:val="0"/>
                <w:sz w:val="21"/>
                <w:szCs w:val="21"/>
              </w:rPr>
            </w:pPr>
            <w:r>
              <w:rPr>
                <w:rFonts w:ascii="宋体" w:hAnsi="宋体" w:cs="宋体" w:hint="eastAsia"/>
                <w:b/>
                <w:color w:val="auto"/>
                <w:kern w:val="0"/>
                <w:sz w:val="21"/>
                <w:szCs w:val="21"/>
              </w:rPr>
              <w:t>闪点℃</w:t>
            </w:r>
          </w:p>
        </w:tc>
        <w:tc>
          <w:tcPr>
            <w:tcW w:w="850" w:type="dxa"/>
            <w:vAlign w:val="center"/>
          </w:tcPr>
          <w:p w14:paraId="63655724" w14:textId="77777777" w:rsidR="009219A0" w:rsidRDefault="00000000">
            <w:pPr>
              <w:snapToGrid/>
              <w:spacing w:line="240" w:lineRule="auto"/>
              <w:ind w:firstLineChars="0" w:firstLine="0"/>
              <w:jc w:val="center"/>
              <w:textAlignment w:val="baseline"/>
              <w:rPr>
                <w:rFonts w:ascii="宋体" w:hAnsi="宋体" w:cs="宋体" w:hint="eastAsia"/>
                <w:b/>
                <w:color w:val="auto"/>
                <w:kern w:val="0"/>
                <w:sz w:val="21"/>
                <w:szCs w:val="21"/>
              </w:rPr>
            </w:pPr>
            <w:r>
              <w:rPr>
                <w:rFonts w:ascii="宋体" w:hAnsi="宋体" w:cs="宋体" w:hint="eastAsia"/>
                <w:b/>
                <w:color w:val="auto"/>
                <w:kern w:val="0"/>
                <w:sz w:val="21"/>
                <w:szCs w:val="21"/>
              </w:rPr>
              <w:t>自燃点℃</w:t>
            </w:r>
          </w:p>
        </w:tc>
        <w:tc>
          <w:tcPr>
            <w:tcW w:w="1276" w:type="dxa"/>
            <w:vAlign w:val="center"/>
          </w:tcPr>
          <w:p w14:paraId="41CCE070" w14:textId="77777777" w:rsidR="009219A0" w:rsidRDefault="00000000">
            <w:pPr>
              <w:snapToGrid/>
              <w:spacing w:line="240" w:lineRule="auto"/>
              <w:ind w:firstLineChars="0" w:firstLine="0"/>
              <w:jc w:val="center"/>
              <w:textAlignment w:val="baseline"/>
              <w:rPr>
                <w:rFonts w:ascii="宋体" w:hAnsi="宋体" w:cs="宋体" w:hint="eastAsia"/>
                <w:b/>
                <w:color w:val="auto"/>
                <w:kern w:val="0"/>
                <w:sz w:val="21"/>
                <w:szCs w:val="21"/>
              </w:rPr>
            </w:pPr>
            <w:r>
              <w:rPr>
                <w:rFonts w:ascii="宋体" w:hAnsi="宋体" w:cs="宋体" w:hint="eastAsia"/>
                <w:b/>
                <w:color w:val="auto"/>
                <w:kern w:val="0"/>
                <w:sz w:val="21"/>
                <w:szCs w:val="21"/>
              </w:rPr>
              <w:t>职业接触限值</w:t>
            </w:r>
          </w:p>
        </w:tc>
        <w:tc>
          <w:tcPr>
            <w:tcW w:w="850" w:type="dxa"/>
            <w:vAlign w:val="center"/>
          </w:tcPr>
          <w:p w14:paraId="6BCAF2CA" w14:textId="77777777" w:rsidR="009219A0" w:rsidRDefault="00000000">
            <w:pPr>
              <w:snapToGrid/>
              <w:spacing w:line="240" w:lineRule="auto"/>
              <w:ind w:firstLineChars="0" w:firstLine="0"/>
              <w:jc w:val="center"/>
              <w:textAlignment w:val="baseline"/>
              <w:rPr>
                <w:rFonts w:ascii="宋体" w:hAnsi="宋体" w:cs="宋体" w:hint="eastAsia"/>
                <w:b/>
                <w:color w:val="auto"/>
                <w:kern w:val="0"/>
                <w:sz w:val="21"/>
                <w:szCs w:val="21"/>
              </w:rPr>
            </w:pPr>
            <w:r>
              <w:rPr>
                <w:rFonts w:ascii="宋体" w:hAnsi="宋体" w:cs="宋体" w:hint="eastAsia"/>
                <w:b/>
                <w:color w:val="auto"/>
                <w:kern w:val="0"/>
                <w:sz w:val="21"/>
                <w:szCs w:val="21"/>
              </w:rPr>
              <w:t>爆炸极限v%</w:t>
            </w:r>
          </w:p>
        </w:tc>
        <w:tc>
          <w:tcPr>
            <w:tcW w:w="993" w:type="dxa"/>
            <w:vAlign w:val="center"/>
          </w:tcPr>
          <w:p w14:paraId="63D121DF" w14:textId="77777777" w:rsidR="009219A0" w:rsidRDefault="00000000">
            <w:pPr>
              <w:snapToGrid/>
              <w:spacing w:line="240" w:lineRule="auto"/>
              <w:ind w:firstLineChars="0" w:firstLine="0"/>
              <w:jc w:val="center"/>
              <w:textAlignment w:val="baseline"/>
              <w:rPr>
                <w:rFonts w:ascii="宋体" w:hAnsi="宋体" w:cs="宋体" w:hint="eastAsia"/>
                <w:b/>
                <w:color w:val="auto"/>
                <w:kern w:val="0"/>
                <w:sz w:val="21"/>
                <w:szCs w:val="21"/>
              </w:rPr>
            </w:pPr>
            <w:r>
              <w:rPr>
                <w:rFonts w:ascii="宋体" w:hAnsi="宋体" w:cs="宋体" w:hint="eastAsia"/>
                <w:b/>
                <w:color w:val="auto"/>
                <w:kern w:val="0"/>
                <w:sz w:val="21"/>
                <w:szCs w:val="21"/>
              </w:rPr>
              <w:t>火灾危险性分类</w:t>
            </w:r>
          </w:p>
        </w:tc>
        <w:tc>
          <w:tcPr>
            <w:tcW w:w="4023" w:type="dxa"/>
            <w:vAlign w:val="center"/>
          </w:tcPr>
          <w:p w14:paraId="690D56D4" w14:textId="77777777" w:rsidR="009219A0" w:rsidRDefault="00000000">
            <w:pPr>
              <w:snapToGrid/>
              <w:spacing w:line="240" w:lineRule="auto"/>
              <w:ind w:firstLineChars="0" w:firstLine="0"/>
              <w:jc w:val="center"/>
              <w:textAlignment w:val="baseline"/>
              <w:rPr>
                <w:rFonts w:ascii="宋体" w:hAnsi="宋体" w:cs="宋体" w:hint="eastAsia"/>
                <w:b/>
                <w:color w:val="auto"/>
                <w:kern w:val="0"/>
                <w:sz w:val="21"/>
                <w:szCs w:val="21"/>
              </w:rPr>
            </w:pPr>
            <w:r>
              <w:rPr>
                <w:rFonts w:ascii="宋体" w:hAnsi="宋体" w:cs="宋体" w:hint="eastAsia"/>
                <w:b/>
                <w:color w:val="auto"/>
                <w:kern w:val="0"/>
                <w:sz w:val="21"/>
                <w:szCs w:val="21"/>
              </w:rPr>
              <w:t>危害特性</w:t>
            </w:r>
          </w:p>
        </w:tc>
      </w:tr>
      <w:tr w:rsidR="009219A0" w14:paraId="643792C1" w14:textId="77777777">
        <w:trPr>
          <w:tblHeader/>
          <w:jc w:val="center"/>
        </w:trPr>
        <w:tc>
          <w:tcPr>
            <w:tcW w:w="675" w:type="dxa"/>
            <w:vAlign w:val="center"/>
          </w:tcPr>
          <w:p w14:paraId="1B85046D"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硫酸</w:t>
            </w:r>
          </w:p>
        </w:tc>
        <w:tc>
          <w:tcPr>
            <w:tcW w:w="1539" w:type="dxa"/>
            <w:vAlign w:val="center"/>
          </w:tcPr>
          <w:p w14:paraId="59078DA2"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皮肤腐蚀/刺激,类别1A</w:t>
            </w:r>
          </w:p>
          <w:p w14:paraId="11D156FF"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严重眼损伤/眼刺激,类别1</w:t>
            </w:r>
          </w:p>
        </w:tc>
        <w:tc>
          <w:tcPr>
            <w:tcW w:w="1275" w:type="dxa"/>
            <w:vAlign w:val="center"/>
          </w:tcPr>
          <w:p w14:paraId="270331A1"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透明无色无臭液体。</w:t>
            </w:r>
          </w:p>
        </w:tc>
        <w:tc>
          <w:tcPr>
            <w:tcW w:w="709" w:type="dxa"/>
            <w:vAlign w:val="center"/>
          </w:tcPr>
          <w:p w14:paraId="4093C1C8"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color w:val="auto"/>
                <w:kern w:val="0"/>
                <w:sz w:val="21"/>
                <w:szCs w:val="21"/>
              </w:rPr>
              <w:t>1.84 g/cm</w:t>
            </w:r>
            <w:r>
              <w:rPr>
                <w:rFonts w:ascii="宋体" w:hAnsi="宋体" w:cs="宋体"/>
                <w:color w:val="auto"/>
                <w:kern w:val="0"/>
                <w:sz w:val="21"/>
                <w:szCs w:val="21"/>
                <w:vertAlign w:val="superscript"/>
              </w:rPr>
              <w:t>³</w:t>
            </w:r>
          </w:p>
        </w:tc>
        <w:tc>
          <w:tcPr>
            <w:tcW w:w="709" w:type="dxa"/>
            <w:vAlign w:val="center"/>
          </w:tcPr>
          <w:p w14:paraId="7F7DFCC1"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337</w:t>
            </w:r>
          </w:p>
        </w:tc>
        <w:tc>
          <w:tcPr>
            <w:tcW w:w="709" w:type="dxa"/>
            <w:vAlign w:val="center"/>
          </w:tcPr>
          <w:p w14:paraId="1F5675EC"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10.37</w:t>
            </w:r>
          </w:p>
        </w:tc>
        <w:tc>
          <w:tcPr>
            <w:tcW w:w="567" w:type="dxa"/>
            <w:vAlign w:val="center"/>
          </w:tcPr>
          <w:p w14:paraId="52F6914F"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w:t>
            </w:r>
          </w:p>
        </w:tc>
        <w:tc>
          <w:tcPr>
            <w:tcW w:w="850" w:type="dxa"/>
            <w:vAlign w:val="center"/>
          </w:tcPr>
          <w:p w14:paraId="583174D7"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w:t>
            </w:r>
          </w:p>
        </w:tc>
        <w:tc>
          <w:tcPr>
            <w:tcW w:w="1276" w:type="dxa"/>
            <w:vAlign w:val="center"/>
          </w:tcPr>
          <w:p w14:paraId="7C5C4095"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lang w:val="de-DE"/>
              </w:rPr>
            </w:pPr>
            <w:r>
              <w:rPr>
                <w:rFonts w:ascii="宋体" w:hAnsi="宋体" w:cs="宋体" w:hint="eastAsia"/>
                <w:color w:val="auto"/>
                <w:kern w:val="0"/>
                <w:sz w:val="21"/>
                <w:szCs w:val="21"/>
              </w:rPr>
              <w:t>急性毒性：LD502140mg/kg(大鼠经口)；LC50510mg/m³，2小时(大鼠吸入)；320mg/m³，2小时(小鼠吸入)</w:t>
            </w:r>
          </w:p>
        </w:tc>
        <w:tc>
          <w:tcPr>
            <w:tcW w:w="850" w:type="dxa"/>
            <w:vAlign w:val="center"/>
          </w:tcPr>
          <w:p w14:paraId="7A268438"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w:t>
            </w:r>
          </w:p>
        </w:tc>
        <w:tc>
          <w:tcPr>
            <w:tcW w:w="993" w:type="dxa"/>
            <w:vAlign w:val="center"/>
          </w:tcPr>
          <w:p w14:paraId="32AB4E5B"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proofErr w:type="gramStart"/>
            <w:r>
              <w:rPr>
                <w:rFonts w:ascii="宋体" w:hAnsi="宋体" w:cs="宋体" w:hint="eastAsia"/>
                <w:color w:val="auto"/>
                <w:kern w:val="0"/>
                <w:sz w:val="21"/>
                <w:szCs w:val="21"/>
              </w:rPr>
              <w:t>戊类</w:t>
            </w:r>
            <w:proofErr w:type="gramEnd"/>
          </w:p>
        </w:tc>
        <w:tc>
          <w:tcPr>
            <w:tcW w:w="4023" w:type="dxa"/>
            <w:vAlign w:val="center"/>
          </w:tcPr>
          <w:p w14:paraId="70E9D631"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健康危害：对皮肤、粘膜等组织有强烈的刺激和腐蚀作用。</w:t>
            </w:r>
            <w:proofErr w:type="gramStart"/>
            <w:r>
              <w:rPr>
                <w:rFonts w:ascii="宋体" w:hAnsi="宋体" w:cs="宋体" w:hint="eastAsia"/>
                <w:color w:val="auto"/>
                <w:kern w:val="0"/>
                <w:sz w:val="21"/>
                <w:szCs w:val="21"/>
              </w:rPr>
              <w:t>蒸气或雾可引起</w:t>
            </w:r>
            <w:proofErr w:type="gramEnd"/>
            <w:r>
              <w:rPr>
                <w:rFonts w:ascii="宋体" w:hAnsi="宋体" w:cs="宋体" w:hint="eastAsia"/>
                <w:color w:val="auto"/>
                <w:kern w:val="0"/>
                <w:sz w:val="21"/>
                <w:szCs w:val="21"/>
              </w:rPr>
              <w:t>结膜炎、结膜水肿、角膜浑浊，以致失明；吸入硫酸雾后引起呼吸道刺激反应、重者发生呼吸困难和肺水肿；高浓度引起喉痉挛或声门水肿而窒息死亡，口服后引起消化道烧伤以至形成溃疡；严重者可能有胃穿孔、腹膜炎、肾损害、休克等。皮肤接触硫酸轻者出现红斑、重者形成溃疡，愈后瘢痕收缩影响功能。硫酸</w:t>
            </w:r>
            <w:proofErr w:type="gramStart"/>
            <w:r>
              <w:rPr>
                <w:rFonts w:ascii="宋体" w:hAnsi="宋体" w:cs="宋体" w:hint="eastAsia"/>
                <w:color w:val="auto"/>
                <w:kern w:val="0"/>
                <w:sz w:val="21"/>
                <w:szCs w:val="21"/>
              </w:rPr>
              <w:t>溅</w:t>
            </w:r>
            <w:proofErr w:type="gramEnd"/>
            <w:r>
              <w:rPr>
                <w:rFonts w:ascii="宋体" w:hAnsi="宋体" w:cs="宋体" w:hint="eastAsia"/>
                <w:color w:val="auto"/>
                <w:kern w:val="0"/>
                <w:sz w:val="21"/>
                <w:szCs w:val="21"/>
              </w:rPr>
              <w:t>入眼内可成灼伤，甚至角膜穿孔、全眼炎以至失明，长期</w:t>
            </w:r>
            <w:proofErr w:type="gramStart"/>
            <w:r>
              <w:rPr>
                <w:rFonts w:ascii="宋体" w:hAnsi="宋体" w:cs="宋体" w:hint="eastAsia"/>
                <w:color w:val="auto"/>
                <w:kern w:val="0"/>
                <w:sz w:val="21"/>
                <w:szCs w:val="21"/>
              </w:rPr>
              <w:t>暴露于硫酸雾</w:t>
            </w:r>
            <w:proofErr w:type="gramEnd"/>
            <w:r>
              <w:rPr>
                <w:rFonts w:ascii="宋体" w:hAnsi="宋体" w:cs="宋体" w:hint="eastAsia"/>
                <w:color w:val="auto"/>
                <w:kern w:val="0"/>
                <w:sz w:val="21"/>
                <w:szCs w:val="21"/>
              </w:rPr>
              <w:t>，可出现鼻粘膜萎缩。嗅觉减退消失，牙齿酸蚀症、慢性支气管炎、肺水肿和肝硬化。</w:t>
            </w:r>
          </w:p>
          <w:p w14:paraId="55CB0D89"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环境危害：对大气可造成污染。</w:t>
            </w:r>
          </w:p>
          <w:p w14:paraId="69D324CC"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燃爆危险：助燃，遇水放热，可发生沸溅，与易燃物（如苯）和可燃物（如糖、纤维等）接触会发生剧烈反应，甚至引起燃烧。遇电石、高氯酸盐、雷酸盐、硝酸盐、苦味酸盐、金属粉末等猛烈反应，发生爆炸或燃烧，有强烈的腐蚀性和吸水性。</w:t>
            </w:r>
          </w:p>
        </w:tc>
      </w:tr>
      <w:tr w:rsidR="009219A0" w14:paraId="4F5C5F83" w14:textId="77777777">
        <w:trPr>
          <w:tblHeader/>
          <w:jc w:val="center"/>
        </w:trPr>
        <w:tc>
          <w:tcPr>
            <w:tcW w:w="675" w:type="dxa"/>
            <w:vAlign w:val="center"/>
          </w:tcPr>
          <w:p w14:paraId="4305DE7D"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lastRenderedPageBreak/>
              <w:t>盐酸</w:t>
            </w:r>
          </w:p>
        </w:tc>
        <w:tc>
          <w:tcPr>
            <w:tcW w:w="1539" w:type="dxa"/>
            <w:vAlign w:val="center"/>
          </w:tcPr>
          <w:p w14:paraId="53353C39"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皮肤腐蚀/刺激,类别1B</w:t>
            </w:r>
          </w:p>
          <w:p w14:paraId="3C54363E"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严重眼损伤/眼刺激,类别1</w:t>
            </w:r>
          </w:p>
        </w:tc>
        <w:tc>
          <w:tcPr>
            <w:tcW w:w="1275" w:type="dxa"/>
            <w:vAlign w:val="center"/>
          </w:tcPr>
          <w:p w14:paraId="05B1B2B5"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无色至淡黄色清澈液体。</w:t>
            </w:r>
          </w:p>
        </w:tc>
        <w:tc>
          <w:tcPr>
            <w:tcW w:w="709" w:type="dxa"/>
            <w:vAlign w:val="center"/>
          </w:tcPr>
          <w:p w14:paraId="0D21767D"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1.18～1.19g/cm</w:t>
            </w:r>
            <w:r>
              <w:rPr>
                <w:rFonts w:ascii="宋体" w:hAnsi="宋体" w:cs="宋体" w:hint="eastAsia"/>
                <w:color w:val="auto"/>
                <w:kern w:val="0"/>
                <w:sz w:val="21"/>
                <w:szCs w:val="21"/>
                <w:vertAlign w:val="superscript"/>
              </w:rPr>
              <w:t>3</w:t>
            </w:r>
          </w:p>
        </w:tc>
        <w:tc>
          <w:tcPr>
            <w:tcW w:w="709" w:type="dxa"/>
            <w:vAlign w:val="center"/>
          </w:tcPr>
          <w:p w14:paraId="57CB5DBE"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48 ℃(38％溶液)</w:t>
            </w:r>
          </w:p>
        </w:tc>
        <w:tc>
          <w:tcPr>
            <w:tcW w:w="709" w:type="dxa"/>
            <w:vAlign w:val="center"/>
          </w:tcPr>
          <w:p w14:paraId="2FD8350A"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-27.32 (38％溶液)</w:t>
            </w:r>
          </w:p>
        </w:tc>
        <w:tc>
          <w:tcPr>
            <w:tcW w:w="567" w:type="dxa"/>
            <w:vAlign w:val="center"/>
          </w:tcPr>
          <w:p w14:paraId="14779382"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w:t>
            </w:r>
          </w:p>
        </w:tc>
        <w:tc>
          <w:tcPr>
            <w:tcW w:w="850" w:type="dxa"/>
            <w:vAlign w:val="center"/>
          </w:tcPr>
          <w:p w14:paraId="4A6291A8"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w:t>
            </w:r>
          </w:p>
        </w:tc>
        <w:tc>
          <w:tcPr>
            <w:tcW w:w="1276" w:type="dxa"/>
            <w:vAlign w:val="center"/>
          </w:tcPr>
          <w:p w14:paraId="427AB30C"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LD</w:t>
            </w:r>
            <w:r>
              <w:rPr>
                <w:rFonts w:ascii="宋体" w:hAnsi="宋体" w:cs="宋体" w:hint="eastAsia"/>
                <w:color w:val="auto"/>
                <w:kern w:val="0"/>
                <w:sz w:val="21"/>
                <w:szCs w:val="21"/>
                <w:vertAlign w:val="subscript"/>
              </w:rPr>
              <w:t>50</w:t>
            </w:r>
            <w:r>
              <w:rPr>
                <w:rFonts w:ascii="宋体" w:hAnsi="宋体" w:cs="宋体" w:hint="eastAsia"/>
                <w:color w:val="auto"/>
                <w:kern w:val="0"/>
                <w:sz w:val="21"/>
                <w:szCs w:val="21"/>
              </w:rPr>
              <w:t>：900mg/kg（兔经口），LC</w:t>
            </w:r>
            <w:r>
              <w:rPr>
                <w:rFonts w:ascii="宋体" w:hAnsi="宋体" w:cs="宋体" w:hint="eastAsia"/>
                <w:color w:val="auto"/>
                <w:kern w:val="0"/>
                <w:sz w:val="21"/>
                <w:szCs w:val="21"/>
                <w:vertAlign w:val="subscript"/>
              </w:rPr>
              <w:t>50</w:t>
            </w:r>
            <w:r>
              <w:rPr>
                <w:rFonts w:ascii="宋体" w:hAnsi="宋体" w:cs="宋体" w:hint="eastAsia"/>
                <w:color w:val="auto"/>
                <w:kern w:val="0"/>
                <w:sz w:val="21"/>
                <w:szCs w:val="21"/>
              </w:rPr>
              <w:t>:3124ppm，1小时（大鼠吸入）</w:t>
            </w:r>
          </w:p>
        </w:tc>
        <w:tc>
          <w:tcPr>
            <w:tcW w:w="850" w:type="dxa"/>
            <w:vAlign w:val="center"/>
          </w:tcPr>
          <w:p w14:paraId="7833A51A"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w:t>
            </w:r>
          </w:p>
        </w:tc>
        <w:tc>
          <w:tcPr>
            <w:tcW w:w="993" w:type="dxa"/>
            <w:vAlign w:val="center"/>
          </w:tcPr>
          <w:p w14:paraId="7051DD2A"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proofErr w:type="gramStart"/>
            <w:r>
              <w:rPr>
                <w:rFonts w:ascii="宋体" w:hAnsi="宋体" w:cs="宋体" w:hint="eastAsia"/>
                <w:color w:val="auto"/>
                <w:kern w:val="0"/>
                <w:sz w:val="21"/>
                <w:szCs w:val="21"/>
              </w:rPr>
              <w:t>戊类</w:t>
            </w:r>
            <w:proofErr w:type="gramEnd"/>
          </w:p>
        </w:tc>
        <w:tc>
          <w:tcPr>
            <w:tcW w:w="4023" w:type="dxa"/>
            <w:vAlign w:val="center"/>
          </w:tcPr>
          <w:p w14:paraId="0F9E84E1"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能与一些活性金属粉末发生反应，放出氢气。遇氰化物能产生剧毒的氰化氢气体。与碱发生中和反应，并放出大量的热。具有强腐蚀性。</w:t>
            </w:r>
          </w:p>
        </w:tc>
      </w:tr>
      <w:tr w:rsidR="009219A0" w14:paraId="15E5B9B4" w14:textId="77777777">
        <w:trPr>
          <w:tblHeader/>
          <w:jc w:val="center"/>
        </w:trPr>
        <w:tc>
          <w:tcPr>
            <w:tcW w:w="675" w:type="dxa"/>
            <w:vAlign w:val="center"/>
          </w:tcPr>
          <w:p w14:paraId="25C91223"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硫化氢</w:t>
            </w:r>
          </w:p>
        </w:tc>
        <w:tc>
          <w:tcPr>
            <w:tcW w:w="1539" w:type="dxa"/>
            <w:vAlign w:val="center"/>
          </w:tcPr>
          <w:p w14:paraId="2DC9919F"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易燃气体,类别1</w:t>
            </w:r>
          </w:p>
          <w:p w14:paraId="28E4507D"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加压气体</w:t>
            </w:r>
          </w:p>
          <w:p w14:paraId="59F08913"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急性毒性-吸入,类别2*</w:t>
            </w:r>
          </w:p>
          <w:p w14:paraId="7BC78A8C"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危害水生环境-急性危害,类别1</w:t>
            </w:r>
          </w:p>
        </w:tc>
        <w:tc>
          <w:tcPr>
            <w:tcW w:w="1275" w:type="dxa"/>
            <w:vAlign w:val="center"/>
          </w:tcPr>
          <w:p w14:paraId="311B053C"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正常情况下是一种无色、易燃的酸性气体，浓度低时带恶臭，气味如臭蛋；浓度高时反而没有气味（因为高浓度的硫化氢可以麻痹嗅觉神经）。</w:t>
            </w:r>
          </w:p>
        </w:tc>
        <w:tc>
          <w:tcPr>
            <w:tcW w:w="709" w:type="dxa"/>
            <w:vAlign w:val="center"/>
          </w:tcPr>
          <w:p w14:paraId="74A4A9AF"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1.54k</w:t>
            </w:r>
            <w:r>
              <w:rPr>
                <w:rFonts w:ascii="宋体" w:hAnsi="宋体" w:cs="宋体"/>
                <w:color w:val="auto"/>
                <w:kern w:val="0"/>
                <w:sz w:val="21"/>
                <w:szCs w:val="21"/>
              </w:rPr>
              <w:t>g/m</w:t>
            </w:r>
            <w:r>
              <w:rPr>
                <w:rFonts w:ascii="宋体" w:hAnsi="宋体" w:cs="宋体"/>
                <w:color w:val="auto"/>
                <w:kern w:val="0"/>
                <w:sz w:val="21"/>
                <w:szCs w:val="21"/>
                <w:vertAlign w:val="superscript"/>
              </w:rPr>
              <w:t>³</w:t>
            </w:r>
          </w:p>
        </w:tc>
        <w:tc>
          <w:tcPr>
            <w:tcW w:w="709" w:type="dxa"/>
            <w:vAlign w:val="center"/>
          </w:tcPr>
          <w:p w14:paraId="6C0E8513"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 xml:space="preserve">-60.4 </w:t>
            </w:r>
          </w:p>
        </w:tc>
        <w:tc>
          <w:tcPr>
            <w:tcW w:w="709" w:type="dxa"/>
            <w:vAlign w:val="center"/>
          </w:tcPr>
          <w:p w14:paraId="04141654"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-85.5</w:t>
            </w:r>
          </w:p>
        </w:tc>
        <w:tc>
          <w:tcPr>
            <w:tcW w:w="567" w:type="dxa"/>
            <w:vAlign w:val="center"/>
          </w:tcPr>
          <w:p w14:paraId="11A941B3"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-50</w:t>
            </w:r>
          </w:p>
        </w:tc>
        <w:tc>
          <w:tcPr>
            <w:tcW w:w="850" w:type="dxa"/>
            <w:vAlign w:val="center"/>
          </w:tcPr>
          <w:p w14:paraId="254A37D0"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w:t>
            </w:r>
          </w:p>
        </w:tc>
        <w:tc>
          <w:tcPr>
            <w:tcW w:w="1276" w:type="dxa"/>
            <w:vAlign w:val="center"/>
          </w:tcPr>
          <w:p w14:paraId="2B4BDA7D"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10mg/m</w:t>
            </w:r>
            <w:r>
              <w:rPr>
                <w:rFonts w:ascii="宋体" w:hAnsi="宋体" w:cs="宋体" w:hint="eastAsia"/>
                <w:color w:val="auto"/>
                <w:kern w:val="0"/>
                <w:sz w:val="21"/>
                <w:szCs w:val="21"/>
                <w:vertAlign w:val="superscript"/>
              </w:rPr>
              <w:t>3</w:t>
            </w:r>
          </w:p>
        </w:tc>
        <w:tc>
          <w:tcPr>
            <w:tcW w:w="850" w:type="dxa"/>
            <w:vAlign w:val="center"/>
          </w:tcPr>
          <w:p w14:paraId="1809C288"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4.0%-46%</w:t>
            </w:r>
          </w:p>
        </w:tc>
        <w:tc>
          <w:tcPr>
            <w:tcW w:w="993" w:type="dxa"/>
            <w:vAlign w:val="center"/>
          </w:tcPr>
          <w:p w14:paraId="49789C12"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甲类</w:t>
            </w:r>
          </w:p>
        </w:tc>
        <w:tc>
          <w:tcPr>
            <w:tcW w:w="4023" w:type="dxa"/>
            <w:vAlign w:val="center"/>
          </w:tcPr>
          <w:p w14:paraId="33082F03"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易燃，与空气混合能形成爆炸性混合物，遇明火、高热能引起燃烧爆炸。与浓硝酸、发烟硝酸或其他强氧化剂剧烈反应，发生爆炸。气体比空气重，能在较低处扩散到相当远的地方，遇火源会</w:t>
            </w:r>
            <w:proofErr w:type="gramStart"/>
            <w:r>
              <w:rPr>
                <w:rFonts w:ascii="宋体" w:hAnsi="宋体" w:cs="宋体" w:hint="eastAsia"/>
                <w:color w:val="auto"/>
                <w:kern w:val="0"/>
                <w:sz w:val="21"/>
                <w:szCs w:val="21"/>
              </w:rPr>
              <w:t>着火回燃</w:t>
            </w:r>
            <w:proofErr w:type="gramEnd"/>
            <w:r>
              <w:rPr>
                <w:rFonts w:ascii="宋体" w:hAnsi="宋体" w:cs="宋体" w:hint="eastAsia"/>
                <w:color w:val="auto"/>
                <w:kern w:val="0"/>
                <w:sz w:val="21"/>
                <w:szCs w:val="21"/>
              </w:rPr>
              <w:t>。</w:t>
            </w:r>
          </w:p>
          <w:p w14:paraId="5C006313" w14:textId="77777777" w:rsidR="009219A0" w:rsidRDefault="00000000">
            <w:pPr>
              <w:pStyle w:val="Default1"/>
              <w:rPr>
                <w:rFonts w:hint="default"/>
              </w:rPr>
            </w:pPr>
            <w:r>
              <w:t>健康危害：</w:t>
            </w:r>
            <w:r>
              <w:rPr>
                <w:sz w:val="21"/>
                <w:szCs w:val="21"/>
              </w:rPr>
              <w:t>硫化氢是一种急性剧毒，吸入少量高浓度硫化氢可于短时间内致命。低浓度的硫化氢对眼、呼吸系统及中枢神经都有影响。</w:t>
            </w:r>
          </w:p>
        </w:tc>
      </w:tr>
      <w:tr w:rsidR="009219A0" w14:paraId="6AD7D5A6" w14:textId="77777777">
        <w:trPr>
          <w:tblHeader/>
          <w:jc w:val="center"/>
        </w:trPr>
        <w:tc>
          <w:tcPr>
            <w:tcW w:w="675" w:type="dxa"/>
            <w:vAlign w:val="center"/>
          </w:tcPr>
          <w:p w14:paraId="2911F427"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lastRenderedPageBreak/>
              <w:t>砷化氢</w:t>
            </w:r>
          </w:p>
        </w:tc>
        <w:tc>
          <w:tcPr>
            <w:tcW w:w="1539" w:type="dxa"/>
            <w:vAlign w:val="center"/>
          </w:tcPr>
          <w:p w14:paraId="30D033C4"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易燃气体,类别1</w:t>
            </w:r>
          </w:p>
          <w:p w14:paraId="3E5EB780"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加压气体</w:t>
            </w:r>
          </w:p>
          <w:p w14:paraId="52B28669"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急性毒性-吸入,类别2*</w:t>
            </w:r>
          </w:p>
          <w:p w14:paraId="25DB4CFA"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致癌性,类别1A</w:t>
            </w:r>
          </w:p>
          <w:p w14:paraId="6924DCB3"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特异性靶器官毒性-反复接触,类别2*</w:t>
            </w:r>
          </w:p>
          <w:p w14:paraId="46339C9D"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危害水生环境-急性危害,类别1</w:t>
            </w:r>
          </w:p>
          <w:p w14:paraId="450C07DB"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危害水生环境-长期危害,类别1</w:t>
            </w:r>
          </w:p>
        </w:tc>
        <w:tc>
          <w:tcPr>
            <w:tcW w:w="1275" w:type="dxa"/>
            <w:vAlign w:val="center"/>
          </w:tcPr>
          <w:p w14:paraId="799627B5"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剧毒、无色、有大蒜臭味的气体。</w:t>
            </w:r>
          </w:p>
        </w:tc>
        <w:tc>
          <w:tcPr>
            <w:tcW w:w="709" w:type="dxa"/>
            <w:vAlign w:val="center"/>
          </w:tcPr>
          <w:p w14:paraId="107E5214"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1.69</w:t>
            </w:r>
          </w:p>
        </w:tc>
        <w:tc>
          <w:tcPr>
            <w:tcW w:w="709" w:type="dxa"/>
            <w:vAlign w:val="center"/>
          </w:tcPr>
          <w:p w14:paraId="591F7E8A"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-55</w:t>
            </w:r>
          </w:p>
        </w:tc>
        <w:tc>
          <w:tcPr>
            <w:tcW w:w="709" w:type="dxa"/>
            <w:vAlign w:val="center"/>
          </w:tcPr>
          <w:p w14:paraId="28465398"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-116</w:t>
            </w:r>
          </w:p>
        </w:tc>
        <w:tc>
          <w:tcPr>
            <w:tcW w:w="567" w:type="dxa"/>
            <w:vAlign w:val="center"/>
          </w:tcPr>
          <w:p w14:paraId="2D01B16E"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w:t>
            </w:r>
          </w:p>
        </w:tc>
        <w:tc>
          <w:tcPr>
            <w:tcW w:w="850" w:type="dxa"/>
            <w:vAlign w:val="center"/>
          </w:tcPr>
          <w:p w14:paraId="3500A02E"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w:t>
            </w:r>
          </w:p>
        </w:tc>
        <w:tc>
          <w:tcPr>
            <w:tcW w:w="1276" w:type="dxa"/>
            <w:vAlign w:val="center"/>
          </w:tcPr>
          <w:p w14:paraId="740DC8AB"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0.03mg/m</w:t>
            </w:r>
            <w:r>
              <w:rPr>
                <w:rFonts w:ascii="宋体" w:hAnsi="宋体" w:cs="宋体" w:hint="eastAsia"/>
                <w:color w:val="auto"/>
                <w:kern w:val="0"/>
                <w:sz w:val="21"/>
                <w:szCs w:val="21"/>
                <w:vertAlign w:val="superscript"/>
              </w:rPr>
              <w:t>3</w:t>
            </w:r>
          </w:p>
        </w:tc>
        <w:tc>
          <w:tcPr>
            <w:tcW w:w="850" w:type="dxa"/>
            <w:vAlign w:val="center"/>
          </w:tcPr>
          <w:p w14:paraId="4FD83EA8"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3.8%-78%</w:t>
            </w:r>
          </w:p>
        </w:tc>
        <w:tc>
          <w:tcPr>
            <w:tcW w:w="993" w:type="dxa"/>
            <w:vAlign w:val="center"/>
          </w:tcPr>
          <w:p w14:paraId="35E89AA8"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甲类</w:t>
            </w:r>
          </w:p>
        </w:tc>
        <w:tc>
          <w:tcPr>
            <w:tcW w:w="4023" w:type="dxa"/>
            <w:vAlign w:val="center"/>
          </w:tcPr>
          <w:p w14:paraId="378200E3"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砷化氢是剧毒气体，主要通过呼吸道进入人体，几乎不通过皮肤吸收。它本身对呼吸道有刺激，但核心危害是进入人体后会与红细胞结合，导致急性溶血，引发血红蛋白尿、贫血、黄疸等，严重时可致急性肾衰竭，危及生命。长期低浓度接触可能对神经系统、肝脏、肾脏等造成慢性损害。</w:t>
            </w:r>
          </w:p>
          <w:p w14:paraId="1168E6D9"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砷化氢属于自燃性气体，在230℃以上可自行燃烧，火焰呈蓝色，燃烧产物含剧毒的三氧化二砷。与空气混合后，体积分数在3.9%~78%范围内会形成爆炸性混合物，遇明火、高温或氧化剂易发生爆炸。</w:t>
            </w:r>
          </w:p>
          <w:p w14:paraId="006CD945"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泄漏后气体密度比空气略大，易在低洼处积聚，增加接触和爆炸风险。其燃烧或分解产物（如三氧化二砷）具有强毒性和腐蚀性，会加剧环境危害。</w:t>
            </w:r>
          </w:p>
        </w:tc>
      </w:tr>
      <w:tr w:rsidR="009219A0" w14:paraId="302DFB69" w14:textId="77777777">
        <w:trPr>
          <w:tblHeader/>
          <w:jc w:val="center"/>
        </w:trPr>
        <w:tc>
          <w:tcPr>
            <w:tcW w:w="675" w:type="dxa"/>
            <w:vAlign w:val="center"/>
          </w:tcPr>
          <w:p w14:paraId="752C3A3D"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氧化钙</w:t>
            </w:r>
          </w:p>
        </w:tc>
        <w:tc>
          <w:tcPr>
            <w:tcW w:w="1539" w:type="dxa"/>
            <w:vAlign w:val="center"/>
          </w:tcPr>
          <w:p w14:paraId="3CC321FC"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w:t>
            </w:r>
          </w:p>
        </w:tc>
        <w:tc>
          <w:tcPr>
            <w:tcW w:w="1275" w:type="dxa"/>
            <w:vAlign w:val="center"/>
          </w:tcPr>
          <w:p w14:paraId="24FB82B6" w14:textId="77777777" w:rsidR="009219A0" w:rsidRDefault="00000000">
            <w:pPr>
              <w:snapToGrid/>
              <w:spacing w:line="240" w:lineRule="auto"/>
              <w:ind w:firstLineChars="0" w:firstLine="0"/>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白色固体。</w:t>
            </w:r>
          </w:p>
        </w:tc>
        <w:tc>
          <w:tcPr>
            <w:tcW w:w="709" w:type="dxa"/>
            <w:vAlign w:val="center"/>
          </w:tcPr>
          <w:p w14:paraId="5FD24281"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3.35g/cm</w:t>
            </w:r>
            <w:r>
              <w:rPr>
                <w:rFonts w:ascii="宋体" w:hAnsi="宋体" w:cs="宋体" w:hint="eastAsia"/>
                <w:color w:val="auto"/>
                <w:kern w:val="0"/>
                <w:sz w:val="21"/>
                <w:szCs w:val="21"/>
                <w:vertAlign w:val="superscript"/>
              </w:rPr>
              <w:t>3</w:t>
            </w:r>
          </w:p>
        </w:tc>
        <w:tc>
          <w:tcPr>
            <w:tcW w:w="709" w:type="dxa"/>
            <w:vAlign w:val="center"/>
          </w:tcPr>
          <w:p w14:paraId="204E2628"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2850</w:t>
            </w:r>
          </w:p>
        </w:tc>
        <w:tc>
          <w:tcPr>
            <w:tcW w:w="709" w:type="dxa"/>
            <w:vAlign w:val="center"/>
          </w:tcPr>
          <w:p w14:paraId="711A9775"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2572</w:t>
            </w:r>
          </w:p>
        </w:tc>
        <w:tc>
          <w:tcPr>
            <w:tcW w:w="567" w:type="dxa"/>
            <w:vAlign w:val="center"/>
          </w:tcPr>
          <w:p w14:paraId="243155EC"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w:t>
            </w:r>
          </w:p>
        </w:tc>
        <w:tc>
          <w:tcPr>
            <w:tcW w:w="850" w:type="dxa"/>
            <w:vAlign w:val="center"/>
          </w:tcPr>
          <w:p w14:paraId="13BA004D"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w:t>
            </w:r>
          </w:p>
        </w:tc>
        <w:tc>
          <w:tcPr>
            <w:tcW w:w="1276" w:type="dxa"/>
            <w:vAlign w:val="center"/>
          </w:tcPr>
          <w:p w14:paraId="61AA3AF9"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w:t>
            </w:r>
          </w:p>
        </w:tc>
        <w:tc>
          <w:tcPr>
            <w:tcW w:w="850" w:type="dxa"/>
            <w:vAlign w:val="center"/>
          </w:tcPr>
          <w:p w14:paraId="5AA55AB7"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w:t>
            </w:r>
          </w:p>
        </w:tc>
        <w:tc>
          <w:tcPr>
            <w:tcW w:w="993" w:type="dxa"/>
            <w:vAlign w:val="center"/>
          </w:tcPr>
          <w:p w14:paraId="14960CC7"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proofErr w:type="gramStart"/>
            <w:r>
              <w:rPr>
                <w:rFonts w:ascii="宋体" w:hAnsi="宋体" w:cs="宋体" w:hint="eastAsia"/>
                <w:color w:val="auto"/>
                <w:kern w:val="0"/>
                <w:sz w:val="21"/>
                <w:szCs w:val="21"/>
              </w:rPr>
              <w:t>戊类</w:t>
            </w:r>
            <w:proofErr w:type="gramEnd"/>
          </w:p>
        </w:tc>
        <w:tc>
          <w:tcPr>
            <w:tcW w:w="4023" w:type="dxa"/>
            <w:vAlign w:val="center"/>
          </w:tcPr>
          <w:p w14:paraId="5B74F027"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本品属碱性氧化物，与人体中的水反应，生成强碱氢氧化钙并放出大量热，有刺激和腐蚀作用。对呼吸道有强烈刺激性，吸入本品粉尘可致化学性肺炎。对眼和皮肤有强烈刺激性，可致灼伤。口服刺激和灼伤消化道。长期接触本品可致手掌皮肤角化、皲裂、指变形(</w:t>
            </w:r>
            <w:proofErr w:type="gramStart"/>
            <w:r>
              <w:rPr>
                <w:rFonts w:ascii="宋体" w:hAnsi="宋体" w:cs="宋体" w:hint="eastAsia"/>
                <w:color w:val="auto"/>
                <w:kern w:val="0"/>
                <w:sz w:val="21"/>
                <w:szCs w:val="21"/>
              </w:rPr>
              <w:t>匙甲</w:t>
            </w:r>
            <w:proofErr w:type="gramEnd"/>
            <w:r>
              <w:rPr>
                <w:rFonts w:ascii="宋体" w:hAnsi="宋体" w:cs="宋体" w:hint="eastAsia"/>
                <w:color w:val="auto"/>
                <w:kern w:val="0"/>
                <w:sz w:val="21"/>
                <w:szCs w:val="21"/>
              </w:rPr>
              <w:t>)。</w:t>
            </w:r>
          </w:p>
        </w:tc>
      </w:tr>
      <w:tr w:rsidR="009219A0" w14:paraId="28964224" w14:textId="77777777">
        <w:trPr>
          <w:tblHeader/>
          <w:jc w:val="center"/>
        </w:trPr>
        <w:tc>
          <w:tcPr>
            <w:tcW w:w="14175" w:type="dxa"/>
            <w:gridSpan w:val="12"/>
            <w:vAlign w:val="center"/>
          </w:tcPr>
          <w:p w14:paraId="6F12AC8E"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注：</w:t>
            </w:r>
          </w:p>
          <w:p w14:paraId="3A72B361"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1、理化特性、职业接触限值、危害特性内容出自《危险化学品安全技术全书》（第二版）；</w:t>
            </w:r>
          </w:p>
          <w:p w14:paraId="5D586A60"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2、危险化学品分类、毒性等级、腐蚀类别根据《危险化学品安全技术全书》（第二版）、《</w:t>
            </w:r>
            <w:bookmarkStart w:id="252" w:name="OLE_LINK24"/>
            <w:r>
              <w:rPr>
                <w:rFonts w:ascii="宋体" w:hAnsi="宋体" w:cs="宋体" w:hint="eastAsia"/>
                <w:color w:val="auto"/>
                <w:kern w:val="0"/>
                <w:sz w:val="21"/>
                <w:szCs w:val="21"/>
              </w:rPr>
              <w:t>化学品分类和标签规范</w:t>
            </w:r>
            <w:bookmarkEnd w:id="252"/>
            <w:r>
              <w:rPr>
                <w:rFonts w:ascii="宋体" w:hAnsi="宋体" w:cs="宋体" w:hint="eastAsia"/>
                <w:color w:val="auto"/>
                <w:kern w:val="0"/>
                <w:sz w:val="21"/>
                <w:szCs w:val="21"/>
              </w:rPr>
              <w:t>》（GB30000—2013）确定；</w:t>
            </w:r>
          </w:p>
          <w:p w14:paraId="23F5D26C"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3、火灾危险性分类根据</w:t>
            </w:r>
            <w:r>
              <w:rPr>
                <w:rFonts w:ascii="宋体" w:hAnsi="宋体" w:hint="eastAsia"/>
                <w:color w:val="auto"/>
                <w:sz w:val="21"/>
                <w:szCs w:val="21"/>
              </w:rPr>
              <w:t>《建筑设计防火规范（2018年版）》（GB50016-2014</w:t>
            </w:r>
            <w:r>
              <w:rPr>
                <w:rFonts w:ascii="宋体" w:hAnsi="宋体"/>
                <w:color w:val="auto"/>
                <w:sz w:val="21"/>
                <w:szCs w:val="21"/>
              </w:rPr>
              <w:t>）</w:t>
            </w:r>
            <w:r>
              <w:rPr>
                <w:rFonts w:ascii="宋体" w:hAnsi="宋体" w:cs="宋体" w:hint="eastAsia"/>
                <w:color w:val="auto"/>
                <w:kern w:val="0"/>
                <w:sz w:val="21"/>
                <w:szCs w:val="21"/>
              </w:rPr>
              <w:t>确定。</w:t>
            </w:r>
          </w:p>
        </w:tc>
      </w:tr>
    </w:tbl>
    <w:p w14:paraId="27742ECE" w14:textId="77777777" w:rsidR="009219A0" w:rsidRDefault="009219A0">
      <w:pPr>
        <w:topLinePunct/>
        <w:ind w:firstLineChars="0" w:firstLine="0"/>
        <w:rPr>
          <w:rFonts w:ascii="宋体" w:hAnsi="宋体" w:hint="eastAsia"/>
          <w:color w:val="auto"/>
        </w:rPr>
      </w:pPr>
    </w:p>
    <w:p w14:paraId="2F345281" w14:textId="77777777" w:rsidR="009219A0" w:rsidRDefault="009219A0">
      <w:pPr>
        <w:pStyle w:val="2"/>
        <w:rPr>
          <w:rFonts w:hint="eastAsia"/>
        </w:rPr>
        <w:sectPr w:rsidR="009219A0">
          <w:pgSz w:w="16838" w:h="11906" w:orient="landscape"/>
          <w:pgMar w:top="1418" w:right="1418" w:bottom="1418" w:left="1588" w:header="851" w:footer="992" w:gutter="0"/>
          <w:cols w:space="425"/>
          <w:docGrid w:linePitch="381"/>
        </w:sectPr>
      </w:pPr>
    </w:p>
    <w:p w14:paraId="054DE526" w14:textId="77777777" w:rsidR="009219A0" w:rsidRDefault="00000000">
      <w:pPr>
        <w:pStyle w:val="2"/>
        <w:rPr>
          <w:rFonts w:hint="eastAsia"/>
        </w:rPr>
      </w:pPr>
      <w:bookmarkStart w:id="253" w:name="_Toc165281473"/>
      <w:bookmarkStart w:id="254" w:name="_Toc211950484"/>
      <w:r>
        <w:rPr>
          <w:rFonts w:hint="eastAsia"/>
        </w:rPr>
        <w:lastRenderedPageBreak/>
        <w:t>2.2 危险产生的原因</w:t>
      </w:r>
      <w:bookmarkEnd w:id="253"/>
      <w:bookmarkEnd w:id="254"/>
    </w:p>
    <w:p w14:paraId="185CA4D2" w14:textId="77777777" w:rsidR="009219A0" w:rsidRDefault="00000000">
      <w:pPr>
        <w:pStyle w:val="3"/>
        <w:rPr>
          <w:rFonts w:hint="eastAsia"/>
        </w:rPr>
      </w:pPr>
      <w:bookmarkStart w:id="255" w:name="_Toc211950485"/>
      <w:r>
        <w:rPr>
          <w:rFonts w:hint="eastAsia"/>
        </w:rPr>
        <w:t>2.2.1 运行失控与设备故障</w:t>
      </w:r>
      <w:bookmarkEnd w:id="255"/>
    </w:p>
    <w:p w14:paraId="352BC0BD" w14:textId="77777777" w:rsidR="009219A0" w:rsidRDefault="00000000">
      <w:pPr>
        <w:ind w:firstLine="560"/>
        <w:rPr>
          <w:color w:val="auto"/>
        </w:rPr>
      </w:pPr>
      <w:r>
        <w:rPr>
          <w:rFonts w:hint="eastAsia"/>
          <w:color w:val="auto"/>
        </w:rPr>
        <w:t>运行</w:t>
      </w:r>
      <w:proofErr w:type="gramStart"/>
      <w:r>
        <w:rPr>
          <w:rFonts w:hint="eastAsia"/>
          <w:color w:val="auto"/>
        </w:rPr>
        <w:t>失控指</w:t>
      </w:r>
      <w:proofErr w:type="gramEnd"/>
      <w:r>
        <w:rPr>
          <w:rFonts w:hint="eastAsia"/>
          <w:color w:val="auto"/>
        </w:rPr>
        <w:t>的是设施运行过程中偏离或超过了正常的工艺技术条件，出现危险状态。故障是指设备、元件等在运行过程中由于性能低下而不能实现预定功能的现象。在实际中运行失控故障的发生是可能的，故障具有随机性和突发性，故障的发生是一种随机事件；造成故障发生的原因很复杂（如设计、制造、磨损、疲劳、老化、检查和维修保养、人员失误、环境、其它系统的影响等），但故障发生的规律是可知的，通过定期检查、</w:t>
      </w:r>
      <w:proofErr w:type="gramStart"/>
      <w:r>
        <w:rPr>
          <w:rFonts w:hint="eastAsia"/>
          <w:color w:val="auto"/>
        </w:rPr>
        <w:t>维修保可使</w:t>
      </w:r>
      <w:proofErr w:type="gramEnd"/>
      <w:r>
        <w:rPr>
          <w:rFonts w:hint="eastAsia"/>
          <w:color w:val="auto"/>
        </w:rPr>
        <w:t>多数故障在预定期间内得到控制（避免或减少）。</w:t>
      </w:r>
    </w:p>
    <w:p w14:paraId="6A8DF231" w14:textId="77777777" w:rsidR="009219A0" w:rsidRDefault="00000000">
      <w:pPr>
        <w:pStyle w:val="3"/>
        <w:rPr>
          <w:rFonts w:hint="eastAsia"/>
        </w:rPr>
      </w:pPr>
      <w:bookmarkStart w:id="256" w:name="_Toc211950486"/>
      <w:r>
        <w:rPr>
          <w:rFonts w:hint="eastAsia"/>
        </w:rPr>
        <w:t>2.2.2 人员失误</w:t>
      </w:r>
      <w:bookmarkEnd w:id="256"/>
    </w:p>
    <w:p w14:paraId="62913257" w14:textId="77777777" w:rsidR="009219A0" w:rsidRDefault="00000000">
      <w:pPr>
        <w:ind w:firstLine="560"/>
        <w:rPr>
          <w:color w:val="auto"/>
        </w:rPr>
      </w:pPr>
      <w:r>
        <w:rPr>
          <w:rFonts w:hint="eastAsia"/>
          <w:color w:val="auto"/>
        </w:rPr>
        <w:t>人员失误泛指不安全行为（指职工在劳动过程中违反劳动纪律、操作程序和方法等具有危险性的做法）中产生不良后果的行为。人员失误在生产过程中是可能发生的，它具有随机性和偶然性，往往是不可预测的意外行为。影响人员失误的因素很多，但发生人员失误的规律和失误率通过大量的观测、统计和分析是可以预测的。</w:t>
      </w:r>
    </w:p>
    <w:p w14:paraId="77452D10" w14:textId="77777777" w:rsidR="009219A0" w:rsidRDefault="00000000">
      <w:pPr>
        <w:pStyle w:val="3"/>
        <w:rPr>
          <w:rFonts w:hint="eastAsia"/>
        </w:rPr>
      </w:pPr>
      <w:bookmarkStart w:id="257" w:name="_Toc211950487"/>
      <w:r>
        <w:rPr>
          <w:rFonts w:hint="eastAsia"/>
        </w:rPr>
        <w:t>2.2.3 管理缺陷</w:t>
      </w:r>
      <w:bookmarkEnd w:id="257"/>
    </w:p>
    <w:p w14:paraId="33DEA983" w14:textId="77777777" w:rsidR="009219A0" w:rsidRDefault="00000000">
      <w:pPr>
        <w:ind w:firstLine="560"/>
        <w:rPr>
          <w:color w:val="auto"/>
        </w:rPr>
      </w:pPr>
      <w:r>
        <w:rPr>
          <w:rFonts w:hint="eastAsia"/>
          <w:color w:val="auto"/>
        </w:rPr>
        <w:t>安全管理是为保证及时、有效地实现既定的安全目标，是在预测、分析的基础之上进行的计划、组织、协调、检查等工作，是预防故障和人员失误发生的有效手段，因此，管理缺陷是影响运行失控发生的重要因素。</w:t>
      </w:r>
    </w:p>
    <w:p w14:paraId="0019D33F" w14:textId="77777777" w:rsidR="009219A0" w:rsidRDefault="00000000">
      <w:pPr>
        <w:pStyle w:val="2"/>
        <w:rPr>
          <w:rFonts w:hint="eastAsia"/>
        </w:rPr>
      </w:pPr>
      <w:bookmarkStart w:id="258" w:name="_Toc211950488"/>
      <w:bookmarkStart w:id="259" w:name="_Toc165281474"/>
      <w:r>
        <w:rPr>
          <w:rFonts w:hint="eastAsia"/>
        </w:rPr>
        <w:t>2.3运行过程中主要危险有害因素分析</w:t>
      </w:r>
      <w:bookmarkEnd w:id="258"/>
      <w:bookmarkEnd w:id="259"/>
    </w:p>
    <w:p w14:paraId="79C9C464" w14:textId="77777777" w:rsidR="009219A0" w:rsidRDefault="00000000">
      <w:pPr>
        <w:topLinePunct/>
        <w:ind w:firstLine="560"/>
        <w:rPr>
          <w:rFonts w:ascii="宋体" w:hAnsi="宋体" w:hint="eastAsia"/>
          <w:color w:val="auto"/>
          <w:szCs w:val="28"/>
        </w:rPr>
      </w:pPr>
      <w:r>
        <w:rPr>
          <w:rFonts w:ascii="宋体" w:hAnsi="宋体" w:hint="eastAsia"/>
          <w:color w:val="auto"/>
          <w:szCs w:val="28"/>
        </w:rPr>
        <w:t>参照《企业职工伤亡事故分类》（GB6441-1986），从本项目涉及的危险化学品种类来看，存在的主要危险、有害因素为泄漏、火灾、机械伤害、灼烫、触电、车辆伤害、起重伤害、中毒和窒息、雷电和静电危害、噪声危害等。</w:t>
      </w:r>
    </w:p>
    <w:p w14:paraId="4C802C7C" w14:textId="77777777" w:rsidR="009219A0" w:rsidRDefault="00000000">
      <w:pPr>
        <w:topLinePunct/>
        <w:ind w:firstLine="562"/>
        <w:outlineLvl w:val="2"/>
        <w:rPr>
          <w:rFonts w:ascii="宋体" w:hAnsi="宋体" w:hint="eastAsia"/>
          <w:b/>
          <w:color w:val="auto"/>
          <w:szCs w:val="28"/>
        </w:rPr>
      </w:pPr>
      <w:bookmarkStart w:id="260" w:name="_Toc211950489"/>
      <w:r>
        <w:rPr>
          <w:rFonts w:ascii="宋体" w:hAnsi="宋体" w:hint="eastAsia"/>
          <w:b/>
          <w:color w:val="auto"/>
          <w:szCs w:val="28"/>
        </w:rPr>
        <w:t>2.3.1 泄漏危险性分析</w:t>
      </w:r>
      <w:bookmarkEnd w:id="260"/>
    </w:p>
    <w:p w14:paraId="6C3777C5"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lastRenderedPageBreak/>
        <w:t>在运行过程中，使用到的强酸类、碱类等物质可能发生泄漏腐蚀伤害。根据盐酸、硫酸、氧化钙等物质理化性质腐蚀危险性分析如下：</w:t>
      </w:r>
    </w:p>
    <w:p w14:paraId="26FAC1E5"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1）硫酸罐、盐酸计量槽、氧化槽等涉及酸性物质的设备和管道，由于设备及管道存在缺陷、阀门和管件、连接件、焊缝等密封不良、人的不安全行为，如错误操作、违章作业、疲劳上岗、疏忽大意等原因，可能导致硫酸和盐酸泄漏，造成人员化学品腐蚀的可能。</w:t>
      </w:r>
    </w:p>
    <w:p w14:paraId="7CED3572"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（2）盐酸、硫酸、氧化钙等物质对皮肤有很强的腐蚀性。如保存不当、操作使用人员经验不足、未穿戴防护用品可能会导致化学性灼伤和皮肤腐蚀等。</w:t>
      </w:r>
    </w:p>
    <w:p w14:paraId="33284CA7" w14:textId="77777777" w:rsidR="009219A0" w:rsidRDefault="00000000">
      <w:pPr>
        <w:pStyle w:val="3"/>
        <w:rPr>
          <w:rFonts w:hint="eastAsia"/>
        </w:rPr>
      </w:pPr>
      <w:bookmarkStart w:id="261" w:name="_Toc211950490"/>
      <w:r>
        <w:rPr>
          <w:rFonts w:hint="eastAsia"/>
        </w:rPr>
        <w:t>2.3.2</w:t>
      </w:r>
      <w:r>
        <w:rPr>
          <w:rFonts w:hint="eastAsia"/>
        </w:rPr>
        <w:tab/>
        <w:t>火灾危险性分析</w:t>
      </w:r>
      <w:bookmarkEnd w:id="261"/>
    </w:p>
    <w:p w14:paraId="2C116E6C" w14:textId="77777777" w:rsidR="009219A0" w:rsidRDefault="00000000">
      <w:pPr>
        <w:adjustRightInd/>
        <w:snapToGrid/>
        <w:spacing w:line="500" w:lineRule="exact"/>
        <w:ind w:firstLine="560"/>
        <w:rPr>
          <w:rFonts w:ascii="宋体" w:hAnsi="宋体" w:hint="eastAsia"/>
          <w:color w:val="auto"/>
          <w:szCs w:val="22"/>
        </w:rPr>
      </w:pPr>
      <w:r>
        <w:rPr>
          <w:rFonts w:ascii="宋体" w:hAnsi="宋体"/>
          <w:color w:val="auto"/>
          <w:szCs w:val="22"/>
        </w:rPr>
        <w:t>在运行过程中引起的火灾</w:t>
      </w:r>
      <w:r>
        <w:rPr>
          <w:rFonts w:ascii="宋体" w:hAnsi="宋体" w:hint="eastAsia"/>
          <w:color w:val="auto"/>
          <w:szCs w:val="22"/>
        </w:rPr>
        <w:t>的</w:t>
      </w:r>
      <w:r>
        <w:rPr>
          <w:rFonts w:ascii="宋体" w:hAnsi="宋体"/>
          <w:color w:val="auto"/>
          <w:szCs w:val="22"/>
        </w:rPr>
        <w:t>主要因素</w:t>
      </w:r>
      <w:r>
        <w:rPr>
          <w:rFonts w:ascii="宋体" w:hAnsi="宋体" w:hint="eastAsia"/>
          <w:color w:val="auto"/>
          <w:szCs w:val="22"/>
        </w:rPr>
        <w:t>有</w:t>
      </w:r>
      <w:r>
        <w:rPr>
          <w:rFonts w:ascii="宋体" w:hAnsi="宋体"/>
          <w:color w:val="auto"/>
          <w:szCs w:val="22"/>
        </w:rPr>
        <w:t>：易燃物质引起的火灾事故</w:t>
      </w:r>
      <w:r>
        <w:rPr>
          <w:rFonts w:ascii="宋体" w:hAnsi="宋体" w:hint="eastAsia"/>
          <w:color w:val="auto"/>
          <w:szCs w:val="22"/>
        </w:rPr>
        <w:t>、</w:t>
      </w:r>
      <w:r>
        <w:rPr>
          <w:rFonts w:ascii="宋体" w:hAnsi="宋体"/>
          <w:color w:val="auto"/>
          <w:szCs w:val="22"/>
        </w:rPr>
        <w:t>电气故障引起的火灾事故。</w:t>
      </w:r>
    </w:p>
    <w:p w14:paraId="33C5F136" w14:textId="77777777" w:rsidR="009219A0" w:rsidRDefault="00000000">
      <w:pPr>
        <w:adjustRightInd/>
        <w:snapToGrid/>
        <w:spacing w:line="500" w:lineRule="exact"/>
        <w:ind w:firstLine="560"/>
        <w:rPr>
          <w:rFonts w:ascii="宋体" w:hAnsi="宋体" w:hint="eastAsia"/>
          <w:color w:val="auto"/>
          <w:szCs w:val="22"/>
        </w:rPr>
      </w:pPr>
      <w:r>
        <w:rPr>
          <w:rFonts w:ascii="宋体" w:hAnsi="宋体" w:hint="eastAsia"/>
          <w:color w:val="auto"/>
          <w:szCs w:val="22"/>
        </w:rPr>
        <w:t>（1）可燃物质引起的火灾事故</w:t>
      </w:r>
    </w:p>
    <w:p w14:paraId="4BC38580" w14:textId="77777777" w:rsidR="009219A0" w:rsidRDefault="00000000">
      <w:pPr>
        <w:tabs>
          <w:tab w:val="left" w:pos="560"/>
        </w:tabs>
        <w:adjustRightInd/>
        <w:snapToGrid/>
        <w:spacing w:line="500" w:lineRule="exact"/>
        <w:ind w:firstLine="560"/>
        <w:rPr>
          <w:rFonts w:ascii="宋体" w:hAnsi="宋体" w:hint="eastAsia"/>
          <w:color w:val="auto"/>
          <w:szCs w:val="22"/>
        </w:rPr>
      </w:pPr>
      <w:r>
        <w:rPr>
          <w:rFonts w:ascii="宋体" w:hAnsi="宋体" w:hint="eastAsia"/>
          <w:color w:val="auto"/>
          <w:kern w:val="0"/>
          <w:szCs w:val="28"/>
        </w:rPr>
        <w:t>1）项目运行过程中涉及到的可燃固体，如办公桌椅等属于可燃固体。</w:t>
      </w:r>
      <w:r>
        <w:rPr>
          <w:rFonts w:ascii="宋体" w:hAnsi="宋体" w:hint="eastAsia"/>
          <w:color w:val="auto"/>
          <w:szCs w:val="22"/>
        </w:rPr>
        <w:t>可能因管理不完善，人员违章吸烟、实验室、车间区域动火作业未采取有效措施、可燃物质遇明火或焊渣等可能引起火灾事故的发生。</w:t>
      </w:r>
    </w:p>
    <w:p w14:paraId="26E55405" w14:textId="77777777" w:rsidR="009219A0" w:rsidRDefault="00000000">
      <w:pPr>
        <w:tabs>
          <w:tab w:val="left" w:pos="560"/>
        </w:tabs>
        <w:adjustRightInd/>
        <w:snapToGrid/>
        <w:spacing w:line="500" w:lineRule="exact"/>
        <w:ind w:firstLine="560"/>
        <w:rPr>
          <w:rFonts w:ascii="宋体" w:hAnsi="宋体" w:hint="eastAsia"/>
          <w:color w:val="auto"/>
          <w:szCs w:val="22"/>
        </w:rPr>
      </w:pPr>
      <w:r>
        <w:rPr>
          <w:rFonts w:ascii="宋体" w:hAnsi="宋体" w:hint="eastAsia"/>
          <w:color w:val="auto"/>
          <w:szCs w:val="22"/>
        </w:rPr>
        <w:t>2）检维修过程中，若使用氧气瓶、乙炔气瓶发生泄漏；超装、超压、超温使用；作业场所氧气、乙炔瓶防火距离不符合规范要求；使用明火、易产生火花工具；耐火等级不符合规范要求；堆放场所、使用场所有大量油污、油脂等可能会引发火灾爆炸危险。另外，在电、气焊（割）作业过程中，高温焊渣或熔融的金属火星飞溅到可燃物质上，也会引起火灾。</w:t>
      </w:r>
    </w:p>
    <w:p w14:paraId="46D51976" w14:textId="77777777" w:rsidR="009219A0" w:rsidRDefault="00000000">
      <w:pPr>
        <w:tabs>
          <w:tab w:val="left" w:pos="560"/>
        </w:tabs>
        <w:adjustRightInd/>
        <w:snapToGrid/>
        <w:spacing w:line="500" w:lineRule="exact"/>
        <w:ind w:firstLine="560"/>
        <w:rPr>
          <w:rFonts w:ascii="宋体" w:hAnsi="宋体" w:hint="eastAsia"/>
          <w:color w:val="auto"/>
          <w:szCs w:val="22"/>
        </w:rPr>
      </w:pPr>
      <w:r>
        <w:rPr>
          <w:rFonts w:ascii="宋体" w:hAnsi="宋体" w:hint="eastAsia"/>
          <w:color w:val="auto"/>
          <w:szCs w:val="22"/>
        </w:rPr>
        <w:t>3）设备维护保养时使用到的机油、润滑油等，属于可燃液体，在储存、使用过程中遇火源，可能引发火灾事故。</w:t>
      </w:r>
    </w:p>
    <w:p w14:paraId="783E8EF1" w14:textId="77777777" w:rsidR="009219A0" w:rsidRDefault="00000000">
      <w:pPr>
        <w:adjustRightInd/>
        <w:snapToGrid/>
        <w:spacing w:line="500" w:lineRule="exact"/>
        <w:ind w:firstLine="560"/>
        <w:rPr>
          <w:rFonts w:ascii="宋体" w:hAnsi="宋体" w:hint="eastAsia"/>
          <w:color w:val="auto"/>
          <w:szCs w:val="22"/>
        </w:rPr>
      </w:pPr>
      <w:r>
        <w:rPr>
          <w:rFonts w:ascii="宋体" w:hAnsi="宋体" w:hint="eastAsia"/>
          <w:color w:val="auto"/>
          <w:szCs w:val="22"/>
        </w:rPr>
        <w:t>另外，因人员违章动火、电气线路绝缘老化及电气设备打火等原因可能引燃可燃物造成火灾事故的发生，同时因火灾产生的浓烟还将对人员造成危害。</w:t>
      </w:r>
    </w:p>
    <w:p w14:paraId="12FEB3E8" w14:textId="77777777" w:rsidR="009219A0" w:rsidRDefault="00000000">
      <w:pPr>
        <w:adjustRightInd/>
        <w:snapToGrid/>
        <w:spacing w:line="500" w:lineRule="exact"/>
        <w:ind w:firstLine="560"/>
        <w:rPr>
          <w:rFonts w:ascii="宋体" w:hAnsi="宋体" w:hint="eastAsia"/>
          <w:color w:val="auto"/>
          <w:szCs w:val="22"/>
        </w:rPr>
      </w:pPr>
      <w:r>
        <w:rPr>
          <w:rFonts w:ascii="宋体" w:hAnsi="宋体" w:hint="eastAsia"/>
          <w:color w:val="auto"/>
          <w:szCs w:val="22"/>
        </w:rPr>
        <w:lastRenderedPageBreak/>
        <w:t>（2）电气故障引起的火灾事故</w:t>
      </w:r>
    </w:p>
    <w:p w14:paraId="5048849A" w14:textId="77777777" w:rsidR="009219A0" w:rsidRDefault="00000000">
      <w:pPr>
        <w:adjustRightInd/>
        <w:snapToGrid/>
        <w:spacing w:line="500" w:lineRule="exact"/>
        <w:ind w:firstLine="560"/>
        <w:rPr>
          <w:rFonts w:ascii="宋体" w:hAnsi="宋体" w:hint="eastAsia"/>
          <w:color w:val="auto"/>
          <w:szCs w:val="22"/>
        </w:rPr>
      </w:pPr>
      <w:r>
        <w:rPr>
          <w:rFonts w:ascii="宋体" w:hAnsi="宋体" w:hint="eastAsia"/>
          <w:color w:val="auto"/>
          <w:szCs w:val="22"/>
        </w:rPr>
        <w:t>1）电缆火灾危险性分析</w:t>
      </w:r>
    </w:p>
    <w:p w14:paraId="0913E011" w14:textId="77777777" w:rsidR="009219A0" w:rsidRDefault="00000000">
      <w:pPr>
        <w:adjustRightInd/>
        <w:snapToGrid/>
        <w:spacing w:line="500" w:lineRule="exact"/>
        <w:ind w:firstLine="560"/>
        <w:rPr>
          <w:rFonts w:ascii="宋体" w:hAnsi="宋体" w:hint="eastAsia"/>
          <w:color w:val="auto"/>
          <w:szCs w:val="22"/>
        </w:rPr>
      </w:pPr>
      <w:r>
        <w:rPr>
          <w:rFonts w:ascii="宋体" w:hAnsi="宋体" w:hint="eastAsia"/>
          <w:color w:val="auto"/>
          <w:szCs w:val="22"/>
        </w:rPr>
        <w:t>电缆的绝缘材料、填充物和保护层如浸渍纸、漆布、橡胶、塑料等均属可燃物质，具有火灾危险性。</w:t>
      </w:r>
    </w:p>
    <w:p w14:paraId="5A8790AA" w14:textId="77777777" w:rsidR="009219A0" w:rsidRDefault="00000000">
      <w:pPr>
        <w:adjustRightInd/>
        <w:snapToGrid/>
        <w:spacing w:line="500" w:lineRule="exact"/>
        <w:ind w:firstLine="560"/>
        <w:rPr>
          <w:rFonts w:ascii="宋体" w:hAnsi="宋体" w:hint="eastAsia"/>
          <w:color w:val="auto"/>
          <w:szCs w:val="22"/>
        </w:rPr>
      </w:pPr>
      <w:r>
        <w:rPr>
          <w:rFonts w:ascii="宋体" w:hAnsi="宋体" w:hint="eastAsia"/>
          <w:color w:val="auto"/>
          <w:szCs w:val="22"/>
        </w:rPr>
        <w:t>引起电缆火灾的原因有外部起火引起着火、有电缆本身缺陷引起着火。</w:t>
      </w:r>
    </w:p>
    <w:p w14:paraId="1DC5B535" w14:textId="77777777" w:rsidR="009219A0" w:rsidRDefault="00000000">
      <w:pPr>
        <w:numPr>
          <w:ilvl w:val="0"/>
          <w:numId w:val="10"/>
        </w:numPr>
        <w:adjustRightInd/>
        <w:snapToGrid/>
        <w:spacing w:line="500" w:lineRule="exact"/>
        <w:ind w:firstLine="560"/>
        <w:rPr>
          <w:rFonts w:ascii="宋体" w:hAnsi="宋体" w:hint="eastAsia"/>
          <w:color w:val="auto"/>
          <w:szCs w:val="22"/>
        </w:rPr>
      </w:pPr>
      <w:r>
        <w:rPr>
          <w:rFonts w:ascii="宋体" w:hAnsi="宋体" w:hint="eastAsia"/>
          <w:color w:val="auto"/>
          <w:szCs w:val="22"/>
        </w:rPr>
        <w:t>外部起火引起电缆着火的原因主要有：</w:t>
      </w:r>
    </w:p>
    <w:p w14:paraId="44C577DD" w14:textId="77777777" w:rsidR="009219A0" w:rsidRDefault="00000000">
      <w:pPr>
        <w:numPr>
          <w:ilvl w:val="0"/>
          <w:numId w:val="11"/>
        </w:numPr>
        <w:adjustRightInd/>
        <w:snapToGrid/>
        <w:spacing w:line="500" w:lineRule="exact"/>
        <w:ind w:left="0" w:firstLineChars="0" w:firstLine="555"/>
        <w:rPr>
          <w:rFonts w:ascii="宋体" w:hAnsi="宋体" w:hint="eastAsia"/>
          <w:color w:val="auto"/>
          <w:szCs w:val="22"/>
        </w:rPr>
      </w:pPr>
      <w:r>
        <w:rPr>
          <w:rFonts w:ascii="宋体" w:hAnsi="宋体" w:hint="eastAsia"/>
          <w:color w:val="auto"/>
          <w:szCs w:val="22"/>
        </w:rPr>
        <w:t>开关设备、其他电气设备短路或接触电阻过大产生高温起火将附近电缆引燃。</w:t>
      </w:r>
    </w:p>
    <w:p w14:paraId="6694294E" w14:textId="77777777" w:rsidR="009219A0" w:rsidRDefault="00000000">
      <w:pPr>
        <w:numPr>
          <w:ilvl w:val="0"/>
          <w:numId w:val="11"/>
        </w:numPr>
        <w:adjustRightInd/>
        <w:snapToGrid/>
        <w:spacing w:line="500" w:lineRule="exact"/>
        <w:ind w:left="0" w:firstLineChars="0" w:firstLine="555"/>
        <w:rPr>
          <w:rFonts w:ascii="宋体" w:hAnsi="宋体" w:hint="eastAsia"/>
          <w:color w:val="auto"/>
          <w:szCs w:val="22"/>
        </w:rPr>
      </w:pPr>
      <w:r>
        <w:rPr>
          <w:rFonts w:ascii="宋体" w:hAnsi="宋体" w:hint="eastAsia"/>
          <w:color w:val="auto"/>
          <w:szCs w:val="22"/>
        </w:rPr>
        <w:t>安装施工和检修时高温焊渣等掉到电缆上引起着火。</w:t>
      </w:r>
    </w:p>
    <w:p w14:paraId="5D01953D" w14:textId="77777777" w:rsidR="009219A0" w:rsidRDefault="00000000">
      <w:pPr>
        <w:numPr>
          <w:ilvl w:val="0"/>
          <w:numId w:val="11"/>
        </w:numPr>
        <w:adjustRightInd/>
        <w:snapToGrid/>
        <w:spacing w:line="500" w:lineRule="exact"/>
        <w:ind w:left="0" w:firstLineChars="0" w:firstLine="555"/>
        <w:rPr>
          <w:rFonts w:ascii="宋体" w:hAnsi="宋体" w:hint="eastAsia"/>
          <w:color w:val="auto"/>
          <w:szCs w:val="22"/>
        </w:rPr>
      </w:pPr>
      <w:r>
        <w:rPr>
          <w:rFonts w:ascii="宋体" w:hAnsi="宋体" w:hint="eastAsia"/>
          <w:color w:val="auto"/>
          <w:szCs w:val="22"/>
        </w:rPr>
        <w:t>其他可燃、易燃物质着火后将附近电缆引燃。</w:t>
      </w:r>
    </w:p>
    <w:p w14:paraId="20C72153" w14:textId="77777777" w:rsidR="009219A0" w:rsidRDefault="00000000">
      <w:pPr>
        <w:numPr>
          <w:ilvl w:val="0"/>
          <w:numId w:val="10"/>
        </w:numPr>
        <w:adjustRightInd/>
        <w:snapToGrid/>
        <w:spacing w:line="500" w:lineRule="exact"/>
        <w:ind w:firstLine="560"/>
        <w:rPr>
          <w:rFonts w:ascii="宋体" w:hAnsi="宋体" w:hint="eastAsia"/>
          <w:color w:val="auto"/>
          <w:szCs w:val="22"/>
        </w:rPr>
      </w:pPr>
      <w:r>
        <w:rPr>
          <w:rFonts w:ascii="宋体" w:hAnsi="宋体" w:hint="eastAsia"/>
          <w:color w:val="auto"/>
          <w:szCs w:val="22"/>
        </w:rPr>
        <w:t>电缆本身缺陷引起电缆着火的原因：</w:t>
      </w:r>
    </w:p>
    <w:p w14:paraId="125630AA" w14:textId="77777777" w:rsidR="009219A0" w:rsidRDefault="00000000">
      <w:pPr>
        <w:numPr>
          <w:ilvl w:val="0"/>
          <w:numId w:val="12"/>
        </w:numPr>
        <w:adjustRightInd/>
        <w:snapToGrid/>
        <w:spacing w:line="500" w:lineRule="exact"/>
        <w:ind w:left="0" w:firstLineChars="0" w:firstLine="555"/>
        <w:rPr>
          <w:rFonts w:ascii="宋体" w:hAnsi="宋体" w:hint="eastAsia"/>
          <w:color w:val="auto"/>
          <w:szCs w:val="22"/>
        </w:rPr>
      </w:pPr>
      <w:r>
        <w:rPr>
          <w:rFonts w:ascii="宋体" w:hAnsi="宋体" w:hint="eastAsia"/>
          <w:color w:val="auto"/>
          <w:szCs w:val="22"/>
        </w:rPr>
        <w:t>电缆本身在制造时有缺陷，在敷设时保护铅皮损坏或在运行中电缆绝缘受到机械损伤，引起电缆相间或与铅皮之间的绝缘击穿而发生电弧。电弧高温能引燃电缆内的绝缘材料和电缆外层的麻布等。</w:t>
      </w:r>
    </w:p>
    <w:p w14:paraId="0F95B67D" w14:textId="77777777" w:rsidR="009219A0" w:rsidRDefault="00000000">
      <w:pPr>
        <w:numPr>
          <w:ilvl w:val="0"/>
          <w:numId w:val="12"/>
        </w:numPr>
        <w:adjustRightInd/>
        <w:snapToGrid/>
        <w:spacing w:line="500" w:lineRule="exact"/>
        <w:ind w:left="0" w:firstLineChars="0" w:firstLine="555"/>
        <w:rPr>
          <w:rFonts w:ascii="宋体" w:hAnsi="宋体" w:hint="eastAsia"/>
          <w:color w:val="auto"/>
          <w:szCs w:val="22"/>
        </w:rPr>
      </w:pPr>
      <w:r>
        <w:rPr>
          <w:rFonts w:ascii="宋体" w:hAnsi="宋体" w:hint="eastAsia"/>
          <w:color w:val="auto"/>
          <w:szCs w:val="22"/>
        </w:rPr>
        <w:t>电缆长期受水、酸、碱和其他有腐蚀性液体或气体腐蚀使保护层破坏，绝缘强度降低，引起电缆短路起火。</w:t>
      </w:r>
    </w:p>
    <w:p w14:paraId="7D868CE2" w14:textId="77777777" w:rsidR="009219A0" w:rsidRDefault="00000000">
      <w:pPr>
        <w:numPr>
          <w:ilvl w:val="0"/>
          <w:numId w:val="12"/>
        </w:numPr>
        <w:adjustRightInd/>
        <w:snapToGrid/>
        <w:spacing w:line="500" w:lineRule="exact"/>
        <w:ind w:left="0" w:firstLineChars="0" w:firstLine="555"/>
        <w:rPr>
          <w:rFonts w:ascii="宋体" w:hAnsi="宋体" w:hint="eastAsia"/>
          <w:color w:val="auto"/>
          <w:szCs w:val="22"/>
        </w:rPr>
      </w:pPr>
      <w:r>
        <w:rPr>
          <w:rFonts w:ascii="宋体" w:hAnsi="宋体" w:hint="eastAsia"/>
          <w:color w:val="auto"/>
          <w:szCs w:val="22"/>
        </w:rPr>
        <w:t>在长时间运行中，由于过负荷、过热等原因使电缆绝缘加速老化、干枯，绝缘强度降低，引起电缆相间或对地击穿短路起火。</w:t>
      </w:r>
    </w:p>
    <w:p w14:paraId="2DD7B223" w14:textId="77777777" w:rsidR="009219A0" w:rsidRDefault="00000000">
      <w:pPr>
        <w:numPr>
          <w:ilvl w:val="0"/>
          <w:numId w:val="12"/>
        </w:numPr>
        <w:adjustRightInd/>
        <w:snapToGrid/>
        <w:spacing w:line="500" w:lineRule="exact"/>
        <w:ind w:left="0" w:firstLineChars="0" w:firstLine="555"/>
        <w:rPr>
          <w:rFonts w:ascii="宋体" w:hAnsi="宋体" w:hint="eastAsia"/>
          <w:color w:val="auto"/>
          <w:szCs w:val="22"/>
        </w:rPr>
      </w:pPr>
      <w:r>
        <w:rPr>
          <w:rFonts w:ascii="宋体" w:hAnsi="宋体" w:hint="eastAsia"/>
          <w:color w:val="auto"/>
          <w:szCs w:val="22"/>
        </w:rPr>
        <w:t>电缆外护套破损或密封不良，使电缆发生水渗浸受潮，导致绝缘击穿短路。</w:t>
      </w:r>
    </w:p>
    <w:p w14:paraId="46D9C241" w14:textId="77777777" w:rsidR="009219A0" w:rsidRDefault="00000000">
      <w:pPr>
        <w:numPr>
          <w:ilvl w:val="0"/>
          <w:numId w:val="12"/>
        </w:numPr>
        <w:adjustRightInd/>
        <w:snapToGrid/>
        <w:spacing w:line="500" w:lineRule="exact"/>
        <w:ind w:left="0" w:firstLineChars="0" w:firstLine="555"/>
        <w:rPr>
          <w:rFonts w:ascii="宋体" w:hAnsi="宋体" w:hint="eastAsia"/>
          <w:color w:val="auto"/>
          <w:szCs w:val="22"/>
        </w:rPr>
      </w:pPr>
      <w:r>
        <w:rPr>
          <w:rFonts w:ascii="宋体" w:hAnsi="宋体" w:hint="eastAsia"/>
          <w:color w:val="auto"/>
          <w:szCs w:val="22"/>
        </w:rPr>
        <w:t>过电压使电缆绝缘击穿发生短路起火。</w:t>
      </w:r>
    </w:p>
    <w:p w14:paraId="2AFE13C7" w14:textId="77777777" w:rsidR="009219A0" w:rsidRDefault="00000000">
      <w:pPr>
        <w:numPr>
          <w:ilvl w:val="0"/>
          <w:numId w:val="12"/>
        </w:numPr>
        <w:adjustRightInd/>
        <w:snapToGrid/>
        <w:spacing w:line="500" w:lineRule="exact"/>
        <w:ind w:left="0" w:firstLineChars="0" w:firstLine="555"/>
        <w:rPr>
          <w:rFonts w:ascii="宋体" w:hAnsi="宋体" w:hint="eastAsia"/>
          <w:color w:val="auto"/>
          <w:szCs w:val="22"/>
        </w:rPr>
      </w:pPr>
      <w:r>
        <w:rPr>
          <w:rFonts w:ascii="宋体" w:hAnsi="宋体" w:hint="eastAsia"/>
          <w:color w:val="auto"/>
          <w:szCs w:val="22"/>
        </w:rPr>
        <w:t>安装时电缆的曲率半径过小，致使绝缘折断受损发生短路。</w:t>
      </w:r>
    </w:p>
    <w:p w14:paraId="70497CCD" w14:textId="77777777" w:rsidR="009219A0" w:rsidRDefault="00000000">
      <w:pPr>
        <w:numPr>
          <w:ilvl w:val="0"/>
          <w:numId w:val="12"/>
        </w:numPr>
        <w:adjustRightInd/>
        <w:snapToGrid/>
        <w:spacing w:line="500" w:lineRule="exact"/>
        <w:ind w:left="0" w:firstLineChars="0" w:firstLine="555"/>
        <w:rPr>
          <w:rFonts w:ascii="宋体" w:hAnsi="宋体" w:hint="eastAsia"/>
          <w:color w:val="auto"/>
          <w:szCs w:val="22"/>
        </w:rPr>
      </w:pPr>
      <w:r>
        <w:rPr>
          <w:rFonts w:ascii="宋体" w:hAnsi="宋体" w:hint="eastAsia"/>
          <w:color w:val="auto"/>
          <w:szCs w:val="22"/>
        </w:rPr>
        <w:t>电缆终端接头和中间接头接触不良发生爆炸短路事故引起着火。</w:t>
      </w:r>
    </w:p>
    <w:p w14:paraId="4E45B790" w14:textId="77777777" w:rsidR="009219A0" w:rsidRDefault="00000000">
      <w:pPr>
        <w:adjustRightInd/>
        <w:snapToGrid/>
        <w:spacing w:line="500" w:lineRule="exact"/>
        <w:ind w:firstLine="560"/>
        <w:rPr>
          <w:rFonts w:ascii="宋体" w:hAnsi="宋体" w:hint="eastAsia"/>
          <w:color w:val="auto"/>
          <w:szCs w:val="22"/>
        </w:rPr>
      </w:pPr>
      <w:r>
        <w:rPr>
          <w:rFonts w:ascii="宋体" w:hAnsi="宋体" w:hint="eastAsia"/>
          <w:color w:val="auto"/>
          <w:szCs w:val="22"/>
        </w:rPr>
        <w:t>2）</w:t>
      </w:r>
      <w:r>
        <w:rPr>
          <w:rFonts w:ascii="宋体" w:hAnsi="宋体"/>
          <w:color w:val="auto"/>
          <w:szCs w:val="22"/>
        </w:rPr>
        <w:t>其它电气火灾危险性分析</w:t>
      </w:r>
    </w:p>
    <w:p w14:paraId="639FE926" w14:textId="77777777" w:rsidR="009219A0" w:rsidRDefault="00000000">
      <w:pPr>
        <w:adjustRightInd/>
        <w:snapToGrid/>
        <w:spacing w:line="500" w:lineRule="exact"/>
        <w:ind w:firstLine="560"/>
        <w:rPr>
          <w:rFonts w:ascii="宋体" w:hAnsi="宋体" w:hint="eastAsia"/>
          <w:color w:val="auto"/>
          <w:szCs w:val="22"/>
        </w:rPr>
      </w:pPr>
      <w:r>
        <w:rPr>
          <w:rFonts w:ascii="宋体" w:hAnsi="宋体" w:hint="eastAsia"/>
          <w:color w:val="auto"/>
          <w:szCs w:val="22"/>
        </w:rPr>
        <w:t>常用电气包括断路器、隔离开关、电动机、照明灯具等火灾危险性较大的电气设备。这些电气设备在发生故障时，可能会引燃绝缘材料或其它可燃物质，造成火灾事故的发生。</w:t>
      </w:r>
    </w:p>
    <w:p w14:paraId="08C04ED8" w14:textId="77777777" w:rsidR="009219A0" w:rsidRDefault="00000000">
      <w:pPr>
        <w:adjustRightInd/>
        <w:snapToGrid/>
        <w:ind w:firstLine="560"/>
        <w:rPr>
          <w:rFonts w:ascii="宋体" w:hAnsi="宋体" w:hint="eastAsia"/>
          <w:b/>
          <w:color w:val="auto"/>
          <w:szCs w:val="22"/>
        </w:rPr>
      </w:pPr>
      <w:r>
        <w:rPr>
          <w:rFonts w:ascii="宋体" w:hAnsi="宋体" w:hint="eastAsia"/>
          <w:color w:val="auto"/>
          <w:szCs w:val="22"/>
        </w:rPr>
        <w:lastRenderedPageBreak/>
        <w:t>（3）其他火灾危险性分析</w:t>
      </w:r>
    </w:p>
    <w:p w14:paraId="549D677E" w14:textId="77777777" w:rsidR="009219A0" w:rsidRDefault="00000000">
      <w:pPr>
        <w:adjustRightInd/>
        <w:snapToGrid/>
        <w:ind w:firstLine="560"/>
        <w:rPr>
          <w:rFonts w:ascii="宋体" w:hAnsi="宋体" w:hint="eastAsia"/>
          <w:color w:val="auto"/>
          <w:szCs w:val="22"/>
        </w:rPr>
      </w:pPr>
      <w:r>
        <w:rPr>
          <w:rFonts w:ascii="宋体" w:hAnsi="宋体" w:hint="eastAsia"/>
          <w:color w:val="auto"/>
          <w:szCs w:val="22"/>
        </w:rPr>
        <w:t>1）设备、设施、建构筑物如防雷设施不齐，或管理疏忽，导致防雷效果降低，甚至失去作用，则可能在雷雨天因雷击引发火灾爆炸事故。</w:t>
      </w:r>
    </w:p>
    <w:p w14:paraId="3598415D" w14:textId="77777777" w:rsidR="009219A0" w:rsidRDefault="00000000">
      <w:pPr>
        <w:ind w:firstLine="560"/>
        <w:rPr>
          <w:color w:val="auto"/>
        </w:rPr>
      </w:pPr>
      <w:r>
        <w:rPr>
          <w:rFonts w:ascii="宋体" w:hAnsi="宋体" w:hint="eastAsia"/>
          <w:color w:val="auto"/>
          <w:szCs w:val="22"/>
        </w:rPr>
        <w:t>2）</w:t>
      </w:r>
      <w:proofErr w:type="gramStart"/>
      <w:r>
        <w:rPr>
          <w:rFonts w:ascii="宋体" w:hAnsi="宋体" w:hint="eastAsia"/>
          <w:color w:val="auto"/>
          <w:szCs w:val="22"/>
        </w:rPr>
        <w:t>若项目</w:t>
      </w:r>
      <w:proofErr w:type="gramEnd"/>
      <w:r>
        <w:rPr>
          <w:rFonts w:ascii="宋体" w:hAnsi="宋体" w:hint="eastAsia"/>
          <w:color w:val="auto"/>
          <w:szCs w:val="22"/>
        </w:rPr>
        <w:t>建构筑物的耐火等级、火灾类别、通风条件不符合规范要求，设计、施工存在缺陷，周边有明火、火花，可能会引发火灾爆炸。</w:t>
      </w:r>
    </w:p>
    <w:p w14:paraId="2D10588A" w14:textId="77777777" w:rsidR="009219A0" w:rsidRDefault="00000000">
      <w:pPr>
        <w:pStyle w:val="3"/>
        <w:rPr>
          <w:rFonts w:hint="eastAsia"/>
        </w:rPr>
      </w:pPr>
      <w:bookmarkStart w:id="262" w:name="_Toc211950491"/>
      <w:r>
        <w:rPr>
          <w:rFonts w:hint="eastAsia"/>
        </w:rPr>
        <w:t>2.3.3 机械伤害危险性分析</w:t>
      </w:r>
      <w:bookmarkEnd w:id="262"/>
    </w:p>
    <w:p w14:paraId="6721721C" w14:textId="77777777" w:rsidR="009219A0" w:rsidRDefault="00000000">
      <w:pPr>
        <w:ind w:firstLine="560"/>
        <w:rPr>
          <w:color w:val="auto"/>
        </w:rPr>
      </w:pPr>
      <w:r>
        <w:rPr>
          <w:rFonts w:hint="eastAsia"/>
          <w:color w:val="auto"/>
        </w:rPr>
        <w:t>项目运行过程中，使用到的球磨机、风机、皮带机、搅拌机、泵等机械设备可能发生机械伤害。机械</w:t>
      </w:r>
      <w:proofErr w:type="gramStart"/>
      <w:r>
        <w:rPr>
          <w:rFonts w:hint="eastAsia"/>
          <w:color w:val="auto"/>
        </w:rPr>
        <w:t>伤害指</w:t>
      </w:r>
      <w:proofErr w:type="gramEnd"/>
      <w:r>
        <w:rPr>
          <w:rFonts w:hint="eastAsia"/>
          <w:color w:val="auto"/>
        </w:rPr>
        <w:t>机械设备运动（静止）部件、工具直接与人体接触引起的夹击、碰撞、剪切、卷入、绞、碾、割、刺等伤害。在事故及检维修等特殊情况下，也存在机械伤害的可能性。产生机械伤害的情况分析如下：</w:t>
      </w:r>
    </w:p>
    <w:p w14:paraId="09237D0F" w14:textId="77777777" w:rsidR="009219A0" w:rsidRDefault="00000000">
      <w:pPr>
        <w:ind w:firstLine="560"/>
        <w:rPr>
          <w:color w:val="auto"/>
        </w:rPr>
      </w:pPr>
      <w:r>
        <w:rPr>
          <w:rFonts w:hint="eastAsia"/>
          <w:color w:val="auto"/>
        </w:rPr>
        <w:t>（</w:t>
      </w:r>
      <w:r>
        <w:rPr>
          <w:rFonts w:hint="eastAsia"/>
          <w:color w:val="auto"/>
        </w:rPr>
        <w:t>1</w:t>
      </w:r>
      <w:r>
        <w:rPr>
          <w:rFonts w:hint="eastAsia"/>
          <w:color w:val="auto"/>
        </w:rPr>
        <w:t>）违章操作，穿戴不符合安全规定的服装进行操作。</w:t>
      </w:r>
    </w:p>
    <w:p w14:paraId="3181569B" w14:textId="77777777" w:rsidR="009219A0" w:rsidRDefault="00000000">
      <w:pPr>
        <w:ind w:firstLine="560"/>
        <w:rPr>
          <w:color w:val="auto"/>
        </w:rPr>
      </w:pPr>
      <w:r>
        <w:rPr>
          <w:rFonts w:hint="eastAsia"/>
          <w:color w:val="auto"/>
        </w:rPr>
        <w:t>（</w:t>
      </w:r>
      <w:r>
        <w:rPr>
          <w:rFonts w:hint="eastAsia"/>
          <w:color w:val="auto"/>
        </w:rPr>
        <w:t>2</w:t>
      </w:r>
      <w:r>
        <w:rPr>
          <w:rFonts w:hint="eastAsia"/>
          <w:color w:val="auto"/>
        </w:rPr>
        <w:t>）无防护：如无防护罩、安全保护装置、报警装置、安全警示标志、护栏等安全防护措施或防护措施失效。</w:t>
      </w:r>
    </w:p>
    <w:p w14:paraId="49E44DF4" w14:textId="77777777" w:rsidR="009219A0" w:rsidRDefault="00000000">
      <w:pPr>
        <w:ind w:firstLine="560"/>
        <w:rPr>
          <w:color w:val="auto"/>
        </w:rPr>
      </w:pPr>
      <w:r>
        <w:rPr>
          <w:rFonts w:hint="eastAsia"/>
          <w:color w:val="auto"/>
        </w:rPr>
        <w:t>（</w:t>
      </w:r>
      <w:r>
        <w:rPr>
          <w:rFonts w:hint="eastAsia"/>
          <w:color w:val="auto"/>
        </w:rPr>
        <w:t>3</w:t>
      </w:r>
      <w:r>
        <w:rPr>
          <w:rFonts w:hint="eastAsia"/>
          <w:color w:val="auto"/>
        </w:rPr>
        <w:t>）防护不当：如防护罩未在适当位置，防护装置调整不当，安全距离不够等。</w:t>
      </w:r>
    </w:p>
    <w:p w14:paraId="568F54B8" w14:textId="77777777" w:rsidR="009219A0" w:rsidRDefault="00000000">
      <w:pPr>
        <w:ind w:firstLine="560"/>
        <w:rPr>
          <w:color w:val="auto"/>
        </w:rPr>
      </w:pPr>
      <w:r>
        <w:rPr>
          <w:rFonts w:hint="eastAsia"/>
          <w:color w:val="auto"/>
        </w:rPr>
        <w:t>（</w:t>
      </w:r>
      <w:r>
        <w:rPr>
          <w:rFonts w:hint="eastAsia"/>
          <w:color w:val="auto"/>
        </w:rPr>
        <w:t>4</w:t>
      </w:r>
      <w:r>
        <w:rPr>
          <w:rFonts w:hint="eastAsia"/>
          <w:color w:val="auto"/>
        </w:rPr>
        <w:t>）机械设备设施存在缺陷：如设计不合理，结构不符合安全要求，制动装置有缺陷，安全间距不够，工件上有锋利毛刺、毛边，设备上有</w:t>
      </w:r>
      <w:proofErr w:type="gramStart"/>
      <w:r>
        <w:rPr>
          <w:rFonts w:hint="eastAsia"/>
          <w:color w:val="auto"/>
        </w:rPr>
        <w:t>锋利倒棱等</w:t>
      </w:r>
      <w:proofErr w:type="gramEnd"/>
      <w:r>
        <w:rPr>
          <w:rFonts w:hint="eastAsia"/>
          <w:color w:val="auto"/>
        </w:rPr>
        <w:t>。</w:t>
      </w:r>
    </w:p>
    <w:p w14:paraId="53B1F0D5" w14:textId="77777777" w:rsidR="009219A0" w:rsidRDefault="00000000">
      <w:pPr>
        <w:ind w:firstLine="560"/>
        <w:rPr>
          <w:color w:val="auto"/>
        </w:rPr>
      </w:pPr>
      <w:r>
        <w:rPr>
          <w:rFonts w:hint="eastAsia"/>
          <w:color w:val="auto"/>
        </w:rPr>
        <w:t>（</w:t>
      </w:r>
      <w:r>
        <w:rPr>
          <w:rFonts w:hint="eastAsia"/>
          <w:color w:val="auto"/>
        </w:rPr>
        <w:t>5</w:t>
      </w:r>
      <w:r>
        <w:rPr>
          <w:rFonts w:hint="eastAsia"/>
          <w:color w:val="auto"/>
        </w:rPr>
        <w:t>）人员违章作业造成机械伤害。</w:t>
      </w:r>
    </w:p>
    <w:p w14:paraId="6C70FAFC" w14:textId="77777777" w:rsidR="009219A0" w:rsidRDefault="00000000">
      <w:pPr>
        <w:ind w:firstLine="560"/>
        <w:rPr>
          <w:color w:val="auto"/>
        </w:rPr>
      </w:pPr>
      <w:r>
        <w:rPr>
          <w:rFonts w:hint="eastAsia"/>
          <w:color w:val="auto"/>
        </w:rPr>
        <w:t>（</w:t>
      </w:r>
      <w:r>
        <w:rPr>
          <w:rFonts w:hint="eastAsia"/>
          <w:color w:val="auto"/>
        </w:rPr>
        <w:t>6</w:t>
      </w:r>
      <w:r>
        <w:rPr>
          <w:rFonts w:hint="eastAsia"/>
          <w:color w:val="auto"/>
        </w:rPr>
        <w:t>）机械强度不够：如起吊重物的绳索断丝或载荷不够等。</w:t>
      </w:r>
    </w:p>
    <w:p w14:paraId="45598D0F" w14:textId="77777777" w:rsidR="009219A0" w:rsidRDefault="00000000">
      <w:pPr>
        <w:ind w:firstLine="560"/>
        <w:rPr>
          <w:color w:val="auto"/>
        </w:rPr>
      </w:pPr>
      <w:r>
        <w:rPr>
          <w:rFonts w:hint="eastAsia"/>
          <w:color w:val="auto"/>
        </w:rPr>
        <w:t>（</w:t>
      </w:r>
      <w:r>
        <w:rPr>
          <w:rFonts w:hint="eastAsia"/>
          <w:color w:val="auto"/>
        </w:rPr>
        <w:t>7</w:t>
      </w:r>
      <w:r>
        <w:rPr>
          <w:rFonts w:hint="eastAsia"/>
          <w:color w:val="auto"/>
        </w:rPr>
        <w:t>）设备带“病”运转，超负荷运转等。</w:t>
      </w:r>
    </w:p>
    <w:p w14:paraId="17854780" w14:textId="77777777" w:rsidR="009219A0" w:rsidRDefault="00000000">
      <w:pPr>
        <w:ind w:firstLine="560"/>
        <w:rPr>
          <w:color w:val="auto"/>
        </w:rPr>
      </w:pPr>
      <w:r>
        <w:rPr>
          <w:rFonts w:hint="eastAsia"/>
          <w:color w:val="auto"/>
        </w:rPr>
        <w:t>（</w:t>
      </w:r>
      <w:r>
        <w:rPr>
          <w:rFonts w:hint="eastAsia"/>
          <w:color w:val="auto"/>
        </w:rPr>
        <w:t>8</w:t>
      </w:r>
      <w:r>
        <w:rPr>
          <w:rFonts w:hint="eastAsia"/>
          <w:color w:val="auto"/>
        </w:rPr>
        <w:t>）无意或为排除故障而接近危险部位：如在无防护罩的两个相对运动零部件之间清理卡住物时，可能造成挤伤、夹断、切断、压碎或人的肢体被卷进的伤害。</w:t>
      </w:r>
    </w:p>
    <w:p w14:paraId="6F14C52D" w14:textId="77777777" w:rsidR="009219A0" w:rsidRDefault="00000000">
      <w:pPr>
        <w:pStyle w:val="3"/>
        <w:rPr>
          <w:rFonts w:hint="eastAsia"/>
        </w:rPr>
      </w:pPr>
      <w:bookmarkStart w:id="263" w:name="_Toc211950492"/>
      <w:r>
        <w:rPr>
          <w:rFonts w:hint="eastAsia"/>
        </w:rPr>
        <w:lastRenderedPageBreak/>
        <w:t>2.3.4 灼烫危险性分析</w:t>
      </w:r>
      <w:bookmarkEnd w:id="263"/>
    </w:p>
    <w:p w14:paraId="0ADD3AB9" w14:textId="77777777" w:rsidR="009219A0" w:rsidRDefault="00000000">
      <w:pPr>
        <w:ind w:firstLine="560"/>
        <w:rPr>
          <w:color w:val="auto"/>
        </w:rPr>
      </w:pPr>
      <w:r>
        <w:rPr>
          <w:rFonts w:hint="eastAsia"/>
          <w:color w:val="auto"/>
        </w:rPr>
        <w:t>本项目运行过程中灼烫危险主要存在于高温烧结炉、高温式电阻炉、微波马弗炉等高温设备部位。</w:t>
      </w:r>
      <w:proofErr w:type="gramStart"/>
      <w:r>
        <w:rPr>
          <w:rFonts w:hint="eastAsia"/>
          <w:color w:val="auto"/>
        </w:rPr>
        <w:t>灼</w:t>
      </w:r>
      <w:proofErr w:type="gramEnd"/>
      <w:r>
        <w:rPr>
          <w:rFonts w:hint="eastAsia"/>
          <w:color w:val="auto"/>
        </w:rPr>
        <w:t>烫伤</w:t>
      </w:r>
      <w:proofErr w:type="gramStart"/>
      <w:r>
        <w:rPr>
          <w:rFonts w:hint="eastAsia"/>
          <w:color w:val="auto"/>
        </w:rPr>
        <w:t>害属于</w:t>
      </w:r>
      <w:proofErr w:type="gramEnd"/>
      <w:r>
        <w:rPr>
          <w:rFonts w:hint="eastAsia"/>
          <w:color w:val="auto"/>
        </w:rPr>
        <w:t>热损伤，是体表部分接触足够高温的干热或湿热所引起的局部和全身反应。</w:t>
      </w:r>
    </w:p>
    <w:p w14:paraId="642289EC" w14:textId="77777777" w:rsidR="009219A0" w:rsidRDefault="00000000">
      <w:pPr>
        <w:ind w:firstLine="560"/>
        <w:rPr>
          <w:color w:val="auto"/>
        </w:rPr>
      </w:pPr>
      <w:r>
        <w:rPr>
          <w:rFonts w:hint="eastAsia"/>
          <w:color w:val="auto"/>
        </w:rPr>
        <w:t>引发事故的原因主要有：</w:t>
      </w:r>
    </w:p>
    <w:p w14:paraId="1C11FDDA" w14:textId="77777777" w:rsidR="009219A0" w:rsidRDefault="00000000">
      <w:pPr>
        <w:ind w:firstLine="560"/>
        <w:rPr>
          <w:color w:val="auto"/>
        </w:rPr>
      </w:pPr>
      <w:r>
        <w:rPr>
          <w:rFonts w:hint="eastAsia"/>
          <w:color w:val="auto"/>
        </w:rPr>
        <w:t>（</w:t>
      </w:r>
      <w:r>
        <w:rPr>
          <w:rFonts w:hint="eastAsia"/>
          <w:color w:val="auto"/>
        </w:rPr>
        <w:t>1</w:t>
      </w:r>
      <w:r>
        <w:rPr>
          <w:rFonts w:hint="eastAsia"/>
          <w:color w:val="auto"/>
        </w:rPr>
        <w:t>）高温设备的高温部位等未采取隔离保温措施或失效，人体赤身接触易造成高温烫伤。</w:t>
      </w:r>
    </w:p>
    <w:p w14:paraId="794442DF" w14:textId="77777777" w:rsidR="009219A0" w:rsidRDefault="00000000">
      <w:pPr>
        <w:ind w:firstLine="560"/>
        <w:rPr>
          <w:color w:val="auto"/>
        </w:rPr>
      </w:pPr>
      <w:r>
        <w:rPr>
          <w:rFonts w:hint="eastAsia"/>
          <w:color w:val="auto"/>
        </w:rPr>
        <w:t>（</w:t>
      </w:r>
      <w:r>
        <w:rPr>
          <w:rFonts w:hint="eastAsia"/>
          <w:color w:val="auto"/>
        </w:rPr>
        <w:t>2</w:t>
      </w:r>
      <w:r>
        <w:rPr>
          <w:rFonts w:hint="eastAsia"/>
          <w:color w:val="auto"/>
        </w:rPr>
        <w:t>）易发生高温烫伤危险性场所未设置安全警示，在未知为高温设备的情况下倚靠、休息等被烫伤。</w:t>
      </w:r>
    </w:p>
    <w:p w14:paraId="4AC66B6F" w14:textId="77777777" w:rsidR="009219A0" w:rsidRDefault="00000000">
      <w:pPr>
        <w:ind w:firstLine="560"/>
        <w:rPr>
          <w:color w:val="auto"/>
        </w:rPr>
      </w:pPr>
      <w:r>
        <w:rPr>
          <w:rFonts w:hint="eastAsia"/>
          <w:color w:val="auto"/>
        </w:rPr>
        <w:t>（</w:t>
      </w:r>
      <w:r>
        <w:rPr>
          <w:rFonts w:hint="eastAsia"/>
          <w:color w:val="auto"/>
        </w:rPr>
        <w:t>3</w:t>
      </w:r>
      <w:r>
        <w:rPr>
          <w:rFonts w:hint="eastAsia"/>
          <w:color w:val="auto"/>
        </w:rPr>
        <w:t>）高温物料泄漏后处置不当，如人员自我保护意识差，在不能确保安全的情况下就进行堵漏抢险。</w:t>
      </w:r>
    </w:p>
    <w:p w14:paraId="39145612" w14:textId="77777777" w:rsidR="009219A0" w:rsidRDefault="00000000">
      <w:pPr>
        <w:ind w:firstLine="560"/>
        <w:rPr>
          <w:color w:val="auto"/>
        </w:rPr>
      </w:pPr>
      <w:r>
        <w:rPr>
          <w:rFonts w:hint="eastAsia"/>
          <w:color w:val="auto"/>
        </w:rPr>
        <w:t>（</w:t>
      </w:r>
      <w:r>
        <w:rPr>
          <w:rFonts w:hint="eastAsia"/>
          <w:color w:val="auto"/>
        </w:rPr>
        <w:t>4</w:t>
      </w:r>
      <w:r>
        <w:rPr>
          <w:rFonts w:hint="eastAsia"/>
          <w:color w:val="auto"/>
        </w:rPr>
        <w:t>）作业人员未严格按规程操作设备。</w:t>
      </w:r>
    </w:p>
    <w:p w14:paraId="5C36B4B9" w14:textId="77777777" w:rsidR="009219A0" w:rsidRDefault="00000000">
      <w:pPr>
        <w:ind w:firstLine="560"/>
        <w:rPr>
          <w:color w:val="auto"/>
        </w:rPr>
      </w:pPr>
      <w:r>
        <w:rPr>
          <w:rFonts w:hint="eastAsia"/>
          <w:color w:val="auto"/>
        </w:rPr>
        <w:t>（</w:t>
      </w:r>
      <w:r>
        <w:rPr>
          <w:rFonts w:hint="eastAsia"/>
          <w:color w:val="auto"/>
        </w:rPr>
        <w:t>5</w:t>
      </w:r>
      <w:r>
        <w:rPr>
          <w:rFonts w:hint="eastAsia"/>
          <w:color w:val="auto"/>
        </w:rPr>
        <w:t>）安全资金投入不足，安全教育培训不够、个人防护不到位、安全设施配备不足、未提供事故隐患排查治理所需的资金等导致事故的发生。</w:t>
      </w:r>
    </w:p>
    <w:p w14:paraId="39C00249" w14:textId="77777777" w:rsidR="009219A0" w:rsidRDefault="00000000">
      <w:pPr>
        <w:ind w:firstLine="560"/>
        <w:rPr>
          <w:color w:val="auto"/>
        </w:rPr>
      </w:pPr>
      <w:r>
        <w:rPr>
          <w:rFonts w:hint="eastAsia"/>
          <w:color w:val="auto"/>
        </w:rPr>
        <w:t>（</w:t>
      </w:r>
      <w:r>
        <w:rPr>
          <w:rFonts w:hint="eastAsia"/>
          <w:color w:val="auto"/>
        </w:rPr>
        <w:t>6</w:t>
      </w:r>
      <w:r>
        <w:rPr>
          <w:rFonts w:hint="eastAsia"/>
          <w:color w:val="auto"/>
        </w:rPr>
        <w:t>）设备、设施检修过程中，工作人员进行焊接作业时，还可能因人员违章操作、未穿戴劳动防护用品等被焊渣烫伤。</w:t>
      </w:r>
    </w:p>
    <w:p w14:paraId="162485A3" w14:textId="77777777" w:rsidR="009219A0" w:rsidRDefault="00000000">
      <w:pPr>
        <w:ind w:firstLine="560"/>
        <w:rPr>
          <w:rFonts w:ascii="宋体" w:hAnsi="宋体" w:hint="eastAsia"/>
          <w:color w:val="auto"/>
          <w:szCs w:val="28"/>
        </w:rPr>
      </w:pPr>
      <w:r>
        <w:rPr>
          <w:rFonts w:hint="eastAsia"/>
          <w:color w:val="auto"/>
        </w:rPr>
        <w:t>（</w:t>
      </w:r>
      <w:r>
        <w:rPr>
          <w:rFonts w:hint="eastAsia"/>
          <w:color w:val="auto"/>
        </w:rPr>
        <w:t>7</w:t>
      </w:r>
      <w:r>
        <w:rPr>
          <w:rFonts w:hint="eastAsia"/>
          <w:color w:val="auto"/>
        </w:rPr>
        <w:t>）若未穿戴防护用品就直接接触高温设备本体或高温物体，会造成高温烫伤。</w:t>
      </w:r>
    </w:p>
    <w:p w14:paraId="12276CE6" w14:textId="77777777" w:rsidR="009219A0" w:rsidRDefault="00000000">
      <w:pPr>
        <w:pStyle w:val="3"/>
        <w:rPr>
          <w:rFonts w:hint="eastAsia"/>
        </w:rPr>
      </w:pPr>
      <w:bookmarkStart w:id="264" w:name="_Toc211950493"/>
      <w:r>
        <w:rPr>
          <w:rFonts w:hint="eastAsia"/>
        </w:rPr>
        <w:t>2.3.5 触电危险性分析</w:t>
      </w:r>
      <w:bookmarkEnd w:id="264"/>
    </w:p>
    <w:p w14:paraId="0D896D41" w14:textId="77777777" w:rsidR="009219A0" w:rsidRDefault="00000000">
      <w:pPr>
        <w:ind w:firstLine="560"/>
        <w:rPr>
          <w:color w:val="auto"/>
        </w:rPr>
      </w:pPr>
      <w:r>
        <w:rPr>
          <w:rFonts w:hint="eastAsia"/>
          <w:color w:val="auto"/>
        </w:rPr>
        <w:t>触电事故的发生经常是由于违章作业或线路老化；用电设备绝缘失效；电气线路、设备设计上的不合理、选型不合理、安装上存在缺陷、超负荷使用；未装设漏电保护装置或漏电保护装置失效；电气设备保护接地不良等，电气设备漏电造成人体与带电体直接接触或人体接近高压带电体，使人体流过超过承受阈值的电流而造成的伤害。造成事故的主要因素有：</w:t>
      </w:r>
    </w:p>
    <w:p w14:paraId="6C3104D7" w14:textId="77777777" w:rsidR="009219A0" w:rsidRDefault="00000000">
      <w:pPr>
        <w:ind w:firstLine="560"/>
        <w:rPr>
          <w:color w:val="auto"/>
        </w:rPr>
      </w:pPr>
      <w:r>
        <w:rPr>
          <w:rFonts w:hint="eastAsia"/>
          <w:color w:val="auto"/>
        </w:rPr>
        <w:t>（</w:t>
      </w:r>
      <w:r>
        <w:rPr>
          <w:rFonts w:hint="eastAsia"/>
          <w:color w:val="auto"/>
        </w:rPr>
        <w:t>1</w:t>
      </w:r>
      <w:r>
        <w:rPr>
          <w:rFonts w:hint="eastAsia"/>
          <w:color w:val="auto"/>
        </w:rPr>
        <w:t>）变、配电设备无带电指示、未进行安全隔离、安全防护设施不齐</w:t>
      </w:r>
      <w:r>
        <w:rPr>
          <w:rFonts w:hint="eastAsia"/>
          <w:color w:val="auto"/>
        </w:rPr>
        <w:lastRenderedPageBreak/>
        <w:t>全或损坏不符合要求，有造成人员触电的危险。</w:t>
      </w:r>
    </w:p>
    <w:p w14:paraId="2F93AF15" w14:textId="77777777" w:rsidR="009219A0" w:rsidRDefault="00000000">
      <w:pPr>
        <w:ind w:firstLine="560"/>
        <w:rPr>
          <w:color w:val="auto"/>
        </w:rPr>
      </w:pPr>
      <w:r>
        <w:rPr>
          <w:rFonts w:hint="eastAsia"/>
          <w:color w:val="auto"/>
        </w:rPr>
        <w:t>（</w:t>
      </w:r>
      <w:r>
        <w:rPr>
          <w:rFonts w:hint="eastAsia"/>
          <w:color w:val="auto"/>
        </w:rPr>
        <w:t>2</w:t>
      </w:r>
      <w:r>
        <w:rPr>
          <w:rFonts w:hint="eastAsia"/>
          <w:color w:val="auto"/>
        </w:rPr>
        <w:t>）配电盘前未设防护橡胶垫等有发生作业人员触电的危险。</w:t>
      </w:r>
    </w:p>
    <w:p w14:paraId="4FB07F96" w14:textId="77777777" w:rsidR="009219A0" w:rsidRDefault="00000000">
      <w:pPr>
        <w:ind w:firstLine="560"/>
        <w:rPr>
          <w:color w:val="auto"/>
        </w:rPr>
      </w:pPr>
      <w:r>
        <w:rPr>
          <w:rFonts w:hint="eastAsia"/>
          <w:color w:val="auto"/>
        </w:rPr>
        <w:t>（</w:t>
      </w:r>
      <w:r>
        <w:rPr>
          <w:rFonts w:hint="eastAsia"/>
          <w:color w:val="auto"/>
        </w:rPr>
        <w:t>3</w:t>
      </w:r>
      <w:r>
        <w:rPr>
          <w:rFonts w:hint="eastAsia"/>
          <w:color w:val="auto"/>
        </w:rPr>
        <w:t>）电气线路、变配电设备、用电设备检修的安全距离不够，检修时使用手持电动工具不当，无良好的保护措施。</w:t>
      </w:r>
    </w:p>
    <w:p w14:paraId="411B77DB" w14:textId="77777777" w:rsidR="009219A0" w:rsidRDefault="00000000">
      <w:pPr>
        <w:ind w:firstLine="560"/>
        <w:rPr>
          <w:color w:val="auto"/>
        </w:rPr>
      </w:pPr>
      <w:r>
        <w:rPr>
          <w:rFonts w:hint="eastAsia"/>
          <w:color w:val="auto"/>
        </w:rPr>
        <w:t>（</w:t>
      </w:r>
      <w:r>
        <w:rPr>
          <w:rFonts w:hint="eastAsia"/>
          <w:color w:val="auto"/>
        </w:rPr>
        <w:t>4</w:t>
      </w:r>
      <w:r>
        <w:rPr>
          <w:rFonts w:hint="eastAsia"/>
          <w:color w:val="auto"/>
        </w:rPr>
        <w:t>）电气设备、电气线路受腐蚀或电气设备老化，人体意外接触可造成触电伤害。</w:t>
      </w:r>
    </w:p>
    <w:p w14:paraId="55D1E8A5" w14:textId="77777777" w:rsidR="009219A0" w:rsidRDefault="00000000">
      <w:pPr>
        <w:ind w:firstLine="560"/>
        <w:rPr>
          <w:color w:val="auto"/>
        </w:rPr>
      </w:pPr>
      <w:r>
        <w:rPr>
          <w:rFonts w:hint="eastAsia"/>
          <w:color w:val="auto"/>
        </w:rPr>
        <w:t>（</w:t>
      </w:r>
      <w:r>
        <w:rPr>
          <w:rFonts w:hint="eastAsia"/>
          <w:color w:val="auto"/>
        </w:rPr>
        <w:t>5</w:t>
      </w:r>
      <w:r>
        <w:rPr>
          <w:rFonts w:hint="eastAsia"/>
          <w:color w:val="auto"/>
        </w:rPr>
        <w:t>）项目所使用的电气设备、电气线路处于恶劣环境中或作业现场环境差（高温、潮湿、腐蚀、振动），易导致电气设备老化、漏电，人体意外接触可造成触电伤害。</w:t>
      </w:r>
    </w:p>
    <w:p w14:paraId="70D6E4D8" w14:textId="77777777" w:rsidR="009219A0" w:rsidRDefault="00000000">
      <w:pPr>
        <w:ind w:firstLine="560"/>
        <w:rPr>
          <w:color w:val="auto"/>
        </w:rPr>
      </w:pPr>
      <w:r>
        <w:rPr>
          <w:rFonts w:hint="eastAsia"/>
          <w:color w:val="auto"/>
        </w:rPr>
        <w:t>（</w:t>
      </w:r>
      <w:r>
        <w:rPr>
          <w:rFonts w:hint="eastAsia"/>
          <w:color w:val="auto"/>
        </w:rPr>
        <w:t>6</w:t>
      </w:r>
      <w:r>
        <w:rPr>
          <w:rFonts w:hint="eastAsia"/>
          <w:color w:val="auto"/>
        </w:rPr>
        <w:t>）电气设备缺少屏护、遮栏、护网，或电气设备质量不合格，绝缘性能不满足要求。</w:t>
      </w:r>
    </w:p>
    <w:p w14:paraId="7F1629AD" w14:textId="77777777" w:rsidR="009219A0" w:rsidRDefault="00000000">
      <w:pPr>
        <w:ind w:firstLine="560"/>
        <w:rPr>
          <w:color w:val="auto"/>
        </w:rPr>
      </w:pPr>
      <w:r>
        <w:rPr>
          <w:rFonts w:hint="eastAsia"/>
          <w:color w:val="auto"/>
        </w:rPr>
        <w:t>（</w:t>
      </w:r>
      <w:r>
        <w:rPr>
          <w:rFonts w:hint="eastAsia"/>
          <w:color w:val="auto"/>
        </w:rPr>
        <w:t>7</w:t>
      </w:r>
      <w:r>
        <w:rPr>
          <w:rFonts w:hint="eastAsia"/>
          <w:color w:val="auto"/>
        </w:rPr>
        <w:t>）电气线路设置不规范、未设置漏电保护或漏电保护失效、手持电动工具和移动视灯等未按要求使用安全电压、临时线路乱搭乱扯，有造成触电的危险。</w:t>
      </w:r>
    </w:p>
    <w:p w14:paraId="1049D1C1" w14:textId="77777777" w:rsidR="009219A0" w:rsidRDefault="00000000">
      <w:pPr>
        <w:ind w:firstLine="560"/>
        <w:rPr>
          <w:color w:val="auto"/>
        </w:rPr>
      </w:pPr>
      <w:r>
        <w:rPr>
          <w:rFonts w:hint="eastAsia"/>
          <w:color w:val="auto"/>
        </w:rPr>
        <w:t>（</w:t>
      </w:r>
      <w:r>
        <w:rPr>
          <w:rFonts w:hint="eastAsia"/>
          <w:color w:val="auto"/>
        </w:rPr>
        <w:t>8</w:t>
      </w:r>
      <w:r>
        <w:rPr>
          <w:rFonts w:hint="eastAsia"/>
          <w:color w:val="auto"/>
        </w:rPr>
        <w:t>）未严格执行用电管理制度，电气作业中，违反操作规程及安全用电制度，不办理电气作业有关票证；工作人员擅自扩大工作范围，线路检修时</w:t>
      </w:r>
      <w:proofErr w:type="gramStart"/>
      <w:r>
        <w:rPr>
          <w:rFonts w:hint="eastAsia"/>
          <w:color w:val="auto"/>
        </w:rPr>
        <w:t>不</w:t>
      </w:r>
      <w:proofErr w:type="gramEnd"/>
      <w:r>
        <w:rPr>
          <w:rFonts w:hint="eastAsia"/>
          <w:color w:val="auto"/>
        </w:rPr>
        <w:t>装设或未按规定装设接地线；线路或电气设备检修完毕未进行确认，就对停电设备恢复送电，操作失误，可引起人员触电的危险。</w:t>
      </w:r>
    </w:p>
    <w:p w14:paraId="7B008EFC" w14:textId="77777777" w:rsidR="009219A0" w:rsidRDefault="00000000">
      <w:pPr>
        <w:ind w:firstLine="560"/>
        <w:rPr>
          <w:color w:val="auto"/>
        </w:rPr>
      </w:pPr>
      <w:r>
        <w:rPr>
          <w:rFonts w:hint="eastAsia"/>
          <w:color w:val="auto"/>
        </w:rPr>
        <w:t>（</w:t>
      </w:r>
      <w:r>
        <w:rPr>
          <w:rFonts w:hint="eastAsia"/>
          <w:color w:val="auto"/>
        </w:rPr>
        <w:t>9</w:t>
      </w:r>
      <w:r>
        <w:rPr>
          <w:rFonts w:hint="eastAsia"/>
          <w:color w:val="auto"/>
        </w:rPr>
        <w:t>）电工违章作业，非具备资质的电气作业人员安装、维修电气设施。</w:t>
      </w:r>
    </w:p>
    <w:p w14:paraId="5F7A4A63" w14:textId="77777777" w:rsidR="009219A0" w:rsidRDefault="00000000">
      <w:pPr>
        <w:ind w:firstLine="560"/>
        <w:rPr>
          <w:color w:val="auto"/>
        </w:rPr>
      </w:pPr>
      <w:r>
        <w:rPr>
          <w:rFonts w:hint="eastAsia"/>
          <w:color w:val="auto"/>
        </w:rPr>
        <w:t>（</w:t>
      </w:r>
      <w:r>
        <w:rPr>
          <w:rFonts w:hint="eastAsia"/>
          <w:color w:val="auto"/>
        </w:rPr>
        <w:t>10</w:t>
      </w:r>
      <w:r>
        <w:rPr>
          <w:rFonts w:hint="eastAsia"/>
          <w:color w:val="auto"/>
        </w:rPr>
        <w:t>）人员操作失误，未佩戴劳动防护用品可引起触电事故。在电缆沟或金属容器内工作不使用安全电压照明灯。</w:t>
      </w:r>
    </w:p>
    <w:p w14:paraId="7184A715" w14:textId="77777777" w:rsidR="009219A0" w:rsidRDefault="00000000">
      <w:pPr>
        <w:pStyle w:val="3"/>
        <w:rPr>
          <w:rFonts w:hint="eastAsia"/>
        </w:rPr>
      </w:pPr>
      <w:bookmarkStart w:id="265" w:name="_Toc211950494"/>
      <w:r>
        <w:rPr>
          <w:rFonts w:hint="eastAsia"/>
        </w:rPr>
        <w:t>2.3.6 车辆伤害危险性分析</w:t>
      </w:r>
      <w:bookmarkEnd w:id="265"/>
    </w:p>
    <w:p w14:paraId="090AB8C8" w14:textId="77777777" w:rsidR="009219A0" w:rsidRDefault="00000000">
      <w:pPr>
        <w:ind w:firstLine="560"/>
        <w:rPr>
          <w:color w:val="auto"/>
        </w:rPr>
      </w:pPr>
      <w:r>
        <w:rPr>
          <w:rFonts w:hint="eastAsia"/>
          <w:color w:val="auto"/>
        </w:rPr>
        <w:t>车辆</w:t>
      </w:r>
      <w:proofErr w:type="gramStart"/>
      <w:r>
        <w:rPr>
          <w:rFonts w:hint="eastAsia"/>
          <w:color w:val="auto"/>
        </w:rPr>
        <w:t>伤害指</w:t>
      </w:r>
      <w:proofErr w:type="gramEnd"/>
      <w:r>
        <w:rPr>
          <w:rFonts w:hint="eastAsia"/>
          <w:color w:val="auto"/>
        </w:rPr>
        <w:t>企业机动车辆在行使中引起的人体坠落和物体倒塌、下落、挤压伤亡事故。本项目及周边企业主要采用汽车运输，厂区内车辆出入频繁，可能导致车辆伤害事故的发生。车辆伤害事故的原因是多方面的，但</w:t>
      </w:r>
      <w:r>
        <w:rPr>
          <w:rFonts w:hint="eastAsia"/>
          <w:color w:val="auto"/>
        </w:rPr>
        <w:lastRenderedPageBreak/>
        <w:t>主要是涉及人（驾驶员、行人、厂区工人）、车（机动车与非机动车）、道路环境这三个综合因素。对产生车辆伤害的主要原因分析如下：</w:t>
      </w:r>
    </w:p>
    <w:p w14:paraId="7B5F96B6" w14:textId="77777777" w:rsidR="009219A0" w:rsidRDefault="00000000">
      <w:pPr>
        <w:ind w:firstLine="560"/>
        <w:rPr>
          <w:color w:val="auto"/>
        </w:rPr>
      </w:pPr>
      <w:r>
        <w:rPr>
          <w:rFonts w:hint="eastAsia"/>
          <w:color w:val="auto"/>
        </w:rPr>
        <w:t>（</w:t>
      </w:r>
      <w:r>
        <w:rPr>
          <w:rFonts w:hint="eastAsia"/>
          <w:color w:val="auto"/>
        </w:rPr>
        <w:t>1</w:t>
      </w:r>
      <w:r>
        <w:rPr>
          <w:rFonts w:hint="eastAsia"/>
          <w:color w:val="auto"/>
        </w:rPr>
        <w:t>）违章驾车</w:t>
      </w:r>
    </w:p>
    <w:p w14:paraId="1D25BDF4" w14:textId="77777777" w:rsidR="009219A0" w:rsidRDefault="00000000">
      <w:pPr>
        <w:ind w:firstLine="560"/>
        <w:rPr>
          <w:color w:val="auto"/>
        </w:rPr>
      </w:pPr>
      <w:r>
        <w:rPr>
          <w:rFonts w:hint="eastAsia"/>
          <w:color w:val="auto"/>
        </w:rPr>
        <w:t>指事故的当事人，由于思想方面的原因而导致的错误操作行为，不按有关规定行驶，扰乱正常的企业内搬运秩序，致使事故发生。如酒后驾车，疲劳驾车，非驾驶员驾车，超速行驶，争道抢行，违章超车，违章装载等原因造成的车辆伤害事故。</w:t>
      </w:r>
    </w:p>
    <w:p w14:paraId="4BF4FA9A" w14:textId="77777777" w:rsidR="009219A0" w:rsidRDefault="00000000">
      <w:pPr>
        <w:ind w:firstLine="560"/>
        <w:rPr>
          <w:color w:val="auto"/>
        </w:rPr>
      </w:pPr>
      <w:r>
        <w:rPr>
          <w:rFonts w:hint="eastAsia"/>
          <w:color w:val="auto"/>
        </w:rPr>
        <w:t>（</w:t>
      </w:r>
      <w:r>
        <w:rPr>
          <w:rFonts w:hint="eastAsia"/>
          <w:color w:val="auto"/>
        </w:rPr>
        <w:t>2</w:t>
      </w:r>
      <w:r>
        <w:rPr>
          <w:rFonts w:hint="eastAsia"/>
          <w:color w:val="auto"/>
        </w:rPr>
        <w:t>）疏忽大意</w:t>
      </w:r>
    </w:p>
    <w:p w14:paraId="103ED24B" w14:textId="77777777" w:rsidR="009219A0" w:rsidRDefault="00000000">
      <w:pPr>
        <w:ind w:firstLine="560"/>
        <w:rPr>
          <w:color w:val="auto"/>
        </w:rPr>
      </w:pPr>
      <w:r>
        <w:rPr>
          <w:rFonts w:hint="eastAsia"/>
          <w:color w:val="auto"/>
        </w:rPr>
        <w:t>指当事人由于心理或生理方面的原因，没有及时、正确的观察和判断道路情况，而造成失误，如情绪急躁、精神分散、心理烦乱、身体不适等都可能造成注意力下降，反应迟钝，表现出嘹望观察不周，遇到情况采取措施不及时或不当；也有的只凭主观想象判断情况，或过高地估计自己的经验技术，过分自信，引起操作失误导致事故。</w:t>
      </w:r>
    </w:p>
    <w:p w14:paraId="551653BF" w14:textId="77777777" w:rsidR="009219A0" w:rsidRDefault="00000000">
      <w:pPr>
        <w:ind w:firstLine="560"/>
        <w:rPr>
          <w:color w:val="auto"/>
        </w:rPr>
      </w:pPr>
      <w:r>
        <w:rPr>
          <w:rFonts w:hint="eastAsia"/>
          <w:color w:val="auto"/>
        </w:rPr>
        <w:t>（</w:t>
      </w:r>
      <w:r>
        <w:rPr>
          <w:rFonts w:hint="eastAsia"/>
          <w:color w:val="auto"/>
        </w:rPr>
        <w:t>3</w:t>
      </w:r>
      <w:r>
        <w:rPr>
          <w:rFonts w:hint="eastAsia"/>
          <w:color w:val="auto"/>
        </w:rPr>
        <w:t>）车况不良</w:t>
      </w:r>
    </w:p>
    <w:p w14:paraId="5497B1AF" w14:textId="77777777" w:rsidR="009219A0" w:rsidRDefault="00000000">
      <w:pPr>
        <w:ind w:firstLine="560"/>
        <w:rPr>
          <w:color w:val="auto"/>
        </w:rPr>
      </w:pPr>
      <w:r>
        <w:rPr>
          <w:rFonts w:hint="eastAsia"/>
          <w:color w:val="auto"/>
        </w:rPr>
        <w:t>车辆的安全装置如转向、制动、喇叭、照明、后视镜和转向指示灯等不齐全有效；车辆维护修理不及时，带“病”行驶。</w:t>
      </w:r>
    </w:p>
    <w:p w14:paraId="5A88649C" w14:textId="77777777" w:rsidR="009219A0" w:rsidRDefault="00000000">
      <w:pPr>
        <w:ind w:firstLine="560"/>
        <w:rPr>
          <w:color w:val="auto"/>
        </w:rPr>
      </w:pPr>
      <w:r>
        <w:rPr>
          <w:rFonts w:hint="eastAsia"/>
          <w:color w:val="auto"/>
        </w:rPr>
        <w:t>（</w:t>
      </w:r>
      <w:r>
        <w:rPr>
          <w:rFonts w:hint="eastAsia"/>
          <w:color w:val="auto"/>
        </w:rPr>
        <w:t>4</w:t>
      </w:r>
      <w:r>
        <w:rPr>
          <w:rFonts w:hint="eastAsia"/>
          <w:color w:val="auto"/>
        </w:rPr>
        <w:t>）道路环境</w:t>
      </w:r>
    </w:p>
    <w:p w14:paraId="3D888CF0" w14:textId="77777777" w:rsidR="009219A0" w:rsidRDefault="00000000">
      <w:pPr>
        <w:ind w:firstLine="560"/>
        <w:rPr>
          <w:color w:val="auto"/>
        </w:rPr>
      </w:pPr>
      <w:r>
        <w:rPr>
          <w:rFonts w:hint="eastAsia"/>
          <w:color w:val="auto"/>
        </w:rPr>
        <w:t>道路因物料无序堆放导致通道狭窄，因建筑物或自然环境影响造成视线不良等。</w:t>
      </w:r>
    </w:p>
    <w:p w14:paraId="3A93ABFA" w14:textId="77777777" w:rsidR="009219A0" w:rsidRDefault="00000000">
      <w:pPr>
        <w:ind w:firstLine="560"/>
        <w:rPr>
          <w:color w:val="auto"/>
        </w:rPr>
      </w:pPr>
      <w:r>
        <w:rPr>
          <w:rFonts w:hint="eastAsia"/>
          <w:color w:val="auto"/>
        </w:rPr>
        <w:t>（</w:t>
      </w:r>
      <w:r>
        <w:rPr>
          <w:rFonts w:hint="eastAsia"/>
          <w:color w:val="auto"/>
        </w:rPr>
        <w:t>5</w:t>
      </w:r>
      <w:r>
        <w:rPr>
          <w:rFonts w:hint="eastAsia"/>
          <w:color w:val="auto"/>
        </w:rPr>
        <w:t>）管理因素</w:t>
      </w:r>
    </w:p>
    <w:p w14:paraId="4E397906" w14:textId="77777777" w:rsidR="009219A0" w:rsidRDefault="00000000">
      <w:pPr>
        <w:ind w:firstLine="560"/>
        <w:rPr>
          <w:color w:val="auto"/>
        </w:rPr>
      </w:pPr>
      <w:r>
        <w:rPr>
          <w:rFonts w:hint="eastAsia"/>
          <w:color w:val="auto"/>
        </w:rPr>
        <w:t>车辆安全行驶制度不落实，管理规章制度或操作规程不健全，非驾驶员驾车，车辆维修不及时，交通信号、标志、设施缺陷。</w:t>
      </w:r>
    </w:p>
    <w:p w14:paraId="0DE4C7E7" w14:textId="77777777" w:rsidR="009219A0" w:rsidRDefault="00000000">
      <w:pPr>
        <w:pStyle w:val="3"/>
        <w:rPr>
          <w:rFonts w:hint="eastAsia"/>
        </w:rPr>
      </w:pPr>
      <w:bookmarkStart w:id="266" w:name="_Toc211950495"/>
      <w:r>
        <w:rPr>
          <w:rFonts w:hint="eastAsia"/>
        </w:rPr>
        <w:t>2.3.7 起重伤害危险性分析</w:t>
      </w:r>
      <w:bookmarkEnd w:id="266"/>
    </w:p>
    <w:p w14:paraId="1CD5B1E7" w14:textId="77777777" w:rsidR="009219A0" w:rsidRDefault="00000000">
      <w:pPr>
        <w:ind w:firstLine="560"/>
      </w:pPr>
      <w:r>
        <w:rPr>
          <w:rFonts w:hint="eastAsia"/>
        </w:rPr>
        <w:t>起重伤害是指在起重作业过程中发生的各种伤害事故，包括重物坠落、夹挤、物体打击、起重机倾翻等。这些事故不仅可能导致人员伤亡，还可</w:t>
      </w:r>
      <w:r>
        <w:rPr>
          <w:rFonts w:hint="eastAsia"/>
        </w:rPr>
        <w:lastRenderedPageBreak/>
        <w:t>能造成设备损坏。本项目设置有</w:t>
      </w:r>
      <w:r>
        <w:rPr>
          <w:rFonts w:hint="eastAsia"/>
        </w:rPr>
        <w:t>2t</w:t>
      </w:r>
      <w:r>
        <w:rPr>
          <w:rFonts w:hint="eastAsia"/>
        </w:rPr>
        <w:t>电动葫芦、单梁行车等起重设备，产生起重伤害情况分析如下：</w:t>
      </w:r>
    </w:p>
    <w:p w14:paraId="4D169B3F" w14:textId="77777777" w:rsidR="009219A0" w:rsidRDefault="00000000">
      <w:pPr>
        <w:ind w:firstLine="560"/>
      </w:pPr>
      <w:r>
        <w:rPr>
          <w:rFonts w:hint="eastAsia"/>
        </w:rPr>
        <w:t>（</w:t>
      </w:r>
      <w:r>
        <w:rPr>
          <w:rFonts w:hint="eastAsia"/>
        </w:rPr>
        <w:t>1</w:t>
      </w:r>
      <w:r>
        <w:rPr>
          <w:rFonts w:hint="eastAsia"/>
        </w:rPr>
        <w:t>）操作人员未严格遵守安全规程，违章作业、冒险作业；指挥信号</w:t>
      </w:r>
      <w:proofErr w:type="gramStart"/>
      <w:r>
        <w:rPr>
          <w:rFonts w:hint="eastAsia"/>
        </w:rPr>
        <w:t>不</w:t>
      </w:r>
      <w:proofErr w:type="gramEnd"/>
      <w:r>
        <w:rPr>
          <w:rFonts w:hint="eastAsia"/>
        </w:rPr>
        <w:t>标准，上下配合不协调；工作前未对行车及吊具进行安全检查等。</w:t>
      </w:r>
    </w:p>
    <w:p w14:paraId="774E9FCB" w14:textId="77777777" w:rsidR="009219A0" w:rsidRDefault="00000000">
      <w:pPr>
        <w:ind w:firstLine="560"/>
      </w:pPr>
      <w:r>
        <w:rPr>
          <w:rFonts w:hint="eastAsia"/>
        </w:rPr>
        <w:t>（</w:t>
      </w:r>
      <w:r>
        <w:rPr>
          <w:rFonts w:hint="eastAsia"/>
        </w:rPr>
        <w:t>2</w:t>
      </w:r>
      <w:r>
        <w:rPr>
          <w:rFonts w:hint="eastAsia"/>
        </w:rPr>
        <w:t>）安全装置不完善，行车机械、电气故障频繁；操作技能欠佳，责任心不强；设备老化或维护不当等。</w:t>
      </w:r>
    </w:p>
    <w:p w14:paraId="1E551BC5" w14:textId="77777777" w:rsidR="009219A0" w:rsidRDefault="00000000">
      <w:pPr>
        <w:ind w:firstLine="560"/>
      </w:pPr>
      <w:r>
        <w:rPr>
          <w:rFonts w:hint="eastAsia"/>
        </w:rPr>
        <w:t>（</w:t>
      </w:r>
      <w:r>
        <w:rPr>
          <w:rFonts w:hint="eastAsia"/>
        </w:rPr>
        <w:t>3</w:t>
      </w:r>
      <w:r>
        <w:rPr>
          <w:rFonts w:hint="eastAsia"/>
        </w:rPr>
        <w:t>）作业人员未经培训和考核后上岗。</w:t>
      </w:r>
    </w:p>
    <w:p w14:paraId="42171322" w14:textId="77777777" w:rsidR="009219A0" w:rsidRDefault="00000000">
      <w:pPr>
        <w:ind w:firstLine="560"/>
      </w:pPr>
      <w:r>
        <w:rPr>
          <w:rFonts w:hint="eastAsia"/>
        </w:rPr>
        <w:t>（</w:t>
      </w:r>
      <w:r>
        <w:rPr>
          <w:rFonts w:hint="eastAsia"/>
        </w:rPr>
        <w:t>4</w:t>
      </w:r>
      <w:r>
        <w:rPr>
          <w:rFonts w:hint="eastAsia"/>
        </w:rPr>
        <w:t>）起重设备未进行定期检验。</w:t>
      </w:r>
    </w:p>
    <w:p w14:paraId="0A45CC88" w14:textId="77777777" w:rsidR="009219A0" w:rsidRDefault="00000000">
      <w:pPr>
        <w:pStyle w:val="3"/>
        <w:rPr>
          <w:rFonts w:hint="eastAsia"/>
        </w:rPr>
      </w:pPr>
      <w:bookmarkStart w:id="267" w:name="_Toc211950496"/>
      <w:r>
        <w:rPr>
          <w:rFonts w:hint="eastAsia"/>
        </w:rPr>
        <w:t>2.3.8 中毒窒息危险性分析</w:t>
      </w:r>
      <w:bookmarkEnd w:id="267"/>
    </w:p>
    <w:p w14:paraId="32C43454" w14:textId="77777777" w:rsidR="009219A0" w:rsidRDefault="00000000">
      <w:pPr>
        <w:adjustRightInd/>
        <w:snapToGrid/>
        <w:ind w:firstLine="560"/>
        <w:rPr>
          <w:color w:val="auto"/>
          <w:szCs w:val="28"/>
        </w:rPr>
      </w:pPr>
      <w:bookmarkStart w:id="268" w:name="_Toc62219368"/>
      <w:r>
        <w:rPr>
          <w:rFonts w:hint="eastAsia"/>
          <w:color w:val="auto"/>
          <w:szCs w:val="28"/>
        </w:rPr>
        <w:t>（</w:t>
      </w:r>
      <w:r>
        <w:rPr>
          <w:rFonts w:hint="eastAsia"/>
          <w:color w:val="auto"/>
          <w:szCs w:val="28"/>
        </w:rPr>
        <w:t>1</w:t>
      </w:r>
      <w:r>
        <w:rPr>
          <w:rFonts w:hint="eastAsia"/>
          <w:color w:val="auto"/>
          <w:szCs w:val="28"/>
        </w:rPr>
        <w:t>）中毒是指有毒有害物化学物质经呼吸道、皮肤、口进入人体，累积达一定量，与人体体液和器官组织发生化学作用或生物物理学作用，扰乱或破坏肌体的正常生理功能，引起某些器官和系统暂时性或持久性的病理改变，甚至危及生命。窒息指人体因缺氧而造成正常的生理功能停止的现象。通常表现为：不适、恶心、休克、死亡等症状。气瓶间里的惰性气体泄露、试剂</w:t>
      </w:r>
      <w:proofErr w:type="gramStart"/>
      <w:r>
        <w:rPr>
          <w:rFonts w:hint="eastAsia"/>
          <w:color w:val="auto"/>
          <w:szCs w:val="28"/>
        </w:rPr>
        <w:t>柜其他</w:t>
      </w:r>
      <w:proofErr w:type="gramEnd"/>
      <w:r>
        <w:rPr>
          <w:rFonts w:hint="eastAsia"/>
          <w:color w:val="auto"/>
          <w:szCs w:val="28"/>
        </w:rPr>
        <w:t>有毒有害试剂泄露可能导致中毒窒息。</w:t>
      </w:r>
    </w:p>
    <w:p w14:paraId="2C1859D3" w14:textId="77777777" w:rsidR="009219A0" w:rsidRDefault="00000000">
      <w:pPr>
        <w:adjustRightInd/>
        <w:snapToGrid/>
        <w:ind w:firstLine="560"/>
        <w:rPr>
          <w:color w:val="auto"/>
          <w:szCs w:val="28"/>
        </w:rPr>
      </w:pPr>
      <w:r>
        <w:rPr>
          <w:rFonts w:hint="eastAsia"/>
          <w:color w:val="auto"/>
          <w:szCs w:val="28"/>
        </w:rPr>
        <w:t>本项目小试、中试试验过程中能会有少量硫化氢气体和</w:t>
      </w:r>
      <w:proofErr w:type="gramStart"/>
      <w:r>
        <w:rPr>
          <w:rFonts w:hint="eastAsia"/>
          <w:color w:val="auto"/>
          <w:szCs w:val="28"/>
        </w:rPr>
        <w:t>砷化</w:t>
      </w:r>
      <w:proofErr w:type="gramEnd"/>
      <w:r>
        <w:rPr>
          <w:rFonts w:hint="eastAsia"/>
          <w:color w:val="auto"/>
          <w:szCs w:val="28"/>
        </w:rPr>
        <w:t>氢气体产生。小试试验在通风橱中进行操作，实验室有强制排风措施；中试试验循环槽、氧化槽为密闭设备，产生的废气由排风管和风机抽吸至二级碱液喷淋塔进行处理。现场应配备有溴化汞试纸，并为操作人员配置相应的劳动防护用品（如防护服、防护手套、防护眼镜、防毒面具等），设置有毒气体检测仪。</w:t>
      </w:r>
    </w:p>
    <w:p w14:paraId="3D3ACF4A" w14:textId="77777777" w:rsidR="009219A0" w:rsidRDefault="00000000">
      <w:pPr>
        <w:tabs>
          <w:tab w:val="right" w:leader="dot" w:pos="8432"/>
        </w:tabs>
        <w:adjustRightInd/>
        <w:snapToGrid/>
        <w:ind w:firstLine="600"/>
        <w:rPr>
          <w:rFonts w:ascii="宋体" w:hAnsi="宋体" w:hint="eastAsia"/>
          <w:color w:val="auto"/>
          <w:spacing w:val="10"/>
          <w:szCs w:val="28"/>
        </w:rPr>
      </w:pPr>
      <w:r>
        <w:rPr>
          <w:rFonts w:ascii="宋体" w:hAnsi="宋体" w:hint="eastAsia"/>
          <w:color w:val="auto"/>
          <w:spacing w:val="10"/>
          <w:szCs w:val="28"/>
        </w:rPr>
        <w:t>项目运行过程产生的微量的有毒害物质及健康危害如附表2.3-1。</w:t>
      </w:r>
    </w:p>
    <w:p w14:paraId="142F2958" w14:textId="77777777" w:rsidR="009219A0" w:rsidRDefault="00000000">
      <w:pPr>
        <w:tabs>
          <w:tab w:val="left" w:pos="420"/>
        </w:tabs>
        <w:adjustRightInd/>
        <w:snapToGrid/>
        <w:ind w:firstLineChars="0" w:firstLine="0"/>
        <w:jc w:val="center"/>
        <w:rPr>
          <w:rFonts w:ascii="宋体" w:hAnsi="宋体" w:hint="eastAsia"/>
          <w:color w:val="auto"/>
          <w:kern w:val="1"/>
          <w:szCs w:val="28"/>
          <w:lang w:val="zh-CN"/>
        </w:rPr>
      </w:pPr>
      <w:r>
        <w:rPr>
          <w:rFonts w:ascii="宋体" w:hAnsi="宋体" w:hint="eastAsia"/>
          <w:color w:val="auto"/>
          <w:kern w:val="1"/>
          <w:szCs w:val="28"/>
        </w:rPr>
        <w:t>附表2.3-1</w:t>
      </w:r>
      <w:r>
        <w:rPr>
          <w:rFonts w:ascii="宋体" w:hAnsi="宋体" w:hint="eastAsia"/>
          <w:color w:val="auto"/>
          <w:kern w:val="1"/>
          <w:szCs w:val="28"/>
          <w:lang w:val="zh-CN"/>
        </w:rPr>
        <w:t>有害物质及健康危害</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395"/>
        <w:gridCol w:w="6928"/>
      </w:tblGrid>
      <w:tr w:rsidR="009219A0" w14:paraId="2EEF0069" w14:textId="77777777">
        <w:tc>
          <w:tcPr>
            <w:tcW w:w="749" w:type="dxa"/>
            <w:vAlign w:val="center"/>
          </w:tcPr>
          <w:p w14:paraId="7051D82D" w14:textId="77777777" w:rsidR="009219A0" w:rsidRDefault="00000000">
            <w:pPr>
              <w:tabs>
                <w:tab w:val="right" w:leader="dot" w:pos="8432"/>
              </w:tabs>
              <w:adjustRightInd/>
              <w:snapToGrid/>
              <w:spacing w:line="240" w:lineRule="auto"/>
              <w:ind w:firstLineChars="0" w:firstLine="0"/>
              <w:jc w:val="center"/>
              <w:rPr>
                <w:rFonts w:ascii="宋体" w:hAnsi="宋体" w:cs="宋体" w:hint="eastAsia"/>
                <w:b/>
                <w:bCs/>
                <w:color w:val="auto"/>
                <w:spacing w:val="10"/>
                <w:sz w:val="21"/>
                <w:szCs w:val="21"/>
              </w:rPr>
            </w:pPr>
            <w:r>
              <w:rPr>
                <w:rFonts w:ascii="宋体" w:hAnsi="宋体" w:cs="宋体" w:hint="eastAsia"/>
                <w:b/>
                <w:bCs/>
                <w:color w:val="auto"/>
                <w:spacing w:val="10"/>
                <w:sz w:val="21"/>
                <w:szCs w:val="21"/>
              </w:rPr>
              <w:t>序号</w:t>
            </w:r>
          </w:p>
        </w:tc>
        <w:tc>
          <w:tcPr>
            <w:tcW w:w="1395" w:type="dxa"/>
            <w:vAlign w:val="center"/>
          </w:tcPr>
          <w:p w14:paraId="0EDF33EE" w14:textId="77777777" w:rsidR="009219A0" w:rsidRDefault="00000000">
            <w:pPr>
              <w:tabs>
                <w:tab w:val="right" w:leader="dot" w:pos="8432"/>
              </w:tabs>
              <w:adjustRightInd/>
              <w:snapToGrid/>
              <w:spacing w:line="240" w:lineRule="auto"/>
              <w:ind w:firstLineChars="0" w:firstLine="0"/>
              <w:jc w:val="center"/>
              <w:rPr>
                <w:rFonts w:ascii="宋体" w:hAnsi="宋体" w:cs="宋体" w:hint="eastAsia"/>
                <w:b/>
                <w:bCs/>
                <w:color w:val="auto"/>
                <w:spacing w:val="10"/>
                <w:sz w:val="21"/>
                <w:szCs w:val="21"/>
              </w:rPr>
            </w:pPr>
            <w:r>
              <w:rPr>
                <w:rFonts w:ascii="宋体" w:hAnsi="宋体" w:cs="宋体" w:hint="eastAsia"/>
                <w:b/>
                <w:bCs/>
                <w:color w:val="auto"/>
                <w:spacing w:val="10"/>
                <w:sz w:val="21"/>
                <w:szCs w:val="21"/>
              </w:rPr>
              <w:t>有害物质</w:t>
            </w:r>
          </w:p>
        </w:tc>
        <w:tc>
          <w:tcPr>
            <w:tcW w:w="6928" w:type="dxa"/>
            <w:vAlign w:val="center"/>
          </w:tcPr>
          <w:p w14:paraId="23D7F56C" w14:textId="77777777" w:rsidR="009219A0" w:rsidRDefault="00000000">
            <w:pPr>
              <w:tabs>
                <w:tab w:val="right" w:leader="dot" w:pos="8432"/>
              </w:tabs>
              <w:adjustRightInd/>
              <w:snapToGrid/>
              <w:spacing w:line="240" w:lineRule="auto"/>
              <w:ind w:firstLineChars="0" w:firstLine="0"/>
              <w:jc w:val="center"/>
              <w:rPr>
                <w:rFonts w:ascii="宋体" w:hAnsi="宋体" w:cs="宋体" w:hint="eastAsia"/>
                <w:b/>
                <w:bCs/>
                <w:color w:val="auto"/>
                <w:spacing w:val="10"/>
                <w:sz w:val="21"/>
                <w:szCs w:val="21"/>
              </w:rPr>
            </w:pPr>
            <w:r>
              <w:rPr>
                <w:rFonts w:ascii="宋体" w:hAnsi="宋体" w:cs="宋体" w:hint="eastAsia"/>
                <w:b/>
                <w:bCs/>
                <w:color w:val="auto"/>
                <w:spacing w:val="10"/>
                <w:sz w:val="21"/>
                <w:szCs w:val="21"/>
              </w:rPr>
              <w:t>健康危害</w:t>
            </w:r>
          </w:p>
        </w:tc>
      </w:tr>
      <w:tr w:rsidR="009219A0" w14:paraId="5B5CA6AF" w14:textId="77777777">
        <w:tc>
          <w:tcPr>
            <w:tcW w:w="749" w:type="dxa"/>
            <w:vAlign w:val="center"/>
          </w:tcPr>
          <w:p w14:paraId="21EF7D42"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1</w:t>
            </w:r>
          </w:p>
        </w:tc>
        <w:tc>
          <w:tcPr>
            <w:tcW w:w="1395" w:type="dxa"/>
            <w:vAlign w:val="center"/>
          </w:tcPr>
          <w:p w14:paraId="7BA520E5"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硫酸</w:t>
            </w:r>
          </w:p>
        </w:tc>
        <w:tc>
          <w:tcPr>
            <w:tcW w:w="6928" w:type="dxa"/>
            <w:vAlign w:val="center"/>
          </w:tcPr>
          <w:p w14:paraId="08EBDBD1"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对皮肤、粘膜等组织有强烈的刺激和腐蚀作用。</w:t>
            </w:r>
            <w:proofErr w:type="gramStart"/>
            <w:r>
              <w:rPr>
                <w:rFonts w:ascii="宋体" w:hAnsi="宋体" w:cs="宋体" w:hint="eastAsia"/>
                <w:color w:val="auto"/>
                <w:kern w:val="0"/>
                <w:sz w:val="21"/>
                <w:szCs w:val="21"/>
              </w:rPr>
              <w:t>蒸气或雾可引起</w:t>
            </w:r>
            <w:proofErr w:type="gramEnd"/>
            <w:r>
              <w:rPr>
                <w:rFonts w:ascii="宋体" w:hAnsi="宋体" w:cs="宋体" w:hint="eastAsia"/>
                <w:color w:val="auto"/>
                <w:kern w:val="0"/>
                <w:sz w:val="21"/>
                <w:szCs w:val="21"/>
              </w:rPr>
              <w:t>结膜炎、结膜水肿、角膜浑浊，以致失明；吸入硫酸雾后引起呼吸道刺激反应、重者发生呼吸困难和肺水肿；高浓度引起喉痉挛或声门水肿而窒息死亡，口</w:t>
            </w:r>
            <w:r>
              <w:rPr>
                <w:rFonts w:ascii="宋体" w:hAnsi="宋体" w:cs="宋体" w:hint="eastAsia"/>
                <w:color w:val="auto"/>
                <w:kern w:val="0"/>
                <w:sz w:val="21"/>
                <w:szCs w:val="21"/>
              </w:rPr>
              <w:lastRenderedPageBreak/>
              <w:t>服后引起消化道烧伤以至形成溃疡；严重者可能有胃穿孔、腹膜炎、肾损害、休克等。皮肤接触硫酸轻者出现红斑、重者形成溃疡，愈后瘢痕收缩影响功能。硫酸</w:t>
            </w:r>
            <w:proofErr w:type="gramStart"/>
            <w:r>
              <w:rPr>
                <w:rFonts w:ascii="宋体" w:hAnsi="宋体" w:cs="宋体" w:hint="eastAsia"/>
                <w:color w:val="auto"/>
                <w:kern w:val="0"/>
                <w:sz w:val="21"/>
                <w:szCs w:val="21"/>
              </w:rPr>
              <w:t>溅</w:t>
            </w:r>
            <w:proofErr w:type="gramEnd"/>
            <w:r>
              <w:rPr>
                <w:rFonts w:ascii="宋体" w:hAnsi="宋体" w:cs="宋体" w:hint="eastAsia"/>
                <w:color w:val="auto"/>
                <w:kern w:val="0"/>
                <w:sz w:val="21"/>
                <w:szCs w:val="21"/>
              </w:rPr>
              <w:t>入眼内可成灼伤，甚至角膜穿孔、全眼炎以至失明，长期</w:t>
            </w:r>
            <w:proofErr w:type="gramStart"/>
            <w:r>
              <w:rPr>
                <w:rFonts w:ascii="宋体" w:hAnsi="宋体" w:cs="宋体" w:hint="eastAsia"/>
                <w:color w:val="auto"/>
                <w:kern w:val="0"/>
                <w:sz w:val="21"/>
                <w:szCs w:val="21"/>
              </w:rPr>
              <w:t>暴露于硫酸雾</w:t>
            </w:r>
            <w:proofErr w:type="gramEnd"/>
            <w:r>
              <w:rPr>
                <w:rFonts w:ascii="宋体" w:hAnsi="宋体" w:cs="宋体" w:hint="eastAsia"/>
                <w:color w:val="auto"/>
                <w:kern w:val="0"/>
                <w:sz w:val="21"/>
                <w:szCs w:val="21"/>
              </w:rPr>
              <w:t>，可出现鼻粘膜萎缩。嗅觉减退消失，牙齿酸蚀症、慢性支气管炎、肺水肿和肝硬化。</w:t>
            </w:r>
          </w:p>
        </w:tc>
      </w:tr>
      <w:tr w:rsidR="009219A0" w14:paraId="304C2DD3" w14:textId="77777777">
        <w:tc>
          <w:tcPr>
            <w:tcW w:w="749" w:type="dxa"/>
            <w:vAlign w:val="center"/>
          </w:tcPr>
          <w:p w14:paraId="0C73658A"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lastRenderedPageBreak/>
              <w:t>2</w:t>
            </w:r>
          </w:p>
        </w:tc>
        <w:tc>
          <w:tcPr>
            <w:tcW w:w="1395" w:type="dxa"/>
            <w:vAlign w:val="center"/>
          </w:tcPr>
          <w:p w14:paraId="420B0A11"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盐酸</w:t>
            </w:r>
          </w:p>
        </w:tc>
        <w:tc>
          <w:tcPr>
            <w:tcW w:w="6928" w:type="dxa"/>
            <w:vAlign w:val="center"/>
          </w:tcPr>
          <w:p w14:paraId="3C8E0B16"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浓盐酸（发烟盐酸）会挥发出酸雾。盐酸本身和酸雾都会腐蚀人体组织，可能会不可逆地损伤呼吸器官、眼部、皮肤和胃肠等。在将盐酸与氧化剂（例如漂白剂次氯酸钠或高锰酸钾等）混合时，会产生有毒气体氯气。</w:t>
            </w:r>
          </w:p>
        </w:tc>
      </w:tr>
      <w:tr w:rsidR="009219A0" w14:paraId="49D7E7BE" w14:textId="77777777">
        <w:tc>
          <w:tcPr>
            <w:tcW w:w="749" w:type="dxa"/>
            <w:vAlign w:val="center"/>
          </w:tcPr>
          <w:p w14:paraId="7586C187"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3</w:t>
            </w:r>
          </w:p>
        </w:tc>
        <w:tc>
          <w:tcPr>
            <w:tcW w:w="1395" w:type="dxa"/>
            <w:vAlign w:val="center"/>
          </w:tcPr>
          <w:p w14:paraId="4DBB5BFE"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氧化钙</w:t>
            </w:r>
          </w:p>
        </w:tc>
        <w:tc>
          <w:tcPr>
            <w:tcW w:w="6928" w:type="dxa"/>
            <w:vAlign w:val="center"/>
          </w:tcPr>
          <w:p w14:paraId="27C4F42B"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氧化钙具有一定的毒性，对人体健康有多种危害。它对皮肤、眼睛和呼吸道有强烈的刺激性和腐蚀性，接触到皮肤或眼睛会导致灼伤或刺激，引起疼痛。如果吸入氧化钙粉尘，会引起呼吸道刺激、化学性肺炎、咳嗽和喉咙疼痛等症状。口服氧化钙会刺激和灼伤消化道，长期接触可能导致手掌皮肤角化、皴裂和指甲变形。</w:t>
            </w:r>
            <w:r>
              <w:rPr>
                <w:rFonts w:ascii="MS Gothic" w:eastAsia="MS Gothic" w:hAnsi="MS Gothic" w:cs="MS Gothic" w:hint="eastAsia"/>
                <w:color w:val="auto"/>
                <w:kern w:val="0"/>
                <w:sz w:val="21"/>
                <w:szCs w:val="21"/>
              </w:rPr>
              <w:t>‌</w:t>
            </w:r>
          </w:p>
        </w:tc>
      </w:tr>
      <w:tr w:rsidR="009219A0" w14:paraId="5A0660C4" w14:textId="77777777">
        <w:tc>
          <w:tcPr>
            <w:tcW w:w="749" w:type="dxa"/>
            <w:vAlign w:val="center"/>
          </w:tcPr>
          <w:p w14:paraId="7AE240DB"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4</w:t>
            </w:r>
          </w:p>
        </w:tc>
        <w:tc>
          <w:tcPr>
            <w:tcW w:w="1395" w:type="dxa"/>
            <w:vAlign w:val="center"/>
          </w:tcPr>
          <w:p w14:paraId="54DF13C8"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硫化氢</w:t>
            </w:r>
          </w:p>
        </w:tc>
        <w:tc>
          <w:tcPr>
            <w:tcW w:w="6928" w:type="dxa"/>
            <w:vAlign w:val="center"/>
          </w:tcPr>
          <w:p w14:paraId="0D06D42C"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硫化氢是一种急性剧毒，吸入少量高浓度硫化氢可于短时间内致命。低浓度的硫化氢对眼、呼吸系统及中枢神经都有影响。</w:t>
            </w:r>
          </w:p>
        </w:tc>
      </w:tr>
      <w:tr w:rsidR="009219A0" w14:paraId="5E55FE45" w14:textId="77777777">
        <w:tc>
          <w:tcPr>
            <w:tcW w:w="749" w:type="dxa"/>
            <w:vAlign w:val="center"/>
          </w:tcPr>
          <w:p w14:paraId="41BB35AA"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5</w:t>
            </w:r>
          </w:p>
        </w:tc>
        <w:tc>
          <w:tcPr>
            <w:tcW w:w="1395" w:type="dxa"/>
            <w:vAlign w:val="center"/>
          </w:tcPr>
          <w:p w14:paraId="46069B44" w14:textId="77777777" w:rsidR="009219A0" w:rsidRDefault="00000000">
            <w:pPr>
              <w:snapToGrid/>
              <w:spacing w:line="240" w:lineRule="auto"/>
              <w:ind w:firstLineChars="0" w:firstLine="0"/>
              <w:jc w:val="center"/>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砷化氢</w:t>
            </w:r>
          </w:p>
        </w:tc>
        <w:tc>
          <w:tcPr>
            <w:tcW w:w="6928" w:type="dxa"/>
            <w:vAlign w:val="center"/>
          </w:tcPr>
          <w:p w14:paraId="067F57BF" w14:textId="77777777" w:rsidR="009219A0" w:rsidRDefault="00000000">
            <w:pPr>
              <w:snapToGrid/>
              <w:spacing w:line="240" w:lineRule="auto"/>
              <w:ind w:firstLineChars="0" w:firstLine="0"/>
              <w:jc w:val="left"/>
              <w:textAlignment w:val="baseline"/>
              <w:rPr>
                <w:rFonts w:ascii="宋体" w:hAnsi="宋体" w:cs="宋体" w:hint="eastAsia"/>
                <w:color w:val="auto"/>
                <w:kern w:val="0"/>
                <w:sz w:val="21"/>
                <w:szCs w:val="21"/>
              </w:rPr>
            </w:pPr>
            <w:r>
              <w:rPr>
                <w:rFonts w:ascii="宋体" w:hAnsi="宋体" w:cs="宋体" w:hint="eastAsia"/>
                <w:color w:val="auto"/>
                <w:kern w:val="0"/>
                <w:sz w:val="21"/>
                <w:szCs w:val="21"/>
              </w:rPr>
              <w:t>砷化氢是剧毒气体，主要通过呼吸道进入人体，几乎不通过皮肤吸收。它本身对呼吸道有刺激，但核心危害是进入人体后会与红细胞结合，导致急性溶血，引发血红蛋白尿、贫血、黄疸等，严重时可致急性肾衰竭，危及生命。长期低浓度接触可能对神经系统、肝脏、肾脏等造成慢性损害。</w:t>
            </w:r>
          </w:p>
        </w:tc>
      </w:tr>
    </w:tbl>
    <w:p w14:paraId="24088CA3" w14:textId="77777777" w:rsidR="009219A0" w:rsidRDefault="00000000">
      <w:pPr>
        <w:pStyle w:val="Default1"/>
        <w:spacing w:line="360" w:lineRule="auto"/>
        <w:ind w:firstLineChars="200" w:firstLine="560"/>
        <w:jc w:val="both"/>
        <w:rPr>
          <w:rFonts w:hint="default"/>
        </w:rPr>
      </w:pPr>
      <w:r>
        <w:rPr>
          <w:rFonts w:ascii="Times New Roman" w:hAnsi="Times New Roman"/>
          <w:color w:val="auto"/>
          <w:kern w:val="2"/>
          <w:sz w:val="28"/>
        </w:rPr>
        <w:t>（</w:t>
      </w:r>
      <w:r>
        <w:rPr>
          <w:rFonts w:ascii="Times New Roman" w:hAnsi="Times New Roman"/>
          <w:color w:val="auto"/>
          <w:kern w:val="2"/>
          <w:sz w:val="28"/>
        </w:rPr>
        <w:t>2</w:t>
      </w:r>
      <w:r>
        <w:rPr>
          <w:rFonts w:ascii="Times New Roman" w:hAnsi="Times New Roman"/>
          <w:color w:val="auto"/>
          <w:kern w:val="2"/>
          <w:sz w:val="28"/>
        </w:rPr>
        <w:t>）进入储罐、循环槽等有限空间进行检维修作业时，如空气置换不完全、人员监护不当等，可能造成人员中毒窒息。</w:t>
      </w:r>
    </w:p>
    <w:p w14:paraId="77080E72" w14:textId="77777777" w:rsidR="009219A0" w:rsidRDefault="00000000">
      <w:pPr>
        <w:pStyle w:val="3"/>
        <w:rPr>
          <w:rFonts w:hint="eastAsia"/>
        </w:rPr>
      </w:pPr>
      <w:bookmarkStart w:id="269" w:name="_Toc211950497"/>
      <w:r>
        <w:rPr>
          <w:rFonts w:hint="eastAsia"/>
        </w:rPr>
        <w:t>2.3.9 雷电、静电危害危险性分析</w:t>
      </w:r>
      <w:bookmarkEnd w:id="269"/>
    </w:p>
    <w:p w14:paraId="0B1F2553" w14:textId="77777777" w:rsidR="009219A0" w:rsidRDefault="00000000">
      <w:pPr>
        <w:ind w:firstLine="560"/>
      </w:pPr>
      <w:r>
        <w:rPr>
          <w:rFonts w:hint="eastAsia"/>
        </w:rPr>
        <w:t>（</w:t>
      </w:r>
      <w:r>
        <w:rPr>
          <w:rFonts w:hint="eastAsia"/>
        </w:rPr>
        <w:t>1</w:t>
      </w:r>
      <w:r>
        <w:rPr>
          <w:rFonts w:hint="eastAsia"/>
        </w:rPr>
        <w:t>）雷电危害</w:t>
      </w:r>
    </w:p>
    <w:p w14:paraId="44E7A902" w14:textId="77777777" w:rsidR="009219A0" w:rsidRDefault="00000000">
      <w:pPr>
        <w:ind w:firstLine="560"/>
      </w:pPr>
      <w:r>
        <w:rPr>
          <w:rFonts w:hint="eastAsia"/>
        </w:rPr>
        <w:t>雷电的破坏作用主要为三种：直接雷击破坏、感应</w:t>
      </w:r>
      <w:proofErr w:type="gramStart"/>
      <w:r>
        <w:rPr>
          <w:rFonts w:hint="eastAsia"/>
        </w:rPr>
        <w:t>雷破坏</w:t>
      </w:r>
      <w:proofErr w:type="gramEnd"/>
      <w:r>
        <w:rPr>
          <w:rFonts w:hint="eastAsia"/>
        </w:rPr>
        <w:t>和雷电波侵入破坏。当遇到雷雨天气时，厂区内建构筑物、设备、管道和人员均可能受到雷击伤害。产生雷电危害的原因有：</w:t>
      </w:r>
    </w:p>
    <w:p w14:paraId="064B92FD" w14:textId="77777777" w:rsidR="009219A0" w:rsidRDefault="00000000">
      <w:pPr>
        <w:ind w:firstLine="560"/>
      </w:pPr>
      <w:r>
        <w:rPr>
          <w:rFonts w:hint="eastAsia"/>
        </w:rPr>
        <w:t>1</w:t>
      </w:r>
      <w:r>
        <w:rPr>
          <w:rFonts w:hint="eastAsia"/>
        </w:rPr>
        <w:t>）原防雷装置的选型不合理，包括高度、型号、直径等方面。</w:t>
      </w:r>
    </w:p>
    <w:p w14:paraId="1C529E8C" w14:textId="77777777" w:rsidR="009219A0" w:rsidRDefault="00000000">
      <w:pPr>
        <w:ind w:firstLine="560"/>
      </w:pPr>
      <w:r>
        <w:rPr>
          <w:rFonts w:hint="eastAsia"/>
        </w:rPr>
        <w:t>2</w:t>
      </w:r>
      <w:r>
        <w:rPr>
          <w:rFonts w:hint="eastAsia"/>
        </w:rPr>
        <w:t>）原防雷装置设计不合理，未覆盖厂区所有设备、设施、建构筑物。</w:t>
      </w:r>
    </w:p>
    <w:p w14:paraId="289921E6" w14:textId="77777777" w:rsidR="009219A0" w:rsidRDefault="00000000">
      <w:pPr>
        <w:ind w:firstLine="560"/>
      </w:pPr>
      <w:r>
        <w:rPr>
          <w:rFonts w:hint="eastAsia"/>
        </w:rPr>
        <w:t>3</w:t>
      </w:r>
      <w:r>
        <w:rPr>
          <w:rFonts w:hint="eastAsia"/>
        </w:rPr>
        <w:t>）有雷击危害的设备、设施、建构筑物未采取防雷措施。</w:t>
      </w:r>
    </w:p>
    <w:p w14:paraId="15B64182" w14:textId="77777777" w:rsidR="009219A0" w:rsidRDefault="00000000">
      <w:pPr>
        <w:ind w:firstLine="560"/>
      </w:pPr>
      <w:r>
        <w:rPr>
          <w:rFonts w:hint="eastAsia"/>
        </w:rPr>
        <w:t>4</w:t>
      </w:r>
      <w:r>
        <w:rPr>
          <w:rFonts w:hint="eastAsia"/>
        </w:rPr>
        <w:t>）长时间运行后，原防雷装置受腐蚀失效或防雷接地电阻不符合要求。</w:t>
      </w:r>
    </w:p>
    <w:p w14:paraId="0BFBE09C" w14:textId="77777777" w:rsidR="009219A0" w:rsidRDefault="00000000">
      <w:pPr>
        <w:ind w:firstLine="560"/>
      </w:pPr>
      <w:r>
        <w:rPr>
          <w:rFonts w:hint="eastAsia"/>
        </w:rPr>
        <w:t>5</w:t>
      </w:r>
      <w:r>
        <w:rPr>
          <w:rFonts w:hint="eastAsia"/>
        </w:rPr>
        <w:t>）人员缺乏防雷的基本知识。</w:t>
      </w:r>
    </w:p>
    <w:p w14:paraId="58E485FB" w14:textId="77777777" w:rsidR="009219A0" w:rsidRDefault="00000000">
      <w:pPr>
        <w:ind w:firstLine="560"/>
      </w:pPr>
      <w:r>
        <w:rPr>
          <w:rFonts w:hint="eastAsia"/>
        </w:rPr>
        <w:t>（</w:t>
      </w:r>
      <w:r>
        <w:rPr>
          <w:rFonts w:hint="eastAsia"/>
        </w:rPr>
        <w:t>2</w:t>
      </w:r>
      <w:r>
        <w:rPr>
          <w:rFonts w:hint="eastAsia"/>
        </w:rPr>
        <w:t>）静电危害</w:t>
      </w:r>
    </w:p>
    <w:p w14:paraId="51F4C8B2" w14:textId="77777777" w:rsidR="009219A0" w:rsidRDefault="00000000">
      <w:pPr>
        <w:ind w:firstLine="560"/>
      </w:pPr>
      <w:r>
        <w:rPr>
          <w:rFonts w:hint="eastAsia"/>
        </w:rPr>
        <w:t>项目运行过程中，在有弱电、强电操作的环境，如变压器、配电室等处，静电放电可造成仪表损坏成为引起燃烧的点火源，导致火灾或造成控制系统失灵产生的其他事故。</w:t>
      </w:r>
    </w:p>
    <w:p w14:paraId="36C43EB0" w14:textId="77777777" w:rsidR="009219A0" w:rsidRDefault="00000000">
      <w:pPr>
        <w:pStyle w:val="3"/>
        <w:rPr>
          <w:rFonts w:hint="eastAsia"/>
        </w:rPr>
      </w:pPr>
      <w:bookmarkStart w:id="270" w:name="_Toc211950498"/>
      <w:r>
        <w:rPr>
          <w:rFonts w:hint="eastAsia"/>
        </w:rPr>
        <w:lastRenderedPageBreak/>
        <w:t>2.3.9 噪声危险性分析</w:t>
      </w:r>
      <w:bookmarkEnd w:id="270"/>
    </w:p>
    <w:p w14:paraId="21A5C09A"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项目运行过程中使用到的球磨机、风机、空压机、给料机、泵等均为产生噪声的机械设备。长时期在高强度噪声环境中作业会对人的听觉系统造成损伤，如损伤耳膜、听力下降，严重时引起耳聋。甚至导致不可逆性噪声耳聋。此外，噪声对人的心血管系统、消化系统等均有一定的负面影响。噪声对人体的危害主要表现在以下几方面：</w:t>
      </w:r>
    </w:p>
    <w:p w14:paraId="6EDAA58A"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（1）影响工作</w:t>
      </w:r>
    </w:p>
    <w:p w14:paraId="550D97EB"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噪声会分散人的注意力，容易疲劳，反应迟钝，影响工作效率，还会使工作出差错。</w:t>
      </w:r>
    </w:p>
    <w:p w14:paraId="0589E4B9"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（2）对听觉器官的损伤</w:t>
      </w:r>
    </w:p>
    <w:p w14:paraId="16183239"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人听觉器官的适应性是有一定限度的，长期在强噪声下工作，会引起听觉疲劳，听力下降。若长年累月在强噪声的反复作用下，耳器官会发生器质性病变，出现噪声性耳聋。</w:t>
      </w:r>
    </w:p>
    <w:p w14:paraId="394B8435"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（3）引起心血管系统病症</w:t>
      </w:r>
    </w:p>
    <w:p w14:paraId="211BB461"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噪声可以使交感神经紧张，表现为心跳加快，心律不齐，血压波动，心电图测试阳性增高。</w:t>
      </w:r>
    </w:p>
    <w:p w14:paraId="3EE3BFE2"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（4）对神经系统产生影响</w:t>
      </w:r>
    </w:p>
    <w:p w14:paraId="4245285A"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噪声引起神经衰弱症候群：如头痛、头晕、失眠、多梦、记忆力减退等。神经衰弱的阳性检出率随噪声强度增高而增加。</w:t>
      </w:r>
    </w:p>
    <w:p w14:paraId="7229EA12"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（5）此外噪声还能引起胃功能紊乱，视力降低。当噪声超过生产控制系统报警信号的声音时，淹没了报警音响信号，容易导致事故的进一步发展。</w:t>
      </w:r>
    </w:p>
    <w:p w14:paraId="4D05AB86" w14:textId="77777777" w:rsidR="009219A0" w:rsidRDefault="00000000">
      <w:pPr>
        <w:pStyle w:val="2"/>
        <w:rPr>
          <w:rFonts w:hint="eastAsia"/>
        </w:rPr>
      </w:pPr>
      <w:bookmarkStart w:id="271" w:name="_Toc165281475"/>
      <w:bookmarkStart w:id="272" w:name="_Toc211950499"/>
      <w:r>
        <w:rPr>
          <w:rFonts w:hint="eastAsia"/>
        </w:rPr>
        <w:t>2.4公用工程及辅助设施危险、有害因素分析</w:t>
      </w:r>
      <w:bookmarkEnd w:id="271"/>
      <w:bookmarkEnd w:id="272"/>
    </w:p>
    <w:p w14:paraId="6D921E9A" w14:textId="77777777" w:rsidR="009219A0" w:rsidRDefault="00000000">
      <w:pPr>
        <w:pStyle w:val="3"/>
        <w:rPr>
          <w:rFonts w:hint="eastAsia"/>
        </w:rPr>
      </w:pPr>
      <w:bookmarkStart w:id="273" w:name="_Toc211950500"/>
      <w:r>
        <w:rPr>
          <w:rFonts w:hint="eastAsia"/>
        </w:rPr>
        <w:t>2.4.1 供配电系统危险性分析</w:t>
      </w:r>
      <w:bookmarkEnd w:id="273"/>
    </w:p>
    <w:p w14:paraId="19ACDB81" w14:textId="77777777" w:rsidR="009219A0" w:rsidRDefault="00000000">
      <w:pPr>
        <w:ind w:firstLine="560"/>
      </w:pPr>
      <w:r>
        <w:rPr>
          <w:rFonts w:hint="eastAsia"/>
        </w:rPr>
        <w:t>（</w:t>
      </w:r>
      <w:r>
        <w:rPr>
          <w:rFonts w:hint="eastAsia"/>
        </w:rPr>
        <w:t>1</w:t>
      </w:r>
      <w:r>
        <w:rPr>
          <w:rFonts w:hint="eastAsia"/>
        </w:rPr>
        <w:t>）触电</w:t>
      </w:r>
    </w:p>
    <w:p w14:paraId="176DAA86" w14:textId="77777777" w:rsidR="009219A0" w:rsidRDefault="00000000">
      <w:pPr>
        <w:ind w:firstLine="560"/>
      </w:pPr>
      <w:r>
        <w:rPr>
          <w:rFonts w:hint="eastAsia"/>
        </w:rPr>
        <w:lastRenderedPageBreak/>
        <w:t>1</w:t>
      </w:r>
      <w:r>
        <w:rPr>
          <w:rFonts w:hint="eastAsia"/>
        </w:rPr>
        <w:t>）</w:t>
      </w:r>
      <w:proofErr w:type="gramStart"/>
      <w:r>
        <w:rPr>
          <w:rFonts w:hint="eastAsia"/>
        </w:rPr>
        <w:t>误触相线</w:t>
      </w:r>
      <w:proofErr w:type="gramEnd"/>
      <w:r>
        <w:rPr>
          <w:rFonts w:hint="eastAsia"/>
        </w:rPr>
        <w:t>、直接触及正在运行的带电设备、超越安全警戒线误碰带电设备，造成触发电击伤害。</w:t>
      </w:r>
    </w:p>
    <w:p w14:paraId="6533952B" w14:textId="77777777" w:rsidR="009219A0" w:rsidRDefault="00000000">
      <w:pPr>
        <w:ind w:firstLine="560"/>
      </w:pPr>
      <w:r>
        <w:rPr>
          <w:rFonts w:hint="eastAsia"/>
        </w:rPr>
        <w:t>2</w:t>
      </w:r>
      <w:r>
        <w:rPr>
          <w:rFonts w:hint="eastAsia"/>
        </w:rPr>
        <w:t>）低压系统带负荷拉开裸露的闸刀开关、线路发生短路或误操作引起短路、高压系统因误操作产生强烈电弧（可导致严重烧伤）、未办理工作票终结手续盲目送电，触发电伤。</w:t>
      </w:r>
    </w:p>
    <w:p w14:paraId="06EE7F32" w14:textId="77777777" w:rsidR="009219A0" w:rsidRDefault="00000000">
      <w:pPr>
        <w:ind w:firstLine="560"/>
      </w:pPr>
      <w:r>
        <w:rPr>
          <w:rFonts w:hint="eastAsia"/>
        </w:rPr>
        <w:t>3</w:t>
      </w:r>
      <w:r>
        <w:rPr>
          <w:rFonts w:hint="eastAsia"/>
        </w:rPr>
        <w:t>）接线错误、设备安装不符合安全要求、非电工任意处理电气事务、雷击自然灾害，也经常造成触电事故。</w:t>
      </w:r>
    </w:p>
    <w:p w14:paraId="06925C36" w14:textId="77777777" w:rsidR="009219A0" w:rsidRDefault="00000000">
      <w:pPr>
        <w:ind w:firstLine="560"/>
      </w:pPr>
      <w:r>
        <w:rPr>
          <w:rFonts w:hint="eastAsia"/>
        </w:rPr>
        <w:t>（</w:t>
      </w:r>
      <w:r>
        <w:rPr>
          <w:rFonts w:hint="eastAsia"/>
        </w:rPr>
        <w:t>2</w:t>
      </w:r>
      <w:r>
        <w:rPr>
          <w:rFonts w:hint="eastAsia"/>
        </w:rPr>
        <w:t>）电气火灾</w:t>
      </w:r>
    </w:p>
    <w:p w14:paraId="37E83C30" w14:textId="77777777" w:rsidR="009219A0" w:rsidRDefault="00000000">
      <w:pPr>
        <w:ind w:firstLine="560"/>
      </w:pPr>
      <w:r>
        <w:rPr>
          <w:rFonts w:hint="eastAsia"/>
        </w:rPr>
        <w:t>电气火灾是较为常见的事故。引起电气火灾的原因主要有以下几个方面：</w:t>
      </w:r>
    </w:p>
    <w:p w14:paraId="6359DC98" w14:textId="77777777" w:rsidR="009219A0" w:rsidRDefault="00000000">
      <w:pPr>
        <w:ind w:firstLine="560"/>
      </w:pPr>
      <w:r>
        <w:rPr>
          <w:rFonts w:hint="eastAsia"/>
        </w:rPr>
        <w:t>1</w:t>
      </w:r>
      <w:r>
        <w:rPr>
          <w:rFonts w:hint="eastAsia"/>
        </w:rPr>
        <w:t>）短路：发生短路时电流可能超过正常时的数十倍，致使电线、电器温度急剧上升，远远超过允许值，而且常伴有短路电弧发生，易造成火灾。</w:t>
      </w:r>
    </w:p>
    <w:p w14:paraId="0970A749" w14:textId="77777777" w:rsidR="009219A0" w:rsidRDefault="00000000">
      <w:pPr>
        <w:ind w:firstLine="560"/>
      </w:pPr>
      <w:r>
        <w:rPr>
          <w:rFonts w:hint="eastAsia"/>
        </w:rPr>
        <w:t>2</w:t>
      </w:r>
      <w:r>
        <w:rPr>
          <w:rFonts w:hint="eastAsia"/>
        </w:rPr>
        <w:t>）过载：线路、电动机、变压器超载运行导致绝缘材料过热起火。</w:t>
      </w:r>
    </w:p>
    <w:p w14:paraId="41CE5CDB" w14:textId="77777777" w:rsidR="009219A0" w:rsidRDefault="00000000">
      <w:pPr>
        <w:ind w:firstLine="560"/>
      </w:pPr>
      <w:r>
        <w:rPr>
          <w:rFonts w:hint="eastAsia"/>
        </w:rPr>
        <w:t>3</w:t>
      </w:r>
      <w:r>
        <w:rPr>
          <w:rFonts w:hint="eastAsia"/>
        </w:rPr>
        <w:t>）接触不良：导线接头连接松动或焊接缺陷使接触电阻过高，导致接头过热起火；接触不良的电线接头、开关接点、滑触线等还会迸发火花引燃周围易燃、易爆物质。</w:t>
      </w:r>
    </w:p>
    <w:p w14:paraId="24CD2663" w14:textId="77777777" w:rsidR="009219A0" w:rsidRDefault="00000000">
      <w:pPr>
        <w:ind w:firstLine="560"/>
      </w:pPr>
      <w:r>
        <w:rPr>
          <w:rFonts w:hint="eastAsia"/>
        </w:rPr>
        <w:t>4</w:t>
      </w:r>
      <w:r>
        <w:rPr>
          <w:rFonts w:hint="eastAsia"/>
        </w:rPr>
        <w:t>）散热不良：电动机、变压器配备的如风叶、散热器等散热装置，如果发生风叶断裂、变压器油面下降均导致散热不良，使电器热量积累；电缆沟内电缆过密，散热不良亦会引起。</w:t>
      </w:r>
    </w:p>
    <w:p w14:paraId="6D465BDC" w14:textId="77777777" w:rsidR="009219A0" w:rsidRDefault="00000000">
      <w:pPr>
        <w:ind w:firstLine="560"/>
      </w:pPr>
      <w:r>
        <w:rPr>
          <w:rFonts w:hint="eastAsia"/>
        </w:rPr>
        <w:t>（</w:t>
      </w:r>
      <w:r>
        <w:rPr>
          <w:rFonts w:hint="eastAsia"/>
        </w:rPr>
        <w:t>3</w:t>
      </w:r>
      <w:r>
        <w:rPr>
          <w:rFonts w:hint="eastAsia"/>
        </w:rPr>
        <w:t>）其他可能引发供配电系统危险、有害的因素</w:t>
      </w:r>
    </w:p>
    <w:p w14:paraId="3F3EF418" w14:textId="77777777" w:rsidR="009219A0" w:rsidRDefault="00000000">
      <w:pPr>
        <w:ind w:firstLine="560"/>
      </w:pPr>
      <w:r>
        <w:rPr>
          <w:rFonts w:hint="eastAsia"/>
        </w:rPr>
        <w:t>1</w:t>
      </w:r>
      <w:r>
        <w:rPr>
          <w:rFonts w:hint="eastAsia"/>
        </w:rPr>
        <w:t>）供配电运行人员如没有经过培训，缺少安全用电知识、违章操作从而导致电气事故，进而引发其它安全事故的发生。</w:t>
      </w:r>
    </w:p>
    <w:p w14:paraId="6D270938" w14:textId="77777777" w:rsidR="009219A0" w:rsidRDefault="00000000">
      <w:pPr>
        <w:ind w:firstLine="560"/>
      </w:pPr>
      <w:r>
        <w:rPr>
          <w:rFonts w:hint="eastAsia"/>
        </w:rPr>
        <w:t>2</w:t>
      </w:r>
      <w:r>
        <w:rPr>
          <w:rFonts w:hint="eastAsia"/>
        </w:rPr>
        <w:t>）电工属特种作业人员必须持证上岗，否则会因不懂安全用电而造成触电及引发其它安全事故。</w:t>
      </w:r>
    </w:p>
    <w:p w14:paraId="0D9994A5" w14:textId="77777777" w:rsidR="009219A0" w:rsidRDefault="00000000">
      <w:pPr>
        <w:ind w:firstLine="560"/>
      </w:pPr>
      <w:r>
        <w:rPr>
          <w:rFonts w:hint="eastAsia"/>
        </w:rPr>
        <w:t>3</w:t>
      </w:r>
      <w:r>
        <w:rPr>
          <w:rFonts w:hint="eastAsia"/>
        </w:rPr>
        <w:t>）供配电设备如选型不当、不配套，有引发电气事故及其它安全事故</w:t>
      </w:r>
      <w:r>
        <w:rPr>
          <w:rFonts w:hint="eastAsia"/>
        </w:rPr>
        <w:lastRenderedPageBreak/>
        <w:t>的可能。</w:t>
      </w:r>
      <w:r>
        <w:rPr>
          <w:rFonts w:hint="eastAsia"/>
        </w:rPr>
        <w:t xml:space="preserve"> </w:t>
      </w:r>
    </w:p>
    <w:p w14:paraId="57E8359D" w14:textId="77777777" w:rsidR="009219A0" w:rsidRDefault="00000000">
      <w:pPr>
        <w:ind w:firstLine="560"/>
      </w:pPr>
      <w:r>
        <w:rPr>
          <w:rFonts w:hint="eastAsia"/>
        </w:rPr>
        <w:t>4</w:t>
      </w:r>
      <w:r>
        <w:rPr>
          <w:rFonts w:hint="eastAsia"/>
        </w:rPr>
        <w:t>）供配电运行规章制度、操作规程、安全警示标志、安全记录，安全防护设施不健全都可能引发电气事故的发生。</w:t>
      </w:r>
      <w:r>
        <w:rPr>
          <w:rFonts w:hint="eastAsia"/>
        </w:rPr>
        <w:t xml:space="preserve"> </w:t>
      </w:r>
    </w:p>
    <w:p w14:paraId="025DA04E" w14:textId="77777777" w:rsidR="009219A0" w:rsidRDefault="00000000">
      <w:pPr>
        <w:ind w:firstLine="560"/>
      </w:pPr>
      <w:r>
        <w:rPr>
          <w:rFonts w:hint="eastAsia"/>
        </w:rPr>
        <w:t>5</w:t>
      </w:r>
      <w:r>
        <w:rPr>
          <w:rFonts w:hint="eastAsia"/>
        </w:rPr>
        <w:t>）供电能力及设施达不到安全用电要求，会影响其正常运行，同时会引发其它安全事故。在供配电及其维修作业时存在触电、物体打击、高处坠落的危险。</w:t>
      </w:r>
    </w:p>
    <w:p w14:paraId="5CDB82C3" w14:textId="77777777" w:rsidR="009219A0" w:rsidRDefault="00000000">
      <w:pPr>
        <w:ind w:firstLine="560"/>
      </w:pPr>
      <w:r>
        <w:rPr>
          <w:rFonts w:hint="eastAsia"/>
        </w:rPr>
        <w:t>6</w:t>
      </w:r>
      <w:r>
        <w:rPr>
          <w:rFonts w:hint="eastAsia"/>
        </w:rPr>
        <w:t>）如建（构）筑物防雷防静电装置未设置防雷接地装置，防雷接地装置未定期进行检测，如存在接地电阻超标等防雷装置失效，遇雷暴天气，易发生雷击危害。</w:t>
      </w:r>
    </w:p>
    <w:p w14:paraId="6C34560B" w14:textId="77777777" w:rsidR="009219A0" w:rsidRDefault="00000000">
      <w:pPr>
        <w:ind w:firstLine="562"/>
        <w:outlineLvl w:val="2"/>
        <w:rPr>
          <w:rFonts w:ascii="宋体" w:hAnsi="宋体" w:hint="eastAsia"/>
          <w:b/>
          <w:bCs/>
          <w:color w:val="auto"/>
          <w:szCs w:val="28"/>
        </w:rPr>
      </w:pPr>
      <w:bookmarkStart w:id="274" w:name="_Toc211950501"/>
      <w:r>
        <w:rPr>
          <w:rFonts w:ascii="宋体" w:hAnsi="宋体" w:hint="eastAsia"/>
          <w:b/>
          <w:bCs/>
          <w:color w:val="auto"/>
          <w:szCs w:val="28"/>
        </w:rPr>
        <w:t>2.4.2 给排水系统危险性分析</w:t>
      </w:r>
      <w:bookmarkEnd w:id="274"/>
    </w:p>
    <w:p w14:paraId="2ED5E7B9"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本项目用水主要为生产、消防用水，同时还涉及生活用水，可依托厂区原有消防泵房、消防水池等消防设施。此处对依托给排水系统存在的危险有害因素分析如下：</w:t>
      </w:r>
    </w:p>
    <w:p w14:paraId="5F276445"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（1）机械伤害</w:t>
      </w:r>
    </w:p>
    <w:p w14:paraId="053E9086"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水泵的机械传动部位如未安装防护罩或防护失效，作业人员在检修和操作时接近机械传动部位，有发生机械伤害的可能。</w:t>
      </w:r>
    </w:p>
    <w:p w14:paraId="4C3B15E8"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（2）触电</w:t>
      </w:r>
    </w:p>
    <w:p w14:paraId="11C44C16"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电线裸露、绝缘破坏、设备外壳带电（电气接地不良）容易引起触电事故的发生；电气作业如不按照安全用电操作规程作业可能发生触电事故。</w:t>
      </w:r>
    </w:p>
    <w:p w14:paraId="32A7A390"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（3）供水质量问题引发的事故</w:t>
      </w:r>
    </w:p>
    <w:p w14:paraId="643A8E4C"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供水质量将会影响项目运行系统安全，供水质量事故主要有：供水质量不合格、供水压力较小以及断水事故等。供水质量事故对项目运行系统安全的影响主要表现在：</w:t>
      </w:r>
    </w:p>
    <w:p w14:paraId="3571E249"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一次给水系统供实验室、中试车间配置浸出液、清洗用水和消防用水的补充，如果在出现紧急事故需用水处理时而出现供水压力较小以及断水</w:t>
      </w:r>
      <w:r>
        <w:rPr>
          <w:rFonts w:ascii="宋体" w:hAnsi="宋体"/>
          <w:sz w:val="28"/>
          <w:szCs w:val="28"/>
        </w:rPr>
        <w:lastRenderedPageBreak/>
        <w:t>事故等时，会导致事故的扩大；如果在消防用水时出现供水压力较小以及断水事故等，会导致事故的无法控制。</w:t>
      </w:r>
    </w:p>
    <w:p w14:paraId="6D02DAD7" w14:textId="77777777" w:rsidR="009219A0" w:rsidRDefault="00000000">
      <w:pPr>
        <w:ind w:firstLine="562"/>
        <w:outlineLvl w:val="2"/>
        <w:rPr>
          <w:rFonts w:ascii="宋体" w:hAnsi="宋体" w:hint="eastAsia"/>
          <w:szCs w:val="28"/>
        </w:rPr>
      </w:pPr>
      <w:bookmarkStart w:id="275" w:name="_Toc211950502"/>
      <w:r>
        <w:rPr>
          <w:rFonts w:ascii="宋体" w:hAnsi="宋体"/>
          <w:b/>
          <w:bCs/>
          <w:color w:val="auto"/>
          <w:szCs w:val="28"/>
        </w:rPr>
        <w:t>2.4.3</w:t>
      </w:r>
      <w:r>
        <w:rPr>
          <w:rFonts w:ascii="宋体" w:hAnsi="宋体" w:hint="eastAsia"/>
          <w:b/>
          <w:bCs/>
          <w:color w:val="auto"/>
          <w:szCs w:val="28"/>
        </w:rPr>
        <w:t xml:space="preserve"> 特殊作业过程危险性分析</w:t>
      </w:r>
      <w:bookmarkEnd w:id="275"/>
    </w:p>
    <w:p w14:paraId="21925F85"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项目在运行过程中存在的特殊作业过程有：动火作业、高处作业、临时用电作业、动土作业等，其存在的危险性分析如下：</w:t>
      </w:r>
    </w:p>
    <w:p w14:paraId="07673D13"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（1）动火作业时，无人监护、未清除动火作业区域的易燃、可燃物料，特殊动火时，未制订动火作业方案；未对动火作业进行分级，未办理动火作业票等可能会引发灼烫、火灾、爆炸等危险。</w:t>
      </w:r>
    </w:p>
    <w:p w14:paraId="1E9EA785"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（2）高处作业时，未系安全带、在大雪等恶劣天气进行相关作业，在作业区域休息；作业时无监护等可能会引发高处坠落等等危险。</w:t>
      </w:r>
    </w:p>
    <w:p w14:paraId="478D53D6"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（3）临时用电作业时，照明线未与施工线路分开，在施工现场未设置安全警示标识等可能会引发触电等危险。</w:t>
      </w:r>
    </w:p>
    <w:p w14:paraId="13D60D44" w14:textId="77777777" w:rsidR="009219A0" w:rsidRDefault="00000000">
      <w:pPr>
        <w:pStyle w:val="Default1"/>
        <w:spacing w:line="360" w:lineRule="auto"/>
        <w:ind w:firstLineChars="200" w:firstLine="560"/>
        <w:jc w:val="both"/>
        <w:rPr>
          <w:rFonts w:hint="default"/>
        </w:rPr>
      </w:pPr>
      <w:r>
        <w:rPr>
          <w:rFonts w:ascii="宋体" w:hAnsi="宋体"/>
          <w:sz w:val="28"/>
          <w:szCs w:val="28"/>
        </w:rPr>
        <w:t>（4）动土作业时，未将地面及地下水引至安全区域，施工结束时未将土石回填等可能会引发洪水、淹溺等危险。</w:t>
      </w:r>
    </w:p>
    <w:p w14:paraId="15C798FC" w14:textId="77777777" w:rsidR="009219A0" w:rsidRDefault="00000000">
      <w:pPr>
        <w:pStyle w:val="2"/>
        <w:rPr>
          <w:rFonts w:hint="eastAsia"/>
        </w:rPr>
      </w:pPr>
      <w:bookmarkStart w:id="276" w:name="_Toc211950503"/>
      <w:bookmarkStart w:id="277" w:name="_Toc165281476"/>
      <w:r>
        <w:rPr>
          <w:rFonts w:hint="eastAsia"/>
        </w:rPr>
        <w:t>2.5危险有害因素分布情况</w:t>
      </w:r>
      <w:bookmarkEnd w:id="276"/>
      <w:bookmarkEnd w:id="277"/>
    </w:p>
    <w:p w14:paraId="2544C6A1" w14:textId="77777777" w:rsidR="009219A0" w:rsidRDefault="00000000">
      <w:pPr>
        <w:ind w:firstLine="560"/>
        <w:rPr>
          <w:color w:val="auto"/>
        </w:rPr>
      </w:pPr>
      <w:r>
        <w:rPr>
          <w:rFonts w:hint="eastAsia"/>
          <w:color w:val="auto"/>
        </w:rPr>
        <w:t>通过以上危险、有害因素的分析，本项目存在泄漏、火灾、机械伤害、灼烫、触电、车辆伤害、起重伤害、中毒和窒息、雷电和静电危害、噪声危害等危险、有害因素，</w:t>
      </w:r>
      <w:proofErr w:type="gramStart"/>
      <w:r>
        <w:rPr>
          <w:rFonts w:hint="eastAsia"/>
          <w:color w:val="auto"/>
        </w:rPr>
        <w:t>各危险</w:t>
      </w:r>
      <w:proofErr w:type="gramEnd"/>
      <w:r>
        <w:rPr>
          <w:rFonts w:hint="eastAsia"/>
          <w:color w:val="auto"/>
        </w:rPr>
        <w:t>有害因素在项目中的主要</w:t>
      </w:r>
      <w:proofErr w:type="gramStart"/>
      <w:r>
        <w:rPr>
          <w:rFonts w:hint="eastAsia"/>
          <w:color w:val="auto"/>
        </w:rPr>
        <w:t>分布见</w:t>
      </w:r>
      <w:proofErr w:type="gramEnd"/>
      <w:r>
        <w:rPr>
          <w:rFonts w:hint="eastAsia"/>
          <w:color w:val="auto"/>
        </w:rPr>
        <w:t>下表。</w:t>
      </w:r>
    </w:p>
    <w:p w14:paraId="5A84C21D" w14:textId="77777777" w:rsidR="009219A0" w:rsidRDefault="00000000">
      <w:pPr>
        <w:topLinePunct/>
        <w:ind w:firstLineChars="0" w:firstLine="0"/>
        <w:jc w:val="center"/>
        <w:rPr>
          <w:rFonts w:ascii="宋体" w:hAnsi="宋体" w:hint="eastAsia"/>
          <w:color w:val="auto"/>
          <w:szCs w:val="21"/>
        </w:rPr>
      </w:pPr>
      <w:r>
        <w:rPr>
          <w:snapToGrid w:val="0"/>
          <w:color w:val="auto"/>
          <w:kern w:val="0"/>
          <w:szCs w:val="28"/>
        </w:rPr>
        <w:t>附</w:t>
      </w:r>
      <w:r>
        <w:rPr>
          <w:rFonts w:ascii="宋体" w:hAnsi="宋体" w:hint="eastAsia"/>
          <w:color w:val="auto"/>
          <w:szCs w:val="21"/>
        </w:rPr>
        <w:t>表</w:t>
      </w:r>
      <w:r>
        <w:rPr>
          <w:rFonts w:ascii="宋体" w:hAnsi="宋体"/>
          <w:color w:val="auto"/>
          <w:szCs w:val="21"/>
        </w:rPr>
        <w:t>2</w:t>
      </w:r>
      <w:r>
        <w:rPr>
          <w:rFonts w:ascii="宋体" w:hAnsi="宋体" w:hint="eastAsia"/>
          <w:color w:val="auto"/>
          <w:szCs w:val="21"/>
        </w:rPr>
        <w:t>.5</w:t>
      </w:r>
      <w:r>
        <w:rPr>
          <w:rFonts w:ascii="宋体" w:hAnsi="宋体"/>
          <w:color w:val="auto"/>
          <w:szCs w:val="21"/>
        </w:rPr>
        <w:t>-</w:t>
      </w:r>
      <w:r>
        <w:rPr>
          <w:rFonts w:ascii="宋体" w:hAnsi="宋体" w:hint="eastAsia"/>
          <w:color w:val="auto"/>
          <w:szCs w:val="21"/>
        </w:rPr>
        <w:t>1  各危险、有害因素分布表</w:t>
      </w:r>
      <w:bookmarkEnd w:id="2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6484"/>
      </w:tblGrid>
      <w:tr w:rsidR="009219A0" w14:paraId="6062B916" w14:textId="77777777">
        <w:trPr>
          <w:cantSplit/>
          <w:trHeight w:val="227"/>
          <w:tblHeader/>
        </w:trPr>
        <w:tc>
          <w:tcPr>
            <w:tcW w:w="675" w:type="dxa"/>
            <w:vAlign w:val="center"/>
          </w:tcPr>
          <w:p w14:paraId="3217B225" w14:textId="77777777" w:rsidR="009219A0" w:rsidRDefault="00000000">
            <w:pPr>
              <w:adjustRightInd/>
              <w:snapToGrid/>
              <w:spacing w:line="240" w:lineRule="auto"/>
              <w:ind w:firstLineChars="0" w:firstLine="0"/>
              <w:jc w:val="center"/>
              <w:rPr>
                <w:b/>
                <w:color w:val="auto"/>
                <w:sz w:val="21"/>
              </w:rPr>
            </w:pPr>
            <w:r>
              <w:rPr>
                <w:rFonts w:hint="eastAsia"/>
                <w:b/>
                <w:color w:val="auto"/>
                <w:sz w:val="21"/>
              </w:rPr>
              <w:t>序号</w:t>
            </w:r>
          </w:p>
        </w:tc>
        <w:tc>
          <w:tcPr>
            <w:tcW w:w="2127" w:type="dxa"/>
            <w:vAlign w:val="center"/>
          </w:tcPr>
          <w:p w14:paraId="521A0697" w14:textId="77777777" w:rsidR="009219A0" w:rsidRDefault="00000000">
            <w:pPr>
              <w:adjustRightInd/>
              <w:snapToGrid/>
              <w:spacing w:line="240" w:lineRule="auto"/>
              <w:ind w:firstLineChars="0" w:firstLine="0"/>
              <w:jc w:val="center"/>
              <w:rPr>
                <w:b/>
                <w:color w:val="auto"/>
                <w:sz w:val="21"/>
              </w:rPr>
            </w:pPr>
            <w:r>
              <w:rPr>
                <w:rFonts w:hint="eastAsia"/>
                <w:b/>
                <w:color w:val="auto"/>
                <w:sz w:val="21"/>
              </w:rPr>
              <w:t>主要危险、有害因素</w:t>
            </w:r>
          </w:p>
        </w:tc>
        <w:tc>
          <w:tcPr>
            <w:tcW w:w="6484" w:type="dxa"/>
            <w:vAlign w:val="center"/>
          </w:tcPr>
          <w:p w14:paraId="4B7B9DD4" w14:textId="77777777" w:rsidR="009219A0" w:rsidRDefault="00000000">
            <w:pPr>
              <w:adjustRightInd/>
              <w:snapToGrid/>
              <w:spacing w:line="240" w:lineRule="auto"/>
              <w:ind w:firstLineChars="0" w:firstLine="0"/>
              <w:jc w:val="center"/>
              <w:rPr>
                <w:b/>
                <w:color w:val="auto"/>
                <w:sz w:val="21"/>
              </w:rPr>
            </w:pPr>
            <w:r>
              <w:rPr>
                <w:rFonts w:hint="eastAsia"/>
                <w:b/>
                <w:color w:val="auto"/>
                <w:sz w:val="21"/>
              </w:rPr>
              <w:t>主要存在部位</w:t>
            </w:r>
          </w:p>
        </w:tc>
      </w:tr>
      <w:tr w:rsidR="009219A0" w14:paraId="67C9F482" w14:textId="77777777">
        <w:trPr>
          <w:cantSplit/>
          <w:trHeight w:val="227"/>
          <w:tblHeader/>
        </w:trPr>
        <w:tc>
          <w:tcPr>
            <w:tcW w:w="675" w:type="dxa"/>
            <w:vAlign w:val="center"/>
          </w:tcPr>
          <w:p w14:paraId="4663707C" w14:textId="77777777" w:rsidR="009219A0" w:rsidRDefault="00000000">
            <w:pPr>
              <w:adjustRightInd/>
              <w:snapToGrid/>
              <w:spacing w:line="240" w:lineRule="auto"/>
              <w:ind w:firstLineChars="0" w:firstLine="0"/>
              <w:jc w:val="center"/>
              <w:rPr>
                <w:color w:val="auto"/>
                <w:sz w:val="21"/>
              </w:rPr>
            </w:pPr>
            <w:r>
              <w:rPr>
                <w:rFonts w:hint="eastAsia"/>
                <w:color w:val="auto"/>
                <w:sz w:val="21"/>
              </w:rPr>
              <w:t>1</w:t>
            </w:r>
          </w:p>
        </w:tc>
        <w:tc>
          <w:tcPr>
            <w:tcW w:w="2127" w:type="dxa"/>
            <w:vAlign w:val="center"/>
          </w:tcPr>
          <w:p w14:paraId="6FDF29AC" w14:textId="77777777" w:rsidR="009219A0" w:rsidRDefault="00000000">
            <w:pPr>
              <w:adjustRightInd/>
              <w:snapToGrid/>
              <w:spacing w:line="240" w:lineRule="auto"/>
              <w:ind w:firstLineChars="0" w:firstLine="0"/>
              <w:jc w:val="center"/>
              <w:rPr>
                <w:color w:val="auto"/>
                <w:sz w:val="21"/>
              </w:rPr>
            </w:pPr>
            <w:r>
              <w:rPr>
                <w:rFonts w:hint="eastAsia"/>
                <w:color w:val="auto"/>
                <w:sz w:val="21"/>
              </w:rPr>
              <w:t>泄漏</w:t>
            </w:r>
          </w:p>
        </w:tc>
        <w:tc>
          <w:tcPr>
            <w:tcW w:w="6484" w:type="dxa"/>
            <w:vAlign w:val="center"/>
          </w:tcPr>
          <w:p w14:paraId="5F4EA983" w14:textId="77777777" w:rsidR="009219A0" w:rsidRDefault="00000000">
            <w:pPr>
              <w:adjustRightInd/>
              <w:snapToGrid/>
              <w:spacing w:line="240" w:lineRule="auto"/>
              <w:ind w:firstLineChars="0" w:firstLine="0"/>
              <w:jc w:val="center"/>
              <w:rPr>
                <w:color w:val="auto"/>
                <w:sz w:val="21"/>
              </w:rPr>
            </w:pPr>
            <w:r>
              <w:rPr>
                <w:rFonts w:hint="eastAsia"/>
                <w:color w:val="auto"/>
                <w:sz w:val="21"/>
              </w:rPr>
              <w:t>实验室试剂存放、使用处；中试车间硫酸、盐酸储罐和使用点</w:t>
            </w:r>
          </w:p>
        </w:tc>
      </w:tr>
      <w:tr w:rsidR="009219A0" w14:paraId="1A924165" w14:textId="77777777">
        <w:trPr>
          <w:cantSplit/>
          <w:trHeight w:val="227"/>
        </w:trPr>
        <w:tc>
          <w:tcPr>
            <w:tcW w:w="675" w:type="dxa"/>
            <w:vAlign w:val="center"/>
          </w:tcPr>
          <w:p w14:paraId="49B60AF9" w14:textId="77777777" w:rsidR="009219A0" w:rsidRDefault="00000000">
            <w:pPr>
              <w:adjustRightInd/>
              <w:snapToGrid/>
              <w:spacing w:line="240" w:lineRule="auto"/>
              <w:ind w:firstLineChars="0" w:firstLine="0"/>
              <w:jc w:val="center"/>
              <w:rPr>
                <w:color w:val="auto"/>
                <w:sz w:val="21"/>
              </w:rPr>
            </w:pPr>
            <w:r>
              <w:rPr>
                <w:rFonts w:hint="eastAsia"/>
                <w:color w:val="auto"/>
                <w:sz w:val="21"/>
              </w:rPr>
              <w:t>2</w:t>
            </w:r>
          </w:p>
        </w:tc>
        <w:tc>
          <w:tcPr>
            <w:tcW w:w="2127" w:type="dxa"/>
            <w:vAlign w:val="center"/>
          </w:tcPr>
          <w:p w14:paraId="67CFD3F0" w14:textId="77777777" w:rsidR="009219A0" w:rsidRDefault="00000000">
            <w:pPr>
              <w:adjustRightInd/>
              <w:snapToGrid/>
              <w:spacing w:line="240" w:lineRule="auto"/>
              <w:ind w:firstLineChars="0" w:firstLine="0"/>
              <w:jc w:val="center"/>
              <w:rPr>
                <w:color w:val="auto"/>
                <w:sz w:val="21"/>
              </w:rPr>
            </w:pPr>
            <w:r>
              <w:rPr>
                <w:color w:val="auto"/>
                <w:sz w:val="21"/>
              </w:rPr>
              <w:t>火灾</w:t>
            </w:r>
          </w:p>
        </w:tc>
        <w:tc>
          <w:tcPr>
            <w:tcW w:w="6484" w:type="dxa"/>
            <w:vAlign w:val="center"/>
          </w:tcPr>
          <w:p w14:paraId="2B028417" w14:textId="77777777" w:rsidR="009219A0" w:rsidRDefault="00000000">
            <w:pPr>
              <w:adjustRightInd/>
              <w:snapToGrid/>
              <w:spacing w:line="240" w:lineRule="auto"/>
              <w:ind w:firstLineChars="0" w:firstLine="0"/>
              <w:jc w:val="center"/>
              <w:rPr>
                <w:color w:val="auto"/>
                <w:sz w:val="21"/>
              </w:rPr>
            </w:pPr>
            <w:r>
              <w:rPr>
                <w:rFonts w:hint="eastAsia"/>
                <w:color w:val="auto"/>
                <w:sz w:val="21"/>
              </w:rPr>
              <w:t>实验室、</w:t>
            </w:r>
            <w:r>
              <w:rPr>
                <w:color w:val="auto"/>
                <w:sz w:val="21"/>
              </w:rPr>
              <w:t>电气设备周围</w:t>
            </w:r>
            <w:r>
              <w:rPr>
                <w:rFonts w:hint="eastAsia"/>
                <w:color w:val="auto"/>
                <w:sz w:val="21"/>
              </w:rPr>
              <w:t>，检维修</w:t>
            </w:r>
            <w:r>
              <w:rPr>
                <w:color w:val="auto"/>
                <w:sz w:val="21"/>
              </w:rPr>
              <w:t>使用氧气、乙炔区域</w:t>
            </w:r>
          </w:p>
        </w:tc>
      </w:tr>
      <w:tr w:rsidR="009219A0" w14:paraId="62DF2B5E" w14:textId="77777777">
        <w:trPr>
          <w:cantSplit/>
          <w:trHeight w:val="227"/>
        </w:trPr>
        <w:tc>
          <w:tcPr>
            <w:tcW w:w="675" w:type="dxa"/>
            <w:vAlign w:val="center"/>
          </w:tcPr>
          <w:p w14:paraId="77E38DC3" w14:textId="77777777" w:rsidR="009219A0" w:rsidRDefault="00000000">
            <w:pPr>
              <w:adjustRightInd/>
              <w:snapToGrid/>
              <w:spacing w:line="240" w:lineRule="auto"/>
              <w:ind w:firstLineChars="0" w:firstLine="0"/>
              <w:jc w:val="center"/>
              <w:rPr>
                <w:color w:val="auto"/>
                <w:sz w:val="21"/>
              </w:rPr>
            </w:pPr>
            <w:r>
              <w:rPr>
                <w:rFonts w:hint="eastAsia"/>
                <w:color w:val="auto"/>
                <w:sz w:val="21"/>
              </w:rPr>
              <w:t>3</w:t>
            </w:r>
          </w:p>
        </w:tc>
        <w:tc>
          <w:tcPr>
            <w:tcW w:w="2127" w:type="dxa"/>
            <w:vAlign w:val="center"/>
          </w:tcPr>
          <w:p w14:paraId="6FC27C61" w14:textId="77777777" w:rsidR="009219A0" w:rsidRDefault="00000000">
            <w:pPr>
              <w:adjustRightInd/>
              <w:snapToGrid/>
              <w:spacing w:line="240" w:lineRule="auto"/>
              <w:ind w:firstLineChars="0" w:firstLine="0"/>
              <w:jc w:val="center"/>
              <w:rPr>
                <w:color w:val="auto"/>
                <w:sz w:val="21"/>
              </w:rPr>
            </w:pPr>
            <w:r>
              <w:rPr>
                <w:rFonts w:hint="eastAsia"/>
                <w:color w:val="auto"/>
                <w:sz w:val="21"/>
              </w:rPr>
              <w:t>机械伤害</w:t>
            </w:r>
          </w:p>
        </w:tc>
        <w:tc>
          <w:tcPr>
            <w:tcW w:w="6484" w:type="dxa"/>
            <w:vAlign w:val="center"/>
          </w:tcPr>
          <w:p w14:paraId="132A8FE6" w14:textId="77777777" w:rsidR="009219A0" w:rsidRDefault="00000000">
            <w:pPr>
              <w:adjustRightInd/>
              <w:snapToGrid/>
              <w:spacing w:line="240" w:lineRule="auto"/>
              <w:ind w:firstLineChars="0" w:firstLine="0"/>
              <w:jc w:val="center"/>
              <w:rPr>
                <w:color w:val="auto"/>
                <w:sz w:val="21"/>
              </w:rPr>
            </w:pPr>
            <w:r>
              <w:rPr>
                <w:rFonts w:hint="eastAsia"/>
                <w:color w:val="auto"/>
                <w:sz w:val="21"/>
              </w:rPr>
              <w:t>各种设备转（传）动处</w:t>
            </w:r>
          </w:p>
        </w:tc>
      </w:tr>
      <w:tr w:rsidR="009219A0" w14:paraId="3E66CB10" w14:textId="77777777">
        <w:trPr>
          <w:cantSplit/>
          <w:trHeight w:val="227"/>
        </w:trPr>
        <w:tc>
          <w:tcPr>
            <w:tcW w:w="675" w:type="dxa"/>
            <w:vAlign w:val="center"/>
          </w:tcPr>
          <w:p w14:paraId="268F938F" w14:textId="77777777" w:rsidR="009219A0" w:rsidRDefault="00000000">
            <w:pPr>
              <w:adjustRightInd/>
              <w:snapToGrid/>
              <w:spacing w:line="240" w:lineRule="auto"/>
              <w:ind w:firstLineChars="0" w:firstLine="0"/>
              <w:jc w:val="center"/>
              <w:rPr>
                <w:color w:val="auto"/>
                <w:sz w:val="21"/>
              </w:rPr>
            </w:pPr>
            <w:r>
              <w:rPr>
                <w:rFonts w:hint="eastAsia"/>
                <w:color w:val="auto"/>
                <w:sz w:val="21"/>
              </w:rPr>
              <w:t>4</w:t>
            </w:r>
          </w:p>
        </w:tc>
        <w:tc>
          <w:tcPr>
            <w:tcW w:w="2127" w:type="dxa"/>
            <w:vAlign w:val="center"/>
          </w:tcPr>
          <w:p w14:paraId="6D1CA9B1" w14:textId="77777777" w:rsidR="009219A0" w:rsidRDefault="00000000">
            <w:pPr>
              <w:adjustRightInd/>
              <w:snapToGrid/>
              <w:spacing w:line="240" w:lineRule="auto"/>
              <w:ind w:firstLineChars="0" w:firstLine="0"/>
              <w:jc w:val="center"/>
              <w:rPr>
                <w:color w:val="auto"/>
                <w:sz w:val="21"/>
              </w:rPr>
            </w:pPr>
            <w:r>
              <w:rPr>
                <w:rFonts w:hint="eastAsia"/>
                <w:color w:val="auto"/>
                <w:sz w:val="21"/>
              </w:rPr>
              <w:t>灼烫</w:t>
            </w:r>
          </w:p>
        </w:tc>
        <w:tc>
          <w:tcPr>
            <w:tcW w:w="6484" w:type="dxa"/>
            <w:vAlign w:val="center"/>
          </w:tcPr>
          <w:p w14:paraId="7FA6D5D8" w14:textId="77777777" w:rsidR="009219A0" w:rsidRDefault="00000000">
            <w:pPr>
              <w:adjustRightInd/>
              <w:snapToGrid/>
              <w:spacing w:line="240" w:lineRule="auto"/>
              <w:ind w:firstLineChars="0" w:firstLine="0"/>
              <w:jc w:val="center"/>
              <w:rPr>
                <w:color w:val="auto"/>
                <w:sz w:val="21"/>
              </w:rPr>
            </w:pPr>
            <w:r>
              <w:rPr>
                <w:rFonts w:hint="eastAsia"/>
                <w:color w:val="auto"/>
                <w:sz w:val="21"/>
              </w:rPr>
              <w:t>实验室高温设备周围</w:t>
            </w:r>
          </w:p>
        </w:tc>
      </w:tr>
      <w:tr w:rsidR="009219A0" w14:paraId="47A12E69" w14:textId="77777777">
        <w:trPr>
          <w:cantSplit/>
          <w:trHeight w:val="227"/>
        </w:trPr>
        <w:tc>
          <w:tcPr>
            <w:tcW w:w="675" w:type="dxa"/>
            <w:vAlign w:val="center"/>
          </w:tcPr>
          <w:p w14:paraId="0888E794" w14:textId="77777777" w:rsidR="009219A0" w:rsidRDefault="00000000">
            <w:pPr>
              <w:adjustRightInd/>
              <w:snapToGrid/>
              <w:spacing w:line="240" w:lineRule="auto"/>
              <w:ind w:firstLineChars="0" w:firstLine="0"/>
              <w:jc w:val="center"/>
              <w:rPr>
                <w:color w:val="auto"/>
                <w:sz w:val="21"/>
              </w:rPr>
            </w:pPr>
            <w:r>
              <w:rPr>
                <w:rFonts w:hint="eastAsia"/>
                <w:color w:val="auto"/>
                <w:sz w:val="21"/>
              </w:rPr>
              <w:t>5</w:t>
            </w:r>
          </w:p>
        </w:tc>
        <w:tc>
          <w:tcPr>
            <w:tcW w:w="2127" w:type="dxa"/>
            <w:vAlign w:val="center"/>
          </w:tcPr>
          <w:p w14:paraId="0728C62D" w14:textId="77777777" w:rsidR="009219A0" w:rsidRDefault="00000000">
            <w:pPr>
              <w:adjustRightInd/>
              <w:snapToGrid/>
              <w:spacing w:line="240" w:lineRule="auto"/>
              <w:ind w:firstLineChars="0" w:firstLine="0"/>
              <w:jc w:val="center"/>
              <w:rPr>
                <w:color w:val="auto"/>
                <w:sz w:val="21"/>
              </w:rPr>
            </w:pPr>
            <w:r>
              <w:rPr>
                <w:rFonts w:hint="eastAsia"/>
                <w:color w:val="auto"/>
                <w:sz w:val="21"/>
              </w:rPr>
              <w:t>触电</w:t>
            </w:r>
          </w:p>
        </w:tc>
        <w:tc>
          <w:tcPr>
            <w:tcW w:w="6484" w:type="dxa"/>
            <w:vAlign w:val="center"/>
          </w:tcPr>
          <w:p w14:paraId="424762AC" w14:textId="77777777" w:rsidR="009219A0" w:rsidRDefault="00000000">
            <w:pPr>
              <w:adjustRightInd/>
              <w:snapToGrid/>
              <w:spacing w:line="240" w:lineRule="auto"/>
              <w:ind w:firstLineChars="0" w:firstLine="0"/>
              <w:jc w:val="center"/>
              <w:rPr>
                <w:color w:val="auto"/>
                <w:sz w:val="21"/>
              </w:rPr>
            </w:pPr>
            <w:r>
              <w:rPr>
                <w:rFonts w:hint="eastAsia"/>
                <w:color w:val="auto"/>
                <w:sz w:val="21"/>
              </w:rPr>
              <w:t>电气设备、移动电气设备、照明线路及照明器具等周围</w:t>
            </w:r>
          </w:p>
        </w:tc>
      </w:tr>
      <w:tr w:rsidR="009219A0" w14:paraId="17668DCB" w14:textId="77777777">
        <w:trPr>
          <w:cantSplit/>
          <w:trHeight w:val="227"/>
        </w:trPr>
        <w:tc>
          <w:tcPr>
            <w:tcW w:w="675" w:type="dxa"/>
            <w:vAlign w:val="center"/>
          </w:tcPr>
          <w:p w14:paraId="0D7E4864" w14:textId="77777777" w:rsidR="009219A0" w:rsidRDefault="00000000">
            <w:pPr>
              <w:adjustRightInd/>
              <w:snapToGrid/>
              <w:spacing w:line="240" w:lineRule="auto"/>
              <w:ind w:firstLineChars="0" w:firstLine="0"/>
              <w:jc w:val="center"/>
              <w:rPr>
                <w:color w:val="auto"/>
                <w:sz w:val="21"/>
              </w:rPr>
            </w:pPr>
            <w:r>
              <w:rPr>
                <w:rFonts w:hint="eastAsia"/>
                <w:color w:val="auto"/>
                <w:sz w:val="21"/>
              </w:rPr>
              <w:t>6</w:t>
            </w:r>
          </w:p>
        </w:tc>
        <w:tc>
          <w:tcPr>
            <w:tcW w:w="2127" w:type="dxa"/>
            <w:vAlign w:val="center"/>
          </w:tcPr>
          <w:p w14:paraId="40ABDA6D" w14:textId="77777777" w:rsidR="009219A0" w:rsidRDefault="00000000">
            <w:pPr>
              <w:adjustRightInd/>
              <w:snapToGrid/>
              <w:spacing w:line="240" w:lineRule="auto"/>
              <w:ind w:firstLineChars="0" w:firstLine="0"/>
              <w:jc w:val="center"/>
              <w:rPr>
                <w:color w:val="auto"/>
                <w:sz w:val="21"/>
              </w:rPr>
            </w:pPr>
            <w:r>
              <w:rPr>
                <w:rFonts w:hint="eastAsia"/>
                <w:color w:val="auto"/>
                <w:sz w:val="21"/>
              </w:rPr>
              <w:t>车辆伤害</w:t>
            </w:r>
          </w:p>
        </w:tc>
        <w:tc>
          <w:tcPr>
            <w:tcW w:w="6484" w:type="dxa"/>
            <w:vAlign w:val="center"/>
          </w:tcPr>
          <w:p w14:paraId="1BE766FC" w14:textId="77777777" w:rsidR="009219A0" w:rsidRDefault="00000000">
            <w:pPr>
              <w:adjustRightInd/>
              <w:snapToGrid/>
              <w:spacing w:line="240" w:lineRule="auto"/>
              <w:ind w:firstLineChars="0" w:firstLine="0"/>
              <w:jc w:val="center"/>
              <w:rPr>
                <w:color w:val="auto"/>
                <w:sz w:val="21"/>
              </w:rPr>
            </w:pPr>
            <w:r>
              <w:rPr>
                <w:color w:val="auto"/>
                <w:sz w:val="21"/>
              </w:rPr>
              <w:t>厂区道路、车辆</w:t>
            </w:r>
            <w:r>
              <w:rPr>
                <w:rFonts w:hint="eastAsia"/>
                <w:color w:val="auto"/>
                <w:sz w:val="21"/>
              </w:rPr>
              <w:t>通行</w:t>
            </w:r>
            <w:r>
              <w:rPr>
                <w:color w:val="auto"/>
                <w:sz w:val="21"/>
              </w:rPr>
              <w:t>区域</w:t>
            </w:r>
          </w:p>
        </w:tc>
      </w:tr>
      <w:tr w:rsidR="009219A0" w14:paraId="35CEC0C5" w14:textId="77777777">
        <w:trPr>
          <w:cantSplit/>
          <w:trHeight w:val="227"/>
        </w:trPr>
        <w:tc>
          <w:tcPr>
            <w:tcW w:w="675" w:type="dxa"/>
            <w:vAlign w:val="center"/>
          </w:tcPr>
          <w:p w14:paraId="545A59B8" w14:textId="77777777" w:rsidR="009219A0" w:rsidRDefault="00000000">
            <w:pPr>
              <w:adjustRightInd/>
              <w:snapToGrid/>
              <w:spacing w:line="240" w:lineRule="auto"/>
              <w:ind w:firstLineChars="0" w:firstLine="0"/>
              <w:jc w:val="center"/>
              <w:rPr>
                <w:color w:val="auto"/>
                <w:sz w:val="21"/>
              </w:rPr>
            </w:pPr>
            <w:r>
              <w:rPr>
                <w:rFonts w:hint="eastAsia"/>
                <w:color w:val="auto"/>
                <w:sz w:val="21"/>
              </w:rPr>
              <w:t>7</w:t>
            </w:r>
          </w:p>
        </w:tc>
        <w:tc>
          <w:tcPr>
            <w:tcW w:w="2127" w:type="dxa"/>
            <w:vAlign w:val="center"/>
          </w:tcPr>
          <w:p w14:paraId="2930D1CB" w14:textId="77777777" w:rsidR="009219A0" w:rsidRDefault="00000000">
            <w:pPr>
              <w:adjustRightInd/>
              <w:snapToGrid/>
              <w:spacing w:line="240" w:lineRule="auto"/>
              <w:ind w:firstLineChars="0" w:firstLine="0"/>
              <w:jc w:val="center"/>
              <w:rPr>
                <w:color w:val="auto"/>
                <w:sz w:val="21"/>
              </w:rPr>
            </w:pPr>
            <w:r>
              <w:rPr>
                <w:rFonts w:hint="eastAsia"/>
                <w:color w:val="auto"/>
                <w:sz w:val="21"/>
              </w:rPr>
              <w:t>起重伤害</w:t>
            </w:r>
          </w:p>
        </w:tc>
        <w:tc>
          <w:tcPr>
            <w:tcW w:w="6484" w:type="dxa"/>
            <w:vAlign w:val="center"/>
          </w:tcPr>
          <w:p w14:paraId="50ED2C71" w14:textId="77777777" w:rsidR="009219A0" w:rsidRDefault="00000000">
            <w:pPr>
              <w:adjustRightInd/>
              <w:snapToGrid/>
              <w:spacing w:line="240" w:lineRule="auto"/>
              <w:ind w:firstLineChars="0" w:firstLine="0"/>
              <w:jc w:val="center"/>
              <w:rPr>
                <w:color w:val="auto"/>
                <w:sz w:val="21"/>
              </w:rPr>
            </w:pPr>
            <w:r>
              <w:rPr>
                <w:rFonts w:hint="eastAsia"/>
                <w:color w:val="auto"/>
                <w:sz w:val="21"/>
              </w:rPr>
              <w:t>电动葫芦、单梁行车等起重设备处</w:t>
            </w:r>
          </w:p>
        </w:tc>
      </w:tr>
      <w:tr w:rsidR="009219A0" w14:paraId="414C838B" w14:textId="77777777">
        <w:trPr>
          <w:cantSplit/>
          <w:trHeight w:val="227"/>
        </w:trPr>
        <w:tc>
          <w:tcPr>
            <w:tcW w:w="675" w:type="dxa"/>
            <w:vAlign w:val="center"/>
          </w:tcPr>
          <w:p w14:paraId="57C6179D" w14:textId="77777777" w:rsidR="009219A0" w:rsidRDefault="00000000">
            <w:pPr>
              <w:adjustRightInd/>
              <w:snapToGrid/>
              <w:spacing w:line="240" w:lineRule="auto"/>
              <w:ind w:firstLineChars="0" w:firstLine="0"/>
              <w:jc w:val="center"/>
              <w:rPr>
                <w:color w:val="auto"/>
                <w:sz w:val="21"/>
              </w:rPr>
            </w:pPr>
            <w:r>
              <w:rPr>
                <w:rFonts w:hint="eastAsia"/>
                <w:color w:val="auto"/>
                <w:sz w:val="21"/>
              </w:rPr>
              <w:t>8</w:t>
            </w:r>
          </w:p>
        </w:tc>
        <w:tc>
          <w:tcPr>
            <w:tcW w:w="2127" w:type="dxa"/>
            <w:vAlign w:val="center"/>
          </w:tcPr>
          <w:p w14:paraId="6584B7E7" w14:textId="77777777" w:rsidR="009219A0" w:rsidRDefault="00000000">
            <w:pPr>
              <w:adjustRightInd/>
              <w:snapToGrid/>
              <w:spacing w:line="240" w:lineRule="auto"/>
              <w:ind w:firstLineChars="0" w:firstLine="0"/>
              <w:jc w:val="center"/>
              <w:rPr>
                <w:color w:val="auto"/>
                <w:sz w:val="21"/>
              </w:rPr>
            </w:pPr>
            <w:r>
              <w:rPr>
                <w:rFonts w:hint="eastAsia"/>
                <w:color w:val="auto"/>
                <w:sz w:val="21"/>
              </w:rPr>
              <w:t>中毒和窒息</w:t>
            </w:r>
          </w:p>
        </w:tc>
        <w:tc>
          <w:tcPr>
            <w:tcW w:w="6484" w:type="dxa"/>
            <w:vAlign w:val="center"/>
          </w:tcPr>
          <w:p w14:paraId="2F8FF8E7" w14:textId="77777777" w:rsidR="009219A0" w:rsidRDefault="00000000">
            <w:pPr>
              <w:adjustRightInd/>
              <w:snapToGrid/>
              <w:spacing w:line="240" w:lineRule="auto"/>
              <w:ind w:firstLineChars="0" w:firstLine="0"/>
              <w:jc w:val="center"/>
              <w:rPr>
                <w:color w:val="auto"/>
                <w:sz w:val="21"/>
              </w:rPr>
            </w:pPr>
            <w:r>
              <w:rPr>
                <w:rFonts w:hint="eastAsia"/>
                <w:color w:val="auto"/>
                <w:sz w:val="21"/>
              </w:rPr>
              <w:t>实验室试剂存放、使用处；中试车间尾气管管件、阀门、法兰等连接处，储罐、水池等有限空间内</w:t>
            </w:r>
          </w:p>
        </w:tc>
      </w:tr>
      <w:tr w:rsidR="009219A0" w14:paraId="0E839903" w14:textId="77777777">
        <w:trPr>
          <w:cantSplit/>
          <w:trHeight w:val="227"/>
        </w:trPr>
        <w:tc>
          <w:tcPr>
            <w:tcW w:w="675" w:type="dxa"/>
            <w:vAlign w:val="center"/>
          </w:tcPr>
          <w:p w14:paraId="2F5F4C3B" w14:textId="77777777" w:rsidR="009219A0" w:rsidRDefault="00000000">
            <w:pPr>
              <w:adjustRightInd/>
              <w:snapToGrid/>
              <w:spacing w:line="240" w:lineRule="auto"/>
              <w:ind w:firstLineChars="0" w:firstLine="0"/>
              <w:jc w:val="center"/>
              <w:rPr>
                <w:color w:val="auto"/>
                <w:sz w:val="21"/>
              </w:rPr>
            </w:pPr>
            <w:r>
              <w:rPr>
                <w:rFonts w:hint="eastAsia"/>
                <w:color w:val="auto"/>
                <w:sz w:val="21"/>
              </w:rPr>
              <w:t>9</w:t>
            </w:r>
          </w:p>
        </w:tc>
        <w:tc>
          <w:tcPr>
            <w:tcW w:w="2127" w:type="dxa"/>
            <w:vAlign w:val="center"/>
          </w:tcPr>
          <w:p w14:paraId="75FC3A03" w14:textId="77777777" w:rsidR="009219A0" w:rsidRDefault="00000000">
            <w:pPr>
              <w:adjustRightInd/>
              <w:snapToGrid/>
              <w:spacing w:line="240" w:lineRule="auto"/>
              <w:ind w:firstLineChars="0" w:firstLine="0"/>
              <w:jc w:val="center"/>
              <w:rPr>
                <w:color w:val="auto"/>
                <w:sz w:val="21"/>
              </w:rPr>
            </w:pPr>
            <w:r>
              <w:rPr>
                <w:rFonts w:hint="eastAsia"/>
                <w:color w:val="auto"/>
                <w:sz w:val="21"/>
              </w:rPr>
              <w:t>雷电</w:t>
            </w:r>
            <w:r>
              <w:rPr>
                <w:color w:val="auto"/>
                <w:sz w:val="21"/>
              </w:rPr>
              <w:t>、静电危害</w:t>
            </w:r>
          </w:p>
        </w:tc>
        <w:tc>
          <w:tcPr>
            <w:tcW w:w="6484" w:type="dxa"/>
            <w:vAlign w:val="center"/>
          </w:tcPr>
          <w:p w14:paraId="684A8956" w14:textId="77777777" w:rsidR="009219A0" w:rsidRDefault="00000000">
            <w:pPr>
              <w:adjustRightInd/>
              <w:snapToGrid/>
              <w:spacing w:line="240" w:lineRule="auto"/>
              <w:ind w:firstLineChars="0" w:firstLine="0"/>
              <w:jc w:val="center"/>
              <w:rPr>
                <w:color w:val="auto"/>
                <w:sz w:val="21"/>
              </w:rPr>
            </w:pPr>
            <w:r>
              <w:rPr>
                <w:rFonts w:hint="eastAsia"/>
                <w:color w:val="auto"/>
                <w:sz w:val="21"/>
              </w:rPr>
              <w:t>建（</w:t>
            </w:r>
            <w:r>
              <w:rPr>
                <w:color w:val="auto"/>
                <w:sz w:val="21"/>
              </w:rPr>
              <w:t>构）筑物、设备等区域</w:t>
            </w:r>
          </w:p>
        </w:tc>
      </w:tr>
      <w:tr w:rsidR="009219A0" w14:paraId="146963C2" w14:textId="77777777">
        <w:trPr>
          <w:cantSplit/>
          <w:trHeight w:val="227"/>
        </w:trPr>
        <w:tc>
          <w:tcPr>
            <w:tcW w:w="675" w:type="dxa"/>
            <w:vAlign w:val="center"/>
          </w:tcPr>
          <w:p w14:paraId="6991C9BA" w14:textId="77777777" w:rsidR="009219A0" w:rsidRDefault="00000000">
            <w:pPr>
              <w:adjustRightInd/>
              <w:snapToGrid/>
              <w:spacing w:line="240" w:lineRule="auto"/>
              <w:ind w:firstLineChars="0" w:firstLine="0"/>
              <w:jc w:val="center"/>
              <w:rPr>
                <w:color w:val="auto"/>
                <w:sz w:val="21"/>
              </w:rPr>
            </w:pPr>
            <w:r>
              <w:rPr>
                <w:rFonts w:hint="eastAsia"/>
                <w:color w:val="auto"/>
                <w:sz w:val="21"/>
              </w:rPr>
              <w:t>10</w:t>
            </w:r>
          </w:p>
        </w:tc>
        <w:tc>
          <w:tcPr>
            <w:tcW w:w="2127" w:type="dxa"/>
            <w:vAlign w:val="center"/>
          </w:tcPr>
          <w:p w14:paraId="18F4C2E8" w14:textId="77777777" w:rsidR="009219A0" w:rsidRDefault="00000000">
            <w:pPr>
              <w:adjustRightInd/>
              <w:snapToGrid/>
              <w:spacing w:line="240" w:lineRule="auto"/>
              <w:ind w:firstLineChars="0" w:firstLine="0"/>
              <w:jc w:val="center"/>
              <w:rPr>
                <w:color w:val="auto"/>
                <w:sz w:val="21"/>
              </w:rPr>
            </w:pPr>
            <w:r>
              <w:rPr>
                <w:rFonts w:hint="eastAsia"/>
                <w:color w:val="auto"/>
                <w:sz w:val="21"/>
              </w:rPr>
              <w:t>噪声</w:t>
            </w:r>
            <w:r>
              <w:rPr>
                <w:color w:val="auto"/>
                <w:sz w:val="21"/>
              </w:rPr>
              <w:t>危害</w:t>
            </w:r>
          </w:p>
        </w:tc>
        <w:tc>
          <w:tcPr>
            <w:tcW w:w="6484" w:type="dxa"/>
            <w:vAlign w:val="center"/>
          </w:tcPr>
          <w:p w14:paraId="00E60C10" w14:textId="77777777" w:rsidR="009219A0" w:rsidRDefault="00000000">
            <w:pPr>
              <w:adjustRightInd/>
              <w:snapToGrid/>
              <w:spacing w:line="240" w:lineRule="auto"/>
              <w:ind w:firstLineChars="0" w:firstLine="0"/>
              <w:jc w:val="center"/>
              <w:rPr>
                <w:color w:val="auto"/>
                <w:sz w:val="21"/>
              </w:rPr>
            </w:pPr>
            <w:r>
              <w:rPr>
                <w:rFonts w:hint="eastAsia"/>
                <w:color w:val="auto"/>
                <w:sz w:val="21"/>
              </w:rPr>
              <w:t>各种运</w:t>
            </w:r>
            <w:r>
              <w:rPr>
                <w:color w:val="auto"/>
                <w:sz w:val="21"/>
              </w:rPr>
              <w:t>动设备处</w:t>
            </w:r>
          </w:p>
        </w:tc>
      </w:tr>
    </w:tbl>
    <w:p w14:paraId="2A24C7D2" w14:textId="77777777" w:rsidR="009219A0" w:rsidRDefault="009219A0">
      <w:pPr>
        <w:pStyle w:val="Default1"/>
        <w:rPr>
          <w:rFonts w:hint="default"/>
        </w:rPr>
      </w:pPr>
    </w:p>
    <w:p w14:paraId="6012870F" w14:textId="77777777" w:rsidR="009219A0" w:rsidRDefault="00000000">
      <w:pPr>
        <w:pStyle w:val="2"/>
        <w:rPr>
          <w:rFonts w:hint="eastAsia"/>
        </w:rPr>
      </w:pPr>
      <w:bookmarkStart w:id="278" w:name="_Toc211950504"/>
      <w:bookmarkStart w:id="279" w:name="_Toc165281477"/>
      <w:r>
        <w:rPr>
          <w:rFonts w:hint="eastAsia"/>
        </w:rPr>
        <w:t>2.6自然条件危险、有害因素分析</w:t>
      </w:r>
      <w:bookmarkEnd w:id="278"/>
      <w:bookmarkEnd w:id="279"/>
    </w:p>
    <w:p w14:paraId="41D442BF" w14:textId="77777777" w:rsidR="009219A0" w:rsidRDefault="00000000">
      <w:pPr>
        <w:ind w:firstLine="562"/>
        <w:outlineLvl w:val="2"/>
      </w:pPr>
      <w:bookmarkStart w:id="280" w:name="_Toc211950505"/>
      <w:r>
        <w:rPr>
          <w:rFonts w:ascii="宋体" w:hAnsi="宋体" w:hint="eastAsia"/>
          <w:b/>
          <w:bCs/>
          <w:color w:val="auto"/>
          <w:szCs w:val="28"/>
        </w:rPr>
        <w:t>2.6.1地质条件危险、有害因素分析</w:t>
      </w:r>
      <w:bookmarkEnd w:id="280"/>
    </w:p>
    <w:p w14:paraId="071177F3"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本项目可能因地质条件方面的原因引发地基下沉、坍塌等危险，其主要产生原因分析如下：</w:t>
      </w:r>
    </w:p>
    <w:p w14:paraId="44336198"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（1）项目设计、施工过程中未按专业要求进行专项治理，治理措施缺陷或不满足建筑物基础安全稳定性要求直接进行施工作业等可能会引发该项目区域的建构筑物地基下沉、毁坏等危险。</w:t>
      </w:r>
    </w:p>
    <w:p w14:paraId="0233E687"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（2）由于建筑、设备、设施等建构筑物、设备设施载荷较重，长期运行后出现地基下沉，导致建构筑物或设备及与其相连的部件发生变形、断裂等。</w:t>
      </w:r>
    </w:p>
    <w:p w14:paraId="1C1F8882"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（3）项目所在地发生地震，可导致建构筑物突发性损坏，在设备、设施及建构筑物抗震等级不足时，破坏性更大。</w:t>
      </w:r>
    </w:p>
    <w:p w14:paraId="00C4B74D"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（4）地下水对建构筑物基础有一定的腐蚀性，若建构筑物基础设计、施工过程未按照相关规范要求进行防腐防护等，长期受地下水腐蚀，强度减弱，可能导致建构筑物倒塌等危险。</w:t>
      </w:r>
    </w:p>
    <w:p w14:paraId="15B8C7D0"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（5）未核实建设场地的工程地质条件，没有按照相关规范及参数进行建构筑物基础设计，没有按照当地抗震设防等级进行抗震设计等，会对装置安全产生重大影响。</w:t>
      </w:r>
    </w:p>
    <w:p w14:paraId="6CD62AF0" w14:textId="77777777" w:rsidR="009219A0" w:rsidRDefault="00000000">
      <w:pPr>
        <w:ind w:firstLine="562"/>
        <w:outlineLvl w:val="2"/>
        <w:rPr>
          <w:rFonts w:ascii="宋体" w:hAnsi="宋体" w:hint="eastAsia"/>
          <w:szCs w:val="28"/>
        </w:rPr>
      </w:pPr>
      <w:bookmarkStart w:id="281" w:name="_Toc211950506"/>
      <w:r>
        <w:rPr>
          <w:rFonts w:ascii="宋体" w:hAnsi="宋体"/>
          <w:b/>
          <w:bCs/>
          <w:color w:val="auto"/>
          <w:szCs w:val="28"/>
        </w:rPr>
        <w:t>2.6.2</w:t>
      </w:r>
      <w:r>
        <w:rPr>
          <w:rFonts w:ascii="宋体" w:hAnsi="宋体" w:hint="eastAsia"/>
          <w:b/>
          <w:bCs/>
          <w:color w:val="auto"/>
          <w:szCs w:val="28"/>
        </w:rPr>
        <w:t>气象条件危险、有害因素分析</w:t>
      </w:r>
      <w:bookmarkEnd w:id="281"/>
    </w:p>
    <w:p w14:paraId="6F3A1D40"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（1）气温</w:t>
      </w:r>
    </w:p>
    <w:p w14:paraId="2381239A"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高温天气对现场作业人员可能构成危害，高温对人体健康的主要影响是产生中暑以及诱发心、脑血管疾病导致死亡。从气象资料看，本项目所处地域年平均气温15.8～18.5℃，极端最高气温32℃，极端最低气温-4.7℃。因此在夏季高温对现场作业人员有一定的影响，尤其是长时间曝露在高温天气下的室外作业人员，有发生中暑的危险。</w:t>
      </w:r>
    </w:p>
    <w:p w14:paraId="2C3F8E75"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lastRenderedPageBreak/>
        <w:t>项目所在地如出现极端低温天气，且持续时间较长、无防护措施、设计及施工过程中未考虑抗冰冻措施等可能会引发水管、设备等功能异常、毁坏危险；低温天气还可能造成路面结冰，引发车辆伤害事故等。</w:t>
      </w:r>
    </w:p>
    <w:p w14:paraId="1D48EB3C"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（2）大风</w:t>
      </w:r>
    </w:p>
    <w:p w14:paraId="11751047"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项目所在地常年主导风向为南风，最大风速3.7m/s，年平均气压87.8KPa。</w:t>
      </w:r>
    </w:p>
    <w:p w14:paraId="52FE1F1A"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大风对本项目投产运行过程中安全性的影响，主要表现在可能导致高处堆放的零散物件坠落，对地面的人员造成物体打击伤害；还可能导致扬尘，造成现场扬尘弥漫，视线不清，从而引发车辆伤害等事故的发生。</w:t>
      </w:r>
    </w:p>
    <w:p w14:paraId="79FC01D5"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（3）雷击</w:t>
      </w:r>
    </w:p>
    <w:p w14:paraId="53DF3CF7"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1）雷电是常见的自然现象，雷击电压可高达几十万伏至数百万伏，瞬时电流可高达数十万安培，放电时温度可高达30000℃。</w:t>
      </w:r>
    </w:p>
    <w:p w14:paraId="3632C1D9"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2）雷电的破坏作用主要是雷电流引起的，根据雷电产生的危害特点，雷电以三种形式出现，即直接雷击、感应雷击和雷电波，其危害分析如下：</w:t>
      </w:r>
    </w:p>
    <w:p w14:paraId="54436DCF"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3）雷击是由直接雷击造成的，由于它瞬间放出的电流相当大，产生的高温高压引起爆炸、火灾和建筑物倒塌，造成人畜伤亡事故。</w:t>
      </w:r>
    </w:p>
    <w:p w14:paraId="39D87F15"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4）感应雷的主要危害是由电流沿着金属导线或导体形成雷电冲击波，并进入建筑物内造成用户的仪器设备或家用电器的损坏，在一定的条件下还会造成人员伤亡和火灾等重大雷击事故。在雷击事故中90%是感应</w:t>
      </w:r>
      <w:proofErr w:type="gramStart"/>
      <w:r>
        <w:rPr>
          <w:rFonts w:ascii="宋体" w:hAnsi="宋体"/>
          <w:sz w:val="28"/>
          <w:szCs w:val="28"/>
        </w:rPr>
        <w:t>雷造成</w:t>
      </w:r>
      <w:proofErr w:type="gramEnd"/>
      <w:r>
        <w:rPr>
          <w:rFonts w:ascii="宋体" w:hAnsi="宋体"/>
          <w:sz w:val="28"/>
          <w:szCs w:val="28"/>
        </w:rPr>
        <w:t>的。在电子设备、供电设备、通信广播、计算机网络的信息传输等领域都是感应雷的主要袭击对象。</w:t>
      </w:r>
    </w:p>
    <w:p w14:paraId="41901D26"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5）雷电波是由于雷击而在架空线路或空中金属管道上产生冲击电压，沿线路或管道的两个方面迅速传播，其传播速度为300m/μs（在电缆中为150m/μs），若侵入建筑内可造成配电装置和电气线路绝缘层击穿产生短路或使建筑物的易燃易爆物品燃烧和爆炸。</w:t>
      </w:r>
    </w:p>
    <w:p w14:paraId="50BB1072"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lastRenderedPageBreak/>
        <w:t>6）雷击破坏性极大，可能造成厂房和电气设备的破坏；如果建构筑物未安装防雷设施或防雷设施性能降低或失效，如接地装置养护不良而致腐蚀断开，或接地电阻太大等，可能引起雷击事故。</w:t>
      </w:r>
    </w:p>
    <w:p w14:paraId="3372D6DB" w14:textId="77777777" w:rsidR="009219A0" w:rsidRDefault="00000000">
      <w:pPr>
        <w:pStyle w:val="Default1"/>
        <w:spacing w:line="360" w:lineRule="auto"/>
        <w:ind w:firstLineChars="200" w:firstLine="560"/>
        <w:jc w:val="both"/>
        <w:rPr>
          <w:rFonts w:ascii="宋体" w:hAnsi="宋体"/>
          <w:sz w:val="28"/>
          <w:szCs w:val="28"/>
        </w:rPr>
      </w:pPr>
      <w:r>
        <w:rPr>
          <w:rFonts w:ascii="宋体" w:hAnsi="宋体"/>
          <w:sz w:val="28"/>
          <w:szCs w:val="28"/>
        </w:rPr>
        <w:t>（4）降雨</w:t>
      </w:r>
    </w:p>
    <w:p w14:paraId="57A9698C" w14:textId="77777777" w:rsidR="009219A0" w:rsidRDefault="00000000">
      <w:pPr>
        <w:pStyle w:val="Default1"/>
        <w:spacing w:line="360" w:lineRule="auto"/>
        <w:ind w:firstLineChars="200" w:firstLine="560"/>
        <w:jc w:val="both"/>
        <w:rPr>
          <w:rFonts w:hint="default"/>
        </w:rPr>
      </w:pPr>
      <w:r>
        <w:rPr>
          <w:rFonts w:ascii="宋体" w:hAnsi="宋体"/>
          <w:sz w:val="28"/>
          <w:szCs w:val="28"/>
        </w:rPr>
        <w:t>长时间的暴雨容易产生积水或径流淹没低洼地段，造成洪涝灾害。本项目设备可能受潮、屋顶漏雨，地面积水导致电气设备、线路、开关装置短路，发生漏电伤人事故。</w:t>
      </w:r>
    </w:p>
    <w:p w14:paraId="1942FF78" w14:textId="77777777" w:rsidR="009219A0" w:rsidRDefault="00000000">
      <w:pPr>
        <w:pStyle w:val="2"/>
        <w:rPr>
          <w:rFonts w:hint="eastAsia"/>
        </w:rPr>
      </w:pPr>
      <w:bookmarkStart w:id="282" w:name="_Toc211950507"/>
      <w:bookmarkStart w:id="283" w:name="_Toc165281478"/>
      <w:r>
        <w:rPr>
          <w:rFonts w:hint="eastAsia"/>
        </w:rPr>
        <w:t>2.7 危险化学品重大危险源辨识</w:t>
      </w:r>
      <w:bookmarkEnd w:id="282"/>
      <w:bookmarkEnd w:id="283"/>
    </w:p>
    <w:p w14:paraId="3A4F6FBE" w14:textId="77777777" w:rsidR="009219A0" w:rsidRDefault="00000000">
      <w:pPr>
        <w:ind w:firstLine="560"/>
        <w:rPr>
          <w:color w:val="auto"/>
        </w:rPr>
      </w:pPr>
      <w:r>
        <w:rPr>
          <w:rFonts w:hint="eastAsia"/>
          <w:color w:val="auto"/>
        </w:rPr>
        <w:t>根据《危险化学品重大危险源辨识》（</w:t>
      </w:r>
      <w:r>
        <w:rPr>
          <w:rFonts w:hint="eastAsia"/>
          <w:color w:val="auto"/>
        </w:rPr>
        <w:t>GB18218-2018</w:t>
      </w:r>
      <w:r>
        <w:rPr>
          <w:rFonts w:hint="eastAsia"/>
          <w:color w:val="auto"/>
        </w:rPr>
        <w:t>）辨识。</w:t>
      </w:r>
    </w:p>
    <w:p w14:paraId="147E9B00" w14:textId="77777777" w:rsidR="009219A0" w:rsidRDefault="00000000">
      <w:pPr>
        <w:ind w:firstLine="560"/>
        <w:rPr>
          <w:color w:val="auto"/>
        </w:rPr>
      </w:pPr>
      <w:r>
        <w:rPr>
          <w:color w:val="auto"/>
        </w:rPr>
        <w:t>（</w:t>
      </w:r>
      <w:r>
        <w:rPr>
          <w:color w:val="auto"/>
        </w:rPr>
        <w:t>1</w:t>
      </w:r>
      <w:r>
        <w:rPr>
          <w:color w:val="auto"/>
        </w:rPr>
        <w:t>）辨识的依据、方法</w:t>
      </w:r>
    </w:p>
    <w:p w14:paraId="580D13B5" w14:textId="77777777" w:rsidR="009219A0" w:rsidRDefault="00000000">
      <w:pPr>
        <w:ind w:firstLine="560"/>
        <w:rPr>
          <w:color w:val="auto"/>
        </w:rPr>
      </w:pPr>
      <w:r>
        <w:rPr>
          <w:rFonts w:hint="eastAsia"/>
          <w:color w:val="auto"/>
        </w:rPr>
        <w:t>危险化学品重大危险源是指长期地或</w:t>
      </w:r>
      <w:proofErr w:type="gramStart"/>
      <w:r>
        <w:rPr>
          <w:rFonts w:hint="eastAsia"/>
          <w:color w:val="auto"/>
        </w:rPr>
        <w:t>临时地</w:t>
      </w:r>
      <w:proofErr w:type="gramEnd"/>
      <w:r>
        <w:rPr>
          <w:rFonts w:hint="eastAsia"/>
          <w:color w:val="auto"/>
        </w:rPr>
        <w:t>生产、储存、使用和经营危险化学品，且危险化学品的数量等于或超过临界量的单元。</w:t>
      </w:r>
    </w:p>
    <w:p w14:paraId="08B9F640" w14:textId="77777777" w:rsidR="009219A0" w:rsidRDefault="00000000">
      <w:pPr>
        <w:ind w:firstLine="560"/>
        <w:rPr>
          <w:color w:val="auto"/>
        </w:rPr>
      </w:pPr>
      <w:r>
        <w:rPr>
          <w:rFonts w:hint="eastAsia"/>
          <w:color w:val="auto"/>
        </w:rPr>
        <w:t>危险化学品应依据其危险特性及其数量进行重大危险源辨识，具体见表</w:t>
      </w:r>
      <w:r>
        <w:rPr>
          <w:rFonts w:hint="eastAsia"/>
          <w:color w:val="auto"/>
        </w:rPr>
        <w:t>1</w:t>
      </w:r>
      <w:r>
        <w:rPr>
          <w:rFonts w:hint="eastAsia"/>
          <w:color w:val="auto"/>
        </w:rPr>
        <w:t>和表</w:t>
      </w:r>
      <w:r>
        <w:rPr>
          <w:rFonts w:hint="eastAsia"/>
          <w:color w:val="auto"/>
        </w:rPr>
        <w:t>2</w:t>
      </w:r>
      <w:r>
        <w:rPr>
          <w:rFonts w:hint="eastAsia"/>
          <w:color w:val="auto"/>
        </w:rPr>
        <w:t>。危险化学品的纯物质及其混合物应按</w:t>
      </w:r>
      <w:r>
        <w:rPr>
          <w:rFonts w:hint="eastAsia"/>
          <w:color w:val="auto"/>
        </w:rPr>
        <w:t>GB30000.2</w:t>
      </w:r>
      <w:r>
        <w:rPr>
          <w:rFonts w:hint="eastAsia"/>
          <w:color w:val="auto"/>
        </w:rPr>
        <w:t>、</w:t>
      </w:r>
      <w:r>
        <w:rPr>
          <w:rFonts w:hint="eastAsia"/>
          <w:color w:val="auto"/>
        </w:rPr>
        <w:t>GB30000.3</w:t>
      </w:r>
      <w:r>
        <w:rPr>
          <w:rFonts w:hint="eastAsia"/>
          <w:color w:val="auto"/>
        </w:rPr>
        <w:t>、</w:t>
      </w:r>
      <w:r>
        <w:rPr>
          <w:rFonts w:hint="eastAsia"/>
          <w:color w:val="auto"/>
        </w:rPr>
        <w:t>GB30000.4</w:t>
      </w:r>
      <w:r>
        <w:rPr>
          <w:rFonts w:hint="eastAsia"/>
          <w:color w:val="auto"/>
        </w:rPr>
        <w:t>、</w:t>
      </w:r>
      <w:r>
        <w:rPr>
          <w:rFonts w:hint="eastAsia"/>
          <w:color w:val="auto"/>
        </w:rPr>
        <w:t>GB30000.5</w:t>
      </w:r>
      <w:r>
        <w:rPr>
          <w:rFonts w:hint="eastAsia"/>
          <w:color w:val="auto"/>
        </w:rPr>
        <w:t>、</w:t>
      </w:r>
      <w:r>
        <w:rPr>
          <w:rFonts w:hint="eastAsia"/>
          <w:color w:val="auto"/>
        </w:rPr>
        <w:t>GB30000.7</w:t>
      </w:r>
      <w:r>
        <w:rPr>
          <w:rFonts w:hint="eastAsia"/>
          <w:color w:val="auto"/>
        </w:rPr>
        <w:t>、</w:t>
      </w:r>
      <w:r>
        <w:rPr>
          <w:rFonts w:hint="eastAsia"/>
          <w:color w:val="auto"/>
        </w:rPr>
        <w:t>GB30000.8</w:t>
      </w:r>
      <w:r>
        <w:rPr>
          <w:rFonts w:hint="eastAsia"/>
          <w:color w:val="auto"/>
        </w:rPr>
        <w:t>、</w:t>
      </w:r>
      <w:r>
        <w:rPr>
          <w:rFonts w:hint="eastAsia"/>
          <w:color w:val="auto"/>
        </w:rPr>
        <w:t>GB30000.9</w:t>
      </w:r>
      <w:r>
        <w:rPr>
          <w:rFonts w:hint="eastAsia"/>
          <w:color w:val="auto"/>
        </w:rPr>
        <w:t>、</w:t>
      </w:r>
      <w:r>
        <w:rPr>
          <w:rFonts w:hint="eastAsia"/>
          <w:color w:val="auto"/>
        </w:rPr>
        <w:t>GB30000.10</w:t>
      </w:r>
      <w:r>
        <w:rPr>
          <w:rFonts w:hint="eastAsia"/>
          <w:color w:val="auto"/>
        </w:rPr>
        <w:t>、</w:t>
      </w:r>
      <w:r>
        <w:rPr>
          <w:rFonts w:hint="eastAsia"/>
          <w:color w:val="auto"/>
        </w:rPr>
        <w:t>GB30000.11</w:t>
      </w:r>
      <w:r>
        <w:rPr>
          <w:rFonts w:hint="eastAsia"/>
          <w:color w:val="auto"/>
        </w:rPr>
        <w:t>、</w:t>
      </w:r>
      <w:r>
        <w:rPr>
          <w:rFonts w:hint="eastAsia"/>
          <w:color w:val="auto"/>
        </w:rPr>
        <w:t>GB30000.12</w:t>
      </w:r>
      <w:r>
        <w:rPr>
          <w:rFonts w:hint="eastAsia"/>
          <w:color w:val="auto"/>
        </w:rPr>
        <w:t>、</w:t>
      </w:r>
      <w:r>
        <w:rPr>
          <w:rFonts w:hint="eastAsia"/>
          <w:color w:val="auto"/>
        </w:rPr>
        <w:t>GB30000.13</w:t>
      </w:r>
      <w:r>
        <w:rPr>
          <w:rFonts w:hint="eastAsia"/>
          <w:color w:val="auto"/>
        </w:rPr>
        <w:t>、</w:t>
      </w:r>
      <w:r>
        <w:rPr>
          <w:rFonts w:hint="eastAsia"/>
          <w:color w:val="auto"/>
        </w:rPr>
        <w:t>GB30000.14</w:t>
      </w:r>
      <w:r>
        <w:rPr>
          <w:rFonts w:hint="eastAsia"/>
          <w:color w:val="auto"/>
        </w:rPr>
        <w:t>、</w:t>
      </w:r>
      <w:r>
        <w:rPr>
          <w:rFonts w:hint="eastAsia"/>
          <w:color w:val="auto"/>
        </w:rPr>
        <w:t>GB30000.15</w:t>
      </w:r>
      <w:r>
        <w:rPr>
          <w:rFonts w:hint="eastAsia"/>
          <w:color w:val="auto"/>
        </w:rPr>
        <w:t>、</w:t>
      </w:r>
      <w:r>
        <w:rPr>
          <w:rFonts w:hint="eastAsia"/>
          <w:color w:val="auto"/>
        </w:rPr>
        <w:t>GB30000.16</w:t>
      </w:r>
      <w:r>
        <w:rPr>
          <w:rFonts w:hint="eastAsia"/>
          <w:color w:val="auto"/>
        </w:rPr>
        <w:t>、</w:t>
      </w:r>
      <w:r>
        <w:rPr>
          <w:rFonts w:hint="eastAsia"/>
          <w:color w:val="auto"/>
        </w:rPr>
        <w:t>GB30000.18</w:t>
      </w:r>
      <w:r>
        <w:rPr>
          <w:rFonts w:hint="eastAsia"/>
          <w:color w:val="auto"/>
        </w:rPr>
        <w:t>的规定进行分类。危险化学品重大危险源可分为生产单元危险化学品重大危险源和储存单元危险化学品重大危险源。</w:t>
      </w:r>
    </w:p>
    <w:p w14:paraId="6128B384" w14:textId="77777777" w:rsidR="009219A0" w:rsidRDefault="00000000">
      <w:pPr>
        <w:ind w:firstLine="560"/>
        <w:rPr>
          <w:color w:val="auto"/>
        </w:rPr>
      </w:pPr>
      <w:r>
        <w:rPr>
          <w:rFonts w:hint="eastAsia"/>
          <w:color w:val="auto"/>
        </w:rPr>
        <w:t>生产单元、储存单元内存在的危险化学品的数量等于或超过《危险化学品重大危险源辨识》</w:t>
      </w:r>
      <w:r>
        <w:rPr>
          <w:rFonts w:hint="eastAsia"/>
          <w:color w:val="auto"/>
        </w:rPr>
        <w:t>GB18218-2018</w:t>
      </w:r>
      <w:r>
        <w:rPr>
          <w:rFonts w:hint="eastAsia"/>
          <w:color w:val="auto"/>
        </w:rPr>
        <w:t>表</w:t>
      </w:r>
      <w:r>
        <w:rPr>
          <w:rFonts w:hint="eastAsia"/>
          <w:color w:val="auto"/>
        </w:rPr>
        <w:t>1</w:t>
      </w:r>
      <w:r>
        <w:rPr>
          <w:rFonts w:hint="eastAsia"/>
          <w:color w:val="auto"/>
        </w:rPr>
        <w:t>、表</w:t>
      </w:r>
      <w:r>
        <w:rPr>
          <w:rFonts w:hint="eastAsia"/>
          <w:color w:val="auto"/>
        </w:rPr>
        <w:t>2</w:t>
      </w:r>
      <w:r>
        <w:rPr>
          <w:rFonts w:hint="eastAsia"/>
          <w:color w:val="auto"/>
        </w:rPr>
        <w:t>规定的临界量，即被定义为重大危险源。单元内存在的危险化学品的数量根据危险化学品种类的多少区分为以下两种情况：</w:t>
      </w:r>
    </w:p>
    <w:p w14:paraId="717BA69E" w14:textId="77777777" w:rsidR="009219A0" w:rsidRDefault="00000000">
      <w:pPr>
        <w:ind w:firstLine="560"/>
        <w:rPr>
          <w:color w:val="auto"/>
        </w:rPr>
      </w:pPr>
      <w:r>
        <w:rPr>
          <w:rFonts w:hint="eastAsia"/>
          <w:color w:val="auto"/>
        </w:rPr>
        <w:t>1</w:t>
      </w:r>
      <w:r>
        <w:rPr>
          <w:color w:val="auto"/>
        </w:rPr>
        <w:t>）</w:t>
      </w:r>
      <w:r>
        <w:rPr>
          <w:rFonts w:hint="eastAsia"/>
          <w:color w:val="auto"/>
        </w:rPr>
        <w:t>生产单元、储存单元内存在的危险化学品为单一品种时，该危险化学品的数量即为单元</w:t>
      </w:r>
      <w:proofErr w:type="gramStart"/>
      <w:r>
        <w:rPr>
          <w:rFonts w:hint="eastAsia"/>
          <w:color w:val="auto"/>
        </w:rPr>
        <w:t>内危险</w:t>
      </w:r>
      <w:proofErr w:type="gramEnd"/>
      <w:r>
        <w:rPr>
          <w:rFonts w:hint="eastAsia"/>
          <w:color w:val="auto"/>
        </w:rPr>
        <w:t>化学品的总量，若等于或超过相应的临界量，则定义为重大危险源。</w:t>
      </w:r>
    </w:p>
    <w:p w14:paraId="2FB3E92B" w14:textId="77777777" w:rsidR="009219A0" w:rsidRDefault="00000000">
      <w:pPr>
        <w:ind w:firstLine="560"/>
        <w:rPr>
          <w:color w:val="auto"/>
        </w:rPr>
      </w:pPr>
      <w:r>
        <w:rPr>
          <w:rFonts w:hint="eastAsia"/>
          <w:color w:val="auto"/>
        </w:rPr>
        <w:lastRenderedPageBreak/>
        <w:t>2</w:t>
      </w:r>
      <w:r>
        <w:rPr>
          <w:color w:val="auto"/>
        </w:rPr>
        <w:t>）</w:t>
      </w:r>
      <w:r>
        <w:rPr>
          <w:rFonts w:hint="eastAsia"/>
          <w:color w:val="auto"/>
        </w:rPr>
        <w:t>生产单元、储存单元内存在的危险化学品为多品种时，按下式进行计算，若满足公式，则定义为重大危险源</w:t>
      </w:r>
      <w:r>
        <w:rPr>
          <w:color w:val="auto"/>
        </w:rPr>
        <w:t>：</w:t>
      </w:r>
    </w:p>
    <w:p w14:paraId="2404F482" w14:textId="77777777" w:rsidR="009219A0" w:rsidRDefault="00000000">
      <w:pPr>
        <w:adjustRightInd/>
        <w:ind w:firstLine="560"/>
        <w:rPr>
          <w:rFonts w:ascii="宋体" w:hAnsi="宋体" w:cs="宋体" w:hint="eastAsia"/>
          <w:color w:val="auto"/>
          <w:szCs w:val="28"/>
        </w:rPr>
      </w:pPr>
      <w:r>
        <w:rPr>
          <w:rFonts w:ascii="宋体" w:hAnsi="宋体" w:cs="宋体" w:hint="eastAsia"/>
          <w:color w:val="auto"/>
          <w:szCs w:val="28"/>
        </w:rPr>
        <w:t>S=</w:t>
      </w:r>
      <w:r>
        <w:rPr>
          <w:rFonts w:ascii="宋体" w:hAnsi="宋体" w:cs="宋体"/>
          <w:color w:val="auto"/>
          <w:szCs w:val="28"/>
        </w:rPr>
        <w:t>q</w:t>
      </w:r>
      <w:r>
        <w:rPr>
          <w:rFonts w:ascii="宋体" w:hAnsi="宋体" w:cs="宋体"/>
          <w:color w:val="auto"/>
          <w:szCs w:val="28"/>
          <w:vertAlign w:val="subscript"/>
        </w:rPr>
        <w:t>1</w:t>
      </w:r>
      <w:r>
        <w:rPr>
          <w:rFonts w:ascii="宋体" w:hAnsi="宋体" w:cs="宋体"/>
          <w:color w:val="auto"/>
          <w:szCs w:val="28"/>
        </w:rPr>
        <w:t>/Q</w:t>
      </w:r>
      <w:r>
        <w:rPr>
          <w:rFonts w:ascii="宋体" w:hAnsi="宋体" w:cs="宋体"/>
          <w:color w:val="auto"/>
          <w:szCs w:val="28"/>
          <w:vertAlign w:val="subscript"/>
        </w:rPr>
        <w:t xml:space="preserve">1 </w:t>
      </w:r>
      <w:r>
        <w:rPr>
          <w:rFonts w:ascii="宋体" w:hAnsi="宋体" w:cs="宋体"/>
          <w:color w:val="auto"/>
          <w:szCs w:val="28"/>
        </w:rPr>
        <w:t>+ q</w:t>
      </w:r>
      <w:r>
        <w:rPr>
          <w:rFonts w:ascii="宋体" w:hAnsi="宋体" w:cs="宋体"/>
          <w:color w:val="auto"/>
          <w:szCs w:val="28"/>
          <w:vertAlign w:val="subscript"/>
        </w:rPr>
        <w:t>2</w:t>
      </w:r>
      <w:r>
        <w:rPr>
          <w:rFonts w:ascii="宋体" w:hAnsi="宋体" w:cs="宋体"/>
          <w:color w:val="auto"/>
          <w:szCs w:val="28"/>
        </w:rPr>
        <w:t>/Q</w:t>
      </w:r>
      <w:r>
        <w:rPr>
          <w:rFonts w:ascii="宋体" w:hAnsi="宋体" w:cs="宋体"/>
          <w:color w:val="auto"/>
          <w:szCs w:val="28"/>
          <w:vertAlign w:val="subscript"/>
        </w:rPr>
        <w:t xml:space="preserve">2 </w:t>
      </w:r>
      <w:r>
        <w:rPr>
          <w:rFonts w:ascii="宋体" w:hAnsi="宋体" w:cs="宋体"/>
          <w:color w:val="auto"/>
          <w:szCs w:val="28"/>
        </w:rPr>
        <w:t>+ … + q</w:t>
      </w:r>
      <w:r>
        <w:rPr>
          <w:rFonts w:ascii="宋体" w:hAnsi="宋体" w:cs="宋体"/>
          <w:color w:val="auto"/>
          <w:szCs w:val="28"/>
          <w:vertAlign w:val="subscript"/>
        </w:rPr>
        <w:t>n</w:t>
      </w:r>
      <w:r>
        <w:rPr>
          <w:rFonts w:ascii="宋体" w:hAnsi="宋体" w:cs="宋体"/>
          <w:color w:val="auto"/>
          <w:szCs w:val="28"/>
        </w:rPr>
        <w:t>/Q</w:t>
      </w:r>
      <w:r>
        <w:rPr>
          <w:rFonts w:ascii="宋体" w:hAnsi="宋体" w:cs="宋体"/>
          <w:color w:val="auto"/>
          <w:szCs w:val="28"/>
          <w:vertAlign w:val="subscript"/>
        </w:rPr>
        <w:t>n</w:t>
      </w:r>
      <w:r>
        <w:rPr>
          <w:rFonts w:ascii="宋体" w:hAnsi="宋体" w:cs="宋体"/>
          <w:color w:val="auto"/>
          <w:szCs w:val="28"/>
        </w:rPr>
        <w:t xml:space="preserve"> ≥1  </w:t>
      </w:r>
    </w:p>
    <w:p w14:paraId="6D24E98E" w14:textId="77777777" w:rsidR="009219A0" w:rsidRDefault="00000000">
      <w:pPr>
        <w:adjustRightInd/>
        <w:ind w:firstLine="560"/>
        <w:rPr>
          <w:rFonts w:ascii="宋体" w:hAnsi="宋体" w:cs="宋体" w:hint="eastAsia"/>
          <w:color w:val="auto"/>
          <w:szCs w:val="28"/>
        </w:rPr>
      </w:pPr>
      <w:r>
        <w:rPr>
          <w:rFonts w:ascii="宋体" w:hAnsi="宋体" w:cs="宋体"/>
          <w:color w:val="auto"/>
          <w:szCs w:val="28"/>
        </w:rPr>
        <w:t>式中：</w:t>
      </w:r>
    </w:p>
    <w:p w14:paraId="3C20CD9E" w14:textId="77777777" w:rsidR="009219A0" w:rsidRDefault="00000000">
      <w:pPr>
        <w:adjustRightInd/>
        <w:ind w:firstLine="560"/>
        <w:rPr>
          <w:rFonts w:ascii="宋体" w:hAnsi="宋体" w:cs="宋体" w:hint="eastAsia"/>
          <w:color w:val="auto"/>
          <w:szCs w:val="28"/>
        </w:rPr>
      </w:pPr>
      <w:r>
        <w:rPr>
          <w:rFonts w:ascii="宋体" w:hAnsi="宋体" w:cs="宋体" w:hint="eastAsia"/>
          <w:color w:val="auto"/>
          <w:szCs w:val="28"/>
        </w:rPr>
        <w:t xml:space="preserve">S  </w:t>
      </w:r>
      <w:r>
        <w:rPr>
          <w:rFonts w:ascii="宋体" w:hAnsi="宋体" w:cs="宋体"/>
          <w:color w:val="auto"/>
          <w:szCs w:val="28"/>
        </w:rPr>
        <w:t>——</w:t>
      </w:r>
      <w:proofErr w:type="gramStart"/>
      <w:r>
        <w:rPr>
          <w:rFonts w:ascii="宋体" w:hAnsi="宋体" w:cs="宋体"/>
          <w:color w:val="auto"/>
          <w:szCs w:val="28"/>
        </w:rPr>
        <w:t>—————</w:t>
      </w:r>
      <w:proofErr w:type="gramEnd"/>
      <w:r>
        <w:rPr>
          <w:rFonts w:ascii="宋体" w:hAnsi="宋体" w:cs="宋体" w:hint="eastAsia"/>
          <w:color w:val="auto"/>
          <w:szCs w:val="28"/>
        </w:rPr>
        <w:t>辨识指标；</w:t>
      </w:r>
    </w:p>
    <w:p w14:paraId="517D08EE" w14:textId="77777777" w:rsidR="009219A0" w:rsidRDefault="00000000">
      <w:pPr>
        <w:adjustRightInd/>
        <w:ind w:firstLine="560"/>
        <w:rPr>
          <w:rFonts w:ascii="宋体" w:hAnsi="宋体" w:cs="宋体" w:hint="eastAsia"/>
          <w:color w:val="auto"/>
          <w:szCs w:val="28"/>
        </w:rPr>
      </w:pPr>
      <w:r>
        <w:rPr>
          <w:rFonts w:ascii="宋体" w:hAnsi="宋体" w:cs="宋体"/>
          <w:color w:val="auto"/>
          <w:szCs w:val="28"/>
        </w:rPr>
        <w:t>q</w:t>
      </w:r>
      <w:proofErr w:type="gramStart"/>
      <w:r>
        <w:rPr>
          <w:rFonts w:ascii="宋体" w:hAnsi="宋体" w:cs="宋体"/>
          <w:color w:val="auto"/>
          <w:szCs w:val="28"/>
          <w:vertAlign w:val="subscript"/>
        </w:rPr>
        <w:t>1</w:t>
      </w:r>
      <w:r>
        <w:rPr>
          <w:rFonts w:ascii="宋体" w:hAnsi="宋体" w:cs="宋体"/>
          <w:color w:val="auto"/>
          <w:szCs w:val="28"/>
        </w:rPr>
        <w:t>,q</w:t>
      </w:r>
      <w:r>
        <w:rPr>
          <w:rFonts w:ascii="宋体" w:hAnsi="宋体" w:cs="宋体"/>
          <w:color w:val="auto"/>
          <w:szCs w:val="28"/>
          <w:vertAlign w:val="subscript"/>
        </w:rPr>
        <w:t>2</w:t>
      </w:r>
      <w:r>
        <w:rPr>
          <w:rFonts w:ascii="宋体" w:hAnsi="宋体" w:cs="宋体"/>
          <w:color w:val="auto"/>
          <w:szCs w:val="28"/>
        </w:rPr>
        <w:t>,…</w:t>
      </w:r>
      <w:proofErr w:type="gramEnd"/>
      <w:r>
        <w:rPr>
          <w:rFonts w:ascii="宋体" w:hAnsi="宋体" w:cs="宋体"/>
          <w:color w:val="auto"/>
          <w:szCs w:val="28"/>
        </w:rPr>
        <w:t>,q</w:t>
      </w:r>
      <w:r>
        <w:rPr>
          <w:rFonts w:ascii="宋体" w:hAnsi="宋体" w:cs="宋体"/>
          <w:color w:val="auto"/>
          <w:szCs w:val="28"/>
          <w:vertAlign w:val="subscript"/>
        </w:rPr>
        <w:t>n</w:t>
      </w:r>
      <w:r>
        <w:rPr>
          <w:rFonts w:ascii="宋体" w:hAnsi="宋体" w:cs="宋体"/>
          <w:color w:val="auto"/>
          <w:szCs w:val="28"/>
        </w:rPr>
        <w:t xml:space="preserve"> ————每种危险化学品实际存在量，单位为吨（t）；</w:t>
      </w:r>
    </w:p>
    <w:p w14:paraId="44CC66D5" w14:textId="77777777" w:rsidR="009219A0" w:rsidRDefault="00000000">
      <w:pPr>
        <w:adjustRightInd/>
        <w:ind w:firstLine="560"/>
        <w:rPr>
          <w:rFonts w:ascii="宋体" w:hAnsi="宋体" w:cs="宋体" w:hint="eastAsia"/>
          <w:color w:val="auto"/>
          <w:szCs w:val="28"/>
        </w:rPr>
      </w:pPr>
      <w:r>
        <w:rPr>
          <w:rFonts w:ascii="宋体" w:hAnsi="宋体" w:cs="宋体"/>
          <w:color w:val="auto"/>
          <w:szCs w:val="28"/>
        </w:rPr>
        <w:t>Q</w:t>
      </w:r>
      <w:proofErr w:type="gramStart"/>
      <w:r>
        <w:rPr>
          <w:rFonts w:ascii="宋体" w:hAnsi="宋体" w:cs="宋体"/>
          <w:color w:val="auto"/>
          <w:szCs w:val="28"/>
          <w:vertAlign w:val="subscript"/>
        </w:rPr>
        <w:t>1</w:t>
      </w:r>
      <w:r>
        <w:rPr>
          <w:rFonts w:ascii="宋体" w:hAnsi="宋体" w:cs="宋体"/>
          <w:color w:val="auto"/>
          <w:szCs w:val="28"/>
        </w:rPr>
        <w:t>,Q</w:t>
      </w:r>
      <w:r>
        <w:rPr>
          <w:rFonts w:ascii="宋体" w:hAnsi="宋体" w:cs="宋体"/>
          <w:color w:val="auto"/>
          <w:szCs w:val="28"/>
          <w:vertAlign w:val="subscript"/>
        </w:rPr>
        <w:t>2</w:t>
      </w:r>
      <w:r>
        <w:rPr>
          <w:rFonts w:ascii="宋体" w:hAnsi="宋体" w:cs="宋体"/>
          <w:color w:val="auto"/>
          <w:szCs w:val="28"/>
        </w:rPr>
        <w:t>,…</w:t>
      </w:r>
      <w:proofErr w:type="gramEnd"/>
      <w:r>
        <w:rPr>
          <w:rFonts w:ascii="宋体" w:hAnsi="宋体" w:cs="宋体"/>
          <w:color w:val="auto"/>
          <w:szCs w:val="28"/>
        </w:rPr>
        <w:t>,Q</w:t>
      </w:r>
      <w:r>
        <w:rPr>
          <w:rFonts w:ascii="宋体" w:hAnsi="宋体" w:cs="宋体"/>
          <w:color w:val="auto"/>
          <w:szCs w:val="28"/>
          <w:vertAlign w:val="subscript"/>
        </w:rPr>
        <w:t>n</w:t>
      </w:r>
      <w:r>
        <w:rPr>
          <w:rFonts w:ascii="宋体" w:hAnsi="宋体" w:cs="宋体"/>
          <w:color w:val="auto"/>
          <w:szCs w:val="28"/>
        </w:rPr>
        <w:t>————与各危险化学品相对应的临界量，单位为吨（t）。</w:t>
      </w:r>
    </w:p>
    <w:p w14:paraId="7091C115" w14:textId="77777777" w:rsidR="009219A0" w:rsidRDefault="00000000">
      <w:pPr>
        <w:ind w:firstLine="560"/>
        <w:rPr>
          <w:color w:val="auto"/>
        </w:rPr>
      </w:pPr>
      <w:r>
        <w:rPr>
          <w:color w:val="auto"/>
        </w:rPr>
        <w:t>（</w:t>
      </w:r>
      <w:r>
        <w:rPr>
          <w:color w:val="auto"/>
        </w:rPr>
        <w:t>2</w:t>
      </w:r>
      <w:r>
        <w:rPr>
          <w:color w:val="auto"/>
        </w:rPr>
        <w:t>）辨识过程</w:t>
      </w:r>
    </w:p>
    <w:p w14:paraId="22A93C51" w14:textId="77777777" w:rsidR="009219A0" w:rsidRDefault="00000000">
      <w:pPr>
        <w:ind w:firstLine="560"/>
        <w:rPr>
          <w:color w:val="auto"/>
        </w:rPr>
      </w:pPr>
      <w:r>
        <w:rPr>
          <w:rFonts w:hint="eastAsia"/>
          <w:color w:val="auto"/>
        </w:rPr>
        <w:t>根据《危险化学品重大危险源辨识》（</w:t>
      </w:r>
      <w:r>
        <w:rPr>
          <w:rFonts w:hint="eastAsia"/>
          <w:color w:val="auto"/>
        </w:rPr>
        <w:t>GB18218-2018</w:t>
      </w:r>
      <w:r>
        <w:rPr>
          <w:rFonts w:hint="eastAsia"/>
          <w:color w:val="auto"/>
        </w:rPr>
        <w:t>），本项目涉及的危险化学品硫酸、盐酸未列入危险化学品重大危险源辨识。</w:t>
      </w:r>
    </w:p>
    <w:p w14:paraId="517BA24D" w14:textId="77777777" w:rsidR="009219A0" w:rsidRDefault="00000000">
      <w:pPr>
        <w:pStyle w:val="2"/>
        <w:rPr>
          <w:rFonts w:hint="eastAsia"/>
        </w:rPr>
      </w:pPr>
      <w:bookmarkStart w:id="284" w:name="_Toc211950508"/>
      <w:bookmarkStart w:id="285" w:name="_Toc165281479"/>
      <w:r>
        <w:rPr>
          <w:rFonts w:hint="eastAsia"/>
        </w:rPr>
        <w:t>2.8 剧毒化学品、易制毒化学品和监控化学品、易制</w:t>
      </w:r>
      <w:proofErr w:type="gramStart"/>
      <w:r>
        <w:rPr>
          <w:rFonts w:hint="eastAsia"/>
        </w:rPr>
        <w:t>爆</w:t>
      </w:r>
      <w:proofErr w:type="gramEnd"/>
      <w:r>
        <w:rPr>
          <w:rFonts w:hint="eastAsia"/>
        </w:rPr>
        <w:t>危险化学品以及重点监管危险化学品辨识</w:t>
      </w:r>
      <w:bookmarkEnd w:id="284"/>
      <w:bookmarkEnd w:id="285"/>
    </w:p>
    <w:p w14:paraId="0F0E4AA1" w14:textId="77777777" w:rsidR="009219A0" w:rsidRDefault="00000000">
      <w:pPr>
        <w:ind w:firstLine="560"/>
        <w:rPr>
          <w:color w:val="auto"/>
        </w:rPr>
      </w:pPr>
      <w:r>
        <w:rPr>
          <w:rFonts w:hint="eastAsia"/>
          <w:color w:val="auto"/>
        </w:rPr>
        <w:t>根据《危险化学品目录》（</w:t>
      </w:r>
      <w:r>
        <w:rPr>
          <w:rFonts w:hint="eastAsia"/>
          <w:color w:val="auto"/>
        </w:rPr>
        <w:t>2022</w:t>
      </w:r>
      <w:r>
        <w:rPr>
          <w:rFonts w:hint="eastAsia"/>
          <w:color w:val="auto"/>
        </w:rPr>
        <w:t>年调整版）的相关规定，该项目涉及的砷化氢为剧毒化学品。</w:t>
      </w:r>
    </w:p>
    <w:p w14:paraId="3251B01F" w14:textId="77777777" w:rsidR="009219A0" w:rsidRDefault="00000000">
      <w:pPr>
        <w:ind w:firstLine="560"/>
        <w:rPr>
          <w:color w:val="auto"/>
        </w:rPr>
      </w:pPr>
      <w:r>
        <w:rPr>
          <w:rFonts w:hint="eastAsia"/>
          <w:color w:val="auto"/>
        </w:rPr>
        <w:t>根据《易制毒化学品管理条例》（中华人民共和国务院令第</w:t>
      </w:r>
      <w:r>
        <w:rPr>
          <w:rFonts w:hint="eastAsia"/>
          <w:color w:val="auto"/>
        </w:rPr>
        <w:t>445</w:t>
      </w:r>
      <w:r>
        <w:rPr>
          <w:rFonts w:hint="eastAsia"/>
          <w:color w:val="auto"/>
        </w:rPr>
        <w:t>号，根据</w:t>
      </w:r>
      <w:r>
        <w:rPr>
          <w:rFonts w:hint="eastAsia"/>
          <w:color w:val="auto"/>
        </w:rPr>
        <w:t>2018</w:t>
      </w:r>
      <w:r>
        <w:rPr>
          <w:rFonts w:hint="eastAsia"/>
          <w:color w:val="auto"/>
        </w:rPr>
        <w:t>年</w:t>
      </w:r>
      <w:r>
        <w:rPr>
          <w:rFonts w:hint="eastAsia"/>
          <w:color w:val="auto"/>
        </w:rPr>
        <w:t>9</w:t>
      </w:r>
      <w:r>
        <w:rPr>
          <w:rFonts w:hint="eastAsia"/>
          <w:color w:val="auto"/>
        </w:rPr>
        <w:t>月</w:t>
      </w:r>
      <w:r>
        <w:rPr>
          <w:rFonts w:hint="eastAsia"/>
          <w:color w:val="auto"/>
        </w:rPr>
        <w:t>18</w:t>
      </w:r>
      <w:r>
        <w:rPr>
          <w:rFonts w:hint="eastAsia"/>
          <w:color w:val="auto"/>
        </w:rPr>
        <w:t>日《国务院关于修改部分行政法规的决定》第三次修订）的相关规定，该项目涉及的易制毒化学品有：硫酸、盐酸、砷化氢。</w:t>
      </w:r>
    </w:p>
    <w:p w14:paraId="02DE607E" w14:textId="77777777" w:rsidR="009219A0" w:rsidRDefault="00000000">
      <w:pPr>
        <w:ind w:firstLine="560"/>
        <w:rPr>
          <w:color w:val="auto"/>
        </w:rPr>
      </w:pPr>
      <w:r>
        <w:rPr>
          <w:rFonts w:hint="eastAsia"/>
          <w:color w:val="auto"/>
        </w:rPr>
        <w:t>根据《易制爆危险化学品名录（</w:t>
      </w:r>
      <w:r>
        <w:rPr>
          <w:rFonts w:hint="eastAsia"/>
          <w:color w:val="auto"/>
        </w:rPr>
        <w:t>2017</w:t>
      </w:r>
      <w:r>
        <w:rPr>
          <w:rFonts w:hint="eastAsia"/>
          <w:color w:val="auto"/>
        </w:rPr>
        <w:t>年版）》（公安部</w:t>
      </w:r>
      <w:r>
        <w:rPr>
          <w:rFonts w:hint="eastAsia"/>
          <w:color w:val="auto"/>
        </w:rPr>
        <w:t>2017</w:t>
      </w:r>
      <w:r>
        <w:rPr>
          <w:rFonts w:hint="eastAsia"/>
          <w:color w:val="auto"/>
        </w:rPr>
        <w:t>年</w:t>
      </w:r>
      <w:r>
        <w:rPr>
          <w:rFonts w:hint="eastAsia"/>
          <w:color w:val="auto"/>
        </w:rPr>
        <w:t>5</w:t>
      </w:r>
      <w:r>
        <w:rPr>
          <w:rFonts w:hint="eastAsia"/>
          <w:color w:val="auto"/>
        </w:rPr>
        <w:t>月</w:t>
      </w:r>
      <w:r>
        <w:rPr>
          <w:rFonts w:hint="eastAsia"/>
          <w:color w:val="auto"/>
        </w:rPr>
        <w:t>11</w:t>
      </w:r>
      <w:r>
        <w:rPr>
          <w:rFonts w:hint="eastAsia"/>
          <w:color w:val="auto"/>
        </w:rPr>
        <w:t>日公告），该项目涉及的砷化氢属于易制</w:t>
      </w:r>
      <w:proofErr w:type="gramStart"/>
      <w:r>
        <w:rPr>
          <w:rFonts w:hint="eastAsia"/>
          <w:color w:val="auto"/>
        </w:rPr>
        <w:t>爆</w:t>
      </w:r>
      <w:proofErr w:type="gramEnd"/>
      <w:r>
        <w:rPr>
          <w:rFonts w:hint="eastAsia"/>
          <w:color w:val="auto"/>
        </w:rPr>
        <w:t>危险化学品。</w:t>
      </w:r>
    </w:p>
    <w:p w14:paraId="28288356" w14:textId="77777777" w:rsidR="009219A0" w:rsidRDefault="00000000">
      <w:pPr>
        <w:ind w:firstLine="560"/>
        <w:rPr>
          <w:color w:val="auto"/>
        </w:rPr>
      </w:pPr>
      <w:r>
        <w:rPr>
          <w:rFonts w:hint="eastAsia"/>
          <w:color w:val="auto"/>
        </w:rPr>
        <w:t>根据《特别管控危险化学品目录（第一版）》（应急管理部</w:t>
      </w:r>
      <w:r>
        <w:rPr>
          <w:rFonts w:hint="eastAsia"/>
          <w:color w:val="auto"/>
        </w:rPr>
        <w:t>2020</w:t>
      </w:r>
      <w:r>
        <w:rPr>
          <w:rFonts w:hint="eastAsia"/>
          <w:color w:val="auto"/>
        </w:rPr>
        <w:t>年第</w:t>
      </w:r>
      <w:r>
        <w:rPr>
          <w:rFonts w:hint="eastAsia"/>
          <w:color w:val="auto"/>
        </w:rPr>
        <w:t>1</w:t>
      </w:r>
      <w:r>
        <w:rPr>
          <w:rFonts w:hint="eastAsia"/>
          <w:color w:val="auto"/>
        </w:rPr>
        <w:t>号）的相关规定，该项目不涉及特别管</w:t>
      </w:r>
      <w:proofErr w:type="gramStart"/>
      <w:r>
        <w:rPr>
          <w:rFonts w:hint="eastAsia"/>
          <w:color w:val="auto"/>
        </w:rPr>
        <w:t>控危险</w:t>
      </w:r>
      <w:proofErr w:type="gramEnd"/>
      <w:r>
        <w:rPr>
          <w:rFonts w:hint="eastAsia"/>
          <w:color w:val="auto"/>
        </w:rPr>
        <w:t>化学品。</w:t>
      </w:r>
    </w:p>
    <w:p w14:paraId="3543519D" w14:textId="77777777" w:rsidR="009219A0" w:rsidRDefault="00000000">
      <w:pPr>
        <w:ind w:firstLine="560"/>
        <w:rPr>
          <w:color w:val="auto"/>
        </w:rPr>
      </w:pPr>
      <w:r>
        <w:rPr>
          <w:rFonts w:hint="eastAsia"/>
          <w:color w:val="auto"/>
        </w:rPr>
        <w:t>根据《国家安全监管总局关于公布首批重点监管的危险化学品名录的通知》（安监总管三〔</w:t>
      </w:r>
      <w:r>
        <w:rPr>
          <w:rFonts w:hint="eastAsia"/>
          <w:color w:val="auto"/>
        </w:rPr>
        <w:t>2011</w:t>
      </w:r>
      <w:r>
        <w:rPr>
          <w:rFonts w:hint="eastAsia"/>
          <w:color w:val="auto"/>
        </w:rPr>
        <w:t>〕</w:t>
      </w:r>
      <w:r>
        <w:rPr>
          <w:rFonts w:hint="eastAsia"/>
          <w:color w:val="auto"/>
        </w:rPr>
        <w:t>95</w:t>
      </w:r>
      <w:r>
        <w:rPr>
          <w:rFonts w:hint="eastAsia"/>
          <w:color w:val="auto"/>
        </w:rPr>
        <w:t>号）和《国家安全监管总局关于公布第二批重点监管的危险化学品名录的通知》（安监总管三</w:t>
      </w:r>
      <w:r>
        <w:rPr>
          <w:rFonts w:hint="eastAsia"/>
          <w:color w:val="auto"/>
        </w:rPr>
        <w:t>]2013]12</w:t>
      </w:r>
      <w:r>
        <w:rPr>
          <w:rFonts w:hint="eastAsia"/>
          <w:color w:val="auto"/>
        </w:rPr>
        <w:t>号），该项目涉及的砷化氢为首批重点监管的危险化学品，不涉及第二批重点监管的</w:t>
      </w:r>
      <w:r>
        <w:rPr>
          <w:rFonts w:hint="eastAsia"/>
          <w:color w:val="auto"/>
        </w:rPr>
        <w:lastRenderedPageBreak/>
        <w:t>危险化学品。</w:t>
      </w:r>
    </w:p>
    <w:p w14:paraId="729EB692" w14:textId="77777777" w:rsidR="009219A0" w:rsidRDefault="00000000">
      <w:pPr>
        <w:pStyle w:val="2"/>
        <w:rPr>
          <w:rFonts w:hint="eastAsia"/>
        </w:rPr>
      </w:pPr>
      <w:bookmarkStart w:id="286" w:name="_Toc211950509"/>
      <w:bookmarkStart w:id="287" w:name="_Toc165281480"/>
      <w:r>
        <w:rPr>
          <w:rFonts w:hint="eastAsia"/>
        </w:rPr>
        <w:t>2.9淘汰落后危险化学品安全生产工艺技术设备辨识</w:t>
      </w:r>
      <w:bookmarkEnd w:id="286"/>
      <w:bookmarkEnd w:id="287"/>
    </w:p>
    <w:p w14:paraId="4DCEE444" w14:textId="77777777" w:rsidR="009219A0" w:rsidRDefault="00000000">
      <w:pPr>
        <w:ind w:firstLine="560"/>
      </w:pPr>
      <w:r>
        <w:rPr>
          <w:rFonts w:hint="eastAsia"/>
        </w:rPr>
        <w:t>根据《淘汰落后危险化学品安全生产工艺技术设备目录（第一批）》（应急厅〔</w:t>
      </w:r>
      <w:r>
        <w:rPr>
          <w:rFonts w:hint="eastAsia"/>
        </w:rPr>
        <w:t>2020</w:t>
      </w:r>
      <w:r>
        <w:rPr>
          <w:rFonts w:hint="eastAsia"/>
        </w:rPr>
        <w:t>〕</w:t>
      </w:r>
      <w:r>
        <w:rPr>
          <w:rFonts w:hint="eastAsia"/>
        </w:rPr>
        <w:t>38</w:t>
      </w:r>
      <w:r>
        <w:rPr>
          <w:rFonts w:hint="eastAsia"/>
        </w:rPr>
        <w:t>号，</w:t>
      </w:r>
      <w:r>
        <w:rPr>
          <w:rFonts w:hint="eastAsia"/>
        </w:rPr>
        <w:t>2020</w:t>
      </w:r>
      <w:r>
        <w:rPr>
          <w:rFonts w:hint="eastAsia"/>
        </w:rPr>
        <w:t>年</w:t>
      </w:r>
      <w:r>
        <w:rPr>
          <w:rFonts w:hint="eastAsia"/>
        </w:rPr>
        <w:t>10</w:t>
      </w:r>
      <w:r>
        <w:rPr>
          <w:rFonts w:hint="eastAsia"/>
        </w:rPr>
        <w:t>月</w:t>
      </w:r>
      <w:r>
        <w:rPr>
          <w:rFonts w:hint="eastAsia"/>
        </w:rPr>
        <w:t>23</w:t>
      </w:r>
      <w:r>
        <w:rPr>
          <w:rFonts w:hint="eastAsia"/>
        </w:rPr>
        <w:t>日公布）、应急管理部办公厅关于印发《淘汰落后危险化学品安全生产工艺技术设备目录（第二批）》的通知（应急厅〔</w:t>
      </w:r>
      <w:r>
        <w:rPr>
          <w:rFonts w:hint="eastAsia"/>
        </w:rPr>
        <w:t>2024</w:t>
      </w:r>
      <w:r>
        <w:rPr>
          <w:rFonts w:hint="eastAsia"/>
        </w:rPr>
        <w:t>〕</w:t>
      </w:r>
      <w:r>
        <w:rPr>
          <w:rFonts w:hint="eastAsia"/>
        </w:rPr>
        <w:t>86</w:t>
      </w:r>
      <w:r>
        <w:rPr>
          <w:rFonts w:hint="eastAsia"/>
        </w:rPr>
        <w:t>号）、安</w:t>
      </w:r>
      <w:proofErr w:type="gramStart"/>
      <w:r>
        <w:rPr>
          <w:rFonts w:hint="eastAsia"/>
        </w:rPr>
        <w:t>监总科技</w:t>
      </w:r>
      <w:proofErr w:type="gramEnd"/>
      <w:r>
        <w:rPr>
          <w:rFonts w:hint="eastAsia"/>
        </w:rPr>
        <w:t>〔</w:t>
      </w:r>
      <w:r>
        <w:rPr>
          <w:rFonts w:hint="eastAsia"/>
        </w:rPr>
        <w:t>2015</w:t>
      </w:r>
      <w:r>
        <w:rPr>
          <w:rFonts w:hint="eastAsia"/>
        </w:rPr>
        <w:t>〕</w:t>
      </w:r>
      <w:r>
        <w:rPr>
          <w:rFonts w:hint="eastAsia"/>
        </w:rPr>
        <w:t>75</w:t>
      </w:r>
      <w:r>
        <w:rPr>
          <w:rFonts w:hint="eastAsia"/>
        </w:rPr>
        <w:t>号—关于印发淘汰落后安全技术装备目录（</w:t>
      </w:r>
      <w:r>
        <w:rPr>
          <w:rFonts w:hint="eastAsia"/>
        </w:rPr>
        <w:t>2015</w:t>
      </w:r>
      <w:r>
        <w:rPr>
          <w:rFonts w:hint="eastAsia"/>
        </w:rPr>
        <w:t>第一批）的通知、安</w:t>
      </w:r>
      <w:proofErr w:type="gramStart"/>
      <w:r>
        <w:rPr>
          <w:rFonts w:hint="eastAsia"/>
        </w:rPr>
        <w:t>监总科技</w:t>
      </w:r>
      <w:proofErr w:type="gramEnd"/>
      <w:r>
        <w:rPr>
          <w:rFonts w:hint="eastAsia"/>
        </w:rPr>
        <w:t>〔</w:t>
      </w:r>
      <w:r>
        <w:rPr>
          <w:rFonts w:hint="eastAsia"/>
        </w:rPr>
        <w:t>2016</w:t>
      </w:r>
      <w:r>
        <w:rPr>
          <w:rFonts w:hint="eastAsia"/>
        </w:rPr>
        <w:t>〕</w:t>
      </w:r>
      <w:r>
        <w:rPr>
          <w:rFonts w:hint="eastAsia"/>
        </w:rPr>
        <w:t>137</w:t>
      </w:r>
      <w:r>
        <w:rPr>
          <w:rFonts w:hint="eastAsia"/>
        </w:rPr>
        <w:t>号关于印发淘汰落后安全技术工艺、设备目录（</w:t>
      </w:r>
      <w:r>
        <w:rPr>
          <w:rFonts w:hint="eastAsia"/>
        </w:rPr>
        <w:t>2016</w:t>
      </w:r>
      <w:r>
        <w:rPr>
          <w:rFonts w:hint="eastAsia"/>
        </w:rPr>
        <w:t>年）的通知、安监</w:t>
      </w:r>
      <w:proofErr w:type="gramStart"/>
      <w:r>
        <w:rPr>
          <w:rFonts w:hint="eastAsia"/>
        </w:rPr>
        <w:t>总管四</w:t>
      </w:r>
      <w:proofErr w:type="gramEnd"/>
      <w:r>
        <w:rPr>
          <w:rFonts w:hint="eastAsia"/>
        </w:rPr>
        <w:t>【</w:t>
      </w:r>
      <w:r>
        <w:rPr>
          <w:rFonts w:hint="eastAsia"/>
        </w:rPr>
        <w:t>2017</w:t>
      </w:r>
      <w:r>
        <w:rPr>
          <w:rFonts w:hint="eastAsia"/>
        </w:rPr>
        <w:t>】</w:t>
      </w:r>
      <w:r>
        <w:rPr>
          <w:rFonts w:hint="eastAsia"/>
        </w:rPr>
        <w:t>142</w:t>
      </w:r>
      <w:r>
        <w:rPr>
          <w:rFonts w:hint="eastAsia"/>
        </w:rPr>
        <w:t>号—金属冶炼企业禁止使用的设备及工艺目录（第一批）有关规定，本项目不涉及淘汰落后危险化学品安全生产工艺技术设备的内容。</w:t>
      </w:r>
    </w:p>
    <w:p w14:paraId="1517EDD5" w14:textId="77777777" w:rsidR="009219A0" w:rsidRDefault="00000000">
      <w:pPr>
        <w:pStyle w:val="Default1"/>
        <w:jc w:val="center"/>
        <w:rPr>
          <w:rFonts w:ascii="宋体" w:hAnsi="宋体"/>
          <w:sz w:val="28"/>
          <w:szCs w:val="28"/>
        </w:rPr>
      </w:pPr>
      <w:r>
        <w:rPr>
          <w:rFonts w:ascii="宋体" w:hAnsi="宋体"/>
          <w:sz w:val="28"/>
          <w:szCs w:val="28"/>
        </w:rPr>
        <w:t>表2.9-1 淘汰落后危险化学品安全生产工艺技术设备目录（第一批）辨识</w:t>
      </w:r>
    </w:p>
    <w:tbl>
      <w:tblPr>
        <w:tblW w:w="9072" w:type="dxa"/>
        <w:shd w:val="clear" w:color="auto" w:fill="FFFFFF"/>
        <w:tblLayout w:type="fixed"/>
        <w:tblCellMar>
          <w:left w:w="0" w:type="dxa"/>
          <w:right w:w="0" w:type="dxa"/>
        </w:tblCellMar>
        <w:tblLook w:val="04A0" w:firstRow="1" w:lastRow="0" w:firstColumn="1" w:lastColumn="0" w:noHBand="0" w:noVBand="1"/>
      </w:tblPr>
      <w:tblGrid>
        <w:gridCol w:w="364"/>
        <w:gridCol w:w="1494"/>
        <w:gridCol w:w="1776"/>
        <w:gridCol w:w="597"/>
        <w:gridCol w:w="1062"/>
        <w:gridCol w:w="1281"/>
        <w:gridCol w:w="1906"/>
        <w:gridCol w:w="592"/>
      </w:tblGrid>
      <w:tr w:rsidR="009219A0" w14:paraId="6DD70B30" w14:textId="77777777">
        <w:trPr>
          <w:trHeight w:val="653"/>
          <w:tblHead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20BB1C9"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序号</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5B048B5"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淘汰落后工艺技术装备名称</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6E215AD"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淘汰原因</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A668A74"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淘汰</w:t>
            </w:r>
          </w:p>
          <w:p w14:paraId="2ADA60AE"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类型</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6BBB334"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限制范围</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9D68A03"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代替的技术</w:t>
            </w:r>
          </w:p>
          <w:p w14:paraId="767970CD"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或装备名称</w:t>
            </w:r>
          </w:p>
        </w:tc>
        <w:tc>
          <w:tcPr>
            <w:tcW w:w="190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BE94EE7"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依据</w:t>
            </w:r>
          </w:p>
        </w:tc>
        <w:tc>
          <w:tcPr>
            <w:tcW w:w="59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084B315"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检查内容</w:t>
            </w:r>
          </w:p>
        </w:tc>
      </w:tr>
      <w:tr w:rsidR="009219A0" w14:paraId="224B4848" w14:textId="77777777">
        <w:trPr>
          <w:trHeight w:val="392"/>
          <w:tblHeader/>
        </w:trPr>
        <w:tc>
          <w:tcPr>
            <w:tcW w:w="9072" w:type="dxa"/>
            <w:gridSpan w:val="8"/>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DD5131E" w14:textId="77777777" w:rsidR="009219A0" w:rsidRDefault="00000000">
            <w:pPr>
              <w:widowControl/>
              <w:adjustRightInd/>
              <w:snapToGrid/>
              <w:spacing w:line="240" w:lineRule="auto"/>
              <w:ind w:firstLineChars="0" w:firstLine="0"/>
              <w:jc w:val="left"/>
              <w:rPr>
                <w:rFonts w:ascii="宋体" w:hAnsi="宋体" w:cs="宋体" w:hint="eastAsia"/>
                <w:b/>
                <w:bCs/>
                <w:color w:val="333333"/>
                <w:kern w:val="0"/>
                <w:sz w:val="21"/>
                <w:szCs w:val="21"/>
              </w:rPr>
            </w:pPr>
            <w:r>
              <w:rPr>
                <w:rFonts w:ascii="宋体" w:hAnsi="宋体" w:hint="eastAsia"/>
                <w:b/>
                <w:sz w:val="21"/>
                <w:szCs w:val="21"/>
              </w:rPr>
              <w:t>一、淘汰落后的工艺技术</w:t>
            </w:r>
          </w:p>
        </w:tc>
      </w:tr>
      <w:tr w:rsidR="009219A0" w14:paraId="3C6739FF" w14:textId="77777777">
        <w:trPr>
          <w:trHeight w:val="810"/>
          <w:tblHead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D20B8AA" w14:textId="77777777" w:rsidR="009219A0" w:rsidRDefault="00000000">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1</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B5928A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采用氨冷冻盐水的氯气液化工艺</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67A434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氨漏入盐水中形成氨盐，再漏入液氯中，形成三氯化氮，易发生爆炸。</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B749B44"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限制</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37565A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两年内改造完毕</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9CAA64A"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环保型冷冻剂</w:t>
            </w:r>
          </w:p>
        </w:tc>
        <w:tc>
          <w:tcPr>
            <w:tcW w:w="190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E5A5C3E"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《安全生产法》第三十五条</w:t>
            </w:r>
          </w:p>
        </w:tc>
        <w:tc>
          <w:tcPr>
            <w:tcW w:w="59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B919E01"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0BFA9B52" w14:textId="77777777">
        <w:trPr>
          <w:trHeight w:val="850"/>
          <w:tblHead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F28B6DD" w14:textId="77777777" w:rsidR="009219A0" w:rsidRDefault="00000000">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2</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7FC2436"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用火直接加热的涂料用树脂生产工艺</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F0602FB"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安全风险大。</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4AD4F73"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7CD9059"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 </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4276831"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 </w:t>
            </w:r>
          </w:p>
        </w:tc>
        <w:tc>
          <w:tcPr>
            <w:tcW w:w="190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6D5130B"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列入国家发展改革委《产业结构调整指导目录（2019年本）》“淘汰类”</w:t>
            </w:r>
          </w:p>
        </w:tc>
        <w:tc>
          <w:tcPr>
            <w:tcW w:w="59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7484E8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5F93F38F" w14:textId="77777777">
        <w:trPr>
          <w:trHeight w:val="850"/>
          <w:tblHead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8254453" w14:textId="77777777" w:rsidR="009219A0" w:rsidRDefault="00000000">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3</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8BAEC16"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常压固定床间歇煤气化工艺</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5FFC9DA"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自动化程度相对较低，人工加煤、下灰时易发生火灾、爆炸、灼烫等事故。</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0EFA36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限制</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45DC140"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新、扩建项目禁止采用</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BCB8BB2"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新型煤气化技术</w:t>
            </w:r>
          </w:p>
        </w:tc>
        <w:tc>
          <w:tcPr>
            <w:tcW w:w="190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ABADE2B"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《安全生产法》第三十五条</w:t>
            </w:r>
          </w:p>
        </w:tc>
        <w:tc>
          <w:tcPr>
            <w:tcW w:w="59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DE9DB6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582E6EA2" w14:textId="77777777">
        <w:trPr>
          <w:trHeight w:val="850"/>
          <w:tblHead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9F3A4AB" w14:textId="77777777" w:rsidR="009219A0" w:rsidRDefault="00000000">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4</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301074B"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常压中和法硝酸铵生产工艺</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981938C"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常压反应釜内物料量大，反应速度慢且不均匀，尾气逸出量大，安全风险大。</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B0650C0"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C54CF5C"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三聚氰胺尾气综合利用项目除外</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CA3CEC5"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加压中和法或管式反应器法硝酸铵生产工艺</w:t>
            </w:r>
          </w:p>
        </w:tc>
        <w:tc>
          <w:tcPr>
            <w:tcW w:w="190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34026F2"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《安全生产法》第三十五条</w:t>
            </w:r>
          </w:p>
        </w:tc>
        <w:tc>
          <w:tcPr>
            <w:tcW w:w="59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F22E169"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0EFA6264" w14:textId="77777777">
        <w:trPr>
          <w:trHeight w:val="430"/>
          <w:tblHeader/>
        </w:trPr>
        <w:tc>
          <w:tcPr>
            <w:tcW w:w="9072" w:type="dxa"/>
            <w:gridSpan w:val="8"/>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8570F80" w14:textId="77777777" w:rsidR="009219A0" w:rsidRDefault="00000000">
            <w:pPr>
              <w:widowControl/>
              <w:adjustRightInd/>
              <w:snapToGrid/>
              <w:spacing w:line="240" w:lineRule="auto"/>
              <w:ind w:firstLineChars="0" w:firstLine="0"/>
              <w:jc w:val="left"/>
              <w:rPr>
                <w:rFonts w:ascii="宋体" w:hAnsi="宋体" w:hint="eastAsia"/>
                <w:b/>
                <w:sz w:val="21"/>
                <w:szCs w:val="21"/>
              </w:rPr>
            </w:pPr>
            <w:r>
              <w:rPr>
                <w:rFonts w:ascii="宋体" w:hAnsi="宋体" w:hint="eastAsia"/>
                <w:b/>
                <w:sz w:val="21"/>
                <w:szCs w:val="21"/>
              </w:rPr>
              <w:t>二、淘汰落后的设备</w:t>
            </w:r>
          </w:p>
        </w:tc>
      </w:tr>
      <w:tr w:rsidR="009219A0" w14:paraId="3FBF1BB7" w14:textId="77777777">
        <w:trPr>
          <w:trHeight w:val="664"/>
          <w:tblHead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69D5558" w14:textId="77777777" w:rsidR="009219A0" w:rsidRDefault="00000000">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1</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CDFE197"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敞开式离心机</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3DE48C7"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缺乏有效密封，工作过程中物料及</w:t>
            </w:r>
            <w:proofErr w:type="gramStart"/>
            <w:r>
              <w:rPr>
                <w:rFonts w:ascii="宋体" w:hAnsi="宋体" w:hint="eastAsia"/>
                <w:bCs/>
                <w:sz w:val="21"/>
                <w:szCs w:val="21"/>
              </w:rPr>
              <w:t>蒸气</w:t>
            </w:r>
            <w:proofErr w:type="gramEnd"/>
            <w:r>
              <w:rPr>
                <w:rFonts w:ascii="宋体" w:hAnsi="宋体" w:hint="eastAsia"/>
                <w:bCs/>
                <w:sz w:val="21"/>
                <w:szCs w:val="21"/>
              </w:rPr>
              <w:t>逸出带来的安全风险高。</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19ADBDA"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限制</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CF100B3"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涉及易燃、有毒物料禁用</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4B4D04E"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密闭式离心机</w:t>
            </w:r>
          </w:p>
        </w:tc>
        <w:tc>
          <w:tcPr>
            <w:tcW w:w="190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7A83526"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《安全生产法》第三十五条</w:t>
            </w:r>
          </w:p>
        </w:tc>
        <w:tc>
          <w:tcPr>
            <w:tcW w:w="59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B0BD389"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33E0A1AD" w14:textId="77777777">
        <w:trPr>
          <w:trHeight w:val="850"/>
          <w:tblHead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1971985" w14:textId="77777777" w:rsidR="009219A0" w:rsidRDefault="00000000">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lastRenderedPageBreak/>
              <w:t>2</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CBAB538"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多节钟罩的氯乙烯气柜</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1C6FE22"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气柜导轨容易发生卡涩，使物料泄漏。</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A10418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限制</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CAFD14E"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新、扩建项目禁止，现有多节气</w:t>
            </w:r>
            <w:proofErr w:type="gramStart"/>
            <w:r>
              <w:rPr>
                <w:rFonts w:ascii="宋体" w:hAnsi="宋体" w:hint="eastAsia"/>
                <w:bCs/>
                <w:sz w:val="21"/>
                <w:szCs w:val="21"/>
              </w:rPr>
              <w:t>柜按照单节气柜改造</w:t>
            </w:r>
            <w:proofErr w:type="gramEnd"/>
            <w:r>
              <w:rPr>
                <w:rFonts w:ascii="宋体" w:hAnsi="宋体" w:hint="eastAsia"/>
                <w:bCs/>
                <w:sz w:val="21"/>
                <w:szCs w:val="21"/>
              </w:rPr>
              <w:t>运行</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FFD8CAF" w14:textId="77777777" w:rsidR="009219A0" w:rsidRDefault="00000000">
            <w:pPr>
              <w:widowControl/>
              <w:adjustRightInd/>
              <w:snapToGrid/>
              <w:spacing w:line="240" w:lineRule="auto"/>
              <w:ind w:firstLineChars="0" w:firstLine="0"/>
              <w:jc w:val="left"/>
              <w:rPr>
                <w:rFonts w:ascii="宋体" w:hAnsi="宋体" w:hint="eastAsia"/>
                <w:bCs/>
                <w:sz w:val="21"/>
                <w:szCs w:val="21"/>
              </w:rPr>
            </w:pPr>
            <w:proofErr w:type="gramStart"/>
            <w:r>
              <w:rPr>
                <w:rFonts w:ascii="宋体" w:hAnsi="宋体" w:hint="eastAsia"/>
                <w:bCs/>
                <w:sz w:val="21"/>
                <w:szCs w:val="21"/>
              </w:rPr>
              <w:t>单节钟罩</w:t>
            </w:r>
            <w:proofErr w:type="gramEnd"/>
            <w:r>
              <w:rPr>
                <w:rFonts w:ascii="宋体" w:hAnsi="宋体" w:hint="eastAsia"/>
                <w:bCs/>
                <w:sz w:val="21"/>
                <w:szCs w:val="21"/>
              </w:rPr>
              <w:t>气柜</w:t>
            </w:r>
          </w:p>
        </w:tc>
        <w:tc>
          <w:tcPr>
            <w:tcW w:w="190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D0AC5E8"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《安全生产法》第三十五条</w:t>
            </w:r>
          </w:p>
        </w:tc>
        <w:tc>
          <w:tcPr>
            <w:tcW w:w="59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1570ED3"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5774F792" w14:textId="77777777">
        <w:trPr>
          <w:trHeight w:val="431"/>
          <w:tblHead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BA7286A" w14:textId="77777777" w:rsidR="009219A0" w:rsidRDefault="00000000">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3</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6C637A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煤制甲醇装置气体净化工序三元换热器</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D5311DC"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在此环境下，易发生腐蚀造成泄漏。</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6E1043B"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16C2713"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 </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D23BCF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常规列管换热器、板式换热器等</w:t>
            </w:r>
          </w:p>
        </w:tc>
        <w:tc>
          <w:tcPr>
            <w:tcW w:w="190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F166C36"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《安全生产法》第三十五条</w:t>
            </w:r>
          </w:p>
        </w:tc>
        <w:tc>
          <w:tcPr>
            <w:tcW w:w="59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A422AE8"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06FA6F87" w14:textId="77777777">
        <w:trPr>
          <w:trHeight w:val="850"/>
          <w:tblHead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D4A8E74" w14:textId="77777777" w:rsidR="009219A0" w:rsidRDefault="00000000">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4</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047DFF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未设置密闭及自动吸收系统的液氯储存仓库</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068E3A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安全风险高，易发生中毒事故。</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2F31394"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限制</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242E34A"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一年内改造完毕</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B167582"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仓库密闭，并设置与报警</w:t>
            </w:r>
            <w:proofErr w:type="gramStart"/>
            <w:r>
              <w:rPr>
                <w:rFonts w:ascii="宋体" w:hAnsi="宋体" w:hint="eastAsia"/>
                <w:bCs/>
                <w:sz w:val="21"/>
                <w:szCs w:val="21"/>
              </w:rPr>
              <w:t>联锁</w:t>
            </w:r>
            <w:proofErr w:type="gramEnd"/>
            <w:r>
              <w:rPr>
                <w:rFonts w:ascii="宋体" w:hAnsi="宋体" w:hint="eastAsia"/>
                <w:bCs/>
                <w:sz w:val="21"/>
                <w:szCs w:val="21"/>
              </w:rPr>
              <w:t>的自动吸收装置</w:t>
            </w:r>
          </w:p>
        </w:tc>
        <w:tc>
          <w:tcPr>
            <w:tcW w:w="190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7A6DE15"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《危险化学品企业安全隐患排查治理导则》</w:t>
            </w:r>
          </w:p>
        </w:tc>
        <w:tc>
          <w:tcPr>
            <w:tcW w:w="59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7A2AE03"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3A14878A" w14:textId="77777777">
        <w:trPr>
          <w:trHeight w:val="510"/>
          <w:tblHead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09537A1" w14:textId="77777777" w:rsidR="009219A0" w:rsidRDefault="00000000">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5</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783EE10"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采用明火高温加热方式生产石油制品的</w:t>
            </w:r>
            <w:proofErr w:type="gramStart"/>
            <w:r>
              <w:rPr>
                <w:rFonts w:ascii="宋体" w:hAnsi="宋体" w:hint="eastAsia"/>
                <w:bCs/>
                <w:sz w:val="21"/>
                <w:szCs w:val="21"/>
              </w:rPr>
              <w:t>釜</w:t>
            </w:r>
            <w:proofErr w:type="gramEnd"/>
            <w:r>
              <w:rPr>
                <w:rFonts w:ascii="宋体" w:hAnsi="宋体" w:hint="eastAsia"/>
                <w:bCs/>
                <w:sz w:val="21"/>
                <w:szCs w:val="21"/>
              </w:rPr>
              <w:t>式蒸馏装置</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B5095BB"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安全风险高，易发生火灾爆炸事故。</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D8D1070"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7BC4292"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 </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C52C97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常减压蒸馏塔</w:t>
            </w:r>
          </w:p>
        </w:tc>
        <w:tc>
          <w:tcPr>
            <w:tcW w:w="190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F0869FE"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列入国家发展改革委《产业结构调整指导目录（2019年本）》“淘汰类”</w:t>
            </w:r>
          </w:p>
        </w:tc>
        <w:tc>
          <w:tcPr>
            <w:tcW w:w="59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0D72E35"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78A64E47" w14:textId="77777777">
        <w:trPr>
          <w:trHeight w:val="850"/>
          <w:tblHead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40A07C45" w14:textId="77777777" w:rsidR="009219A0" w:rsidRDefault="00000000">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6</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7CC3350"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开放式（又称敞开式）、内燃式（又称半密闭式或半开放式）电石炉</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FD97282"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安全风险高，易发生火灾、爆炸、灼烫事故。</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40AB506"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9CF922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 </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B27B0E0"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密闭式电石炉</w:t>
            </w:r>
          </w:p>
        </w:tc>
        <w:tc>
          <w:tcPr>
            <w:tcW w:w="190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CB943C4"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电石行业产业政策</w:t>
            </w:r>
          </w:p>
        </w:tc>
        <w:tc>
          <w:tcPr>
            <w:tcW w:w="59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A696722"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18C367BD" w14:textId="77777777">
        <w:trPr>
          <w:trHeight w:val="850"/>
          <w:tblHead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F15EC36" w14:textId="77777777" w:rsidR="009219A0" w:rsidRDefault="00000000">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7</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713952E"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无火焰监测和熄火保护系统的燃气加热炉、导热油炉</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54EDD14"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燃气加热炉、导热油炉缺乏火焰监测和熄火保护系统的，容易导致炉膛爆炸。</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D841A2A"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限制</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FEC8530"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一年内改造完毕，科研实验用炉不受限制</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6FBE6AA9"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带有火焰监测和熄火保护系统的燃气加热炉、导热油炉</w:t>
            </w:r>
          </w:p>
        </w:tc>
        <w:tc>
          <w:tcPr>
            <w:tcW w:w="190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770EC8A2"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《安全生产法》第三十五条</w:t>
            </w:r>
          </w:p>
        </w:tc>
        <w:tc>
          <w:tcPr>
            <w:tcW w:w="59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D33D6C8"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0C09C811" w14:textId="77777777">
        <w:trPr>
          <w:trHeight w:val="850"/>
          <w:tblHead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B6F702A" w14:textId="77777777" w:rsidR="009219A0" w:rsidRDefault="00000000">
            <w:pPr>
              <w:widowControl/>
              <w:spacing w:line="240" w:lineRule="auto"/>
              <w:ind w:firstLineChars="0" w:firstLine="0"/>
              <w:jc w:val="center"/>
              <w:rPr>
                <w:rFonts w:ascii="宋体" w:hAnsi="宋体" w:cs="宋体" w:hint="eastAsia"/>
                <w:color w:val="333333"/>
                <w:kern w:val="0"/>
                <w:sz w:val="21"/>
                <w:szCs w:val="21"/>
              </w:rPr>
            </w:pPr>
            <w:r>
              <w:rPr>
                <w:rFonts w:ascii="宋体" w:hAnsi="宋体" w:cs="宋体" w:hint="eastAsia"/>
                <w:color w:val="333333"/>
                <w:kern w:val="0"/>
                <w:sz w:val="21"/>
                <w:szCs w:val="21"/>
              </w:rPr>
              <w:t>8</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1D2EBF12"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液化烃、液氯、液氨管道用软管</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564D7C7"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缺乏检测要求，安全可靠性低。</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28B6B6A6"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0489D17B"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码头使用的金属软管和电子级产品使用的软管除外</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363600A0"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金属</w:t>
            </w:r>
            <w:proofErr w:type="gramStart"/>
            <w:r>
              <w:rPr>
                <w:rFonts w:ascii="宋体" w:hAnsi="宋体" w:hint="eastAsia"/>
                <w:bCs/>
                <w:sz w:val="21"/>
                <w:szCs w:val="21"/>
              </w:rPr>
              <w:t>制压力</w:t>
            </w:r>
            <w:proofErr w:type="gramEnd"/>
            <w:r>
              <w:rPr>
                <w:rFonts w:ascii="宋体" w:hAnsi="宋体" w:hint="eastAsia"/>
                <w:bCs/>
                <w:sz w:val="21"/>
                <w:szCs w:val="21"/>
              </w:rPr>
              <w:t>管道或万向充装系统</w:t>
            </w:r>
          </w:p>
        </w:tc>
        <w:tc>
          <w:tcPr>
            <w:tcW w:w="190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0C2C2A8"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《石油化工企业设计防火规范》（GB 50160-2008）（2018版）</w:t>
            </w:r>
          </w:p>
        </w:tc>
        <w:tc>
          <w:tcPr>
            <w:tcW w:w="59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14:paraId="5AB27A46"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bl>
    <w:p w14:paraId="6E4CF895" w14:textId="77777777" w:rsidR="009219A0" w:rsidRDefault="009219A0">
      <w:pPr>
        <w:pStyle w:val="Default1"/>
        <w:jc w:val="center"/>
        <w:rPr>
          <w:rFonts w:ascii="宋体" w:hAnsi="宋体"/>
          <w:sz w:val="28"/>
          <w:szCs w:val="28"/>
        </w:rPr>
      </w:pPr>
    </w:p>
    <w:p w14:paraId="19E9661D" w14:textId="77777777" w:rsidR="009219A0" w:rsidRDefault="00000000">
      <w:pPr>
        <w:pStyle w:val="Default1"/>
        <w:jc w:val="center"/>
        <w:rPr>
          <w:rFonts w:ascii="宋体" w:hAnsi="宋体"/>
          <w:sz w:val="28"/>
          <w:szCs w:val="28"/>
        </w:rPr>
      </w:pPr>
      <w:r>
        <w:rPr>
          <w:rFonts w:ascii="宋体" w:hAnsi="宋体"/>
          <w:sz w:val="28"/>
          <w:szCs w:val="28"/>
        </w:rPr>
        <w:t>表2.9-2 淘汰落后危险化学品安全生产工艺技术设备目录（第二批）辨识</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1"/>
        <w:gridCol w:w="1268"/>
        <w:gridCol w:w="3280"/>
        <w:gridCol w:w="713"/>
        <w:gridCol w:w="1397"/>
        <w:gridCol w:w="1159"/>
        <w:gridCol w:w="744"/>
      </w:tblGrid>
      <w:tr w:rsidR="009219A0" w14:paraId="3BAE1CBD" w14:textId="77777777">
        <w:trPr>
          <w:jc w:val="center"/>
        </w:trPr>
        <w:tc>
          <w:tcPr>
            <w:tcW w:w="281" w:type="pct"/>
            <w:tcMar>
              <w:left w:w="108" w:type="dxa"/>
              <w:right w:w="108" w:type="dxa"/>
            </w:tcMar>
            <w:vAlign w:val="center"/>
          </w:tcPr>
          <w:p w14:paraId="29FF3549"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序号</w:t>
            </w:r>
          </w:p>
        </w:tc>
        <w:tc>
          <w:tcPr>
            <w:tcW w:w="698" w:type="pct"/>
            <w:tcMar>
              <w:left w:w="108" w:type="dxa"/>
              <w:right w:w="108" w:type="dxa"/>
            </w:tcMar>
            <w:vAlign w:val="center"/>
          </w:tcPr>
          <w:p w14:paraId="3EAC07B0"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淘汰落后工艺技术设备名称</w:t>
            </w:r>
          </w:p>
        </w:tc>
        <w:tc>
          <w:tcPr>
            <w:tcW w:w="1807" w:type="pct"/>
            <w:tcMar>
              <w:left w:w="108" w:type="dxa"/>
              <w:right w:w="108" w:type="dxa"/>
            </w:tcMar>
            <w:vAlign w:val="center"/>
          </w:tcPr>
          <w:p w14:paraId="68AFC06E"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淘汰原因</w:t>
            </w:r>
          </w:p>
        </w:tc>
        <w:tc>
          <w:tcPr>
            <w:tcW w:w="393" w:type="pct"/>
            <w:tcMar>
              <w:left w:w="108" w:type="dxa"/>
              <w:right w:w="108" w:type="dxa"/>
            </w:tcMar>
            <w:vAlign w:val="center"/>
          </w:tcPr>
          <w:p w14:paraId="39761F77"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淘汰类型</w:t>
            </w:r>
          </w:p>
        </w:tc>
        <w:tc>
          <w:tcPr>
            <w:tcW w:w="769" w:type="pct"/>
            <w:tcMar>
              <w:left w:w="108" w:type="dxa"/>
              <w:right w:w="108" w:type="dxa"/>
            </w:tcMar>
            <w:vAlign w:val="center"/>
          </w:tcPr>
          <w:p w14:paraId="03A1FA77"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限制范围</w:t>
            </w:r>
          </w:p>
        </w:tc>
        <w:tc>
          <w:tcPr>
            <w:tcW w:w="638" w:type="pct"/>
            <w:tcMar>
              <w:left w:w="108" w:type="dxa"/>
              <w:right w:w="108" w:type="dxa"/>
            </w:tcMar>
            <w:vAlign w:val="center"/>
          </w:tcPr>
          <w:p w14:paraId="78125FB9"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依据</w:t>
            </w:r>
          </w:p>
        </w:tc>
        <w:tc>
          <w:tcPr>
            <w:tcW w:w="410" w:type="pct"/>
            <w:tcMar>
              <w:left w:w="108" w:type="dxa"/>
              <w:right w:w="108" w:type="dxa"/>
            </w:tcMar>
            <w:vAlign w:val="center"/>
          </w:tcPr>
          <w:p w14:paraId="73EF3AC2"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检查内容</w:t>
            </w:r>
          </w:p>
        </w:tc>
      </w:tr>
      <w:tr w:rsidR="009219A0" w14:paraId="313B4943" w14:textId="77777777">
        <w:trPr>
          <w:jc w:val="center"/>
        </w:trPr>
        <w:tc>
          <w:tcPr>
            <w:tcW w:w="281" w:type="pct"/>
            <w:tcMar>
              <w:left w:w="108" w:type="dxa"/>
              <w:right w:w="108" w:type="dxa"/>
            </w:tcMar>
            <w:vAlign w:val="center"/>
          </w:tcPr>
          <w:p w14:paraId="219146AB" w14:textId="77777777" w:rsidR="009219A0" w:rsidRDefault="00000000">
            <w:pPr>
              <w:widowControl/>
              <w:adjustRightInd/>
              <w:snapToGrid/>
              <w:spacing w:line="240" w:lineRule="auto"/>
              <w:ind w:firstLineChars="0" w:firstLine="0"/>
              <w:jc w:val="center"/>
              <w:rPr>
                <w:rFonts w:ascii="宋体" w:hAnsi="宋体" w:cs="宋体" w:hint="eastAsia"/>
                <w:sz w:val="21"/>
                <w:szCs w:val="21"/>
              </w:rPr>
            </w:pPr>
            <w:r>
              <w:rPr>
                <w:rFonts w:ascii="宋体" w:hAnsi="宋体" w:cs="宋体" w:hint="eastAsia"/>
                <w:color w:val="444444"/>
                <w:kern w:val="0"/>
                <w:sz w:val="21"/>
                <w:szCs w:val="21"/>
                <w:lang w:bidi="ar"/>
              </w:rPr>
              <w:t>1</w:t>
            </w:r>
          </w:p>
        </w:tc>
        <w:tc>
          <w:tcPr>
            <w:tcW w:w="698" w:type="pct"/>
            <w:tcMar>
              <w:left w:w="108" w:type="dxa"/>
              <w:right w:w="108" w:type="dxa"/>
            </w:tcMar>
            <w:vAlign w:val="center"/>
          </w:tcPr>
          <w:p w14:paraId="5D50D6F3"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酸碱交替的固定床过氧化氢生产工艺</w:t>
            </w:r>
          </w:p>
        </w:tc>
        <w:tc>
          <w:tcPr>
            <w:tcW w:w="1807" w:type="pct"/>
            <w:tcMar>
              <w:left w:w="108" w:type="dxa"/>
              <w:right w:w="108" w:type="dxa"/>
            </w:tcMar>
            <w:vAlign w:val="center"/>
          </w:tcPr>
          <w:p w14:paraId="01531766"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过氧化氢溶液或含有过氧化氢的工作液误入碱性环境中，或者碱性物料窜入含有过氧化氢的环境中，均会导致过氧化氢急剧分解甚至爆炸，安全风险高。</w:t>
            </w:r>
          </w:p>
        </w:tc>
        <w:tc>
          <w:tcPr>
            <w:tcW w:w="393" w:type="pct"/>
            <w:tcMar>
              <w:left w:w="108" w:type="dxa"/>
              <w:right w:w="108" w:type="dxa"/>
            </w:tcMar>
            <w:vAlign w:val="center"/>
          </w:tcPr>
          <w:p w14:paraId="6BB565D7"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禁止</w:t>
            </w:r>
          </w:p>
        </w:tc>
        <w:tc>
          <w:tcPr>
            <w:tcW w:w="769" w:type="pct"/>
            <w:tcMar>
              <w:left w:w="108" w:type="dxa"/>
              <w:right w:w="108" w:type="dxa"/>
            </w:tcMar>
            <w:vAlign w:val="center"/>
          </w:tcPr>
          <w:p w14:paraId="2910D561"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新（扩）建项目禁用，现有项目五年内改造完毕</w:t>
            </w:r>
          </w:p>
        </w:tc>
        <w:tc>
          <w:tcPr>
            <w:tcW w:w="638" w:type="pct"/>
            <w:tcMar>
              <w:left w:w="108" w:type="dxa"/>
              <w:right w:w="108" w:type="dxa"/>
            </w:tcMar>
            <w:vAlign w:val="center"/>
          </w:tcPr>
          <w:p w14:paraId="05D6BB64"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安全生产法第三十八条</w:t>
            </w:r>
          </w:p>
        </w:tc>
        <w:tc>
          <w:tcPr>
            <w:tcW w:w="410" w:type="pct"/>
            <w:tcMar>
              <w:left w:w="108" w:type="dxa"/>
              <w:right w:w="108" w:type="dxa"/>
            </w:tcMar>
            <w:vAlign w:val="center"/>
          </w:tcPr>
          <w:p w14:paraId="19DF93F1"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12745E55" w14:textId="77777777">
        <w:trPr>
          <w:jc w:val="center"/>
        </w:trPr>
        <w:tc>
          <w:tcPr>
            <w:tcW w:w="281" w:type="pct"/>
            <w:tcMar>
              <w:left w:w="108" w:type="dxa"/>
              <w:right w:w="108" w:type="dxa"/>
            </w:tcMar>
            <w:vAlign w:val="center"/>
          </w:tcPr>
          <w:p w14:paraId="4A765878" w14:textId="77777777" w:rsidR="009219A0" w:rsidRDefault="00000000">
            <w:pPr>
              <w:widowControl/>
              <w:adjustRightInd/>
              <w:snapToGrid/>
              <w:spacing w:line="240" w:lineRule="auto"/>
              <w:ind w:firstLineChars="0" w:firstLine="0"/>
              <w:jc w:val="center"/>
              <w:rPr>
                <w:rFonts w:ascii="宋体" w:hAnsi="宋体" w:cs="宋体" w:hint="eastAsia"/>
                <w:sz w:val="21"/>
                <w:szCs w:val="21"/>
              </w:rPr>
            </w:pPr>
            <w:r>
              <w:rPr>
                <w:rFonts w:ascii="宋体" w:hAnsi="宋体" w:cs="宋体" w:hint="eastAsia"/>
                <w:color w:val="444444"/>
                <w:kern w:val="0"/>
                <w:sz w:val="21"/>
                <w:szCs w:val="21"/>
                <w:lang w:bidi="ar"/>
              </w:rPr>
              <w:t>2</w:t>
            </w:r>
          </w:p>
        </w:tc>
        <w:tc>
          <w:tcPr>
            <w:tcW w:w="698" w:type="pct"/>
            <w:tcMar>
              <w:left w:w="108" w:type="dxa"/>
              <w:right w:w="108" w:type="dxa"/>
            </w:tcMar>
            <w:vAlign w:val="center"/>
          </w:tcPr>
          <w:p w14:paraId="392CD839"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有机硅浆渣</w:t>
            </w:r>
            <w:proofErr w:type="gramStart"/>
            <w:r>
              <w:rPr>
                <w:rFonts w:ascii="宋体" w:hAnsi="宋体" w:hint="eastAsia"/>
                <w:bCs/>
                <w:sz w:val="21"/>
                <w:szCs w:val="21"/>
              </w:rPr>
              <w:t>人工扒渣卸料</w:t>
            </w:r>
            <w:proofErr w:type="gramEnd"/>
            <w:r>
              <w:rPr>
                <w:rFonts w:ascii="宋体" w:hAnsi="宋体" w:hint="eastAsia"/>
                <w:bCs/>
                <w:sz w:val="21"/>
                <w:szCs w:val="21"/>
              </w:rPr>
              <w:t>技术和敞开式浆渣水解技术</w:t>
            </w:r>
          </w:p>
        </w:tc>
        <w:tc>
          <w:tcPr>
            <w:tcW w:w="1807" w:type="pct"/>
            <w:tcMar>
              <w:left w:w="108" w:type="dxa"/>
              <w:right w:w="108" w:type="dxa"/>
            </w:tcMar>
            <w:vAlign w:val="center"/>
          </w:tcPr>
          <w:p w14:paraId="086FDA60"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人工</w:t>
            </w:r>
            <w:proofErr w:type="gramStart"/>
            <w:r>
              <w:rPr>
                <w:rFonts w:ascii="宋体" w:hAnsi="宋体" w:hint="eastAsia"/>
                <w:bCs/>
                <w:sz w:val="21"/>
                <w:szCs w:val="21"/>
              </w:rPr>
              <w:t>扒渣过程</w:t>
            </w:r>
            <w:proofErr w:type="gramEnd"/>
            <w:r>
              <w:rPr>
                <w:rFonts w:ascii="宋体" w:hAnsi="宋体" w:hint="eastAsia"/>
                <w:bCs/>
                <w:sz w:val="21"/>
                <w:szCs w:val="21"/>
              </w:rPr>
              <w:t>中，有机硅浆渣中的氯硅烷与空气中的水分发生反应生成腐蚀性盐酸酸雾，且</w:t>
            </w:r>
            <w:proofErr w:type="gramStart"/>
            <w:r>
              <w:rPr>
                <w:rFonts w:ascii="宋体" w:hAnsi="宋体" w:hint="eastAsia"/>
                <w:bCs/>
                <w:sz w:val="21"/>
                <w:szCs w:val="21"/>
              </w:rPr>
              <w:t>浆渣遇空气</w:t>
            </w:r>
            <w:proofErr w:type="gramEnd"/>
            <w:r>
              <w:rPr>
                <w:rFonts w:ascii="宋体" w:hAnsi="宋体" w:hint="eastAsia"/>
                <w:bCs/>
                <w:sz w:val="21"/>
                <w:szCs w:val="21"/>
              </w:rPr>
              <w:t>可能发生自燃。敞开式浆渣水解工艺中，</w:t>
            </w:r>
            <w:proofErr w:type="gramStart"/>
            <w:r>
              <w:rPr>
                <w:rFonts w:ascii="宋体" w:hAnsi="宋体" w:hint="eastAsia"/>
                <w:bCs/>
                <w:sz w:val="21"/>
                <w:szCs w:val="21"/>
              </w:rPr>
              <w:t>浆渣与碱性</w:t>
            </w:r>
            <w:proofErr w:type="gramEnd"/>
            <w:r>
              <w:rPr>
                <w:rFonts w:ascii="宋体" w:hAnsi="宋体" w:hint="eastAsia"/>
                <w:bCs/>
                <w:sz w:val="21"/>
                <w:szCs w:val="21"/>
              </w:rPr>
              <w:t>水发生反应会释放出氯化氢气体和氢气，氯化氢</w:t>
            </w:r>
            <w:r>
              <w:rPr>
                <w:rFonts w:ascii="宋体" w:hAnsi="宋体" w:hint="eastAsia"/>
                <w:bCs/>
                <w:sz w:val="21"/>
                <w:szCs w:val="21"/>
              </w:rPr>
              <w:lastRenderedPageBreak/>
              <w:t>气体在空气中会形成腐蚀性盐酸酸雾，氢气易积聚引发火灾爆炸事故，安全风险高。</w:t>
            </w:r>
          </w:p>
        </w:tc>
        <w:tc>
          <w:tcPr>
            <w:tcW w:w="393" w:type="pct"/>
            <w:tcMar>
              <w:left w:w="108" w:type="dxa"/>
              <w:right w:w="108" w:type="dxa"/>
            </w:tcMar>
            <w:vAlign w:val="center"/>
          </w:tcPr>
          <w:p w14:paraId="46195C48"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lastRenderedPageBreak/>
              <w:t>禁止</w:t>
            </w:r>
          </w:p>
        </w:tc>
        <w:tc>
          <w:tcPr>
            <w:tcW w:w="769" w:type="pct"/>
            <w:tcMar>
              <w:left w:w="108" w:type="dxa"/>
              <w:right w:w="108" w:type="dxa"/>
            </w:tcMar>
            <w:vAlign w:val="center"/>
          </w:tcPr>
          <w:p w14:paraId="55F613F7"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新（扩）建项目禁用，现有项目二年内改造完毕</w:t>
            </w:r>
          </w:p>
        </w:tc>
        <w:tc>
          <w:tcPr>
            <w:tcW w:w="638" w:type="pct"/>
            <w:tcMar>
              <w:left w:w="108" w:type="dxa"/>
              <w:right w:w="108" w:type="dxa"/>
            </w:tcMar>
            <w:vAlign w:val="center"/>
          </w:tcPr>
          <w:p w14:paraId="5C68D474"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安全生产法第三十八条</w:t>
            </w:r>
          </w:p>
        </w:tc>
        <w:tc>
          <w:tcPr>
            <w:tcW w:w="410" w:type="pct"/>
            <w:tcMar>
              <w:left w:w="108" w:type="dxa"/>
              <w:right w:w="108" w:type="dxa"/>
            </w:tcMar>
            <w:vAlign w:val="center"/>
          </w:tcPr>
          <w:p w14:paraId="3CAB4B4B"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44B48639" w14:textId="77777777">
        <w:trPr>
          <w:trHeight w:val="965"/>
          <w:jc w:val="center"/>
        </w:trPr>
        <w:tc>
          <w:tcPr>
            <w:tcW w:w="281" w:type="pct"/>
            <w:tcMar>
              <w:left w:w="108" w:type="dxa"/>
              <w:right w:w="108" w:type="dxa"/>
            </w:tcMar>
            <w:vAlign w:val="center"/>
          </w:tcPr>
          <w:p w14:paraId="15538D71" w14:textId="77777777" w:rsidR="009219A0" w:rsidRDefault="00000000">
            <w:pPr>
              <w:widowControl/>
              <w:adjustRightInd/>
              <w:snapToGrid/>
              <w:spacing w:line="240" w:lineRule="auto"/>
              <w:ind w:firstLineChars="0" w:firstLine="0"/>
              <w:jc w:val="center"/>
              <w:rPr>
                <w:rFonts w:ascii="宋体" w:hAnsi="宋体" w:cs="宋体" w:hint="eastAsia"/>
                <w:sz w:val="21"/>
                <w:szCs w:val="21"/>
              </w:rPr>
            </w:pPr>
            <w:r>
              <w:rPr>
                <w:rFonts w:ascii="宋体" w:hAnsi="宋体" w:cs="宋体" w:hint="eastAsia"/>
                <w:color w:val="444444"/>
                <w:kern w:val="0"/>
                <w:sz w:val="21"/>
                <w:szCs w:val="21"/>
                <w:lang w:bidi="ar"/>
              </w:rPr>
              <w:t>3</w:t>
            </w:r>
          </w:p>
        </w:tc>
        <w:tc>
          <w:tcPr>
            <w:tcW w:w="698" w:type="pct"/>
            <w:tcMar>
              <w:left w:w="108" w:type="dxa"/>
              <w:right w:w="108" w:type="dxa"/>
            </w:tcMar>
            <w:vAlign w:val="center"/>
          </w:tcPr>
          <w:p w14:paraId="4165E21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间歇碳化法碳酸锶、碳酸</w:t>
            </w:r>
            <w:proofErr w:type="gramStart"/>
            <w:r>
              <w:rPr>
                <w:rFonts w:ascii="宋体" w:hAnsi="宋体" w:hint="eastAsia"/>
                <w:bCs/>
                <w:sz w:val="21"/>
                <w:szCs w:val="21"/>
              </w:rPr>
              <w:t>钡</w:t>
            </w:r>
            <w:proofErr w:type="gramEnd"/>
            <w:r>
              <w:rPr>
                <w:rFonts w:ascii="宋体" w:hAnsi="宋体" w:hint="eastAsia"/>
                <w:bCs/>
                <w:sz w:val="21"/>
                <w:szCs w:val="21"/>
              </w:rPr>
              <w:t>生产工艺（使用硫化氢湿式气柜的）</w:t>
            </w:r>
          </w:p>
        </w:tc>
        <w:tc>
          <w:tcPr>
            <w:tcW w:w="1807" w:type="pct"/>
            <w:tcMar>
              <w:left w:w="108" w:type="dxa"/>
              <w:right w:w="108" w:type="dxa"/>
            </w:tcMar>
            <w:vAlign w:val="center"/>
          </w:tcPr>
          <w:p w14:paraId="7CA09055"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间歇碳化法碳酸锶、碳酸</w:t>
            </w:r>
            <w:proofErr w:type="gramStart"/>
            <w:r>
              <w:rPr>
                <w:rFonts w:ascii="宋体" w:hAnsi="宋体" w:hint="eastAsia"/>
                <w:bCs/>
                <w:sz w:val="21"/>
                <w:szCs w:val="21"/>
              </w:rPr>
              <w:t>钡</w:t>
            </w:r>
            <w:proofErr w:type="gramEnd"/>
            <w:r>
              <w:rPr>
                <w:rFonts w:ascii="宋体" w:hAnsi="宋体" w:hint="eastAsia"/>
                <w:bCs/>
                <w:sz w:val="21"/>
                <w:szCs w:val="21"/>
              </w:rPr>
              <w:t>生产工艺采用湿式气柜储存硫化氢，易造成气柜腐蚀、卡顿，因密封失效引发硫化氢泄漏中毒事故。</w:t>
            </w:r>
          </w:p>
        </w:tc>
        <w:tc>
          <w:tcPr>
            <w:tcW w:w="393" w:type="pct"/>
            <w:tcMar>
              <w:left w:w="108" w:type="dxa"/>
              <w:right w:w="108" w:type="dxa"/>
            </w:tcMar>
            <w:vAlign w:val="center"/>
          </w:tcPr>
          <w:p w14:paraId="36CDFB40"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禁止</w:t>
            </w:r>
          </w:p>
        </w:tc>
        <w:tc>
          <w:tcPr>
            <w:tcW w:w="769" w:type="pct"/>
            <w:tcMar>
              <w:left w:w="108" w:type="dxa"/>
              <w:right w:w="108" w:type="dxa"/>
            </w:tcMar>
            <w:vAlign w:val="center"/>
          </w:tcPr>
          <w:p w14:paraId="172C8F28"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新（扩）建项目禁用，现有碳酸</w:t>
            </w:r>
            <w:proofErr w:type="gramStart"/>
            <w:r>
              <w:rPr>
                <w:rFonts w:ascii="宋体" w:hAnsi="宋体" w:hint="eastAsia"/>
                <w:bCs/>
                <w:sz w:val="21"/>
                <w:szCs w:val="21"/>
              </w:rPr>
              <w:t>锶</w:t>
            </w:r>
            <w:proofErr w:type="gramEnd"/>
            <w:r>
              <w:rPr>
                <w:rFonts w:ascii="宋体" w:hAnsi="宋体" w:hint="eastAsia"/>
                <w:bCs/>
                <w:sz w:val="21"/>
                <w:szCs w:val="21"/>
              </w:rPr>
              <w:t>间歇碳化法生产工艺一年内改造完毕，现有碳酸</w:t>
            </w:r>
            <w:proofErr w:type="gramStart"/>
            <w:r>
              <w:rPr>
                <w:rFonts w:ascii="宋体" w:hAnsi="宋体" w:hint="eastAsia"/>
                <w:bCs/>
                <w:sz w:val="21"/>
                <w:szCs w:val="21"/>
              </w:rPr>
              <w:t>钡</w:t>
            </w:r>
            <w:proofErr w:type="gramEnd"/>
            <w:r>
              <w:rPr>
                <w:rFonts w:ascii="宋体" w:hAnsi="宋体" w:hint="eastAsia"/>
                <w:bCs/>
                <w:sz w:val="21"/>
                <w:szCs w:val="21"/>
              </w:rPr>
              <w:t>间歇碳化法生产工艺二年内改造完毕</w:t>
            </w:r>
          </w:p>
        </w:tc>
        <w:tc>
          <w:tcPr>
            <w:tcW w:w="638" w:type="pct"/>
            <w:tcMar>
              <w:left w:w="108" w:type="dxa"/>
              <w:right w:w="108" w:type="dxa"/>
            </w:tcMar>
            <w:vAlign w:val="center"/>
          </w:tcPr>
          <w:p w14:paraId="237CC142"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安全生产法第三十八条</w:t>
            </w:r>
          </w:p>
        </w:tc>
        <w:tc>
          <w:tcPr>
            <w:tcW w:w="410" w:type="pct"/>
            <w:tcMar>
              <w:left w:w="108" w:type="dxa"/>
              <w:right w:w="108" w:type="dxa"/>
            </w:tcMar>
            <w:vAlign w:val="center"/>
          </w:tcPr>
          <w:p w14:paraId="040EBEA6"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4B785BDD" w14:textId="77777777">
        <w:trPr>
          <w:trHeight w:val="1851"/>
          <w:jc w:val="center"/>
        </w:trPr>
        <w:tc>
          <w:tcPr>
            <w:tcW w:w="281" w:type="pct"/>
            <w:tcMar>
              <w:left w:w="108" w:type="dxa"/>
              <w:right w:w="108" w:type="dxa"/>
            </w:tcMar>
            <w:vAlign w:val="center"/>
          </w:tcPr>
          <w:p w14:paraId="5C8E2115" w14:textId="77777777" w:rsidR="009219A0" w:rsidRDefault="00000000">
            <w:pPr>
              <w:widowControl/>
              <w:adjustRightInd/>
              <w:snapToGrid/>
              <w:spacing w:line="240" w:lineRule="auto"/>
              <w:ind w:firstLineChars="0" w:firstLine="0"/>
              <w:jc w:val="center"/>
              <w:rPr>
                <w:rFonts w:ascii="宋体" w:hAnsi="宋体" w:cs="宋体" w:hint="eastAsia"/>
                <w:sz w:val="21"/>
                <w:szCs w:val="21"/>
              </w:rPr>
            </w:pPr>
            <w:r>
              <w:rPr>
                <w:rFonts w:ascii="宋体" w:hAnsi="宋体" w:cs="宋体" w:hint="eastAsia"/>
                <w:color w:val="444444"/>
                <w:kern w:val="0"/>
                <w:sz w:val="21"/>
                <w:szCs w:val="21"/>
                <w:lang w:bidi="ar"/>
              </w:rPr>
              <w:t>4</w:t>
            </w:r>
          </w:p>
        </w:tc>
        <w:tc>
          <w:tcPr>
            <w:tcW w:w="698" w:type="pct"/>
            <w:tcMar>
              <w:left w:w="108" w:type="dxa"/>
              <w:right w:w="108" w:type="dxa"/>
            </w:tcMar>
            <w:vAlign w:val="center"/>
          </w:tcPr>
          <w:p w14:paraId="5397FD71"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间歇或半间歇</w:t>
            </w:r>
            <w:proofErr w:type="gramStart"/>
            <w:r>
              <w:rPr>
                <w:rFonts w:ascii="宋体" w:hAnsi="宋体" w:hint="eastAsia"/>
                <w:bCs/>
                <w:sz w:val="21"/>
                <w:szCs w:val="21"/>
              </w:rPr>
              <w:t>釜</w:t>
            </w:r>
            <w:proofErr w:type="gramEnd"/>
            <w:r>
              <w:rPr>
                <w:rFonts w:ascii="宋体" w:hAnsi="宋体" w:hint="eastAsia"/>
                <w:bCs/>
                <w:sz w:val="21"/>
                <w:szCs w:val="21"/>
              </w:rPr>
              <w:t>式硝化工艺</w:t>
            </w:r>
          </w:p>
        </w:tc>
        <w:tc>
          <w:tcPr>
            <w:tcW w:w="1807" w:type="pct"/>
            <w:tcMar>
              <w:left w:w="108" w:type="dxa"/>
              <w:right w:w="108" w:type="dxa"/>
            </w:tcMar>
            <w:vAlign w:val="center"/>
          </w:tcPr>
          <w:p w14:paraId="08E2B797"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间歇和半间歇</w:t>
            </w:r>
            <w:proofErr w:type="gramStart"/>
            <w:r>
              <w:rPr>
                <w:rFonts w:ascii="宋体" w:hAnsi="宋体" w:hint="eastAsia"/>
                <w:bCs/>
                <w:sz w:val="21"/>
                <w:szCs w:val="21"/>
              </w:rPr>
              <w:t>釜</w:t>
            </w:r>
            <w:proofErr w:type="gramEnd"/>
            <w:r>
              <w:rPr>
                <w:rFonts w:ascii="宋体" w:hAnsi="宋体" w:hint="eastAsia"/>
                <w:bCs/>
                <w:sz w:val="21"/>
                <w:szCs w:val="21"/>
              </w:rPr>
              <w:t>式硝化生产工艺机械化自动化程度低，反应釜</w:t>
            </w:r>
            <w:proofErr w:type="gramStart"/>
            <w:r>
              <w:rPr>
                <w:rFonts w:ascii="宋体" w:hAnsi="宋体" w:hint="eastAsia"/>
                <w:bCs/>
                <w:sz w:val="21"/>
                <w:szCs w:val="21"/>
              </w:rPr>
              <w:t>内危险</w:t>
            </w:r>
            <w:proofErr w:type="gramEnd"/>
            <w:r>
              <w:rPr>
                <w:rFonts w:ascii="宋体" w:hAnsi="宋体" w:hint="eastAsia"/>
                <w:bCs/>
                <w:sz w:val="21"/>
                <w:szCs w:val="21"/>
              </w:rPr>
              <w:t>物料数量多，一旦反应失控发生火灾爆炸事故，易造成重大人员伤亡。</w:t>
            </w:r>
          </w:p>
        </w:tc>
        <w:tc>
          <w:tcPr>
            <w:tcW w:w="393" w:type="pct"/>
            <w:tcMar>
              <w:left w:w="108" w:type="dxa"/>
              <w:right w:w="108" w:type="dxa"/>
            </w:tcMar>
            <w:vAlign w:val="center"/>
          </w:tcPr>
          <w:p w14:paraId="7CA9BFAB"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限制</w:t>
            </w:r>
          </w:p>
        </w:tc>
        <w:tc>
          <w:tcPr>
            <w:tcW w:w="769" w:type="pct"/>
            <w:tcMar>
              <w:left w:w="108" w:type="dxa"/>
              <w:right w:w="108" w:type="dxa"/>
            </w:tcMar>
            <w:vAlign w:val="center"/>
          </w:tcPr>
          <w:p w14:paraId="172AFC95"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硝基苯等27种化学品（清单见表后注释）禁用，二年内改造完毕</w:t>
            </w:r>
          </w:p>
        </w:tc>
        <w:tc>
          <w:tcPr>
            <w:tcW w:w="638" w:type="pct"/>
            <w:tcMar>
              <w:left w:w="108" w:type="dxa"/>
              <w:right w:w="108" w:type="dxa"/>
            </w:tcMar>
            <w:vAlign w:val="center"/>
          </w:tcPr>
          <w:p w14:paraId="6728A489"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安全生产法第三十八条</w:t>
            </w:r>
          </w:p>
        </w:tc>
        <w:tc>
          <w:tcPr>
            <w:tcW w:w="410" w:type="pct"/>
            <w:tcMar>
              <w:left w:w="108" w:type="dxa"/>
              <w:right w:w="108" w:type="dxa"/>
            </w:tcMar>
            <w:vAlign w:val="center"/>
          </w:tcPr>
          <w:p w14:paraId="1D3D15C1"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3CC089CD" w14:textId="77777777">
        <w:trPr>
          <w:trHeight w:val="2184"/>
          <w:jc w:val="center"/>
        </w:trPr>
        <w:tc>
          <w:tcPr>
            <w:tcW w:w="281" w:type="pct"/>
            <w:tcMar>
              <w:left w:w="108" w:type="dxa"/>
              <w:right w:w="108" w:type="dxa"/>
            </w:tcMar>
            <w:vAlign w:val="center"/>
          </w:tcPr>
          <w:p w14:paraId="63690373" w14:textId="77777777" w:rsidR="009219A0" w:rsidRDefault="00000000">
            <w:pPr>
              <w:widowControl/>
              <w:adjustRightInd/>
              <w:snapToGrid/>
              <w:spacing w:line="240" w:lineRule="auto"/>
              <w:ind w:firstLineChars="0" w:firstLine="0"/>
              <w:jc w:val="center"/>
              <w:rPr>
                <w:rFonts w:ascii="宋体" w:hAnsi="宋体" w:cs="宋体" w:hint="eastAsia"/>
                <w:sz w:val="21"/>
                <w:szCs w:val="21"/>
              </w:rPr>
            </w:pPr>
            <w:r>
              <w:rPr>
                <w:rFonts w:ascii="宋体" w:hAnsi="宋体" w:cs="宋体" w:hint="eastAsia"/>
                <w:color w:val="444444"/>
                <w:kern w:val="0"/>
                <w:sz w:val="21"/>
                <w:szCs w:val="21"/>
                <w:lang w:bidi="ar"/>
              </w:rPr>
              <w:t>5</w:t>
            </w:r>
          </w:p>
        </w:tc>
        <w:tc>
          <w:tcPr>
            <w:tcW w:w="698" w:type="pct"/>
            <w:tcMar>
              <w:left w:w="108" w:type="dxa"/>
              <w:right w:w="108" w:type="dxa"/>
            </w:tcMar>
            <w:vAlign w:val="center"/>
          </w:tcPr>
          <w:p w14:paraId="4EB64EA2"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无冷却措施的内注</w:t>
            </w:r>
            <w:proofErr w:type="gramStart"/>
            <w:r>
              <w:rPr>
                <w:rFonts w:ascii="宋体" w:hAnsi="宋体" w:hint="eastAsia"/>
                <w:bCs/>
                <w:sz w:val="21"/>
                <w:szCs w:val="21"/>
              </w:rPr>
              <w:t>导热油式电加热</w:t>
            </w:r>
            <w:proofErr w:type="gramEnd"/>
            <w:r>
              <w:rPr>
                <w:rFonts w:ascii="宋体" w:hAnsi="宋体" w:hint="eastAsia"/>
                <w:bCs/>
                <w:sz w:val="21"/>
                <w:szCs w:val="21"/>
              </w:rPr>
              <w:t>反应釜（油浴反应釜、油浴锅）</w:t>
            </w:r>
          </w:p>
        </w:tc>
        <w:tc>
          <w:tcPr>
            <w:tcW w:w="1807" w:type="pct"/>
            <w:tcMar>
              <w:left w:w="108" w:type="dxa"/>
              <w:right w:w="108" w:type="dxa"/>
            </w:tcMar>
            <w:vAlign w:val="center"/>
          </w:tcPr>
          <w:p w14:paraId="42F3805B"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靠自然冷却降温无法满足紧急降温需求，一旦反应釜超温，易发生火灾爆炸事故。</w:t>
            </w:r>
          </w:p>
        </w:tc>
        <w:tc>
          <w:tcPr>
            <w:tcW w:w="393" w:type="pct"/>
            <w:tcMar>
              <w:left w:w="108" w:type="dxa"/>
              <w:right w:w="108" w:type="dxa"/>
            </w:tcMar>
            <w:vAlign w:val="center"/>
          </w:tcPr>
          <w:p w14:paraId="1290054B"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限制</w:t>
            </w:r>
          </w:p>
        </w:tc>
        <w:tc>
          <w:tcPr>
            <w:tcW w:w="769" w:type="pct"/>
            <w:tcMar>
              <w:left w:w="108" w:type="dxa"/>
              <w:right w:w="108" w:type="dxa"/>
            </w:tcMar>
            <w:vAlign w:val="center"/>
          </w:tcPr>
          <w:p w14:paraId="3A27C6BE"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涉及重点监管危险化工工艺的反应釜禁用，在役设备一年内更换完毕</w:t>
            </w:r>
          </w:p>
        </w:tc>
        <w:tc>
          <w:tcPr>
            <w:tcW w:w="638" w:type="pct"/>
            <w:tcMar>
              <w:left w:w="108" w:type="dxa"/>
              <w:right w:w="108" w:type="dxa"/>
            </w:tcMar>
            <w:vAlign w:val="center"/>
          </w:tcPr>
          <w:p w14:paraId="23003F37"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安全生产法第三十八条</w:t>
            </w:r>
          </w:p>
        </w:tc>
        <w:tc>
          <w:tcPr>
            <w:tcW w:w="410" w:type="pct"/>
            <w:tcMar>
              <w:left w:w="108" w:type="dxa"/>
              <w:right w:w="108" w:type="dxa"/>
            </w:tcMar>
            <w:vAlign w:val="center"/>
          </w:tcPr>
          <w:p w14:paraId="5B85F2CD"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186A568D" w14:textId="77777777">
        <w:trPr>
          <w:trHeight w:val="1366"/>
          <w:jc w:val="center"/>
        </w:trPr>
        <w:tc>
          <w:tcPr>
            <w:tcW w:w="281" w:type="pct"/>
            <w:tcMar>
              <w:left w:w="108" w:type="dxa"/>
              <w:right w:w="108" w:type="dxa"/>
            </w:tcMar>
            <w:vAlign w:val="center"/>
          </w:tcPr>
          <w:p w14:paraId="41734375" w14:textId="77777777" w:rsidR="009219A0" w:rsidRDefault="00000000">
            <w:pPr>
              <w:widowControl/>
              <w:adjustRightInd/>
              <w:snapToGrid/>
              <w:spacing w:line="240" w:lineRule="auto"/>
              <w:ind w:firstLineChars="0" w:firstLine="0"/>
              <w:jc w:val="center"/>
              <w:rPr>
                <w:rFonts w:ascii="宋体" w:hAnsi="宋体" w:cs="宋体" w:hint="eastAsia"/>
                <w:sz w:val="21"/>
                <w:szCs w:val="21"/>
              </w:rPr>
            </w:pPr>
            <w:r>
              <w:rPr>
                <w:rFonts w:ascii="宋体" w:hAnsi="宋体" w:cs="宋体" w:hint="eastAsia"/>
                <w:color w:val="444444"/>
                <w:kern w:val="0"/>
                <w:sz w:val="21"/>
                <w:szCs w:val="21"/>
                <w:lang w:bidi="ar"/>
              </w:rPr>
              <w:t>6</w:t>
            </w:r>
          </w:p>
        </w:tc>
        <w:tc>
          <w:tcPr>
            <w:tcW w:w="698" w:type="pct"/>
            <w:tcMar>
              <w:left w:w="108" w:type="dxa"/>
              <w:right w:w="108" w:type="dxa"/>
            </w:tcMar>
            <w:vAlign w:val="center"/>
          </w:tcPr>
          <w:p w14:paraId="7DEFAC01"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油库的内浮顶储罐采用浅盘式或敞口隔</w:t>
            </w:r>
            <w:proofErr w:type="gramStart"/>
            <w:r>
              <w:rPr>
                <w:rFonts w:ascii="宋体" w:hAnsi="宋体" w:hint="eastAsia"/>
                <w:bCs/>
                <w:sz w:val="21"/>
                <w:szCs w:val="21"/>
              </w:rPr>
              <w:t>舱式内</w:t>
            </w:r>
            <w:proofErr w:type="gramEnd"/>
            <w:r>
              <w:rPr>
                <w:rFonts w:ascii="宋体" w:hAnsi="宋体" w:hint="eastAsia"/>
                <w:bCs/>
                <w:sz w:val="21"/>
                <w:szCs w:val="21"/>
              </w:rPr>
              <w:t>浮顶</w:t>
            </w:r>
          </w:p>
        </w:tc>
        <w:tc>
          <w:tcPr>
            <w:tcW w:w="1807" w:type="pct"/>
            <w:tcMar>
              <w:left w:w="108" w:type="dxa"/>
              <w:right w:w="108" w:type="dxa"/>
            </w:tcMar>
            <w:vAlign w:val="center"/>
          </w:tcPr>
          <w:p w14:paraId="6EA68DA8"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浅盘式或敞口隔</w:t>
            </w:r>
            <w:proofErr w:type="gramStart"/>
            <w:r>
              <w:rPr>
                <w:rFonts w:ascii="宋体" w:hAnsi="宋体" w:hint="eastAsia"/>
                <w:bCs/>
                <w:sz w:val="21"/>
                <w:szCs w:val="21"/>
              </w:rPr>
              <w:t>舱式内</w:t>
            </w:r>
            <w:proofErr w:type="gramEnd"/>
            <w:r>
              <w:rPr>
                <w:rFonts w:ascii="宋体" w:hAnsi="宋体" w:hint="eastAsia"/>
                <w:bCs/>
                <w:sz w:val="21"/>
                <w:szCs w:val="21"/>
              </w:rPr>
              <w:t>浮顶安全性能差，易沉盘，引发火灾爆炸事故。</w:t>
            </w:r>
          </w:p>
        </w:tc>
        <w:tc>
          <w:tcPr>
            <w:tcW w:w="393" w:type="pct"/>
            <w:tcMar>
              <w:left w:w="108" w:type="dxa"/>
              <w:right w:w="108" w:type="dxa"/>
            </w:tcMar>
            <w:vAlign w:val="center"/>
          </w:tcPr>
          <w:p w14:paraId="06956A6F"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禁止</w:t>
            </w:r>
          </w:p>
        </w:tc>
        <w:tc>
          <w:tcPr>
            <w:tcW w:w="769" w:type="pct"/>
            <w:tcMar>
              <w:left w:w="108" w:type="dxa"/>
              <w:right w:w="108" w:type="dxa"/>
            </w:tcMar>
            <w:vAlign w:val="center"/>
          </w:tcPr>
          <w:p w14:paraId="2D20D64E"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取得危险化学品经营许可证的油库禁用，在役设备二年内改造完毕</w:t>
            </w:r>
          </w:p>
        </w:tc>
        <w:tc>
          <w:tcPr>
            <w:tcW w:w="638" w:type="pct"/>
            <w:tcMar>
              <w:left w:w="108" w:type="dxa"/>
              <w:right w:w="108" w:type="dxa"/>
            </w:tcMar>
            <w:vAlign w:val="center"/>
          </w:tcPr>
          <w:p w14:paraId="5FCA27BB"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《石油库设计规范》（GB 50074-2014）第6.1.7条</w:t>
            </w:r>
          </w:p>
        </w:tc>
        <w:tc>
          <w:tcPr>
            <w:tcW w:w="410" w:type="pct"/>
            <w:tcMar>
              <w:left w:w="108" w:type="dxa"/>
              <w:right w:w="108" w:type="dxa"/>
            </w:tcMar>
            <w:vAlign w:val="center"/>
          </w:tcPr>
          <w:p w14:paraId="69631004"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6101D060" w14:textId="77777777">
        <w:trPr>
          <w:jc w:val="center"/>
        </w:trPr>
        <w:tc>
          <w:tcPr>
            <w:tcW w:w="281" w:type="pct"/>
            <w:tcMar>
              <w:left w:w="108" w:type="dxa"/>
              <w:right w:w="108" w:type="dxa"/>
            </w:tcMar>
            <w:vAlign w:val="center"/>
          </w:tcPr>
          <w:p w14:paraId="428724AE" w14:textId="77777777" w:rsidR="009219A0" w:rsidRDefault="00000000">
            <w:pPr>
              <w:widowControl/>
              <w:adjustRightInd/>
              <w:snapToGrid/>
              <w:spacing w:line="240" w:lineRule="auto"/>
              <w:ind w:firstLineChars="0" w:firstLine="0"/>
              <w:jc w:val="center"/>
              <w:rPr>
                <w:rFonts w:ascii="宋体" w:hAnsi="宋体" w:cs="宋体" w:hint="eastAsia"/>
                <w:sz w:val="21"/>
                <w:szCs w:val="21"/>
              </w:rPr>
            </w:pPr>
            <w:r>
              <w:rPr>
                <w:rFonts w:ascii="宋体" w:hAnsi="宋体" w:cs="宋体" w:hint="eastAsia"/>
                <w:color w:val="444444"/>
                <w:kern w:val="0"/>
                <w:sz w:val="21"/>
                <w:szCs w:val="21"/>
                <w:lang w:bidi="ar"/>
              </w:rPr>
              <w:t>7</w:t>
            </w:r>
          </w:p>
        </w:tc>
        <w:tc>
          <w:tcPr>
            <w:tcW w:w="698" w:type="pct"/>
            <w:tcMar>
              <w:left w:w="108" w:type="dxa"/>
              <w:right w:w="108" w:type="dxa"/>
            </w:tcMar>
            <w:vAlign w:val="center"/>
          </w:tcPr>
          <w:p w14:paraId="55970FA9"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单端面机械密封离心泵和填料密封离心泵（液下泵除外）</w:t>
            </w:r>
          </w:p>
        </w:tc>
        <w:tc>
          <w:tcPr>
            <w:tcW w:w="1807" w:type="pct"/>
            <w:tcMar>
              <w:left w:w="108" w:type="dxa"/>
              <w:right w:w="108" w:type="dxa"/>
            </w:tcMar>
            <w:vAlign w:val="center"/>
          </w:tcPr>
          <w:p w14:paraId="1F40A82E"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单端面机械密封离心泵和填料密封离心泵可靠性低，易因密封失效而发生泄漏，造成火灾爆炸、中毒事故。</w:t>
            </w:r>
          </w:p>
        </w:tc>
        <w:tc>
          <w:tcPr>
            <w:tcW w:w="393" w:type="pct"/>
            <w:tcMar>
              <w:left w:w="108" w:type="dxa"/>
              <w:right w:w="108" w:type="dxa"/>
            </w:tcMar>
            <w:vAlign w:val="center"/>
          </w:tcPr>
          <w:p w14:paraId="0E80A1C3"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禁止</w:t>
            </w:r>
          </w:p>
        </w:tc>
        <w:tc>
          <w:tcPr>
            <w:tcW w:w="769" w:type="pct"/>
            <w:tcMar>
              <w:left w:w="108" w:type="dxa"/>
              <w:right w:w="108" w:type="dxa"/>
            </w:tcMar>
            <w:vAlign w:val="center"/>
          </w:tcPr>
          <w:p w14:paraId="77CA8064"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甲A类、极度危害、高度危害和操作温度超过自燃点的危险化学品禁用，在役设备三年内更换完毕</w:t>
            </w:r>
          </w:p>
        </w:tc>
        <w:tc>
          <w:tcPr>
            <w:tcW w:w="638" w:type="pct"/>
            <w:tcMar>
              <w:left w:w="108" w:type="dxa"/>
              <w:right w:w="108" w:type="dxa"/>
            </w:tcMar>
            <w:vAlign w:val="center"/>
          </w:tcPr>
          <w:p w14:paraId="2EAC7244"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《国家安全监管总局关于加强化工企业泄漏管理的指导意见》（安监总管三〔2014〕94号）</w:t>
            </w:r>
          </w:p>
        </w:tc>
        <w:tc>
          <w:tcPr>
            <w:tcW w:w="410" w:type="pct"/>
            <w:tcMar>
              <w:left w:w="108" w:type="dxa"/>
              <w:right w:w="108" w:type="dxa"/>
            </w:tcMar>
            <w:vAlign w:val="center"/>
          </w:tcPr>
          <w:p w14:paraId="28A870F3"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bl>
    <w:p w14:paraId="1DA3D243" w14:textId="77777777" w:rsidR="009219A0" w:rsidRDefault="009219A0">
      <w:pPr>
        <w:ind w:firstLine="560"/>
      </w:pPr>
    </w:p>
    <w:p w14:paraId="30C61095" w14:textId="77777777" w:rsidR="009219A0" w:rsidRDefault="00000000">
      <w:pPr>
        <w:widowControl/>
        <w:adjustRightInd/>
        <w:snapToGrid/>
        <w:spacing w:line="240" w:lineRule="auto"/>
        <w:ind w:firstLineChars="0" w:firstLine="0"/>
        <w:jc w:val="left"/>
        <w:rPr>
          <w:color w:val="00B050"/>
        </w:rPr>
      </w:pPr>
      <w:bookmarkStart w:id="288" w:name="_Toc165281481"/>
      <w:r>
        <w:rPr>
          <w:color w:val="00B050"/>
        </w:rPr>
        <w:br w:type="page"/>
      </w:r>
    </w:p>
    <w:p w14:paraId="3976FF78" w14:textId="77777777" w:rsidR="009219A0" w:rsidRDefault="00000000">
      <w:pPr>
        <w:ind w:firstLine="560"/>
        <w:jc w:val="center"/>
        <w:rPr>
          <w:color w:val="auto"/>
        </w:rPr>
      </w:pPr>
      <w:r>
        <w:rPr>
          <w:rFonts w:hint="eastAsia"/>
          <w:color w:val="auto"/>
        </w:rPr>
        <w:lastRenderedPageBreak/>
        <w:t>表</w:t>
      </w:r>
      <w:r>
        <w:rPr>
          <w:rFonts w:hint="eastAsia"/>
          <w:color w:val="auto"/>
        </w:rPr>
        <w:t xml:space="preserve">2.9-3  </w:t>
      </w:r>
      <w:r>
        <w:rPr>
          <w:rFonts w:hint="eastAsia"/>
          <w:color w:val="auto"/>
        </w:rPr>
        <w:t>淘汰落后安全技术装备目录（</w:t>
      </w:r>
      <w:r>
        <w:rPr>
          <w:rFonts w:hint="eastAsia"/>
          <w:color w:val="auto"/>
        </w:rPr>
        <w:t>2015</w:t>
      </w:r>
      <w:r>
        <w:rPr>
          <w:rFonts w:hint="eastAsia"/>
          <w:color w:val="auto"/>
        </w:rPr>
        <w:t>第一批）辨识</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2"/>
        <w:gridCol w:w="1453"/>
        <w:gridCol w:w="3761"/>
        <w:gridCol w:w="818"/>
        <w:gridCol w:w="1602"/>
        <w:gridCol w:w="846"/>
      </w:tblGrid>
      <w:tr w:rsidR="009219A0" w14:paraId="5A4C0D36" w14:textId="77777777">
        <w:trPr>
          <w:jc w:val="center"/>
        </w:trPr>
        <w:tc>
          <w:tcPr>
            <w:tcW w:w="326" w:type="pct"/>
            <w:tcMar>
              <w:left w:w="108" w:type="dxa"/>
              <w:right w:w="108" w:type="dxa"/>
            </w:tcMar>
            <w:vAlign w:val="center"/>
          </w:tcPr>
          <w:p w14:paraId="2533622E"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序号</w:t>
            </w:r>
          </w:p>
        </w:tc>
        <w:tc>
          <w:tcPr>
            <w:tcW w:w="801" w:type="pct"/>
            <w:tcMar>
              <w:left w:w="108" w:type="dxa"/>
              <w:right w:w="108" w:type="dxa"/>
            </w:tcMar>
            <w:vAlign w:val="center"/>
          </w:tcPr>
          <w:p w14:paraId="3F4A5268"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淘汰落后技术装备名称</w:t>
            </w:r>
          </w:p>
        </w:tc>
        <w:tc>
          <w:tcPr>
            <w:tcW w:w="2073" w:type="pct"/>
            <w:tcMar>
              <w:left w:w="108" w:type="dxa"/>
              <w:right w:w="108" w:type="dxa"/>
            </w:tcMar>
            <w:vAlign w:val="center"/>
          </w:tcPr>
          <w:p w14:paraId="21483580"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淘汰原因</w:t>
            </w:r>
          </w:p>
        </w:tc>
        <w:tc>
          <w:tcPr>
            <w:tcW w:w="451" w:type="pct"/>
            <w:tcMar>
              <w:left w:w="108" w:type="dxa"/>
              <w:right w:w="108" w:type="dxa"/>
            </w:tcMar>
            <w:vAlign w:val="center"/>
          </w:tcPr>
          <w:p w14:paraId="6A39418B"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建议淘汰类型</w:t>
            </w:r>
          </w:p>
        </w:tc>
        <w:tc>
          <w:tcPr>
            <w:tcW w:w="883" w:type="pct"/>
            <w:tcMar>
              <w:left w:w="108" w:type="dxa"/>
              <w:right w:w="108" w:type="dxa"/>
            </w:tcMar>
            <w:vAlign w:val="center"/>
          </w:tcPr>
          <w:p w14:paraId="31946DBA"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建议限制范围</w:t>
            </w:r>
          </w:p>
        </w:tc>
        <w:tc>
          <w:tcPr>
            <w:tcW w:w="466" w:type="pct"/>
            <w:tcMar>
              <w:left w:w="108" w:type="dxa"/>
              <w:right w:w="108" w:type="dxa"/>
            </w:tcMar>
            <w:vAlign w:val="center"/>
          </w:tcPr>
          <w:p w14:paraId="2642588E"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检查内容</w:t>
            </w:r>
          </w:p>
        </w:tc>
      </w:tr>
      <w:tr w:rsidR="009219A0" w14:paraId="4CD79047" w14:textId="77777777">
        <w:trPr>
          <w:jc w:val="center"/>
        </w:trPr>
        <w:tc>
          <w:tcPr>
            <w:tcW w:w="5000" w:type="pct"/>
            <w:gridSpan w:val="6"/>
            <w:tcMar>
              <w:left w:w="108" w:type="dxa"/>
              <w:right w:w="108" w:type="dxa"/>
            </w:tcMar>
            <w:vAlign w:val="center"/>
          </w:tcPr>
          <w:p w14:paraId="32A3B15A" w14:textId="77777777" w:rsidR="009219A0" w:rsidRDefault="00000000">
            <w:pPr>
              <w:widowControl/>
              <w:adjustRightInd/>
              <w:snapToGrid/>
              <w:spacing w:line="240" w:lineRule="auto"/>
              <w:ind w:firstLineChars="0" w:firstLine="0"/>
              <w:rPr>
                <w:rFonts w:ascii="宋体" w:hAnsi="宋体" w:hint="eastAsia"/>
                <w:b/>
                <w:sz w:val="21"/>
                <w:szCs w:val="21"/>
              </w:rPr>
            </w:pPr>
            <w:r>
              <w:rPr>
                <w:rFonts w:ascii="宋体" w:hAnsi="宋体" w:hint="eastAsia"/>
                <w:b/>
                <w:sz w:val="21"/>
                <w:szCs w:val="21"/>
              </w:rPr>
              <w:t>一、煤矿领域（7项）</w:t>
            </w:r>
          </w:p>
        </w:tc>
      </w:tr>
      <w:tr w:rsidR="009219A0" w14:paraId="0DDB4569" w14:textId="77777777">
        <w:trPr>
          <w:jc w:val="center"/>
        </w:trPr>
        <w:tc>
          <w:tcPr>
            <w:tcW w:w="326" w:type="pct"/>
            <w:tcMar>
              <w:left w:w="108" w:type="dxa"/>
              <w:right w:w="108" w:type="dxa"/>
            </w:tcMar>
            <w:vAlign w:val="center"/>
          </w:tcPr>
          <w:p w14:paraId="04C6D1AF" w14:textId="77777777" w:rsidR="009219A0" w:rsidRDefault="00000000">
            <w:pPr>
              <w:widowControl/>
              <w:adjustRightInd/>
              <w:snapToGrid/>
              <w:spacing w:line="240" w:lineRule="auto"/>
              <w:ind w:firstLineChars="0" w:firstLine="0"/>
              <w:jc w:val="center"/>
              <w:rPr>
                <w:rFonts w:ascii="宋体" w:hAnsi="宋体" w:cs="宋体" w:hint="eastAsia"/>
                <w:sz w:val="21"/>
                <w:szCs w:val="21"/>
              </w:rPr>
            </w:pPr>
            <w:r>
              <w:rPr>
                <w:rFonts w:ascii="宋体" w:hAnsi="宋体" w:cs="宋体" w:hint="eastAsia"/>
                <w:color w:val="444444"/>
                <w:kern w:val="0"/>
                <w:sz w:val="21"/>
                <w:szCs w:val="21"/>
                <w:lang w:bidi="ar"/>
              </w:rPr>
              <w:t>1</w:t>
            </w:r>
          </w:p>
        </w:tc>
        <w:tc>
          <w:tcPr>
            <w:tcW w:w="801" w:type="pct"/>
            <w:tcMar>
              <w:left w:w="108" w:type="dxa"/>
              <w:right w:w="108" w:type="dxa"/>
            </w:tcMar>
            <w:vAlign w:val="center"/>
          </w:tcPr>
          <w:p w14:paraId="5A66CA8A"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煤矿井下油浸变压器和油开关等油</w:t>
            </w:r>
            <w:proofErr w:type="gramStart"/>
            <w:r>
              <w:rPr>
                <w:rFonts w:ascii="宋体" w:hAnsi="宋体" w:hint="eastAsia"/>
                <w:bCs/>
                <w:sz w:val="21"/>
                <w:szCs w:val="21"/>
              </w:rPr>
              <w:t>浸</w:t>
            </w:r>
            <w:proofErr w:type="gramEnd"/>
            <w:r>
              <w:rPr>
                <w:rFonts w:ascii="宋体" w:hAnsi="宋体" w:hint="eastAsia"/>
                <w:bCs/>
                <w:sz w:val="21"/>
                <w:szCs w:val="21"/>
              </w:rPr>
              <w:t>电气设备</w:t>
            </w:r>
          </w:p>
        </w:tc>
        <w:tc>
          <w:tcPr>
            <w:tcW w:w="2073" w:type="pct"/>
            <w:tcMar>
              <w:left w:w="108" w:type="dxa"/>
              <w:right w:w="108" w:type="dxa"/>
            </w:tcMar>
            <w:vAlign w:val="center"/>
          </w:tcPr>
          <w:p w14:paraId="3474F12A"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绝缘水平和分断能力低，可靠性差，运转费用高，维护量大，绝缘油存在燃烧的危险，且机电硐室内的油</w:t>
            </w:r>
            <w:proofErr w:type="gramStart"/>
            <w:r>
              <w:rPr>
                <w:rFonts w:ascii="宋体" w:hAnsi="宋体" w:hint="eastAsia"/>
                <w:bCs/>
                <w:sz w:val="21"/>
                <w:szCs w:val="21"/>
              </w:rPr>
              <w:t>浸设备</w:t>
            </w:r>
            <w:proofErr w:type="gramEnd"/>
            <w:r>
              <w:rPr>
                <w:rFonts w:ascii="宋体" w:hAnsi="宋体" w:hint="eastAsia"/>
                <w:bCs/>
                <w:sz w:val="21"/>
                <w:szCs w:val="21"/>
              </w:rPr>
              <w:t>已淘汰。</w:t>
            </w:r>
          </w:p>
        </w:tc>
        <w:tc>
          <w:tcPr>
            <w:tcW w:w="451" w:type="pct"/>
            <w:tcMar>
              <w:left w:w="108" w:type="dxa"/>
              <w:right w:w="108" w:type="dxa"/>
            </w:tcMar>
            <w:vAlign w:val="center"/>
          </w:tcPr>
          <w:p w14:paraId="0554BAB8"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1E8BCBE2"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741968ED"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29B81E28" w14:textId="77777777">
        <w:trPr>
          <w:jc w:val="center"/>
        </w:trPr>
        <w:tc>
          <w:tcPr>
            <w:tcW w:w="326" w:type="pct"/>
            <w:tcMar>
              <w:left w:w="108" w:type="dxa"/>
              <w:right w:w="108" w:type="dxa"/>
            </w:tcMar>
            <w:vAlign w:val="center"/>
          </w:tcPr>
          <w:p w14:paraId="3002839E" w14:textId="77777777" w:rsidR="009219A0" w:rsidRDefault="00000000">
            <w:pPr>
              <w:widowControl/>
              <w:adjustRightInd/>
              <w:snapToGrid/>
              <w:spacing w:line="240" w:lineRule="auto"/>
              <w:ind w:firstLineChars="0" w:firstLine="0"/>
              <w:jc w:val="center"/>
              <w:rPr>
                <w:rFonts w:ascii="宋体" w:hAnsi="宋体" w:cs="宋体" w:hint="eastAsia"/>
                <w:sz w:val="21"/>
                <w:szCs w:val="21"/>
              </w:rPr>
            </w:pPr>
            <w:r>
              <w:rPr>
                <w:rFonts w:ascii="宋体" w:hAnsi="宋体" w:cs="宋体" w:hint="eastAsia"/>
                <w:color w:val="444444"/>
                <w:kern w:val="0"/>
                <w:sz w:val="21"/>
                <w:szCs w:val="21"/>
                <w:lang w:bidi="ar"/>
              </w:rPr>
              <w:t>2</w:t>
            </w:r>
          </w:p>
        </w:tc>
        <w:tc>
          <w:tcPr>
            <w:tcW w:w="801" w:type="pct"/>
            <w:tcMar>
              <w:left w:w="108" w:type="dxa"/>
              <w:right w:w="108" w:type="dxa"/>
            </w:tcMar>
            <w:vAlign w:val="center"/>
          </w:tcPr>
          <w:p w14:paraId="6B802042"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S7动力变压器</w:t>
            </w:r>
          </w:p>
        </w:tc>
        <w:tc>
          <w:tcPr>
            <w:tcW w:w="2073" w:type="pct"/>
            <w:tcMar>
              <w:left w:w="108" w:type="dxa"/>
              <w:right w:w="108" w:type="dxa"/>
            </w:tcMar>
            <w:vAlign w:val="center"/>
          </w:tcPr>
          <w:p w14:paraId="2D627857"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安全可靠性差，且原材料消耗量和能耗大。</w:t>
            </w:r>
          </w:p>
        </w:tc>
        <w:tc>
          <w:tcPr>
            <w:tcW w:w="451" w:type="pct"/>
            <w:tcMar>
              <w:left w:w="108" w:type="dxa"/>
              <w:right w:w="108" w:type="dxa"/>
            </w:tcMar>
            <w:vAlign w:val="center"/>
          </w:tcPr>
          <w:p w14:paraId="35AF7EE4"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限制</w:t>
            </w:r>
          </w:p>
        </w:tc>
        <w:tc>
          <w:tcPr>
            <w:tcW w:w="883" w:type="pct"/>
            <w:tcMar>
              <w:left w:w="108" w:type="dxa"/>
              <w:right w:w="108" w:type="dxa"/>
            </w:tcMar>
            <w:vAlign w:val="center"/>
          </w:tcPr>
          <w:p w14:paraId="28A3D023"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新产品不使用</w:t>
            </w:r>
          </w:p>
        </w:tc>
        <w:tc>
          <w:tcPr>
            <w:tcW w:w="466" w:type="pct"/>
            <w:tcMar>
              <w:left w:w="108" w:type="dxa"/>
              <w:right w:w="108" w:type="dxa"/>
            </w:tcMar>
            <w:vAlign w:val="center"/>
          </w:tcPr>
          <w:p w14:paraId="2F74AA5A"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48B420E0" w14:textId="77777777">
        <w:trPr>
          <w:trHeight w:val="965"/>
          <w:jc w:val="center"/>
        </w:trPr>
        <w:tc>
          <w:tcPr>
            <w:tcW w:w="326" w:type="pct"/>
            <w:tcMar>
              <w:left w:w="108" w:type="dxa"/>
              <w:right w:w="108" w:type="dxa"/>
            </w:tcMar>
            <w:vAlign w:val="center"/>
          </w:tcPr>
          <w:p w14:paraId="1769A7BF" w14:textId="77777777" w:rsidR="009219A0" w:rsidRDefault="00000000">
            <w:pPr>
              <w:widowControl/>
              <w:adjustRightInd/>
              <w:snapToGrid/>
              <w:spacing w:line="240" w:lineRule="auto"/>
              <w:ind w:firstLineChars="0" w:firstLine="0"/>
              <w:jc w:val="center"/>
              <w:rPr>
                <w:rFonts w:ascii="宋体" w:hAnsi="宋体" w:cs="宋体" w:hint="eastAsia"/>
                <w:sz w:val="21"/>
                <w:szCs w:val="21"/>
              </w:rPr>
            </w:pPr>
            <w:r>
              <w:rPr>
                <w:rFonts w:ascii="宋体" w:hAnsi="宋体" w:cs="宋体" w:hint="eastAsia"/>
                <w:color w:val="444444"/>
                <w:kern w:val="0"/>
                <w:sz w:val="21"/>
                <w:szCs w:val="21"/>
                <w:lang w:bidi="ar"/>
              </w:rPr>
              <w:t>3</w:t>
            </w:r>
          </w:p>
        </w:tc>
        <w:tc>
          <w:tcPr>
            <w:tcW w:w="801" w:type="pct"/>
            <w:tcMar>
              <w:left w:w="108" w:type="dxa"/>
              <w:right w:w="108" w:type="dxa"/>
            </w:tcMar>
            <w:vAlign w:val="center"/>
          </w:tcPr>
          <w:p w14:paraId="4B54FB3D" w14:textId="77777777" w:rsidR="009219A0" w:rsidRDefault="00000000">
            <w:pPr>
              <w:widowControl/>
              <w:adjustRightInd/>
              <w:snapToGrid/>
              <w:spacing w:line="240" w:lineRule="auto"/>
              <w:ind w:firstLineChars="0" w:firstLine="0"/>
              <w:jc w:val="left"/>
              <w:rPr>
                <w:rFonts w:ascii="宋体" w:hAnsi="宋体" w:hint="eastAsia"/>
                <w:bCs/>
                <w:sz w:val="21"/>
                <w:szCs w:val="21"/>
              </w:rPr>
            </w:pPr>
            <w:proofErr w:type="gramStart"/>
            <w:r>
              <w:rPr>
                <w:rFonts w:ascii="宋体" w:hAnsi="宋体" w:hint="eastAsia"/>
                <w:bCs/>
                <w:sz w:val="21"/>
                <w:szCs w:val="21"/>
              </w:rPr>
              <w:t>继电器式过流</w:t>
            </w:r>
            <w:proofErr w:type="gramEnd"/>
            <w:r>
              <w:rPr>
                <w:rFonts w:ascii="宋体" w:hAnsi="宋体" w:hint="eastAsia"/>
                <w:bCs/>
                <w:sz w:val="21"/>
                <w:szCs w:val="21"/>
              </w:rPr>
              <w:t>保护装置（6kV及以上开关柜使用）</w:t>
            </w:r>
          </w:p>
        </w:tc>
        <w:tc>
          <w:tcPr>
            <w:tcW w:w="2073" w:type="pct"/>
            <w:tcMar>
              <w:left w:w="108" w:type="dxa"/>
              <w:right w:w="108" w:type="dxa"/>
            </w:tcMar>
            <w:vAlign w:val="center"/>
          </w:tcPr>
          <w:p w14:paraId="16373D7C"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故障率高，整定繁琐，误差大，动作时间长。</w:t>
            </w:r>
          </w:p>
        </w:tc>
        <w:tc>
          <w:tcPr>
            <w:tcW w:w="451" w:type="pct"/>
            <w:tcMar>
              <w:left w:w="108" w:type="dxa"/>
              <w:right w:w="108" w:type="dxa"/>
            </w:tcMar>
            <w:vAlign w:val="center"/>
          </w:tcPr>
          <w:p w14:paraId="603E8E38"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限制</w:t>
            </w:r>
          </w:p>
        </w:tc>
        <w:tc>
          <w:tcPr>
            <w:tcW w:w="883" w:type="pct"/>
            <w:tcMar>
              <w:left w:w="108" w:type="dxa"/>
              <w:right w:w="108" w:type="dxa"/>
            </w:tcMar>
            <w:vAlign w:val="center"/>
          </w:tcPr>
          <w:p w14:paraId="5AE2E1D2"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新产品不使用</w:t>
            </w:r>
          </w:p>
        </w:tc>
        <w:tc>
          <w:tcPr>
            <w:tcW w:w="466" w:type="pct"/>
            <w:tcMar>
              <w:left w:w="108" w:type="dxa"/>
              <w:right w:w="108" w:type="dxa"/>
            </w:tcMar>
            <w:vAlign w:val="center"/>
          </w:tcPr>
          <w:p w14:paraId="4CFE0935"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73643626" w14:textId="77777777">
        <w:trPr>
          <w:trHeight w:val="1851"/>
          <w:jc w:val="center"/>
        </w:trPr>
        <w:tc>
          <w:tcPr>
            <w:tcW w:w="326" w:type="pct"/>
            <w:tcMar>
              <w:left w:w="108" w:type="dxa"/>
              <w:right w:w="108" w:type="dxa"/>
            </w:tcMar>
            <w:vAlign w:val="center"/>
          </w:tcPr>
          <w:p w14:paraId="415E1D6C" w14:textId="77777777" w:rsidR="009219A0" w:rsidRDefault="00000000">
            <w:pPr>
              <w:widowControl/>
              <w:adjustRightInd/>
              <w:snapToGrid/>
              <w:spacing w:line="240" w:lineRule="auto"/>
              <w:ind w:firstLineChars="0" w:firstLine="0"/>
              <w:jc w:val="center"/>
              <w:rPr>
                <w:rFonts w:ascii="宋体" w:hAnsi="宋体" w:cs="宋体" w:hint="eastAsia"/>
                <w:sz w:val="21"/>
                <w:szCs w:val="21"/>
              </w:rPr>
            </w:pPr>
            <w:r>
              <w:rPr>
                <w:rFonts w:ascii="宋体" w:hAnsi="宋体" w:cs="宋体" w:hint="eastAsia"/>
                <w:color w:val="444444"/>
                <w:kern w:val="0"/>
                <w:sz w:val="21"/>
                <w:szCs w:val="21"/>
                <w:lang w:bidi="ar"/>
              </w:rPr>
              <w:t>4</w:t>
            </w:r>
          </w:p>
        </w:tc>
        <w:tc>
          <w:tcPr>
            <w:tcW w:w="801" w:type="pct"/>
            <w:tcMar>
              <w:left w:w="108" w:type="dxa"/>
              <w:right w:w="108" w:type="dxa"/>
            </w:tcMar>
            <w:vAlign w:val="center"/>
          </w:tcPr>
          <w:p w14:paraId="529B8F3A"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电磁式继电保护装置</w:t>
            </w:r>
          </w:p>
        </w:tc>
        <w:tc>
          <w:tcPr>
            <w:tcW w:w="2073" w:type="pct"/>
            <w:tcMar>
              <w:left w:w="108" w:type="dxa"/>
              <w:right w:w="108" w:type="dxa"/>
            </w:tcMar>
            <w:vAlign w:val="center"/>
          </w:tcPr>
          <w:p w14:paraId="34D2797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保护性能差，运行过程中发生误动、拒动的可能性大。</w:t>
            </w:r>
          </w:p>
        </w:tc>
        <w:tc>
          <w:tcPr>
            <w:tcW w:w="451" w:type="pct"/>
            <w:tcMar>
              <w:left w:w="108" w:type="dxa"/>
              <w:right w:w="108" w:type="dxa"/>
            </w:tcMar>
            <w:vAlign w:val="center"/>
          </w:tcPr>
          <w:p w14:paraId="098B8CF3"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限制</w:t>
            </w:r>
          </w:p>
        </w:tc>
        <w:tc>
          <w:tcPr>
            <w:tcW w:w="883" w:type="pct"/>
            <w:tcMar>
              <w:left w:w="108" w:type="dxa"/>
              <w:right w:w="108" w:type="dxa"/>
            </w:tcMar>
            <w:vAlign w:val="center"/>
          </w:tcPr>
          <w:p w14:paraId="49AB0644"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新产品不使用</w:t>
            </w:r>
          </w:p>
        </w:tc>
        <w:tc>
          <w:tcPr>
            <w:tcW w:w="466" w:type="pct"/>
            <w:tcMar>
              <w:left w:w="108" w:type="dxa"/>
              <w:right w:w="108" w:type="dxa"/>
            </w:tcMar>
            <w:vAlign w:val="center"/>
          </w:tcPr>
          <w:p w14:paraId="411C3D30"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5CB8864A" w14:textId="77777777">
        <w:trPr>
          <w:trHeight w:val="2184"/>
          <w:jc w:val="center"/>
        </w:trPr>
        <w:tc>
          <w:tcPr>
            <w:tcW w:w="326" w:type="pct"/>
            <w:tcMar>
              <w:left w:w="108" w:type="dxa"/>
              <w:right w:w="108" w:type="dxa"/>
            </w:tcMar>
            <w:vAlign w:val="center"/>
          </w:tcPr>
          <w:p w14:paraId="667E363B" w14:textId="77777777" w:rsidR="009219A0" w:rsidRDefault="00000000">
            <w:pPr>
              <w:widowControl/>
              <w:adjustRightInd/>
              <w:snapToGrid/>
              <w:spacing w:line="240" w:lineRule="auto"/>
              <w:ind w:firstLineChars="0" w:firstLine="0"/>
              <w:jc w:val="center"/>
              <w:rPr>
                <w:rFonts w:ascii="宋体" w:hAnsi="宋体" w:cs="宋体" w:hint="eastAsia"/>
                <w:sz w:val="21"/>
                <w:szCs w:val="21"/>
              </w:rPr>
            </w:pPr>
            <w:r>
              <w:rPr>
                <w:rFonts w:ascii="宋体" w:hAnsi="宋体" w:cs="宋体" w:hint="eastAsia"/>
                <w:color w:val="444444"/>
                <w:kern w:val="0"/>
                <w:sz w:val="21"/>
                <w:szCs w:val="21"/>
                <w:lang w:bidi="ar"/>
              </w:rPr>
              <w:t>5</w:t>
            </w:r>
          </w:p>
        </w:tc>
        <w:tc>
          <w:tcPr>
            <w:tcW w:w="801" w:type="pct"/>
            <w:tcMar>
              <w:left w:w="108" w:type="dxa"/>
              <w:right w:w="108" w:type="dxa"/>
            </w:tcMar>
            <w:vAlign w:val="center"/>
          </w:tcPr>
          <w:p w14:paraId="12F35AF7"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矿井提升机制动系统十字弹簧控制压力的液压站</w:t>
            </w:r>
          </w:p>
        </w:tc>
        <w:tc>
          <w:tcPr>
            <w:tcW w:w="2073" w:type="pct"/>
            <w:tcMar>
              <w:left w:w="108" w:type="dxa"/>
              <w:right w:w="108" w:type="dxa"/>
            </w:tcMar>
            <w:vAlign w:val="center"/>
          </w:tcPr>
          <w:p w14:paraId="1CF56DEE"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结构落后，受加工精度影响大，压力调节不稳定，调整难度大，不易于维护，故障率较高。</w:t>
            </w:r>
          </w:p>
        </w:tc>
        <w:tc>
          <w:tcPr>
            <w:tcW w:w="451" w:type="pct"/>
            <w:tcMar>
              <w:left w:w="108" w:type="dxa"/>
              <w:right w:w="108" w:type="dxa"/>
            </w:tcMar>
            <w:vAlign w:val="center"/>
          </w:tcPr>
          <w:p w14:paraId="0E86FFC8"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限制</w:t>
            </w:r>
          </w:p>
        </w:tc>
        <w:tc>
          <w:tcPr>
            <w:tcW w:w="883" w:type="pct"/>
            <w:tcMar>
              <w:left w:w="108" w:type="dxa"/>
              <w:right w:w="108" w:type="dxa"/>
            </w:tcMar>
            <w:vAlign w:val="center"/>
          </w:tcPr>
          <w:p w14:paraId="6C0F5799"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新产品不使用</w:t>
            </w:r>
          </w:p>
        </w:tc>
        <w:tc>
          <w:tcPr>
            <w:tcW w:w="466" w:type="pct"/>
            <w:tcMar>
              <w:left w:w="108" w:type="dxa"/>
              <w:right w:w="108" w:type="dxa"/>
            </w:tcMar>
            <w:vAlign w:val="center"/>
          </w:tcPr>
          <w:p w14:paraId="23A06E69"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2A46322B" w14:textId="77777777">
        <w:trPr>
          <w:trHeight w:val="1366"/>
          <w:jc w:val="center"/>
        </w:trPr>
        <w:tc>
          <w:tcPr>
            <w:tcW w:w="326" w:type="pct"/>
            <w:tcMar>
              <w:left w:w="108" w:type="dxa"/>
              <w:right w:w="108" w:type="dxa"/>
            </w:tcMar>
            <w:vAlign w:val="center"/>
          </w:tcPr>
          <w:p w14:paraId="2E049E0D" w14:textId="77777777" w:rsidR="009219A0" w:rsidRDefault="00000000">
            <w:pPr>
              <w:widowControl/>
              <w:adjustRightInd/>
              <w:snapToGrid/>
              <w:spacing w:line="240" w:lineRule="auto"/>
              <w:ind w:firstLineChars="0" w:firstLine="0"/>
              <w:jc w:val="center"/>
              <w:rPr>
                <w:rFonts w:ascii="宋体" w:hAnsi="宋体" w:cs="宋体" w:hint="eastAsia"/>
                <w:sz w:val="21"/>
                <w:szCs w:val="21"/>
              </w:rPr>
            </w:pPr>
            <w:r>
              <w:rPr>
                <w:rFonts w:ascii="宋体" w:hAnsi="宋体" w:cs="宋体" w:hint="eastAsia"/>
                <w:color w:val="444444"/>
                <w:kern w:val="0"/>
                <w:sz w:val="21"/>
                <w:szCs w:val="21"/>
                <w:lang w:bidi="ar"/>
              </w:rPr>
              <w:t>6</w:t>
            </w:r>
          </w:p>
        </w:tc>
        <w:tc>
          <w:tcPr>
            <w:tcW w:w="801" w:type="pct"/>
            <w:tcMar>
              <w:left w:w="108" w:type="dxa"/>
              <w:right w:w="108" w:type="dxa"/>
            </w:tcMar>
            <w:vAlign w:val="center"/>
          </w:tcPr>
          <w:p w14:paraId="0230120C"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阀式避雷器</w:t>
            </w:r>
          </w:p>
        </w:tc>
        <w:tc>
          <w:tcPr>
            <w:tcW w:w="2073" w:type="pct"/>
            <w:tcMar>
              <w:left w:w="108" w:type="dxa"/>
              <w:right w:w="108" w:type="dxa"/>
            </w:tcMar>
            <w:vAlign w:val="center"/>
          </w:tcPr>
          <w:p w14:paraId="0931081E"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保护设备的绝缘水平和通流容量较低，耐污性能较差。</w:t>
            </w:r>
          </w:p>
        </w:tc>
        <w:tc>
          <w:tcPr>
            <w:tcW w:w="451" w:type="pct"/>
            <w:tcMar>
              <w:left w:w="108" w:type="dxa"/>
              <w:right w:w="108" w:type="dxa"/>
            </w:tcMar>
            <w:vAlign w:val="center"/>
          </w:tcPr>
          <w:p w14:paraId="39110B64"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限制</w:t>
            </w:r>
          </w:p>
        </w:tc>
        <w:tc>
          <w:tcPr>
            <w:tcW w:w="883" w:type="pct"/>
            <w:tcMar>
              <w:left w:w="108" w:type="dxa"/>
              <w:right w:w="108" w:type="dxa"/>
            </w:tcMar>
            <w:vAlign w:val="center"/>
          </w:tcPr>
          <w:p w14:paraId="5DEED767"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新产品不使用</w:t>
            </w:r>
          </w:p>
        </w:tc>
        <w:tc>
          <w:tcPr>
            <w:tcW w:w="466" w:type="pct"/>
            <w:tcMar>
              <w:left w:w="108" w:type="dxa"/>
              <w:right w:w="108" w:type="dxa"/>
            </w:tcMar>
            <w:vAlign w:val="center"/>
          </w:tcPr>
          <w:p w14:paraId="2ECA8467"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4C8A9933" w14:textId="77777777">
        <w:trPr>
          <w:jc w:val="center"/>
        </w:trPr>
        <w:tc>
          <w:tcPr>
            <w:tcW w:w="326" w:type="pct"/>
            <w:tcMar>
              <w:left w:w="108" w:type="dxa"/>
              <w:right w:w="108" w:type="dxa"/>
            </w:tcMar>
            <w:vAlign w:val="center"/>
          </w:tcPr>
          <w:p w14:paraId="61FF71C9" w14:textId="77777777" w:rsidR="009219A0" w:rsidRDefault="00000000">
            <w:pPr>
              <w:widowControl/>
              <w:adjustRightInd/>
              <w:snapToGrid/>
              <w:spacing w:line="240" w:lineRule="auto"/>
              <w:ind w:firstLineChars="0" w:firstLine="0"/>
              <w:jc w:val="center"/>
              <w:rPr>
                <w:rFonts w:ascii="宋体" w:hAnsi="宋体" w:cs="宋体" w:hint="eastAsia"/>
                <w:sz w:val="21"/>
                <w:szCs w:val="21"/>
              </w:rPr>
            </w:pPr>
            <w:r>
              <w:rPr>
                <w:rFonts w:ascii="宋体" w:hAnsi="宋体" w:cs="宋体" w:hint="eastAsia"/>
                <w:color w:val="444444"/>
                <w:kern w:val="0"/>
                <w:sz w:val="21"/>
                <w:szCs w:val="21"/>
                <w:lang w:bidi="ar"/>
              </w:rPr>
              <w:t>7</w:t>
            </w:r>
          </w:p>
        </w:tc>
        <w:tc>
          <w:tcPr>
            <w:tcW w:w="801" w:type="pct"/>
            <w:tcMar>
              <w:left w:w="108" w:type="dxa"/>
              <w:right w:w="108" w:type="dxa"/>
            </w:tcMar>
            <w:vAlign w:val="center"/>
          </w:tcPr>
          <w:p w14:paraId="1FBD27E1"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水力采煤</w:t>
            </w:r>
          </w:p>
        </w:tc>
        <w:tc>
          <w:tcPr>
            <w:tcW w:w="2073" w:type="pct"/>
            <w:tcMar>
              <w:left w:w="108" w:type="dxa"/>
              <w:right w:w="108" w:type="dxa"/>
            </w:tcMar>
            <w:vAlign w:val="center"/>
          </w:tcPr>
          <w:p w14:paraId="36AF9FE1"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采区工作面不能形成完善、可靠的通风系统，且工作面顶板无法得到有效支护。</w:t>
            </w:r>
          </w:p>
        </w:tc>
        <w:tc>
          <w:tcPr>
            <w:tcW w:w="451" w:type="pct"/>
            <w:tcMar>
              <w:left w:w="108" w:type="dxa"/>
              <w:right w:w="108" w:type="dxa"/>
            </w:tcMar>
            <w:vAlign w:val="center"/>
          </w:tcPr>
          <w:p w14:paraId="0A955CF9"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限制</w:t>
            </w:r>
          </w:p>
        </w:tc>
        <w:tc>
          <w:tcPr>
            <w:tcW w:w="883" w:type="pct"/>
            <w:tcMar>
              <w:left w:w="108" w:type="dxa"/>
              <w:right w:w="108" w:type="dxa"/>
            </w:tcMar>
            <w:vAlign w:val="center"/>
          </w:tcPr>
          <w:p w14:paraId="1F1C74F5"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执行《煤矿安全规程》的规定</w:t>
            </w:r>
          </w:p>
        </w:tc>
        <w:tc>
          <w:tcPr>
            <w:tcW w:w="466" w:type="pct"/>
            <w:tcMar>
              <w:left w:w="108" w:type="dxa"/>
              <w:right w:w="108" w:type="dxa"/>
            </w:tcMar>
            <w:vAlign w:val="center"/>
          </w:tcPr>
          <w:p w14:paraId="21BF8CD5"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110D378B" w14:textId="77777777">
        <w:trPr>
          <w:jc w:val="center"/>
        </w:trPr>
        <w:tc>
          <w:tcPr>
            <w:tcW w:w="5000" w:type="pct"/>
            <w:gridSpan w:val="6"/>
            <w:tcMar>
              <w:left w:w="108" w:type="dxa"/>
              <w:right w:w="108" w:type="dxa"/>
            </w:tcMar>
            <w:vAlign w:val="center"/>
          </w:tcPr>
          <w:p w14:paraId="7C2420DA" w14:textId="77777777" w:rsidR="009219A0" w:rsidRDefault="00000000">
            <w:pPr>
              <w:widowControl/>
              <w:adjustRightInd/>
              <w:snapToGrid/>
              <w:spacing w:line="240" w:lineRule="auto"/>
              <w:ind w:firstLineChars="0" w:firstLine="0"/>
              <w:jc w:val="left"/>
              <w:rPr>
                <w:rFonts w:ascii="宋体" w:hAnsi="宋体" w:cs="宋体" w:hint="eastAsia"/>
                <w:b/>
                <w:bCs/>
                <w:color w:val="444444"/>
                <w:kern w:val="0"/>
                <w:sz w:val="21"/>
                <w:szCs w:val="21"/>
                <w:lang w:bidi="ar"/>
              </w:rPr>
            </w:pPr>
            <w:r>
              <w:rPr>
                <w:rFonts w:ascii="宋体" w:hAnsi="宋体" w:hint="eastAsia"/>
                <w:b/>
                <w:sz w:val="21"/>
                <w:szCs w:val="21"/>
              </w:rPr>
              <w:t>二、危险化学品领域和烟花爆竹行业（14项）</w:t>
            </w:r>
          </w:p>
        </w:tc>
      </w:tr>
      <w:tr w:rsidR="009219A0" w14:paraId="263B5676" w14:textId="77777777">
        <w:trPr>
          <w:jc w:val="center"/>
        </w:trPr>
        <w:tc>
          <w:tcPr>
            <w:tcW w:w="326" w:type="pct"/>
            <w:tcMar>
              <w:left w:w="108" w:type="dxa"/>
              <w:right w:w="108" w:type="dxa"/>
            </w:tcMar>
            <w:vAlign w:val="center"/>
          </w:tcPr>
          <w:p w14:paraId="43189C26" w14:textId="77777777" w:rsidR="009219A0" w:rsidRDefault="009219A0">
            <w:pPr>
              <w:pStyle w:val="aff4"/>
              <w:widowControl/>
              <w:numPr>
                <w:ilvl w:val="0"/>
                <w:numId w:val="13"/>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222B30A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合成氨半水煤气氨水液相脱硫工艺</w:t>
            </w:r>
          </w:p>
        </w:tc>
        <w:tc>
          <w:tcPr>
            <w:tcW w:w="2073" w:type="pct"/>
            <w:tcMar>
              <w:left w:w="108" w:type="dxa"/>
              <w:right w:w="108" w:type="dxa"/>
            </w:tcMar>
            <w:vAlign w:val="center"/>
          </w:tcPr>
          <w:p w14:paraId="6DF732A3"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没有配套硫磺回收装置，工艺过程控制复杂，危险有害因素及不可预见性危险多，自动化控制程度低，安全性差，易发生泄漏、中毒、爆炸、火灾等安全生产事故。</w:t>
            </w:r>
          </w:p>
        </w:tc>
        <w:tc>
          <w:tcPr>
            <w:tcW w:w="451" w:type="pct"/>
            <w:tcMar>
              <w:left w:w="108" w:type="dxa"/>
              <w:right w:w="108" w:type="dxa"/>
            </w:tcMar>
            <w:vAlign w:val="center"/>
          </w:tcPr>
          <w:p w14:paraId="3F5E9698"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2AC416F8"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3FB1E217"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3E0F6711" w14:textId="77777777">
        <w:trPr>
          <w:jc w:val="center"/>
        </w:trPr>
        <w:tc>
          <w:tcPr>
            <w:tcW w:w="326" w:type="pct"/>
            <w:tcMar>
              <w:left w:w="108" w:type="dxa"/>
              <w:right w:w="108" w:type="dxa"/>
            </w:tcMar>
            <w:vAlign w:val="center"/>
          </w:tcPr>
          <w:p w14:paraId="4D70B8FE" w14:textId="77777777" w:rsidR="009219A0" w:rsidRDefault="009219A0">
            <w:pPr>
              <w:pStyle w:val="aff4"/>
              <w:widowControl/>
              <w:numPr>
                <w:ilvl w:val="0"/>
                <w:numId w:val="13"/>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7875D717"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合成氨</w:t>
            </w:r>
            <w:proofErr w:type="gramStart"/>
            <w:r>
              <w:rPr>
                <w:rFonts w:ascii="宋体" w:hAnsi="宋体" w:hint="eastAsia"/>
                <w:bCs/>
                <w:sz w:val="21"/>
                <w:szCs w:val="21"/>
              </w:rPr>
              <w:t>固定层</w:t>
            </w:r>
            <w:proofErr w:type="gramEnd"/>
            <w:r>
              <w:rPr>
                <w:rFonts w:ascii="宋体" w:hAnsi="宋体" w:hint="eastAsia"/>
                <w:bCs/>
                <w:sz w:val="21"/>
                <w:szCs w:val="21"/>
              </w:rPr>
              <w:t>间歇式煤气化装置</w:t>
            </w:r>
          </w:p>
        </w:tc>
        <w:tc>
          <w:tcPr>
            <w:tcW w:w="2073" w:type="pct"/>
            <w:tcMar>
              <w:left w:w="108" w:type="dxa"/>
              <w:right w:w="108" w:type="dxa"/>
            </w:tcMar>
            <w:vAlign w:val="center"/>
          </w:tcPr>
          <w:p w14:paraId="5BC97FF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没有配套建设吹风气余热回收、造气炉渣综合利用装置，自动化控制程度低，安全性差，易发生泄漏、中毒、爆炸、火灾等安全生产事故。</w:t>
            </w:r>
          </w:p>
          <w:p w14:paraId="5C40302D" w14:textId="77777777" w:rsidR="009219A0" w:rsidRDefault="009219A0">
            <w:pPr>
              <w:widowControl/>
              <w:adjustRightInd/>
              <w:snapToGrid/>
              <w:spacing w:line="240" w:lineRule="auto"/>
              <w:ind w:firstLineChars="0" w:firstLine="0"/>
              <w:jc w:val="left"/>
              <w:rPr>
                <w:rFonts w:ascii="宋体" w:hAnsi="宋体" w:hint="eastAsia"/>
                <w:bCs/>
                <w:sz w:val="21"/>
                <w:szCs w:val="21"/>
              </w:rPr>
            </w:pPr>
          </w:p>
        </w:tc>
        <w:tc>
          <w:tcPr>
            <w:tcW w:w="451" w:type="pct"/>
            <w:tcMar>
              <w:left w:w="108" w:type="dxa"/>
              <w:right w:w="108" w:type="dxa"/>
            </w:tcMar>
            <w:vAlign w:val="center"/>
          </w:tcPr>
          <w:p w14:paraId="258526A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0029D67A"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6015C40F"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04978EA3" w14:textId="77777777">
        <w:trPr>
          <w:jc w:val="center"/>
        </w:trPr>
        <w:tc>
          <w:tcPr>
            <w:tcW w:w="326" w:type="pct"/>
            <w:tcMar>
              <w:left w:w="108" w:type="dxa"/>
              <w:right w:w="108" w:type="dxa"/>
            </w:tcMar>
            <w:vAlign w:val="center"/>
          </w:tcPr>
          <w:p w14:paraId="6FF1C373" w14:textId="77777777" w:rsidR="009219A0" w:rsidRDefault="009219A0">
            <w:pPr>
              <w:pStyle w:val="aff4"/>
              <w:widowControl/>
              <w:numPr>
                <w:ilvl w:val="0"/>
                <w:numId w:val="13"/>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28E40F89"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焦油加工工艺中的硫酸分解工艺</w:t>
            </w:r>
          </w:p>
        </w:tc>
        <w:tc>
          <w:tcPr>
            <w:tcW w:w="2073" w:type="pct"/>
            <w:tcMar>
              <w:left w:w="108" w:type="dxa"/>
              <w:right w:w="108" w:type="dxa"/>
            </w:tcMar>
            <w:vAlign w:val="center"/>
          </w:tcPr>
          <w:p w14:paraId="5034BEE1"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分解过程中硫酸对设备及管道的腐蚀性强，造成泵、管道、分解器等设备损坏率升高，安全性差。</w:t>
            </w:r>
          </w:p>
          <w:p w14:paraId="128B9BDA" w14:textId="77777777" w:rsidR="009219A0" w:rsidRDefault="009219A0">
            <w:pPr>
              <w:widowControl/>
              <w:adjustRightInd/>
              <w:snapToGrid/>
              <w:spacing w:line="240" w:lineRule="auto"/>
              <w:ind w:firstLineChars="0" w:firstLine="0"/>
              <w:jc w:val="left"/>
              <w:rPr>
                <w:rFonts w:ascii="宋体" w:hAnsi="宋体" w:hint="eastAsia"/>
                <w:bCs/>
                <w:sz w:val="21"/>
                <w:szCs w:val="21"/>
              </w:rPr>
            </w:pPr>
          </w:p>
        </w:tc>
        <w:tc>
          <w:tcPr>
            <w:tcW w:w="451" w:type="pct"/>
            <w:tcMar>
              <w:left w:w="108" w:type="dxa"/>
              <w:right w:w="108" w:type="dxa"/>
            </w:tcMar>
            <w:vAlign w:val="center"/>
          </w:tcPr>
          <w:p w14:paraId="10E6B312"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7D7067D7"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5C4CAD0C"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2C59DFE6" w14:textId="77777777">
        <w:trPr>
          <w:jc w:val="center"/>
        </w:trPr>
        <w:tc>
          <w:tcPr>
            <w:tcW w:w="326" w:type="pct"/>
            <w:tcMar>
              <w:left w:w="108" w:type="dxa"/>
              <w:right w:w="108" w:type="dxa"/>
            </w:tcMar>
            <w:vAlign w:val="center"/>
          </w:tcPr>
          <w:p w14:paraId="4547BE8F" w14:textId="77777777" w:rsidR="009219A0" w:rsidRDefault="009219A0">
            <w:pPr>
              <w:pStyle w:val="aff4"/>
              <w:widowControl/>
              <w:numPr>
                <w:ilvl w:val="0"/>
                <w:numId w:val="13"/>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6C664864"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合成氨一氧化碳常压变换及全中温变换（高温变换）工艺</w:t>
            </w:r>
          </w:p>
        </w:tc>
        <w:tc>
          <w:tcPr>
            <w:tcW w:w="2073" w:type="pct"/>
            <w:tcMar>
              <w:left w:w="108" w:type="dxa"/>
              <w:right w:w="108" w:type="dxa"/>
            </w:tcMar>
            <w:vAlign w:val="center"/>
          </w:tcPr>
          <w:p w14:paraId="2AF4195E"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自动化控制程度低，安全性差，易发生泄漏、中毒、爆炸、火灾等安全生产事故。</w:t>
            </w:r>
          </w:p>
        </w:tc>
        <w:tc>
          <w:tcPr>
            <w:tcW w:w="451" w:type="pct"/>
            <w:tcMar>
              <w:left w:w="108" w:type="dxa"/>
              <w:right w:w="108" w:type="dxa"/>
            </w:tcMar>
            <w:vAlign w:val="center"/>
          </w:tcPr>
          <w:p w14:paraId="717DFA7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08FFC1B1"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56B657F9"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19EC9C58" w14:textId="77777777">
        <w:trPr>
          <w:jc w:val="center"/>
        </w:trPr>
        <w:tc>
          <w:tcPr>
            <w:tcW w:w="326" w:type="pct"/>
            <w:tcMar>
              <w:left w:w="108" w:type="dxa"/>
              <w:right w:w="108" w:type="dxa"/>
            </w:tcMar>
            <w:vAlign w:val="center"/>
          </w:tcPr>
          <w:p w14:paraId="0EEF3860" w14:textId="77777777" w:rsidR="009219A0" w:rsidRDefault="009219A0">
            <w:pPr>
              <w:pStyle w:val="aff4"/>
              <w:widowControl/>
              <w:numPr>
                <w:ilvl w:val="0"/>
                <w:numId w:val="13"/>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0A5268BC"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合成氨L型HN气压缩机</w:t>
            </w:r>
          </w:p>
        </w:tc>
        <w:tc>
          <w:tcPr>
            <w:tcW w:w="2073" w:type="pct"/>
            <w:tcMar>
              <w:left w:w="108" w:type="dxa"/>
              <w:right w:w="108" w:type="dxa"/>
            </w:tcMar>
            <w:vAlign w:val="center"/>
          </w:tcPr>
          <w:p w14:paraId="1688AE12"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静动密封点多，易泄漏，从二段以后的各段分离设备均为小体积压力容器，检测难度大，安全隐患多且排查治理难度大。润滑点多，润滑油脂易带入后工序的气体内，使介质受到污染而影响工艺生产的稳定，进而影响安全生产。单机能力低，自动化控制程度低，安全性差，操作人员的劳动强度大。</w:t>
            </w:r>
          </w:p>
        </w:tc>
        <w:tc>
          <w:tcPr>
            <w:tcW w:w="451" w:type="pct"/>
            <w:tcMar>
              <w:left w:w="108" w:type="dxa"/>
              <w:right w:w="108" w:type="dxa"/>
            </w:tcMar>
            <w:vAlign w:val="center"/>
          </w:tcPr>
          <w:p w14:paraId="148A9DBE"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24D23427"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2F278380"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5F92139E" w14:textId="77777777">
        <w:trPr>
          <w:jc w:val="center"/>
        </w:trPr>
        <w:tc>
          <w:tcPr>
            <w:tcW w:w="326" w:type="pct"/>
            <w:tcMar>
              <w:left w:w="108" w:type="dxa"/>
              <w:right w:w="108" w:type="dxa"/>
            </w:tcMar>
            <w:vAlign w:val="center"/>
          </w:tcPr>
          <w:p w14:paraId="2536A374" w14:textId="77777777" w:rsidR="009219A0" w:rsidRDefault="009219A0">
            <w:pPr>
              <w:pStyle w:val="aff4"/>
              <w:widowControl/>
              <w:numPr>
                <w:ilvl w:val="0"/>
                <w:numId w:val="13"/>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3C29578E"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硫酸间接法生产仲丁醇</w:t>
            </w:r>
          </w:p>
        </w:tc>
        <w:tc>
          <w:tcPr>
            <w:tcW w:w="2073" w:type="pct"/>
            <w:tcMar>
              <w:left w:w="108" w:type="dxa"/>
              <w:right w:w="108" w:type="dxa"/>
            </w:tcMar>
            <w:vAlign w:val="center"/>
          </w:tcPr>
          <w:p w14:paraId="1910C831"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生产过程中产生大量低浓度废硫酸，对设备腐蚀严重，安全性差。</w:t>
            </w:r>
          </w:p>
        </w:tc>
        <w:tc>
          <w:tcPr>
            <w:tcW w:w="451" w:type="pct"/>
            <w:tcMar>
              <w:left w:w="108" w:type="dxa"/>
              <w:right w:w="108" w:type="dxa"/>
            </w:tcMar>
            <w:vAlign w:val="center"/>
          </w:tcPr>
          <w:p w14:paraId="33DCBEF7"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3696E84A"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565A4190"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2B5162E8" w14:textId="77777777">
        <w:trPr>
          <w:jc w:val="center"/>
        </w:trPr>
        <w:tc>
          <w:tcPr>
            <w:tcW w:w="326" w:type="pct"/>
            <w:tcMar>
              <w:left w:w="108" w:type="dxa"/>
              <w:right w:w="108" w:type="dxa"/>
            </w:tcMar>
            <w:vAlign w:val="center"/>
          </w:tcPr>
          <w:p w14:paraId="02077A3B" w14:textId="77777777" w:rsidR="009219A0" w:rsidRDefault="009219A0">
            <w:pPr>
              <w:pStyle w:val="aff4"/>
              <w:widowControl/>
              <w:numPr>
                <w:ilvl w:val="0"/>
                <w:numId w:val="13"/>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73E8D723"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液氯</w:t>
            </w:r>
            <w:proofErr w:type="gramStart"/>
            <w:r>
              <w:rPr>
                <w:rFonts w:ascii="宋体" w:hAnsi="宋体" w:hint="eastAsia"/>
                <w:bCs/>
                <w:sz w:val="21"/>
                <w:szCs w:val="21"/>
              </w:rPr>
              <w:t>釜</w:t>
            </w:r>
            <w:proofErr w:type="gramEnd"/>
            <w:r>
              <w:rPr>
                <w:rFonts w:ascii="宋体" w:hAnsi="宋体" w:hint="eastAsia"/>
                <w:bCs/>
                <w:sz w:val="21"/>
                <w:szCs w:val="21"/>
              </w:rPr>
              <w:t>式汽化工艺</w:t>
            </w:r>
          </w:p>
        </w:tc>
        <w:tc>
          <w:tcPr>
            <w:tcW w:w="2073" w:type="pct"/>
            <w:tcMar>
              <w:left w:w="108" w:type="dxa"/>
              <w:right w:w="108" w:type="dxa"/>
            </w:tcMar>
            <w:vAlign w:val="center"/>
          </w:tcPr>
          <w:p w14:paraId="46925247" w14:textId="77777777" w:rsidR="009219A0" w:rsidRDefault="00000000">
            <w:pPr>
              <w:widowControl/>
              <w:adjustRightInd/>
              <w:snapToGrid/>
              <w:spacing w:line="240" w:lineRule="auto"/>
              <w:ind w:firstLineChars="0" w:firstLine="0"/>
              <w:jc w:val="left"/>
              <w:rPr>
                <w:rFonts w:ascii="宋体" w:hAnsi="宋体" w:hint="eastAsia"/>
                <w:bCs/>
                <w:sz w:val="21"/>
                <w:szCs w:val="21"/>
              </w:rPr>
            </w:pPr>
            <w:proofErr w:type="gramStart"/>
            <w:r>
              <w:rPr>
                <w:rFonts w:ascii="宋体" w:hAnsi="宋体" w:hint="eastAsia"/>
                <w:bCs/>
                <w:sz w:val="21"/>
                <w:szCs w:val="21"/>
              </w:rPr>
              <w:t>釜</w:t>
            </w:r>
            <w:proofErr w:type="gramEnd"/>
            <w:r>
              <w:rPr>
                <w:rFonts w:ascii="宋体" w:hAnsi="宋体" w:hint="eastAsia"/>
                <w:bCs/>
                <w:sz w:val="21"/>
                <w:szCs w:val="21"/>
              </w:rPr>
              <w:t>式汽化器中三氯化氮易积累，到一定程度后会产生自爆。</w:t>
            </w:r>
          </w:p>
        </w:tc>
        <w:tc>
          <w:tcPr>
            <w:tcW w:w="451" w:type="pct"/>
            <w:tcMar>
              <w:left w:w="108" w:type="dxa"/>
              <w:right w:w="108" w:type="dxa"/>
            </w:tcMar>
            <w:vAlign w:val="center"/>
          </w:tcPr>
          <w:p w14:paraId="766B423C"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0BD8ECD7"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1C029D18"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441B356F" w14:textId="77777777">
        <w:trPr>
          <w:jc w:val="center"/>
        </w:trPr>
        <w:tc>
          <w:tcPr>
            <w:tcW w:w="326" w:type="pct"/>
            <w:tcMar>
              <w:left w:w="108" w:type="dxa"/>
              <w:right w:w="108" w:type="dxa"/>
            </w:tcMar>
            <w:vAlign w:val="center"/>
          </w:tcPr>
          <w:p w14:paraId="6C4C392B" w14:textId="77777777" w:rsidR="009219A0" w:rsidRDefault="009219A0">
            <w:pPr>
              <w:pStyle w:val="aff4"/>
              <w:widowControl/>
              <w:numPr>
                <w:ilvl w:val="0"/>
                <w:numId w:val="13"/>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433A0D20"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液氯压料包装工艺</w:t>
            </w:r>
          </w:p>
        </w:tc>
        <w:tc>
          <w:tcPr>
            <w:tcW w:w="2073" w:type="pct"/>
            <w:tcMar>
              <w:left w:w="108" w:type="dxa"/>
              <w:right w:w="108" w:type="dxa"/>
            </w:tcMar>
            <w:vAlign w:val="center"/>
          </w:tcPr>
          <w:p w14:paraId="25164AA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液氯储槽加压时，整个储液氯的设备承受压力，一旦操作失误或设备承压能力受限设备失效时，</w:t>
            </w:r>
            <w:proofErr w:type="gramStart"/>
            <w:r>
              <w:rPr>
                <w:rFonts w:ascii="宋体" w:hAnsi="宋体" w:hint="eastAsia"/>
                <w:bCs/>
                <w:sz w:val="21"/>
                <w:szCs w:val="21"/>
              </w:rPr>
              <w:t>整罐的</w:t>
            </w:r>
            <w:proofErr w:type="gramEnd"/>
            <w:r>
              <w:rPr>
                <w:rFonts w:ascii="宋体" w:hAnsi="宋体" w:hint="eastAsia"/>
                <w:bCs/>
                <w:sz w:val="21"/>
                <w:szCs w:val="21"/>
              </w:rPr>
              <w:t>液氯有失控的危险；如果空气含有</w:t>
            </w:r>
            <w:proofErr w:type="gramStart"/>
            <w:r>
              <w:rPr>
                <w:rFonts w:ascii="宋体" w:hAnsi="宋体" w:hint="eastAsia"/>
                <w:bCs/>
                <w:sz w:val="21"/>
                <w:szCs w:val="21"/>
              </w:rPr>
              <w:t>水份</w:t>
            </w:r>
            <w:proofErr w:type="gramEnd"/>
            <w:r>
              <w:rPr>
                <w:rFonts w:ascii="宋体" w:hAnsi="宋体" w:hint="eastAsia"/>
                <w:bCs/>
                <w:sz w:val="21"/>
                <w:szCs w:val="21"/>
              </w:rPr>
              <w:t>，则对相关设备造成较大腐蚀；</w:t>
            </w:r>
            <w:proofErr w:type="gramStart"/>
            <w:r>
              <w:rPr>
                <w:rFonts w:ascii="宋体" w:hAnsi="宋体" w:hint="eastAsia"/>
                <w:bCs/>
                <w:sz w:val="21"/>
                <w:szCs w:val="21"/>
              </w:rPr>
              <w:t>釜</w:t>
            </w:r>
            <w:proofErr w:type="gramEnd"/>
            <w:r>
              <w:rPr>
                <w:rFonts w:ascii="宋体" w:hAnsi="宋体" w:hint="eastAsia"/>
                <w:bCs/>
                <w:sz w:val="21"/>
                <w:szCs w:val="21"/>
              </w:rPr>
              <w:t>式气化使，三氯化氮积累有爆炸危险。</w:t>
            </w:r>
          </w:p>
        </w:tc>
        <w:tc>
          <w:tcPr>
            <w:tcW w:w="451" w:type="pct"/>
            <w:tcMar>
              <w:left w:w="108" w:type="dxa"/>
              <w:right w:w="108" w:type="dxa"/>
            </w:tcMar>
            <w:vAlign w:val="center"/>
          </w:tcPr>
          <w:p w14:paraId="633BEF0B"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0D4E602D"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12CC5666"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731203DD" w14:textId="77777777">
        <w:trPr>
          <w:jc w:val="center"/>
        </w:trPr>
        <w:tc>
          <w:tcPr>
            <w:tcW w:w="326" w:type="pct"/>
            <w:tcMar>
              <w:left w:w="108" w:type="dxa"/>
              <w:right w:w="108" w:type="dxa"/>
            </w:tcMar>
            <w:vAlign w:val="center"/>
          </w:tcPr>
          <w:p w14:paraId="62DDCDDF" w14:textId="77777777" w:rsidR="009219A0" w:rsidRDefault="009219A0">
            <w:pPr>
              <w:pStyle w:val="aff4"/>
              <w:widowControl/>
              <w:numPr>
                <w:ilvl w:val="0"/>
                <w:numId w:val="13"/>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722FC916"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5-氯-2-甲基苯胺铁粉还原工艺设备</w:t>
            </w:r>
          </w:p>
        </w:tc>
        <w:tc>
          <w:tcPr>
            <w:tcW w:w="2073" w:type="pct"/>
            <w:tcMar>
              <w:left w:w="108" w:type="dxa"/>
              <w:right w:w="108" w:type="dxa"/>
            </w:tcMar>
            <w:vAlign w:val="center"/>
          </w:tcPr>
          <w:p w14:paraId="2E425278"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生产环境较差，容易导致工人中毒等职业病危害。</w:t>
            </w:r>
          </w:p>
        </w:tc>
        <w:tc>
          <w:tcPr>
            <w:tcW w:w="451" w:type="pct"/>
            <w:tcMar>
              <w:left w:w="108" w:type="dxa"/>
              <w:right w:w="108" w:type="dxa"/>
            </w:tcMar>
            <w:vAlign w:val="center"/>
          </w:tcPr>
          <w:p w14:paraId="41629AA3"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7ED33F45"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092F3507"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4C8E78E5" w14:textId="77777777">
        <w:trPr>
          <w:jc w:val="center"/>
        </w:trPr>
        <w:tc>
          <w:tcPr>
            <w:tcW w:w="326" w:type="pct"/>
            <w:tcMar>
              <w:left w:w="108" w:type="dxa"/>
              <w:right w:w="108" w:type="dxa"/>
            </w:tcMar>
            <w:vAlign w:val="center"/>
          </w:tcPr>
          <w:p w14:paraId="152B2994" w14:textId="77777777" w:rsidR="009219A0" w:rsidRDefault="009219A0">
            <w:pPr>
              <w:pStyle w:val="aff4"/>
              <w:widowControl/>
              <w:numPr>
                <w:ilvl w:val="0"/>
                <w:numId w:val="13"/>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33E6C2A5" w14:textId="77777777" w:rsidR="009219A0" w:rsidRDefault="00000000">
            <w:pPr>
              <w:widowControl/>
              <w:adjustRightInd/>
              <w:snapToGrid/>
              <w:spacing w:line="240" w:lineRule="auto"/>
              <w:ind w:firstLineChars="0" w:firstLine="0"/>
              <w:jc w:val="left"/>
              <w:rPr>
                <w:rFonts w:ascii="宋体" w:hAnsi="宋体" w:hint="eastAsia"/>
                <w:bCs/>
                <w:sz w:val="21"/>
                <w:szCs w:val="21"/>
              </w:rPr>
            </w:pPr>
            <w:proofErr w:type="gramStart"/>
            <w:r>
              <w:rPr>
                <w:rFonts w:ascii="宋体" w:hAnsi="宋体" w:hint="eastAsia"/>
                <w:bCs/>
                <w:sz w:val="21"/>
                <w:szCs w:val="21"/>
              </w:rPr>
              <w:t>釜</w:t>
            </w:r>
            <w:proofErr w:type="gramEnd"/>
            <w:r>
              <w:rPr>
                <w:rFonts w:ascii="宋体" w:hAnsi="宋体" w:hint="eastAsia"/>
                <w:bCs/>
                <w:sz w:val="21"/>
                <w:szCs w:val="21"/>
              </w:rPr>
              <w:t>式夹套加热液氯气化工艺</w:t>
            </w:r>
          </w:p>
        </w:tc>
        <w:tc>
          <w:tcPr>
            <w:tcW w:w="2073" w:type="pct"/>
            <w:tcMar>
              <w:left w:w="108" w:type="dxa"/>
              <w:right w:w="108" w:type="dxa"/>
            </w:tcMar>
            <w:vAlign w:val="center"/>
          </w:tcPr>
          <w:p w14:paraId="36C61067" w14:textId="77777777" w:rsidR="009219A0" w:rsidRDefault="00000000">
            <w:pPr>
              <w:widowControl/>
              <w:adjustRightInd/>
              <w:snapToGrid/>
              <w:spacing w:line="240" w:lineRule="auto"/>
              <w:ind w:firstLineChars="0" w:firstLine="0"/>
              <w:jc w:val="left"/>
              <w:rPr>
                <w:rFonts w:ascii="宋体" w:hAnsi="宋体" w:hint="eastAsia"/>
                <w:bCs/>
                <w:sz w:val="21"/>
                <w:szCs w:val="21"/>
              </w:rPr>
            </w:pPr>
            <w:proofErr w:type="gramStart"/>
            <w:r>
              <w:rPr>
                <w:rFonts w:ascii="宋体" w:hAnsi="宋体" w:hint="eastAsia"/>
                <w:bCs/>
                <w:sz w:val="21"/>
                <w:szCs w:val="21"/>
              </w:rPr>
              <w:t>釜</w:t>
            </w:r>
            <w:proofErr w:type="gramEnd"/>
            <w:r>
              <w:rPr>
                <w:rFonts w:ascii="宋体" w:hAnsi="宋体" w:hint="eastAsia"/>
                <w:bCs/>
                <w:sz w:val="21"/>
                <w:szCs w:val="21"/>
              </w:rPr>
              <w:t>式夹套加热技术流速低，三氯化氮容易积累，易有爆炸危险。</w:t>
            </w:r>
          </w:p>
        </w:tc>
        <w:tc>
          <w:tcPr>
            <w:tcW w:w="451" w:type="pct"/>
            <w:tcMar>
              <w:left w:w="108" w:type="dxa"/>
              <w:right w:w="108" w:type="dxa"/>
            </w:tcMar>
            <w:vAlign w:val="center"/>
          </w:tcPr>
          <w:p w14:paraId="67701EC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535A8114"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5216B79A"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339F075D" w14:textId="77777777">
        <w:trPr>
          <w:jc w:val="center"/>
        </w:trPr>
        <w:tc>
          <w:tcPr>
            <w:tcW w:w="326" w:type="pct"/>
            <w:tcMar>
              <w:left w:w="108" w:type="dxa"/>
              <w:right w:w="108" w:type="dxa"/>
            </w:tcMar>
            <w:vAlign w:val="center"/>
          </w:tcPr>
          <w:p w14:paraId="10C0BCE4" w14:textId="77777777" w:rsidR="009219A0" w:rsidRDefault="009219A0">
            <w:pPr>
              <w:pStyle w:val="aff4"/>
              <w:widowControl/>
              <w:numPr>
                <w:ilvl w:val="0"/>
                <w:numId w:val="13"/>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4D1B262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液氯钢瓶手动充装设备</w:t>
            </w:r>
          </w:p>
        </w:tc>
        <w:tc>
          <w:tcPr>
            <w:tcW w:w="2073" w:type="pct"/>
            <w:tcMar>
              <w:left w:w="108" w:type="dxa"/>
              <w:right w:w="108" w:type="dxa"/>
            </w:tcMar>
            <w:vAlign w:val="center"/>
          </w:tcPr>
          <w:p w14:paraId="2594AB1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手动充装易误操作导致泄漏或钢瓶爆炸。</w:t>
            </w:r>
          </w:p>
        </w:tc>
        <w:tc>
          <w:tcPr>
            <w:tcW w:w="451" w:type="pct"/>
            <w:tcMar>
              <w:left w:w="108" w:type="dxa"/>
              <w:right w:w="108" w:type="dxa"/>
            </w:tcMar>
            <w:vAlign w:val="center"/>
          </w:tcPr>
          <w:p w14:paraId="53759A21"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61A6C3F8"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55B8F515"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1B633B8C" w14:textId="77777777">
        <w:trPr>
          <w:jc w:val="center"/>
        </w:trPr>
        <w:tc>
          <w:tcPr>
            <w:tcW w:w="326" w:type="pct"/>
            <w:tcMar>
              <w:left w:w="108" w:type="dxa"/>
              <w:right w:w="108" w:type="dxa"/>
            </w:tcMar>
            <w:vAlign w:val="center"/>
          </w:tcPr>
          <w:p w14:paraId="76EA415D" w14:textId="77777777" w:rsidR="009219A0" w:rsidRDefault="009219A0">
            <w:pPr>
              <w:pStyle w:val="aff4"/>
              <w:widowControl/>
              <w:numPr>
                <w:ilvl w:val="0"/>
                <w:numId w:val="13"/>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13DA9109"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三足式离心机</w:t>
            </w:r>
          </w:p>
        </w:tc>
        <w:tc>
          <w:tcPr>
            <w:tcW w:w="2073" w:type="pct"/>
            <w:tcMar>
              <w:left w:w="108" w:type="dxa"/>
              <w:right w:w="108" w:type="dxa"/>
            </w:tcMar>
            <w:vAlign w:val="center"/>
          </w:tcPr>
          <w:p w14:paraId="42FAD0AC"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开放式操作设备，易产生震动、挤压、物料喷溅等危险，安全系数较低。</w:t>
            </w:r>
          </w:p>
        </w:tc>
        <w:tc>
          <w:tcPr>
            <w:tcW w:w="451" w:type="pct"/>
            <w:tcMar>
              <w:left w:w="108" w:type="dxa"/>
              <w:right w:w="108" w:type="dxa"/>
            </w:tcMar>
            <w:vAlign w:val="center"/>
          </w:tcPr>
          <w:p w14:paraId="2B243E7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287DF962"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03D4F262"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5F8A9C1D" w14:textId="77777777">
        <w:trPr>
          <w:jc w:val="center"/>
        </w:trPr>
        <w:tc>
          <w:tcPr>
            <w:tcW w:w="326" w:type="pct"/>
            <w:tcMar>
              <w:left w:w="108" w:type="dxa"/>
              <w:right w:w="108" w:type="dxa"/>
            </w:tcMar>
            <w:vAlign w:val="center"/>
          </w:tcPr>
          <w:p w14:paraId="48F02833" w14:textId="77777777" w:rsidR="009219A0" w:rsidRDefault="009219A0">
            <w:pPr>
              <w:pStyle w:val="aff4"/>
              <w:widowControl/>
              <w:numPr>
                <w:ilvl w:val="0"/>
                <w:numId w:val="13"/>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40430B29"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爆竹生产的</w:t>
            </w:r>
            <w:proofErr w:type="gramStart"/>
            <w:r>
              <w:rPr>
                <w:rFonts w:ascii="宋体" w:hAnsi="宋体" w:hint="eastAsia"/>
                <w:bCs/>
                <w:sz w:val="21"/>
                <w:szCs w:val="21"/>
              </w:rPr>
              <w:t>带药插引</w:t>
            </w:r>
            <w:proofErr w:type="gramEnd"/>
          </w:p>
        </w:tc>
        <w:tc>
          <w:tcPr>
            <w:tcW w:w="2073" w:type="pct"/>
            <w:tcMar>
              <w:left w:w="108" w:type="dxa"/>
              <w:right w:w="108" w:type="dxa"/>
            </w:tcMar>
            <w:vAlign w:val="center"/>
          </w:tcPr>
          <w:p w14:paraId="67100D8B"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人与药物直接接触，现场存药量大，极易发生燃烧和爆炸，造成人员伤亡。</w:t>
            </w:r>
          </w:p>
        </w:tc>
        <w:tc>
          <w:tcPr>
            <w:tcW w:w="451" w:type="pct"/>
            <w:tcMar>
              <w:left w:w="108" w:type="dxa"/>
              <w:right w:w="108" w:type="dxa"/>
            </w:tcMar>
            <w:vAlign w:val="center"/>
          </w:tcPr>
          <w:p w14:paraId="6DE46BAE"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6F03D869"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01922B0F"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04482314" w14:textId="77777777">
        <w:trPr>
          <w:jc w:val="center"/>
        </w:trPr>
        <w:tc>
          <w:tcPr>
            <w:tcW w:w="326" w:type="pct"/>
            <w:tcMar>
              <w:left w:w="108" w:type="dxa"/>
              <w:right w:w="108" w:type="dxa"/>
            </w:tcMar>
            <w:vAlign w:val="center"/>
          </w:tcPr>
          <w:p w14:paraId="6393F12E" w14:textId="77777777" w:rsidR="009219A0" w:rsidRDefault="009219A0">
            <w:pPr>
              <w:pStyle w:val="aff4"/>
              <w:widowControl/>
              <w:numPr>
                <w:ilvl w:val="0"/>
                <w:numId w:val="13"/>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3D98658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爆竹生产的手工混装药</w:t>
            </w:r>
          </w:p>
        </w:tc>
        <w:tc>
          <w:tcPr>
            <w:tcW w:w="2073" w:type="pct"/>
            <w:tcMar>
              <w:left w:w="108" w:type="dxa"/>
              <w:right w:w="108" w:type="dxa"/>
            </w:tcMar>
            <w:vAlign w:val="center"/>
          </w:tcPr>
          <w:p w14:paraId="1A7CA505"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人与药物直接接触，现场存药量大，极易发生燃烧和爆炸，造成人员伤亡。</w:t>
            </w:r>
          </w:p>
        </w:tc>
        <w:tc>
          <w:tcPr>
            <w:tcW w:w="451" w:type="pct"/>
            <w:tcMar>
              <w:left w:w="108" w:type="dxa"/>
              <w:right w:w="108" w:type="dxa"/>
            </w:tcMar>
            <w:vAlign w:val="center"/>
          </w:tcPr>
          <w:p w14:paraId="3AD37FA4"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5ED493B6"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1C33A4DB"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007E474B" w14:textId="77777777">
        <w:trPr>
          <w:jc w:val="center"/>
        </w:trPr>
        <w:tc>
          <w:tcPr>
            <w:tcW w:w="5000" w:type="pct"/>
            <w:gridSpan w:val="6"/>
            <w:tcMar>
              <w:left w:w="108" w:type="dxa"/>
              <w:right w:w="108" w:type="dxa"/>
            </w:tcMar>
            <w:vAlign w:val="center"/>
          </w:tcPr>
          <w:p w14:paraId="5E766E9C" w14:textId="77777777" w:rsidR="009219A0" w:rsidRDefault="00000000">
            <w:pPr>
              <w:widowControl/>
              <w:adjustRightInd/>
              <w:snapToGrid/>
              <w:spacing w:line="240" w:lineRule="auto"/>
              <w:ind w:firstLineChars="0" w:firstLine="0"/>
              <w:jc w:val="left"/>
              <w:rPr>
                <w:rFonts w:ascii="宋体" w:hAnsi="宋体" w:cs="宋体" w:hint="eastAsia"/>
                <w:b/>
                <w:bCs/>
                <w:color w:val="444444"/>
                <w:kern w:val="0"/>
                <w:sz w:val="21"/>
                <w:szCs w:val="21"/>
                <w:lang w:bidi="ar"/>
              </w:rPr>
            </w:pPr>
            <w:r>
              <w:rPr>
                <w:rFonts w:ascii="宋体" w:hAnsi="宋体" w:hint="eastAsia"/>
                <w:b/>
                <w:sz w:val="21"/>
                <w:szCs w:val="21"/>
              </w:rPr>
              <w:t>三、冶金领域（4项）</w:t>
            </w:r>
          </w:p>
        </w:tc>
      </w:tr>
      <w:tr w:rsidR="009219A0" w14:paraId="533AAFC0" w14:textId="77777777">
        <w:trPr>
          <w:jc w:val="center"/>
        </w:trPr>
        <w:tc>
          <w:tcPr>
            <w:tcW w:w="326" w:type="pct"/>
            <w:tcMar>
              <w:left w:w="108" w:type="dxa"/>
              <w:right w:w="108" w:type="dxa"/>
            </w:tcMar>
            <w:vAlign w:val="center"/>
          </w:tcPr>
          <w:p w14:paraId="0781BBF3" w14:textId="77777777" w:rsidR="009219A0" w:rsidRDefault="009219A0">
            <w:pPr>
              <w:pStyle w:val="aff4"/>
              <w:widowControl/>
              <w:numPr>
                <w:ilvl w:val="0"/>
                <w:numId w:val="14"/>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1714197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热处理工艺井式热处理电炉</w:t>
            </w:r>
          </w:p>
        </w:tc>
        <w:tc>
          <w:tcPr>
            <w:tcW w:w="2073" w:type="pct"/>
            <w:tcMar>
              <w:left w:w="108" w:type="dxa"/>
              <w:right w:w="108" w:type="dxa"/>
            </w:tcMar>
            <w:vAlign w:val="center"/>
          </w:tcPr>
          <w:p w14:paraId="7922CF4C"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电炉在“固溶—淬火—回火”转换期间，需要人工将产品用行车吊出放入另一个炉中，安全性差。</w:t>
            </w:r>
          </w:p>
        </w:tc>
        <w:tc>
          <w:tcPr>
            <w:tcW w:w="451" w:type="pct"/>
            <w:tcMar>
              <w:left w:w="108" w:type="dxa"/>
              <w:right w:w="108" w:type="dxa"/>
            </w:tcMar>
            <w:vAlign w:val="center"/>
          </w:tcPr>
          <w:p w14:paraId="47779AF8"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5281042B"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3A89CAED"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61C314B4" w14:textId="77777777">
        <w:trPr>
          <w:jc w:val="center"/>
        </w:trPr>
        <w:tc>
          <w:tcPr>
            <w:tcW w:w="326" w:type="pct"/>
            <w:tcMar>
              <w:left w:w="108" w:type="dxa"/>
              <w:right w:w="108" w:type="dxa"/>
            </w:tcMar>
            <w:vAlign w:val="center"/>
          </w:tcPr>
          <w:p w14:paraId="0D7547CC" w14:textId="77777777" w:rsidR="009219A0" w:rsidRDefault="009219A0">
            <w:pPr>
              <w:pStyle w:val="aff4"/>
              <w:widowControl/>
              <w:numPr>
                <w:ilvl w:val="0"/>
                <w:numId w:val="14"/>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675017E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3.8m 及以下的捣固焦炉</w:t>
            </w:r>
          </w:p>
        </w:tc>
        <w:tc>
          <w:tcPr>
            <w:tcW w:w="2073" w:type="pct"/>
            <w:tcMar>
              <w:left w:w="108" w:type="dxa"/>
              <w:right w:w="108" w:type="dxa"/>
            </w:tcMar>
            <w:vAlign w:val="center"/>
          </w:tcPr>
          <w:p w14:paraId="06B2CF7E"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3.8m 及以下焦炉站点面积大、能耗大，安全性差。</w:t>
            </w:r>
          </w:p>
        </w:tc>
        <w:tc>
          <w:tcPr>
            <w:tcW w:w="451" w:type="pct"/>
            <w:tcMar>
              <w:left w:w="108" w:type="dxa"/>
              <w:right w:w="108" w:type="dxa"/>
            </w:tcMar>
            <w:vAlign w:val="center"/>
          </w:tcPr>
          <w:p w14:paraId="14CED9E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5E8B7266"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26B0A552"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76E11A67" w14:textId="77777777">
        <w:trPr>
          <w:jc w:val="center"/>
        </w:trPr>
        <w:tc>
          <w:tcPr>
            <w:tcW w:w="326" w:type="pct"/>
            <w:tcMar>
              <w:left w:w="108" w:type="dxa"/>
              <w:right w:w="108" w:type="dxa"/>
            </w:tcMar>
            <w:vAlign w:val="center"/>
          </w:tcPr>
          <w:p w14:paraId="13FE1609" w14:textId="77777777" w:rsidR="009219A0" w:rsidRDefault="009219A0">
            <w:pPr>
              <w:pStyle w:val="aff4"/>
              <w:widowControl/>
              <w:numPr>
                <w:ilvl w:val="0"/>
                <w:numId w:val="14"/>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15A0062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制氧作业区板式工艺流程；制氧1#、</w:t>
            </w:r>
            <w:r>
              <w:rPr>
                <w:rFonts w:ascii="宋体" w:hAnsi="宋体" w:hint="eastAsia"/>
                <w:bCs/>
                <w:sz w:val="21"/>
                <w:szCs w:val="21"/>
              </w:rPr>
              <w:lastRenderedPageBreak/>
              <w:t>2#机组</w:t>
            </w:r>
          </w:p>
        </w:tc>
        <w:tc>
          <w:tcPr>
            <w:tcW w:w="2073" w:type="pct"/>
            <w:tcMar>
              <w:left w:w="108" w:type="dxa"/>
              <w:right w:w="108" w:type="dxa"/>
            </w:tcMar>
            <w:vAlign w:val="center"/>
          </w:tcPr>
          <w:p w14:paraId="3719BAF3"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lastRenderedPageBreak/>
              <w:t>空分碳氢化合物清除不彻底，主</w:t>
            </w:r>
            <w:proofErr w:type="gramStart"/>
            <w:r>
              <w:rPr>
                <w:rFonts w:ascii="宋体" w:hAnsi="宋体" w:hint="eastAsia"/>
                <w:bCs/>
                <w:sz w:val="21"/>
                <w:szCs w:val="21"/>
              </w:rPr>
              <w:t>冷总碳易</w:t>
            </w:r>
            <w:proofErr w:type="gramEnd"/>
            <w:r>
              <w:rPr>
                <w:rFonts w:ascii="宋体" w:hAnsi="宋体" w:hint="eastAsia"/>
                <w:bCs/>
                <w:sz w:val="21"/>
                <w:szCs w:val="21"/>
              </w:rPr>
              <w:t>超标，存在严重的安全隐患。板式流程操作繁琐，自动化改造困难，工艺复</w:t>
            </w:r>
            <w:r>
              <w:rPr>
                <w:rFonts w:ascii="宋体" w:hAnsi="宋体" w:hint="eastAsia"/>
                <w:bCs/>
                <w:sz w:val="21"/>
                <w:szCs w:val="21"/>
              </w:rPr>
              <w:lastRenderedPageBreak/>
              <w:t>杂，操作难度大。附属设备多，安全隐患多。</w:t>
            </w:r>
          </w:p>
        </w:tc>
        <w:tc>
          <w:tcPr>
            <w:tcW w:w="451" w:type="pct"/>
            <w:tcMar>
              <w:left w:w="108" w:type="dxa"/>
              <w:right w:w="108" w:type="dxa"/>
            </w:tcMar>
            <w:vAlign w:val="center"/>
          </w:tcPr>
          <w:p w14:paraId="7125C481"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lastRenderedPageBreak/>
              <w:t>禁止</w:t>
            </w:r>
          </w:p>
        </w:tc>
        <w:tc>
          <w:tcPr>
            <w:tcW w:w="883" w:type="pct"/>
            <w:tcMar>
              <w:left w:w="108" w:type="dxa"/>
              <w:right w:w="108" w:type="dxa"/>
            </w:tcMar>
            <w:vAlign w:val="center"/>
          </w:tcPr>
          <w:p w14:paraId="50F08CF6"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375C9C33"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27DCCB25" w14:textId="77777777">
        <w:trPr>
          <w:jc w:val="center"/>
        </w:trPr>
        <w:tc>
          <w:tcPr>
            <w:tcW w:w="326" w:type="pct"/>
            <w:tcMar>
              <w:left w:w="108" w:type="dxa"/>
              <w:right w:w="108" w:type="dxa"/>
            </w:tcMar>
            <w:vAlign w:val="center"/>
          </w:tcPr>
          <w:p w14:paraId="34BEE55E" w14:textId="77777777" w:rsidR="009219A0" w:rsidRDefault="009219A0">
            <w:pPr>
              <w:pStyle w:val="aff4"/>
              <w:widowControl/>
              <w:numPr>
                <w:ilvl w:val="0"/>
                <w:numId w:val="14"/>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1A721C0B"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铝合金盐浴槽淬火工艺</w:t>
            </w:r>
          </w:p>
        </w:tc>
        <w:tc>
          <w:tcPr>
            <w:tcW w:w="2073" w:type="pct"/>
            <w:tcMar>
              <w:left w:w="108" w:type="dxa"/>
              <w:right w:w="108" w:type="dxa"/>
            </w:tcMar>
            <w:vAlign w:val="center"/>
          </w:tcPr>
          <w:p w14:paraId="26AAA41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生产过程中所用的亚硝酸盐遇水或者高温时可能发生爆炸，造成生产安全事故。</w:t>
            </w:r>
          </w:p>
        </w:tc>
        <w:tc>
          <w:tcPr>
            <w:tcW w:w="451" w:type="pct"/>
            <w:tcMar>
              <w:left w:w="108" w:type="dxa"/>
              <w:right w:w="108" w:type="dxa"/>
            </w:tcMar>
            <w:vAlign w:val="center"/>
          </w:tcPr>
          <w:p w14:paraId="7B66EFBB"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限制</w:t>
            </w:r>
          </w:p>
        </w:tc>
        <w:tc>
          <w:tcPr>
            <w:tcW w:w="883" w:type="pct"/>
            <w:tcMar>
              <w:left w:w="108" w:type="dxa"/>
              <w:right w:w="108" w:type="dxa"/>
            </w:tcMar>
            <w:vAlign w:val="center"/>
          </w:tcPr>
          <w:p w14:paraId="3707DB29"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军工及航空航天产品允许使用该工艺</w:t>
            </w:r>
          </w:p>
        </w:tc>
        <w:tc>
          <w:tcPr>
            <w:tcW w:w="466" w:type="pct"/>
            <w:tcMar>
              <w:left w:w="108" w:type="dxa"/>
              <w:right w:w="108" w:type="dxa"/>
            </w:tcMar>
            <w:vAlign w:val="center"/>
          </w:tcPr>
          <w:p w14:paraId="436F820B"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6D8900A3" w14:textId="77777777">
        <w:trPr>
          <w:jc w:val="center"/>
        </w:trPr>
        <w:tc>
          <w:tcPr>
            <w:tcW w:w="5000" w:type="pct"/>
            <w:gridSpan w:val="6"/>
            <w:tcMar>
              <w:left w:w="108" w:type="dxa"/>
              <w:right w:w="108" w:type="dxa"/>
            </w:tcMar>
            <w:vAlign w:val="center"/>
          </w:tcPr>
          <w:p w14:paraId="5C6A1A8A" w14:textId="77777777" w:rsidR="009219A0" w:rsidRDefault="00000000">
            <w:pPr>
              <w:widowControl/>
              <w:adjustRightInd/>
              <w:snapToGrid/>
              <w:spacing w:line="240" w:lineRule="auto"/>
              <w:ind w:firstLineChars="0" w:firstLine="0"/>
              <w:jc w:val="left"/>
              <w:rPr>
                <w:rFonts w:ascii="宋体" w:hAnsi="宋体" w:cs="宋体" w:hint="eastAsia"/>
                <w:b/>
                <w:bCs/>
                <w:color w:val="444444"/>
                <w:kern w:val="0"/>
                <w:sz w:val="21"/>
                <w:szCs w:val="21"/>
                <w:lang w:bidi="ar"/>
              </w:rPr>
            </w:pPr>
            <w:r>
              <w:rPr>
                <w:rFonts w:ascii="宋体" w:hAnsi="宋体" w:hint="eastAsia"/>
                <w:b/>
                <w:sz w:val="21"/>
                <w:szCs w:val="21"/>
              </w:rPr>
              <w:t>四、职业健康领域（4项）</w:t>
            </w:r>
          </w:p>
        </w:tc>
      </w:tr>
      <w:tr w:rsidR="009219A0" w14:paraId="59A9E6E5" w14:textId="77777777">
        <w:trPr>
          <w:jc w:val="center"/>
        </w:trPr>
        <w:tc>
          <w:tcPr>
            <w:tcW w:w="326" w:type="pct"/>
            <w:tcMar>
              <w:left w:w="108" w:type="dxa"/>
              <w:right w:w="108" w:type="dxa"/>
            </w:tcMar>
            <w:vAlign w:val="center"/>
          </w:tcPr>
          <w:p w14:paraId="3BEA6B9F" w14:textId="77777777" w:rsidR="009219A0" w:rsidRDefault="009219A0">
            <w:pPr>
              <w:pStyle w:val="aff4"/>
              <w:widowControl/>
              <w:numPr>
                <w:ilvl w:val="0"/>
                <w:numId w:val="15"/>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2B2F76B9"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不带除尘的</w:t>
            </w:r>
            <w:proofErr w:type="gramStart"/>
            <w:r>
              <w:rPr>
                <w:rFonts w:ascii="宋体" w:hAnsi="宋体" w:hint="eastAsia"/>
                <w:bCs/>
                <w:sz w:val="21"/>
                <w:szCs w:val="21"/>
              </w:rPr>
              <w:t>砂轮机</w:t>
            </w:r>
            <w:proofErr w:type="gramEnd"/>
          </w:p>
        </w:tc>
        <w:tc>
          <w:tcPr>
            <w:tcW w:w="2073" w:type="pct"/>
            <w:tcMar>
              <w:left w:w="108" w:type="dxa"/>
              <w:right w:w="108" w:type="dxa"/>
            </w:tcMar>
            <w:vAlign w:val="center"/>
          </w:tcPr>
          <w:p w14:paraId="56EA6761"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在抛光、机械加工企业，在打磨作业过程中会造成大量的粉尘，如打磨铝、镁等物品会产生大量的可燃爆粉尘。在原有设备上加装除尘设备进行改装，可能会造成设备存在安全隐患，达不到安全技术要求。</w:t>
            </w:r>
          </w:p>
        </w:tc>
        <w:tc>
          <w:tcPr>
            <w:tcW w:w="451" w:type="pct"/>
            <w:tcMar>
              <w:left w:w="108" w:type="dxa"/>
              <w:right w:w="108" w:type="dxa"/>
            </w:tcMar>
            <w:vAlign w:val="center"/>
          </w:tcPr>
          <w:p w14:paraId="798CDBB6"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2BD5CF67"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448266AD"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41EEE7F0" w14:textId="77777777">
        <w:trPr>
          <w:jc w:val="center"/>
        </w:trPr>
        <w:tc>
          <w:tcPr>
            <w:tcW w:w="326" w:type="pct"/>
            <w:tcMar>
              <w:left w:w="108" w:type="dxa"/>
              <w:right w:w="108" w:type="dxa"/>
            </w:tcMar>
            <w:vAlign w:val="center"/>
          </w:tcPr>
          <w:p w14:paraId="660BB62E" w14:textId="77777777" w:rsidR="009219A0" w:rsidRDefault="009219A0">
            <w:pPr>
              <w:pStyle w:val="aff4"/>
              <w:widowControl/>
              <w:numPr>
                <w:ilvl w:val="0"/>
                <w:numId w:val="15"/>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6A58FE7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无密闭无除尘的干法石棉选矿工艺</w:t>
            </w:r>
          </w:p>
        </w:tc>
        <w:tc>
          <w:tcPr>
            <w:tcW w:w="2073" w:type="pct"/>
            <w:tcMar>
              <w:left w:w="108" w:type="dxa"/>
              <w:right w:w="108" w:type="dxa"/>
            </w:tcMar>
            <w:vAlign w:val="center"/>
          </w:tcPr>
          <w:p w14:paraId="7328044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作业过程中会产生大量高毒粉尘，对作业人员身体健康产生严重损害。</w:t>
            </w:r>
          </w:p>
        </w:tc>
        <w:tc>
          <w:tcPr>
            <w:tcW w:w="451" w:type="pct"/>
            <w:tcMar>
              <w:left w:w="108" w:type="dxa"/>
              <w:right w:w="108" w:type="dxa"/>
            </w:tcMar>
            <w:vAlign w:val="center"/>
          </w:tcPr>
          <w:p w14:paraId="613A310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10789E5C"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7E5FF2B4"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1B66AE92" w14:textId="77777777">
        <w:trPr>
          <w:jc w:val="center"/>
        </w:trPr>
        <w:tc>
          <w:tcPr>
            <w:tcW w:w="326" w:type="pct"/>
            <w:tcMar>
              <w:left w:w="108" w:type="dxa"/>
              <w:right w:w="108" w:type="dxa"/>
            </w:tcMar>
            <w:vAlign w:val="center"/>
          </w:tcPr>
          <w:p w14:paraId="0544C878" w14:textId="77777777" w:rsidR="009219A0" w:rsidRDefault="009219A0">
            <w:pPr>
              <w:pStyle w:val="aff4"/>
              <w:widowControl/>
              <w:numPr>
                <w:ilvl w:val="0"/>
                <w:numId w:val="15"/>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3ACB54BF"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石英砂干法加工工艺</w:t>
            </w:r>
          </w:p>
        </w:tc>
        <w:tc>
          <w:tcPr>
            <w:tcW w:w="2073" w:type="pct"/>
            <w:tcMar>
              <w:left w:w="108" w:type="dxa"/>
              <w:right w:w="108" w:type="dxa"/>
            </w:tcMar>
            <w:vAlign w:val="center"/>
          </w:tcPr>
          <w:p w14:paraId="257F0339"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各级破碎环节容易产生大量粉尘，而石英砂粉尘中游离二氧化硅含量极高，对人体危害很大。</w:t>
            </w:r>
          </w:p>
        </w:tc>
        <w:tc>
          <w:tcPr>
            <w:tcW w:w="451" w:type="pct"/>
            <w:tcMar>
              <w:left w:w="108" w:type="dxa"/>
              <w:right w:w="108" w:type="dxa"/>
            </w:tcMar>
            <w:vAlign w:val="center"/>
          </w:tcPr>
          <w:p w14:paraId="14AB6166"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限制</w:t>
            </w:r>
          </w:p>
        </w:tc>
        <w:tc>
          <w:tcPr>
            <w:tcW w:w="883" w:type="pct"/>
            <w:tcMar>
              <w:left w:w="108" w:type="dxa"/>
              <w:right w:w="108" w:type="dxa"/>
            </w:tcMar>
            <w:vAlign w:val="center"/>
          </w:tcPr>
          <w:p w14:paraId="0DC448AB"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五年内逐步淘汰</w:t>
            </w:r>
          </w:p>
        </w:tc>
        <w:tc>
          <w:tcPr>
            <w:tcW w:w="466" w:type="pct"/>
            <w:tcMar>
              <w:left w:w="108" w:type="dxa"/>
              <w:right w:w="108" w:type="dxa"/>
            </w:tcMar>
            <w:vAlign w:val="center"/>
          </w:tcPr>
          <w:p w14:paraId="3E248DF4"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09A4EE02" w14:textId="77777777">
        <w:trPr>
          <w:jc w:val="center"/>
        </w:trPr>
        <w:tc>
          <w:tcPr>
            <w:tcW w:w="326" w:type="pct"/>
            <w:tcMar>
              <w:left w:w="108" w:type="dxa"/>
              <w:right w:w="108" w:type="dxa"/>
            </w:tcMar>
            <w:vAlign w:val="center"/>
          </w:tcPr>
          <w:p w14:paraId="4D43E437" w14:textId="77777777" w:rsidR="009219A0" w:rsidRDefault="009219A0">
            <w:pPr>
              <w:pStyle w:val="aff4"/>
              <w:widowControl/>
              <w:numPr>
                <w:ilvl w:val="0"/>
                <w:numId w:val="15"/>
              </w:numPr>
              <w:adjustRightInd/>
              <w:snapToGrid/>
              <w:spacing w:line="240" w:lineRule="auto"/>
              <w:ind w:left="0" w:firstLineChars="0" w:firstLine="0"/>
              <w:jc w:val="center"/>
              <w:rPr>
                <w:rFonts w:ascii="宋体" w:hAnsi="宋体" w:cs="宋体" w:hint="eastAsia"/>
                <w:color w:val="444444"/>
                <w:kern w:val="0"/>
                <w:sz w:val="21"/>
                <w:szCs w:val="21"/>
                <w:lang w:bidi="ar"/>
              </w:rPr>
            </w:pPr>
          </w:p>
        </w:tc>
        <w:tc>
          <w:tcPr>
            <w:tcW w:w="801" w:type="pct"/>
            <w:tcMar>
              <w:left w:w="108" w:type="dxa"/>
              <w:right w:w="108" w:type="dxa"/>
            </w:tcMar>
            <w:vAlign w:val="center"/>
          </w:tcPr>
          <w:p w14:paraId="4096EF44"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未单独设置</w:t>
            </w:r>
            <w:proofErr w:type="gramStart"/>
            <w:r>
              <w:rPr>
                <w:rFonts w:ascii="宋体" w:hAnsi="宋体" w:hint="eastAsia"/>
                <w:bCs/>
                <w:sz w:val="21"/>
                <w:szCs w:val="21"/>
              </w:rPr>
              <w:t>喷漆间</w:t>
            </w:r>
            <w:proofErr w:type="gramEnd"/>
            <w:r>
              <w:rPr>
                <w:rFonts w:ascii="宋体" w:hAnsi="宋体" w:hint="eastAsia"/>
                <w:bCs/>
                <w:sz w:val="21"/>
                <w:szCs w:val="21"/>
              </w:rPr>
              <w:t>的木质家具制造喷漆工艺</w:t>
            </w:r>
          </w:p>
        </w:tc>
        <w:tc>
          <w:tcPr>
            <w:tcW w:w="2073" w:type="pct"/>
            <w:tcMar>
              <w:left w:w="108" w:type="dxa"/>
              <w:right w:w="108" w:type="dxa"/>
            </w:tcMar>
            <w:vAlign w:val="center"/>
          </w:tcPr>
          <w:p w14:paraId="7965E302"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喷漆环节产生的化学毒物容易对其他工艺作业人员产生危害。</w:t>
            </w:r>
          </w:p>
        </w:tc>
        <w:tc>
          <w:tcPr>
            <w:tcW w:w="451" w:type="pct"/>
            <w:tcMar>
              <w:left w:w="108" w:type="dxa"/>
              <w:right w:w="108" w:type="dxa"/>
            </w:tcMar>
            <w:vAlign w:val="center"/>
          </w:tcPr>
          <w:p w14:paraId="54C2C5BA"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4F28501A"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5895E5FD"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不涉及</w:t>
            </w:r>
          </w:p>
        </w:tc>
      </w:tr>
      <w:tr w:rsidR="009219A0" w14:paraId="47893D77" w14:textId="77777777">
        <w:trPr>
          <w:jc w:val="center"/>
        </w:trPr>
        <w:tc>
          <w:tcPr>
            <w:tcW w:w="5000" w:type="pct"/>
            <w:gridSpan w:val="6"/>
            <w:tcMar>
              <w:left w:w="108" w:type="dxa"/>
              <w:right w:w="108" w:type="dxa"/>
            </w:tcMar>
            <w:vAlign w:val="center"/>
          </w:tcPr>
          <w:p w14:paraId="174B8710" w14:textId="77777777" w:rsidR="009219A0" w:rsidRDefault="00000000">
            <w:pPr>
              <w:widowControl/>
              <w:adjustRightInd/>
              <w:snapToGrid/>
              <w:spacing w:line="240" w:lineRule="auto"/>
              <w:ind w:firstLineChars="0" w:firstLine="0"/>
              <w:jc w:val="left"/>
              <w:rPr>
                <w:rFonts w:ascii="宋体" w:hAnsi="宋体" w:cs="宋体" w:hint="eastAsia"/>
                <w:b/>
                <w:bCs/>
                <w:color w:val="444444"/>
                <w:kern w:val="0"/>
                <w:sz w:val="21"/>
                <w:szCs w:val="21"/>
                <w:lang w:bidi="ar"/>
              </w:rPr>
            </w:pPr>
            <w:r>
              <w:rPr>
                <w:rFonts w:ascii="宋体" w:hAnsi="宋体" w:hint="eastAsia"/>
                <w:b/>
                <w:sz w:val="21"/>
                <w:szCs w:val="21"/>
              </w:rPr>
              <w:t>五、应急救援领域（1项）</w:t>
            </w:r>
          </w:p>
        </w:tc>
      </w:tr>
      <w:tr w:rsidR="009219A0" w14:paraId="5307C771" w14:textId="77777777">
        <w:trPr>
          <w:jc w:val="center"/>
        </w:trPr>
        <w:tc>
          <w:tcPr>
            <w:tcW w:w="326" w:type="pct"/>
            <w:tcMar>
              <w:left w:w="108" w:type="dxa"/>
              <w:right w:w="108" w:type="dxa"/>
            </w:tcMar>
            <w:vAlign w:val="center"/>
          </w:tcPr>
          <w:p w14:paraId="7707D119" w14:textId="77777777" w:rsidR="009219A0" w:rsidRDefault="00000000">
            <w:pPr>
              <w:pStyle w:val="aff4"/>
              <w:widowControl/>
              <w:adjustRightInd/>
              <w:snapToGrid/>
              <w:spacing w:line="240" w:lineRule="auto"/>
              <w:ind w:firstLineChars="0" w:firstLine="0"/>
              <w:jc w:val="center"/>
              <w:rPr>
                <w:rFonts w:ascii="宋体" w:hAnsi="宋体" w:cs="宋体" w:hint="eastAsia"/>
                <w:color w:val="444444"/>
                <w:kern w:val="0"/>
                <w:sz w:val="21"/>
                <w:szCs w:val="21"/>
                <w:lang w:bidi="ar"/>
              </w:rPr>
            </w:pPr>
            <w:r>
              <w:rPr>
                <w:rFonts w:ascii="宋体" w:hAnsi="宋体" w:cs="宋体" w:hint="eastAsia"/>
                <w:color w:val="444444"/>
                <w:kern w:val="0"/>
                <w:sz w:val="21"/>
                <w:szCs w:val="21"/>
                <w:lang w:bidi="ar"/>
              </w:rPr>
              <w:t>1</w:t>
            </w:r>
          </w:p>
        </w:tc>
        <w:tc>
          <w:tcPr>
            <w:tcW w:w="801" w:type="pct"/>
            <w:tcMar>
              <w:left w:w="108" w:type="dxa"/>
              <w:right w:w="108" w:type="dxa"/>
            </w:tcMar>
            <w:vAlign w:val="center"/>
          </w:tcPr>
          <w:p w14:paraId="01EDA83E"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负压氧气呼吸器</w:t>
            </w:r>
          </w:p>
        </w:tc>
        <w:tc>
          <w:tcPr>
            <w:tcW w:w="2073" w:type="pct"/>
            <w:tcMar>
              <w:left w:w="108" w:type="dxa"/>
              <w:right w:w="108" w:type="dxa"/>
            </w:tcMar>
            <w:vAlign w:val="center"/>
          </w:tcPr>
          <w:p w14:paraId="155C0541"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使用过程中呼吸器整个系统内的压力是正负交替进行，呼气时系统内的压力高于外界的大气压，而在吸气时系统内的压力又会低于外界的大气压，一旦口鼻具松动或脱落，容易造成人员受有害气体伤害，安全性较低。</w:t>
            </w:r>
          </w:p>
        </w:tc>
        <w:tc>
          <w:tcPr>
            <w:tcW w:w="451" w:type="pct"/>
            <w:tcMar>
              <w:left w:w="108" w:type="dxa"/>
              <w:right w:w="108" w:type="dxa"/>
            </w:tcMar>
            <w:vAlign w:val="center"/>
          </w:tcPr>
          <w:p w14:paraId="064240F9"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36C336F9" w14:textId="77777777" w:rsidR="009219A0" w:rsidRDefault="009219A0">
            <w:pPr>
              <w:widowControl/>
              <w:adjustRightInd/>
              <w:snapToGrid/>
              <w:spacing w:line="240" w:lineRule="auto"/>
              <w:ind w:firstLineChars="0" w:firstLine="0"/>
              <w:jc w:val="center"/>
              <w:rPr>
                <w:rFonts w:ascii="宋体" w:hAnsi="宋体" w:hint="eastAsia"/>
                <w:bCs/>
                <w:sz w:val="21"/>
                <w:szCs w:val="21"/>
              </w:rPr>
            </w:pPr>
          </w:p>
        </w:tc>
        <w:tc>
          <w:tcPr>
            <w:tcW w:w="466" w:type="pct"/>
            <w:tcMar>
              <w:left w:w="108" w:type="dxa"/>
              <w:right w:w="108" w:type="dxa"/>
            </w:tcMar>
            <w:vAlign w:val="center"/>
          </w:tcPr>
          <w:p w14:paraId="7A20AFDE"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bl>
    <w:p w14:paraId="6C7B1430" w14:textId="77777777" w:rsidR="009219A0" w:rsidRDefault="009219A0">
      <w:pPr>
        <w:ind w:firstLine="560"/>
        <w:jc w:val="center"/>
      </w:pPr>
    </w:p>
    <w:p w14:paraId="48C262FC" w14:textId="77777777" w:rsidR="009219A0" w:rsidRDefault="00000000">
      <w:pPr>
        <w:ind w:firstLine="560"/>
        <w:jc w:val="center"/>
        <w:rPr>
          <w:color w:val="auto"/>
        </w:rPr>
      </w:pPr>
      <w:r>
        <w:rPr>
          <w:rFonts w:hint="eastAsia"/>
          <w:color w:val="auto"/>
        </w:rPr>
        <w:t>表</w:t>
      </w:r>
      <w:r>
        <w:rPr>
          <w:rFonts w:hint="eastAsia"/>
          <w:color w:val="auto"/>
        </w:rPr>
        <w:t xml:space="preserve">2.9-4  </w:t>
      </w:r>
      <w:r>
        <w:rPr>
          <w:rFonts w:hint="eastAsia"/>
          <w:color w:val="auto"/>
        </w:rPr>
        <w:t>淘汰落后安全技术工艺、设备目录（</w:t>
      </w:r>
      <w:r>
        <w:rPr>
          <w:rFonts w:hint="eastAsia"/>
          <w:color w:val="auto"/>
        </w:rPr>
        <w:t>2016</w:t>
      </w:r>
      <w:r>
        <w:rPr>
          <w:rFonts w:hint="eastAsia"/>
          <w:color w:val="auto"/>
        </w:rPr>
        <w:t>年）辨识</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2"/>
        <w:gridCol w:w="1453"/>
        <w:gridCol w:w="3761"/>
        <w:gridCol w:w="818"/>
        <w:gridCol w:w="1602"/>
        <w:gridCol w:w="846"/>
      </w:tblGrid>
      <w:tr w:rsidR="009219A0" w14:paraId="5E1BBE50" w14:textId="77777777">
        <w:trPr>
          <w:jc w:val="center"/>
        </w:trPr>
        <w:tc>
          <w:tcPr>
            <w:tcW w:w="326" w:type="pct"/>
            <w:tcMar>
              <w:left w:w="108" w:type="dxa"/>
              <w:right w:w="108" w:type="dxa"/>
            </w:tcMar>
            <w:vAlign w:val="center"/>
          </w:tcPr>
          <w:p w14:paraId="645C269A"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序号</w:t>
            </w:r>
          </w:p>
        </w:tc>
        <w:tc>
          <w:tcPr>
            <w:tcW w:w="801" w:type="pct"/>
            <w:tcMar>
              <w:left w:w="108" w:type="dxa"/>
              <w:right w:w="108" w:type="dxa"/>
            </w:tcMar>
            <w:vAlign w:val="center"/>
          </w:tcPr>
          <w:p w14:paraId="3E41BF9B"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工艺（设备）名称</w:t>
            </w:r>
          </w:p>
        </w:tc>
        <w:tc>
          <w:tcPr>
            <w:tcW w:w="2073" w:type="pct"/>
            <w:tcMar>
              <w:left w:w="108" w:type="dxa"/>
              <w:right w:w="108" w:type="dxa"/>
            </w:tcMar>
            <w:vAlign w:val="center"/>
          </w:tcPr>
          <w:p w14:paraId="7B607918"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淘汰原因</w:t>
            </w:r>
          </w:p>
        </w:tc>
        <w:tc>
          <w:tcPr>
            <w:tcW w:w="451" w:type="pct"/>
            <w:tcMar>
              <w:left w:w="108" w:type="dxa"/>
              <w:right w:w="108" w:type="dxa"/>
            </w:tcMar>
            <w:vAlign w:val="center"/>
          </w:tcPr>
          <w:p w14:paraId="3F127B1D"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建议淘汰类型</w:t>
            </w:r>
          </w:p>
        </w:tc>
        <w:tc>
          <w:tcPr>
            <w:tcW w:w="883" w:type="pct"/>
            <w:tcMar>
              <w:left w:w="108" w:type="dxa"/>
              <w:right w:w="108" w:type="dxa"/>
            </w:tcMar>
            <w:vAlign w:val="center"/>
          </w:tcPr>
          <w:p w14:paraId="4309E8DE"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建议淘汰范围</w:t>
            </w:r>
          </w:p>
        </w:tc>
        <w:tc>
          <w:tcPr>
            <w:tcW w:w="466" w:type="pct"/>
            <w:tcMar>
              <w:left w:w="108" w:type="dxa"/>
              <w:right w:w="108" w:type="dxa"/>
            </w:tcMar>
            <w:vAlign w:val="center"/>
          </w:tcPr>
          <w:p w14:paraId="6E37649D" w14:textId="77777777" w:rsidR="009219A0" w:rsidRDefault="00000000">
            <w:pPr>
              <w:widowControl/>
              <w:adjustRightInd/>
              <w:snapToGrid/>
              <w:spacing w:line="240" w:lineRule="auto"/>
              <w:ind w:firstLineChars="0" w:firstLine="0"/>
              <w:jc w:val="center"/>
              <w:rPr>
                <w:rFonts w:ascii="宋体" w:hAnsi="宋体" w:hint="eastAsia"/>
                <w:b/>
                <w:sz w:val="21"/>
                <w:szCs w:val="21"/>
              </w:rPr>
            </w:pPr>
            <w:r>
              <w:rPr>
                <w:rFonts w:ascii="宋体" w:hAnsi="宋体" w:hint="eastAsia"/>
                <w:b/>
                <w:sz w:val="21"/>
                <w:szCs w:val="21"/>
              </w:rPr>
              <w:t>检查内容</w:t>
            </w:r>
          </w:p>
        </w:tc>
      </w:tr>
      <w:tr w:rsidR="009219A0" w14:paraId="47E9EED8" w14:textId="77777777">
        <w:trPr>
          <w:jc w:val="center"/>
        </w:trPr>
        <w:tc>
          <w:tcPr>
            <w:tcW w:w="5000" w:type="pct"/>
            <w:gridSpan w:val="6"/>
            <w:tcMar>
              <w:left w:w="108" w:type="dxa"/>
              <w:right w:w="108" w:type="dxa"/>
            </w:tcMar>
            <w:vAlign w:val="center"/>
          </w:tcPr>
          <w:p w14:paraId="6960F6D3" w14:textId="77777777" w:rsidR="009219A0" w:rsidRDefault="00000000">
            <w:pPr>
              <w:widowControl/>
              <w:adjustRightInd/>
              <w:snapToGrid/>
              <w:spacing w:line="240" w:lineRule="auto"/>
              <w:ind w:firstLineChars="0" w:firstLine="0"/>
              <w:jc w:val="left"/>
              <w:rPr>
                <w:rFonts w:ascii="宋体" w:hAnsi="宋体" w:hint="eastAsia"/>
                <w:b/>
                <w:sz w:val="21"/>
                <w:szCs w:val="21"/>
              </w:rPr>
            </w:pPr>
            <w:r>
              <w:rPr>
                <w:rFonts w:ascii="宋体" w:hAnsi="宋体" w:hint="eastAsia"/>
                <w:b/>
                <w:sz w:val="21"/>
                <w:szCs w:val="21"/>
              </w:rPr>
              <w:t>一、煤矿安全</w:t>
            </w:r>
          </w:p>
        </w:tc>
      </w:tr>
      <w:tr w:rsidR="009219A0" w14:paraId="31C42EB1" w14:textId="77777777">
        <w:trPr>
          <w:jc w:val="center"/>
        </w:trPr>
        <w:tc>
          <w:tcPr>
            <w:tcW w:w="326" w:type="pct"/>
            <w:tcMar>
              <w:left w:w="108" w:type="dxa"/>
              <w:right w:w="108" w:type="dxa"/>
            </w:tcMar>
            <w:vAlign w:val="center"/>
          </w:tcPr>
          <w:p w14:paraId="747CA769"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cs="宋体" w:hint="eastAsia"/>
                <w:bCs/>
                <w:color w:val="444444"/>
                <w:kern w:val="0"/>
                <w:sz w:val="21"/>
                <w:szCs w:val="21"/>
                <w:lang w:bidi="ar"/>
              </w:rPr>
              <w:t>1</w:t>
            </w:r>
          </w:p>
        </w:tc>
        <w:tc>
          <w:tcPr>
            <w:tcW w:w="801" w:type="pct"/>
            <w:tcMar>
              <w:left w:w="108" w:type="dxa"/>
              <w:right w:w="108" w:type="dxa"/>
            </w:tcMar>
            <w:vAlign w:val="center"/>
          </w:tcPr>
          <w:p w14:paraId="6D2F6A44"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皮带机皮带钉扣</w:t>
            </w:r>
            <w:proofErr w:type="gramStart"/>
            <w:r>
              <w:rPr>
                <w:rFonts w:ascii="宋体" w:hAnsi="宋体" w:hint="eastAsia"/>
                <w:bCs/>
                <w:sz w:val="21"/>
                <w:szCs w:val="21"/>
              </w:rPr>
              <w:t>人力夯砸工艺</w:t>
            </w:r>
            <w:proofErr w:type="gramEnd"/>
          </w:p>
        </w:tc>
        <w:tc>
          <w:tcPr>
            <w:tcW w:w="2073" w:type="pct"/>
            <w:tcMar>
              <w:left w:w="108" w:type="dxa"/>
              <w:right w:w="108" w:type="dxa"/>
            </w:tcMar>
            <w:vAlign w:val="center"/>
          </w:tcPr>
          <w:p w14:paraId="4F0CAE1C"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操作安全性差，连接可靠性低，安全隐患大，容易造成事故。</w:t>
            </w:r>
          </w:p>
        </w:tc>
        <w:tc>
          <w:tcPr>
            <w:tcW w:w="451" w:type="pct"/>
            <w:tcMar>
              <w:left w:w="108" w:type="dxa"/>
              <w:right w:w="108" w:type="dxa"/>
            </w:tcMar>
            <w:vAlign w:val="center"/>
          </w:tcPr>
          <w:p w14:paraId="3480484E"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vAlign w:val="center"/>
          </w:tcPr>
          <w:p w14:paraId="3862B3E6"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ab/>
            </w:r>
            <w:r>
              <w:rPr>
                <w:rFonts w:ascii="宋体" w:hAnsi="宋体" w:hint="eastAsia"/>
                <w:bCs/>
                <w:sz w:val="21"/>
                <w:szCs w:val="21"/>
              </w:rPr>
              <w:tab/>
            </w:r>
            <w:r>
              <w:rPr>
                <w:rFonts w:ascii="宋体" w:hAnsi="宋体" w:hint="eastAsia"/>
                <w:bCs/>
                <w:sz w:val="21"/>
                <w:szCs w:val="21"/>
              </w:rPr>
              <w:tab/>
              <w:t>1年后禁止使用。</w:t>
            </w:r>
          </w:p>
        </w:tc>
        <w:tc>
          <w:tcPr>
            <w:tcW w:w="466" w:type="pct"/>
            <w:tcMar>
              <w:left w:w="108" w:type="dxa"/>
              <w:right w:w="108" w:type="dxa"/>
            </w:tcMar>
            <w:vAlign w:val="center"/>
          </w:tcPr>
          <w:p w14:paraId="3D9C570C"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57886BBB" w14:textId="77777777">
        <w:trPr>
          <w:jc w:val="center"/>
        </w:trPr>
        <w:tc>
          <w:tcPr>
            <w:tcW w:w="326" w:type="pct"/>
            <w:tcMar>
              <w:left w:w="108" w:type="dxa"/>
              <w:right w:w="108" w:type="dxa"/>
            </w:tcMar>
            <w:vAlign w:val="center"/>
          </w:tcPr>
          <w:p w14:paraId="4E401324"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cs="宋体" w:hint="eastAsia"/>
                <w:bCs/>
                <w:color w:val="444444"/>
                <w:kern w:val="0"/>
                <w:sz w:val="21"/>
                <w:szCs w:val="21"/>
                <w:lang w:bidi="ar"/>
              </w:rPr>
              <w:t>2</w:t>
            </w:r>
          </w:p>
        </w:tc>
        <w:tc>
          <w:tcPr>
            <w:tcW w:w="801" w:type="pct"/>
            <w:tcMar>
              <w:left w:w="108" w:type="dxa"/>
              <w:right w:w="108" w:type="dxa"/>
            </w:tcMar>
          </w:tcPr>
          <w:p w14:paraId="0B2B39ED" w14:textId="77777777" w:rsidR="009219A0" w:rsidRDefault="00000000">
            <w:pPr>
              <w:widowControl/>
              <w:adjustRightInd/>
              <w:snapToGrid/>
              <w:spacing w:line="240" w:lineRule="auto"/>
              <w:ind w:firstLineChars="0" w:firstLine="0"/>
              <w:jc w:val="left"/>
              <w:rPr>
                <w:rFonts w:ascii="宋体" w:hAnsi="宋体" w:cs="宋体" w:hint="eastAsia"/>
                <w:bCs/>
                <w:sz w:val="21"/>
                <w:szCs w:val="21"/>
              </w:rPr>
            </w:pPr>
            <w:r>
              <w:rPr>
                <w:rFonts w:ascii="宋体" w:hAnsi="宋体" w:hint="eastAsia"/>
                <w:bCs/>
                <w:sz w:val="21"/>
                <w:szCs w:val="21"/>
              </w:rPr>
              <w:t>钢丝绳牵引</w:t>
            </w:r>
            <w:proofErr w:type="gramStart"/>
            <w:r>
              <w:rPr>
                <w:rFonts w:ascii="宋体" w:hAnsi="宋体" w:hint="eastAsia"/>
                <w:bCs/>
                <w:sz w:val="21"/>
                <w:szCs w:val="21"/>
              </w:rPr>
              <w:t>耙</w:t>
            </w:r>
            <w:proofErr w:type="gramEnd"/>
            <w:r>
              <w:rPr>
                <w:rFonts w:ascii="宋体" w:hAnsi="宋体" w:hint="eastAsia"/>
                <w:bCs/>
                <w:sz w:val="21"/>
                <w:szCs w:val="21"/>
              </w:rPr>
              <w:t>装机</w:t>
            </w:r>
          </w:p>
        </w:tc>
        <w:tc>
          <w:tcPr>
            <w:tcW w:w="2073" w:type="pct"/>
            <w:tcMar>
              <w:left w:w="108" w:type="dxa"/>
              <w:right w:w="108" w:type="dxa"/>
            </w:tcMar>
          </w:tcPr>
          <w:p w14:paraId="1459F784" w14:textId="77777777" w:rsidR="009219A0" w:rsidRDefault="00000000">
            <w:pPr>
              <w:widowControl/>
              <w:adjustRightInd/>
              <w:snapToGrid/>
              <w:spacing w:line="240" w:lineRule="auto"/>
              <w:ind w:firstLineChars="0" w:firstLine="0"/>
              <w:jc w:val="left"/>
              <w:rPr>
                <w:rFonts w:ascii="宋体" w:hAnsi="宋体" w:cs="宋体" w:hint="eastAsia"/>
                <w:bCs/>
                <w:sz w:val="21"/>
                <w:szCs w:val="21"/>
              </w:rPr>
            </w:pPr>
            <w:r>
              <w:rPr>
                <w:rFonts w:ascii="宋体" w:hAnsi="宋体" w:hint="eastAsia"/>
                <w:bCs/>
                <w:sz w:val="21"/>
                <w:szCs w:val="21"/>
              </w:rPr>
              <w:t>安全装载能力不足，效率不高，隐患较大，不符合《煤矿安全规程》。</w:t>
            </w:r>
          </w:p>
        </w:tc>
        <w:tc>
          <w:tcPr>
            <w:tcW w:w="451" w:type="pct"/>
            <w:tcMar>
              <w:left w:w="108" w:type="dxa"/>
              <w:right w:w="108" w:type="dxa"/>
            </w:tcMar>
          </w:tcPr>
          <w:p w14:paraId="5A794231"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hint="eastAsia"/>
                <w:bCs/>
                <w:sz w:val="21"/>
                <w:szCs w:val="21"/>
              </w:rPr>
              <w:t>限制</w:t>
            </w:r>
          </w:p>
        </w:tc>
        <w:tc>
          <w:tcPr>
            <w:tcW w:w="883" w:type="pct"/>
            <w:tcMar>
              <w:left w:w="108" w:type="dxa"/>
              <w:right w:w="108" w:type="dxa"/>
            </w:tcMar>
          </w:tcPr>
          <w:p w14:paraId="78ED3753"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hint="eastAsia"/>
                <w:bCs/>
                <w:sz w:val="21"/>
                <w:szCs w:val="21"/>
              </w:rPr>
              <w:t>高瓦斯、煤与瓦斯突出和有粉尘爆炸危险矿井的煤巷、半煤巷和</w:t>
            </w:r>
            <w:proofErr w:type="gramStart"/>
            <w:r>
              <w:rPr>
                <w:rFonts w:ascii="宋体" w:hAnsi="宋体" w:hint="eastAsia"/>
                <w:bCs/>
                <w:sz w:val="21"/>
                <w:szCs w:val="21"/>
              </w:rPr>
              <w:t>石门揭煤工作面</w:t>
            </w:r>
            <w:proofErr w:type="gramEnd"/>
            <w:r>
              <w:rPr>
                <w:rFonts w:ascii="宋体" w:hAnsi="宋体" w:hint="eastAsia"/>
                <w:bCs/>
                <w:sz w:val="21"/>
                <w:szCs w:val="21"/>
              </w:rPr>
              <w:t>禁止使用。</w:t>
            </w:r>
          </w:p>
        </w:tc>
        <w:tc>
          <w:tcPr>
            <w:tcW w:w="466" w:type="pct"/>
            <w:tcMar>
              <w:left w:w="108" w:type="dxa"/>
              <w:right w:w="108" w:type="dxa"/>
            </w:tcMar>
            <w:vAlign w:val="center"/>
          </w:tcPr>
          <w:p w14:paraId="3F707013"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093861A9" w14:textId="77777777">
        <w:trPr>
          <w:trHeight w:val="965"/>
          <w:jc w:val="center"/>
        </w:trPr>
        <w:tc>
          <w:tcPr>
            <w:tcW w:w="326" w:type="pct"/>
            <w:tcMar>
              <w:left w:w="108" w:type="dxa"/>
              <w:right w:w="108" w:type="dxa"/>
            </w:tcMar>
            <w:vAlign w:val="center"/>
          </w:tcPr>
          <w:p w14:paraId="2799D52E"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cs="宋体" w:hint="eastAsia"/>
                <w:bCs/>
                <w:color w:val="444444"/>
                <w:kern w:val="0"/>
                <w:sz w:val="21"/>
                <w:szCs w:val="21"/>
                <w:lang w:bidi="ar"/>
              </w:rPr>
              <w:lastRenderedPageBreak/>
              <w:t>3</w:t>
            </w:r>
          </w:p>
        </w:tc>
        <w:tc>
          <w:tcPr>
            <w:tcW w:w="801" w:type="pct"/>
            <w:tcMar>
              <w:left w:w="108" w:type="dxa"/>
              <w:right w:w="108" w:type="dxa"/>
            </w:tcMar>
          </w:tcPr>
          <w:p w14:paraId="5393FCEF" w14:textId="77777777" w:rsidR="009219A0" w:rsidRDefault="00000000">
            <w:pPr>
              <w:widowControl/>
              <w:adjustRightInd/>
              <w:snapToGrid/>
              <w:spacing w:line="240" w:lineRule="auto"/>
              <w:ind w:firstLineChars="0" w:firstLine="0"/>
              <w:jc w:val="left"/>
              <w:rPr>
                <w:rFonts w:ascii="宋体" w:hAnsi="宋体" w:cs="宋体" w:hint="eastAsia"/>
                <w:bCs/>
                <w:sz w:val="21"/>
                <w:szCs w:val="21"/>
              </w:rPr>
            </w:pPr>
            <w:r>
              <w:rPr>
                <w:rFonts w:ascii="宋体" w:hAnsi="宋体" w:hint="eastAsia"/>
                <w:bCs/>
                <w:sz w:val="21"/>
                <w:szCs w:val="21"/>
              </w:rPr>
              <w:t>煤矿井下用煤电钻</w:t>
            </w:r>
          </w:p>
        </w:tc>
        <w:tc>
          <w:tcPr>
            <w:tcW w:w="2073" w:type="pct"/>
            <w:tcMar>
              <w:left w:w="108" w:type="dxa"/>
              <w:right w:w="108" w:type="dxa"/>
            </w:tcMar>
          </w:tcPr>
          <w:p w14:paraId="6F5B31A4" w14:textId="77777777" w:rsidR="009219A0" w:rsidRDefault="00000000">
            <w:pPr>
              <w:widowControl/>
              <w:adjustRightInd/>
              <w:snapToGrid/>
              <w:spacing w:line="240" w:lineRule="auto"/>
              <w:ind w:firstLineChars="0" w:firstLine="0"/>
              <w:jc w:val="left"/>
              <w:rPr>
                <w:rFonts w:ascii="宋体" w:hAnsi="宋体" w:cs="宋体" w:hint="eastAsia"/>
                <w:bCs/>
                <w:sz w:val="21"/>
                <w:szCs w:val="21"/>
              </w:rPr>
            </w:pPr>
            <w:r>
              <w:rPr>
                <w:rFonts w:ascii="宋体" w:hAnsi="宋体" w:hint="eastAsia"/>
                <w:bCs/>
                <w:sz w:val="21"/>
                <w:szCs w:val="21"/>
              </w:rPr>
              <w:t>电缆及其连接插销容易产生电源短路、电缆绝缘破损等问题，电气</w:t>
            </w:r>
            <w:proofErr w:type="gramStart"/>
            <w:r>
              <w:rPr>
                <w:rFonts w:ascii="宋体" w:hAnsi="宋体" w:hint="eastAsia"/>
                <w:bCs/>
                <w:sz w:val="21"/>
                <w:szCs w:val="21"/>
              </w:rPr>
              <w:t>失爆产生</w:t>
            </w:r>
            <w:proofErr w:type="gramEnd"/>
            <w:r>
              <w:rPr>
                <w:rFonts w:ascii="宋体" w:hAnsi="宋体" w:hint="eastAsia"/>
                <w:bCs/>
                <w:sz w:val="21"/>
                <w:szCs w:val="21"/>
              </w:rPr>
              <w:t>电火花，易造成瓦斯爆炸等事故。</w:t>
            </w:r>
          </w:p>
        </w:tc>
        <w:tc>
          <w:tcPr>
            <w:tcW w:w="451" w:type="pct"/>
            <w:tcMar>
              <w:left w:w="108" w:type="dxa"/>
              <w:right w:w="108" w:type="dxa"/>
            </w:tcMar>
          </w:tcPr>
          <w:p w14:paraId="188C5219"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hint="eastAsia"/>
                <w:bCs/>
                <w:sz w:val="21"/>
                <w:szCs w:val="21"/>
              </w:rPr>
              <w:t>限制</w:t>
            </w:r>
          </w:p>
        </w:tc>
        <w:tc>
          <w:tcPr>
            <w:tcW w:w="883" w:type="pct"/>
            <w:tcMar>
              <w:left w:w="108" w:type="dxa"/>
              <w:right w:w="108" w:type="dxa"/>
            </w:tcMar>
          </w:tcPr>
          <w:p w14:paraId="5A3643C0"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hint="eastAsia"/>
                <w:bCs/>
                <w:sz w:val="21"/>
                <w:szCs w:val="21"/>
              </w:rPr>
              <w:t>煤与瓦斯突出矿井禁止使用（</w:t>
            </w:r>
            <w:proofErr w:type="gramStart"/>
            <w:r>
              <w:rPr>
                <w:rFonts w:ascii="宋体" w:hAnsi="宋体" w:hint="eastAsia"/>
                <w:bCs/>
                <w:sz w:val="21"/>
                <w:szCs w:val="21"/>
              </w:rPr>
              <w:t>煤芯取样</w:t>
            </w:r>
            <w:proofErr w:type="gramEnd"/>
            <w:r>
              <w:rPr>
                <w:rFonts w:ascii="宋体" w:hAnsi="宋体" w:hint="eastAsia"/>
                <w:bCs/>
                <w:sz w:val="21"/>
                <w:szCs w:val="21"/>
              </w:rPr>
              <w:t>不受此限）。</w:t>
            </w:r>
          </w:p>
        </w:tc>
        <w:tc>
          <w:tcPr>
            <w:tcW w:w="466" w:type="pct"/>
            <w:tcMar>
              <w:left w:w="108" w:type="dxa"/>
              <w:right w:w="108" w:type="dxa"/>
            </w:tcMar>
            <w:vAlign w:val="center"/>
          </w:tcPr>
          <w:p w14:paraId="6ED1FF34"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38753C4B" w14:textId="77777777">
        <w:trPr>
          <w:trHeight w:val="1851"/>
          <w:jc w:val="center"/>
        </w:trPr>
        <w:tc>
          <w:tcPr>
            <w:tcW w:w="326" w:type="pct"/>
            <w:tcMar>
              <w:left w:w="108" w:type="dxa"/>
              <w:right w:w="108" w:type="dxa"/>
            </w:tcMar>
            <w:vAlign w:val="center"/>
          </w:tcPr>
          <w:p w14:paraId="530735EF"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cs="宋体" w:hint="eastAsia"/>
                <w:bCs/>
                <w:color w:val="444444"/>
                <w:kern w:val="0"/>
                <w:sz w:val="21"/>
                <w:szCs w:val="21"/>
                <w:lang w:bidi="ar"/>
              </w:rPr>
              <w:t>4</w:t>
            </w:r>
          </w:p>
        </w:tc>
        <w:tc>
          <w:tcPr>
            <w:tcW w:w="801" w:type="pct"/>
            <w:tcMar>
              <w:left w:w="108" w:type="dxa"/>
              <w:right w:w="108" w:type="dxa"/>
            </w:tcMar>
          </w:tcPr>
          <w:p w14:paraId="56ACEBBD" w14:textId="77777777" w:rsidR="009219A0" w:rsidRDefault="00000000">
            <w:pPr>
              <w:widowControl/>
              <w:adjustRightInd/>
              <w:snapToGrid/>
              <w:spacing w:line="240" w:lineRule="auto"/>
              <w:ind w:firstLineChars="0" w:firstLine="0"/>
              <w:jc w:val="left"/>
              <w:rPr>
                <w:rFonts w:ascii="宋体" w:hAnsi="宋体" w:cs="宋体" w:hint="eastAsia"/>
                <w:bCs/>
                <w:sz w:val="21"/>
                <w:szCs w:val="21"/>
              </w:rPr>
            </w:pPr>
            <w:r>
              <w:rPr>
                <w:rFonts w:ascii="宋体" w:hAnsi="宋体" w:hint="eastAsia"/>
                <w:bCs/>
                <w:sz w:val="21"/>
                <w:szCs w:val="21"/>
              </w:rPr>
              <w:t>井下活塞式移动空压机</w:t>
            </w:r>
          </w:p>
        </w:tc>
        <w:tc>
          <w:tcPr>
            <w:tcW w:w="2073" w:type="pct"/>
            <w:tcMar>
              <w:left w:w="108" w:type="dxa"/>
              <w:right w:w="108" w:type="dxa"/>
            </w:tcMar>
          </w:tcPr>
          <w:p w14:paraId="42DC8A4D" w14:textId="77777777" w:rsidR="009219A0" w:rsidRDefault="00000000">
            <w:pPr>
              <w:widowControl/>
              <w:adjustRightInd/>
              <w:snapToGrid/>
              <w:spacing w:line="240" w:lineRule="auto"/>
              <w:ind w:firstLineChars="0" w:firstLine="0"/>
              <w:jc w:val="left"/>
              <w:rPr>
                <w:rFonts w:ascii="宋体" w:hAnsi="宋体" w:cs="宋体" w:hint="eastAsia"/>
                <w:bCs/>
                <w:sz w:val="21"/>
                <w:szCs w:val="21"/>
              </w:rPr>
            </w:pPr>
            <w:r>
              <w:rPr>
                <w:rFonts w:ascii="宋体" w:hAnsi="宋体" w:hint="eastAsia"/>
                <w:bCs/>
                <w:sz w:val="21"/>
                <w:szCs w:val="21"/>
              </w:rPr>
              <w:t>噪声大，发热量高，稳定性差，安全性能差。</w:t>
            </w:r>
          </w:p>
        </w:tc>
        <w:tc>
          <w:tcPr>
            <w:tcW w:w="451" w:type="pct"/>
            <w:tcMar>
              <w:left w:w="108" w:type="dxa"/>
              <w:right w:w="108" w:type="dxa"/>
            </w:tcMar>
          </w:tcPr>
          <w:p w14:paraId="21B2813E"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hint="eastAsia"/>
                <w:bCs/>
                <w:sz w:val="21"/>
                <w:szCs w:val="21"/>
              </w:rPr>
              <w:t>禁止</w:t>
            </w:r>
          </w:p>
        </w:tc>
        <w:tc>
          <w:tcPr>
            <w:tcW w:w="883" w:type="pct"/>
            <w:tcMar>
              <w:left w:w="108" w:type="dxa"/>
              <w:right w:w="108" w:type="dxa"/>
            </w:tcMar>
          </w:tcPr>
          <w:p w14:paraId="5814F61F"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hint="eastAsia"/>
                <w:bCs/>
                <w:sz w:val="21"/>
                <w:szCs w:val="21"/>
              </w:rPr>
              <w:t>2年后禁止使用。</w:t>
            </w:r>
          </w:p>
        </w:tc>
        <w:tc>
          <w:tcPr>
            <w:tcW w:w="466" w:type="pct"/>
            <w:tcMar>
              <w:left w:w="108" w:type="dxa"/>
              <w:right w:w="108" w:type="dxa"/>
            </w:tcMar>
            <w:vAlign w:val="center"/>
          </w:tcPr>
          <w:p w14:paraId="3732F1DB"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5E6AD1AA" w14:textId="77777777">
        <w:trPr>
          <w:trHeight w:val="2184"/>
          <w:jc w:val="center"/>
        </w:trPr>
        <w:tc>
          <w:tcPr>
            <w:tcW w:w="326" w:type="pct"/>
            <w:tcMar>
              <w:left w:w="108" w:type="dxa"/>
              <w:right w:w="108" w:type="dxa"/>
            </w:tcMar>
            <w:vAlign w:val="center"/>
          </w:tcPr>
          <w:p w14:paraId="0496EC01"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cs="宋体" w:hint="eastAsia"/>
                <w:bCs/>
                <w:color w:val="444444"/>
                <w:kern w:val="0"/>
                <w:sz w:val="21"/>
                <w:szCs w:val="21"/>
                <w:lang w:bidi="ar"/>
              </w:rPr>
              <w:t>5</w:t>
            </w:r>
          </w:p>
        </w:tc>
        <w:tc>
          <w:tcPr>
            <w:tcW w:w="801" w:type="pct"/>
            <w:tcMar>
              <w:left w:w="108" w:type="dxa"/>
              <w:right w:w="108" w:type="dxa"/>
            </w:tcMar>
          </w:tcPr>
          <w:p w14:paraId="2CE8A547" w14:textId="77777777" w:rsidR="009219A0" w:rsidRDefault="00000000">
            <w:pPr>
              <w:widowControl/>
              <w:adjustRightInd/>
              <w:snapToGrid/>
              <w:spacing w:line="240" w:lineRule="auto"/>
              <w:ind w:firstLineChars="0" w:firstLine="0"/>
              <w:jc w:val="left"/>
              <w:rPr>
                <w:rFonts w:ascii="宋体" w:hAnsi="宋体" w:cs="宋体" w:hint="eastAsia"/>
                <w:bCs/>
                <w:sz w:val="21"/>
                <w:szCs w:val="21"/>
              </w:rPr>
            </w:pPr>
            <w:r>
              <w:rPr>
                <w:rFonts w:ascii="宋体" w:hAnsi="宋体" w:hint="eastAsia"/>
                <w:bCs/>
                <w:sz w:val="21"/>
                <w:szCs w:val="21"/>
              </w:rPr>
              <w:t>井下照明白炽灯</w:t>
            </w:r>
          </w:p>
        </w:tc>
        <w:tc>
          <w:tcPr>
            <w:tcW w:w="2073" w:type="pct"/>
            <w:tcMar>
              <w:left w:w="108" w:type="dxa"/>
              <w:right w:w="108" w:type="dxa"/>
            </w:tcMar>
          </w:tcPr>
          <w:p w14:paraId="74195022" w14:textId="77777777" w:rsidR="009219A0" w:rsidRDefault="00000000">
            <w:pPr>
              <w:widowControl/>
              <w:adjustRightInd/>
              <w:snapToGrid/>
              <w:spacing w:line="240" w:lineRule="auto"/>
              <w:ind w:firstLineChars="0" w:firstLine="0"/>
              <w:jc w:val="left"/>
              <w:rPr>
                <w:rFonts w:ascii="宋体" w:hAnsi="宋体" w:cs="宋体" w:hint="eastAsia"/>
                <w:bCs/>
                <w:sz w:val="21"/>
                <w:szCs w:val="21"/>
              </w:rPr>
            </w:pPr>
            <w:r>
              <w:rPr>
                <w:rFonts w:ascii="宋体" w:hAnsi="宋体" w:hint="eastAsia"/>
                <w:bCs/>
                <w:sz w:val="21"/>
                <w:szCs w:val="21"/>
              </w:rPr>
              <w:t>耗电量大，开灯瞬间电流大，局部温度过高易造成灯丝烧断。属于落后设备，不能做到本质安全。</w:t>
            </w:r>
          </w:p>
        </w:tc>
        <w:tc>
          <w:tcPr>
            <w:tcW w:w="451" w:type="pct"/>
            <w:tcMar>
              <w:left w:w="108" w:type="dxa"/>
              <w:right w:w="108" w:type="dxa"/>
            </w:tcMar>
          </w:tcPr>
          <w:p w14:paraId="0A24232A"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hint="eastAsia"/>
                <w:bCs/>
                <w:sz w:val="21"/>
                <w:szCs w:val="21"/>
              </w:rPr>
              <w:t>禁止</w:t>
            </w:r>
          </w:p>
        </w:tc>
        <w:tc>
          <w:tcPr>
            <w:tcW w:w="883" w:type="pct"/>
            <w:tcMar>
              <w:left w:w="108" w:type="dxa"/>
              <w:right w:w="108" w:type="dxa"/>
            </w:tcMar>
          </w:tcPr>
          <w:p w14:paraId="2765AAA5"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hint="eastAsia"/>
                <w:bCs/>
                <w:sz w:val="21"/>
                <w:szCs w:val="21"/>
              </w:rPr>
              <w:t>2年后禁止使用。</w:t>
            </w:r>
          </w:p>
        </w:tc>
        <w:tc>
          <w:tcPr>
            <w:tcW w:w="466" w:type="pct"/>
            <w:tcMar>
              <w:left w:w="108" w:type="dxa"/>
              <w:right w:w="108" w:type="dxa"/>
            </w:tcMar>
            <w:vAlign w:val="center"/>
          </w:tcPr>
          <w:p w14:paraId="0250521D"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5E569743" w14:textId="77777777">
        <w:trPr>
          <w:trHeight w:val="1366"/>
          <w:jc w:val="center"/>
        </w:trPr>
        <w:tc>
          <w:tcPr>
            <w:tcW w:w="326" w:type="pct"/>
            <w:tcMar>
              <w:left w:w="108" w:type="dxa"/>
              <w:right w:w="108" w:type="dxa"/>
            </w:tcMar>
            <w:vAlign w:val="center"/>
          </w:tcPr>
          <w:p w14:paraId="42FA4A44"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cs="宋体" w:hint="eastAsia"/>
                <w:bCs/>
                <w:color w:val="444444"/>
                <w:kern w:val="0"/>
                <w:sz w:val="21"/>
                <w:szCs w:val="21"/>
                <w:lang w:bidi="ar"/>
              </w:rPr>
              <w:t>6</w:t>
            </w:r>
          </w:p>
        </w:tc>
        <w:tc>
          <w:tcPr>
            <w:tcW w:w="801" w:type="pct"/>
            <w:tcMar>
              <w:left w:w="108" w:type="dxa"/>
              <w:right w:w="108" w:type="dxa"/>
            </w:tcMar>
          </w:tcPr>
          <w:p w14:paraId="16FFE594" w14:textId="77777777" w:rsidR="009219A0" w:rsidRDefault="00000000">
            <w:pPr>
              <w:widowControl/>
              <w:adjustRightInd/>
              <w:snapToGrid/>
              <w:spacing w:line="240" w:lineRule="auto"/>
              <w:ind w:firstLineChars="0" w:firstLine="0"/>
              <w:jc w:val="left"/>
              <w:rPr>
                <w:rFonts w:ascii="宋体" w:hAnsi="宋体" w:cs="宋体" w:hint="eastAsia"/>
                <w:bCs/>
                <w:color w:val="444444"/>
                <w:kern w:val="0"/>
                <w:sz w:val="21"/>
                <w:szCs w:val="21"/>
                <w:lang w:bidi="ar"/>
              </w:rPr>
            </w:pPr>
            <w:r>
              <w:rPr>
                <w:rFonts w:ascii="宋体" w:hAnsi="宋体" w:hint="eastAsia"/>
                <w:bCs/>
                <w:sz w:val="21"/>
                <w:szCs w:val="21"/>
              </w:rPr>
              <w:t>串电阻调速提升机电控装置</w:t>
            </w:r>
          </w:p>
        </w:tc>
        <w:tc>
          <w:tcPr>
            <w:tcW w:w="2073" w:type="pct"/>
            <w:tcMar>
              <w:left w:w="108" w:type="dxa"/>
              <w:right w:w="108" w:type="dxa"/>
            </w:tcMar>
          </w:tcPr>
          <w:p w14:paraId="72170E31" w14:textId="77777777" w:rsidR="009219A0" w:rsidRDefault="00000000">
            <w:pPr>
              <w:widowControl/>
              <w:adjustRightInd/>
              <w:snapToGrid/>
              <w:spacing w:line="240" w:lineRule="auto"/>
              <w:ind w:firstLineChars="0" w:firstLine="0"/>
              <w:jc w:val="left"/>
              <w:rPr>
                <w:rFonts w:ascii="宋体" w:hAnsi="宋体" w:cs="宋体" w:hint="eastAsia"/>
                <w:bCs/>
                <w:sz w:val="21"/>
                <w:szCs w:val="21"/>
              </w:rPr>
            </w:pPr>
            <w:r>
              <w:rPr>
                <w:rFonts w:ascii="宋体" w:hAnsi="宋体" w:hint="eastAsia"/>
                <w:bCs/>
                <w:sz w:val="21"/>
                <w:szCs w:val="21"/>
              </w:rPr>
              <w:t>启动、换挡时产生较大冲击电流，自动化程度较低。电阻系统运行中易发热，减速与低速爬行中工作闸瓦的磨损比较严重，需经常更换。存在控制方式繁琐、可靠性低、调速性能差、安全隐患大等问题。</w:t>
            </w:r>
          </w:p>
        </w:tc>
        <w:tc>
          <w:tcPr>
            <w:tcW w:w="451" w:type="pct"/>
            <w:tcMar>
              <w:left w:w="108" w:type="dxa"/>
              <w:right w:w="108" w:type="dxa"/>
            </w:tcMar>
          </w:tcPr>
          <w:p w14:paraId="79886D2D" w14:textId="77777777" w:rsidR="009219A0" w:rsidRDefault="00000000">
            <w:pPr>
              <w:widowControl/>
              <w:adjustRightInd/>
              <w:snapToGrid/>
              <w:spacing w:line="240" w:lineRule="auto"/>
              <w:ind w:firstLineChars="0" w:firstLine="0"/>
              <w:jc w:val="left"/>
              <w:rPr>
                <w:rFonts w:ascii="宋体" w:hAnsi="宋体" w:cs="宋体" w:hint="eastAsia"/>
                <w:bCs/>
                <w:color w:val="444444"/>
                <w:kern w:val="0"/>
                <w:sz w:val="21"/>
                <w:szCs w:val="21"/>
                <w:lang w:bidi="ar"/>
              </w:rPr>
            </w:pPr>
            <w:r>
              <w:rPr>
                <w:rFonts w:ascii="宋体" w:hAnsi="宋体" w:hint="eastAsia"/>
                <w:bCs/>
                <w:sz w:val="21"/>
                <w:szCs w:val="21"/>
              </w:rPr>
              <w:t>禁止</w:t>
            </w:r>
          </w:p>
        </w:tc>
        <w:tc>
          <w:tcPr>
            <w:tcW w:w="883" w:type="pct"/>
            <w:tcMar>
              <w:left w:w="108" w:type="dxa"/>
              <w:right w:w="108" w:type="dxa"/>
            </w:tcMar>
          </w:tcPr>
          <w:p w14:paraId="01D14F76"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hint="eastAsia"/>
                <w:bCs/>
                <w:sz w:val="21"/>
                <w:szCs w:val="21"/>
              </w:rPr>
              <w:t>大型新建矿井禁止使用。</w:t>
            </w:r>
          </w:p>
        </w:tc>
        <w:tc>
          <w:tcPr>
            <w:tcW w:w="466" w:type="pct"/>
            <w:tcMar>
              <w:left w:w="108" w:type="dxa"/>
              <w:right w:w="108" w:type="dxa"/>
            </w:tcMar>
            <w:vAlign w:val="center"/>
          </w:tcPr>
          <w:p w14:paraId="55E21BF0"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28BB27AB" w14:textId="77777777">
        <w:trPr>
          <w:jc w:val="center"/>
        </w:trPr>
        <w:tc>
          <w:tcPr>
            <w:tcW w:w="326" w:type="pct"/>
            <w:tcMar>
              <w:left w:w="108" w:type="dxa"/>
              <w:right w:w="108" w:type="dxa"/>
            </w:tcMar>
            <w:vAlign w:val="center"/>
          </w:tcPr>
          <w:p w14:paraId="3AF5C459"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cs="宋体" w:hint="eastAsia"/>
                <w:bCs/>
                <w:color w:val="444444"/>
                <w:kern w:val="0"/>
                <w:sz w:val="21"/>
                <w:szCs w:val="21"/>
                <w:lang w:bidi="ar"/>
              </w:rPr>
              <w:t>7</w:t>
            </w:r>
          </w:p>
        </w:tc>
        <w:tc>
          <w:tcPr>
            <w:tcW w:w="801" w:type="pct"/>
            <w:tcMar>
              <w:left w:w="108" w:type="dxa"/>
              <w:right w:w="108" w:type="dxa"/>
            </w:tcMar>
          </w:tcPr>
          <w:p w14:paraId="017A7077" w14:textId="77777777" w:rsidR="009219A0" w:rsidRDefault="00000000">
            <w:pPr>
              <w:widowControl/>
              <w:adjustRightInd/>
              <w:snapToGrid/>
              <w:spacing w:line="240" w:lineRule="auto"/>
              <w:ind w:firstLineChars="0" w:firstLine="0"/>
              <w:jc w:val="left"/>
              <w:rPr>
                <w:rFonts w:ascii="宋体" w:hAnsi="宋体" w:cs="宋体" w:hint="eastAsia"/>
                <w:bCs/>
                <w:color w:val="444444"/>
                <w:kern w:val="0"/>
                <w:sz w:val="21"/>
                <w:szCs w:val="21"/>
                <w:lang w:bidi="ar"/>
              </w:rPr>
            </w:pPr>
            <w:r>
              <w:rPr>
                <w:rFonts w:ascii="宋体" w:hAnsi="宋体" w:hint="eastAsia"/>
                <w:bCs/>
                <w:sz w:val="21"/>
                <w:szCs w:val="21"/>
              </w:rPr>
              <w:t>老虎口式主井箕斗装载设备</w:t>
            </w:r>
          </w:p>
        </w:tc>
        <w:tc>
          <w:tcPr>
            <w:tcW w:w="2073" w:type="pct"/>
            <w:tcMar>
              <w:left w:w="108" w:type="dxa"/>
              <w:right w:w="108" w:type="dxa"/>
            </w:tcMar>
          </w:tcPr>
          <w:p w14:paraId="51392872" w14:textId="77777777" w:rsidR="009219A0" w:rsidRDefault="00000000">
            <w:pPr>
              <w:widowControl/>
              <w:adjustRightInd/>
              <w:snapToGrid/>
              <w:spacing w:line="240" w:lineRule="auto"/>
              <w:ind w:firstLineChars="0" w:firstLine="0"/>
              <w:jc w:val="left"/>
              <w:rPr>
                <w:rFonts w:ascii="宋体" w:hAnsi="宋体" w:cs="宋体" w:hint="eastAsia"/>
                <w:bCs/>
                <w:sz w:val="21"/>
                <w:szCs w:val="21"/>
              </w:rPr>
            </w:pPr>
            <w:r>
              <w:rPr>
                <w:rFonts w:ascii="宋体" w:hAnsi="宋体" w:hint="eastAsia"/>
                <w:bCs/>
                <w:sz w:val="21"/>
                <w:szCs w:val="21"/>
              </w:rPr>
              <w:t>无法定重装载，测量结果准确性差，易造成箕斗过量装载，导致</w:t>
            </w:r>
            <w:proofErr w:type="gramStart"/>
            <w:r>
              <w:rPr>
                <w:rFonts w:ascii="宋体" w:hAnsi="宋体" w:hint="eastAsia"/>
                <w:bCs/>
                <w:sz w:val="21"/>
                <w:szCs w:val="21"/>
              </w:rPr>
              <w:t>煤大量</w:t>
            </w:r>
            <w:proofErr w:type="gramEnd"/>
            <w:r>
              <w:rPr>
                <w:rFonts w:ascii="宋体" w:hAnsi="宋体" w:hint="eastAsia"/>
                <w:bCs/>
                <w:sz w:val="21"/>
                <w:szCs w:val="21"/>
              </w:rPr>
              <w:t>外溢事故，影响提升效率。不符合《煤矿安全规程》要求。</w:t>
            </w:r>
          </w:p>
        </w:tc>
        <w:tc>
          <w:tcPr>
            <w:tcW w:w="451" w:type="pct"/>
            <w:tcMar>
              <w:left w:w="108" w:type="dxa"/>
              <w:right w:w="108" w:type="dxa"/>
            </w:tcMar>
          </w:tcPr>
          <w:p w14:paraId="18D1857E" w14:textId="77777777" w:rsidR="009219A0" w:rsidRDefault="00000000">
            <w:pPr>
              <w:widowControl/>
              <w:adjustRightInd/>
              <w:snapToGrid/>
              <w:spacing w:line="240" w:lineRule="auto"/>
              <w:ind w:firstLineChars="0" w:firstLine="0"/>
              <w:jc w:val="left"/>
              <w:rPr>
                <w:rFonts w:ascii="宋体" w:hAnsi="宋体" w:cs="宋体" w:hint="eastAsia"/>
                <w:bCs/>
                <w:color w:val="444444"/>
                <w:kern w:val="0"/>
                <w:sz w:val="21"/>
                <w:szCs w:val="21"/>
                <w:lang w:bidi="ar"/>
              </w:rPr>
            </w:pPr>
            <w:r>
              <w:rPr>
                <w:rFonts w:ascii="宋体" w:hAnsi="宋体" w:hint="eastAsia"/>
                <w:bCs/>
                <w:sz w:val="21"/>
                <w:szCs w:val="21"/>
              </w:rPr>
              <w:t>禁止</w:t>
            </w:r>
          </w:p>
        </w:tc>
        <w:tc>
          <w:tcPr>
            <w:tcW w:w="883" w:type="pct"/>
            <w:tcMar>
              <w:left w:w="108" w:type="dxa"/>
              <w:right w:w="108" w:type="dxa"/>
            </w:tcMar>
          </w:tcPr>
          <w:p w14:paraId="38FAFD2E" w14:textId="77777777" w:rsidR="009219A0" w:rsidRDefault="00000000">
            <w:pPr>
              <w:widowControl/>
              <w:adjustRightInd/>
              <w:snapToGrid/>
              <w:spacing w:line="240" w:lineRule="auto"/>
              <w:ind w:firstLineChars="0" w:firstLine="0"/>
              <w:jc w:val="center"/>
              <w:rPr>
                <w:rFonts w:ascii="宋体" w:hAnsi="宋体" w:cs="宋体" w:hint="eastAsia"/>
                <w:bCs/>
                <w:sz w:val="21"/>
                <w:szCs w:val="21"/>
              </w:rPr>
            </w:pPr>
            <w:r>
              <w:rPr>
                <w:rFonts w:ascii="宋体" w:hAnsi="宋体" w:hint="eastAsia"/>
                <w:bCs/>
                <w:sz w:val="21"/>
                <w:szCs w:val="21"/>
              </w:rPr>
              <w:t>1年后禁止使用。</w:t>
            </w:r>
          </w:p>
        </w:tc>
        <w:tc>
          <w:tcPr>
            <w:tcW w:w="466" w:type="pct"/>
            <w:tcMar>
              <w:left w:w="108" w:type="dxa"/>
              <w:right w:w="108" w:type="dxa"/>
            </w:tcMar>
            <w:vAlign w:val="center"/>
          </w:tcPr>
          <w:p w14:paraId="0FCF8F5A"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2AD12B67" w14:textId="77777777">
        <w:trPr>
          <w:jc w:val="center"/>
        </w:trPr>
        <w:tc>
          <w:tcPr>
            <w:tcW w:w="326" w:type="pct"/>
            <w:tcMar>
              <w:left w:w="108" w:type="dxa"/>
              <w:right w:w="108" w:type="dxa"/>
            </w:tcMar>
            <w:vAlign w:val="center"/>
          </w:tcPr>
          <w:p w14:paraId="2EED98E6" w14:textId="77777777" w:rsidR="009219A0" w:rsidRDefault="00000000">
            <w:pPr>
              <w:widowControl/>
              <w:adjustRightInd/>
              <w:snapToGrid/>
              <w:spacing w:line="240" w:lineRule="auto"/>
              <w:ind w:firstLineChars="0" w:firstLine="0"/>
              <w:jc w:val="center"/>
              <w:rPr>
                <w:rFonts w:ascii="宋体" w:hAnsi="宋体" w:cs="宋体" w:hint="eastAsia"/>
                <w:bCs/>
                <w:color w:val="444444"/>
                <w:kern w:val="0"/>
                <w:sz w:val="21"/>
                <w:szCs w:val="21"/>
                <w:lang w:bidi="ar"/>
              </w:rPr>
            </w:pPr>
            <w:r>
              <w:rPr>
                <w:rFonts w:ascii="宋体" w:hAnsi="宋体" w:cs="宋体" w:hint="eastAsia"/>
                <w:bCs/>
                <w:color w:val="444444"/>
                <w:kern w:val="0"/>
                <w:sz w:val="21"/>
                <w:szCs w:val="21"/>
                <w:lang w:bidi="ar"/>
              </w:rPr>
              <w:t>8</w:t>
            </w:r>
          </w:p>
        </w:tc>
        <w:tc>
          <w:tcPr>
            <w:tcW w:w="801" w:type="pct"/>
            <w:tcMar>
              <w:left w:w="108" w:type="dxa"/>
              <w:right w:w="108" w:type="dxa"/>
            </w:tcMar>
          </w:tcPr>
          <w:p w14:paraId="6C0F77DC"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普通</w:t>
            </w:r>
            <w:proofErr w:type="gramStart"/>
            <w:r>
              <w:rPr>
                <w:rFonts w:ascii="宋体" w:hAnsi="宋体" w:hint="eastAsia"/>
                <w:bCs/>
                <w:sz w:val="21"/>
                <w:szCs w:val="21"/>
              </w:rPr>
              <w:t>轨</w:t>
            </w:r>
            <w:proofErr w:type="gramEnd"/>
            <w:r>
              <w:rPr>
                <w:rFonts w:ascii="宋体" w:hAnsi="宋体" w:hint="eastAsia"/>
                <w:bCs/>
                <w:sz w:val="21"/>
                <w:szCs w:val="21"/>
              </w:rPr>
              <w:t>斜井人车</w:t>
            </w:r>
          </w:p>
        </w:tc>
        <w:tc>
          <w:tcPr>
            <w:tcW w:w="2073" w:type="pct"/>
            <w:tcMar>
              <w:left w:w="108" w:type="dxa"/>
              <w:right w:w="108" w:type="dxa"/>
            </w:tcMar>
          </w:tcPr>
          <w:p w14:paraId="287617A1"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存在跑车、</w:t>
            </w:r>
            <w:proofErr w:type="gramStart"/>
            <w:r>
              <w:rPr>
                <w:rFonts w:ascii="宋体" w:hAnsi="宋体" w:hint="eastAsia"/>
                <w:bCs/>
                <w:sz w:val="21"/>
                <w:szCs w:val="21"/>
              </w:rPr>
              <w:t>掉道及</w:t>
            </w:r>
            <w:proofErr w:type="gramEnd"/>
            <w:r>
              <w:rPr>
                <w:rFonts w:ascii="宋体" w:hAnsi="宋体" w:hint="eastAsia"/>
                <w:bCs/>
                <w:sz w:val="21"/>
                <w:szCs w:val="21"/>
              </w:rPr>
              <w:t>侧翻等安全隐患,事故率较高，车体重，制动可靠性较低。</w:t>
            </w:r>
          </w:p>
        </w:tc>
        <w:tc>
          <w:tcPr>
            <w:tcW w:w="451" w:type="pct"/>
            <w:tcMar>
              <w:left w:w="108" w:type="dxa"/>
              <w:right w:w="108" w:type="dxa"/>
            </w:tcMar>
          </w:tcPr>
          <w:p w14:paraId="557533C2"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禁止</w:t>
            </w:r>
          </w:p>
        </w:tc>
        <w:tc>
          <w:tcPr>
            <w:tcW w:w="883" w:type="pct"/>
            <w:tcMar>
              <w:left w:w="108" w:type="dxa"/>
              <w:right w:w="108" w:type="dxa"/>
            </w:tcMar>
          </w:tcPr>
          <w:p w14:paraId="0C4F8321" w14:textId="77777777" w:rsidR="009219A0" w:rsidRDefault="00000000">
            <w:pPr>
              <w:widowControl/>
              <w:adjustRightInd/>
              <w:snapToGrid/>
              <w:spacing w:line="240" w:lineRule="auto"/>
              <w:ind w:firstLineChars="0" w:firstLine="0"/>
              <w:jc w:val="center"/>
              <w:rPr>
                <w:rFonts w:ascii="宋体" w:hAnsi="宋体" w:hint="eastAsia"/>
                <w:bCs/>
                <w:sz w:val="21"/>
                <w:szCs w:val="21"/>
              </w:rPr>
            </w:pPr>
            <w:r>
              <w:rPr>
                <w:rFonts w:ascii="宋体" w:hAnsi="宋体" w:hint="eastAsia"/>
                <w:bCs/>
                <w:sz w:val="21"/>
                <w:szCs w:val="21"/>
              </w:rPr>
              <w:t>普通</w:t>
            </w:r>
            <w:proofErr w:type="gramStart"/>
            <w:r>
              <w:rPr>
                <w:rFonts w:ascii="宋体" w:hAnsi="宋体" w:hint="eastAsia"/>
                <w:bCs/>
                <w:sz w:val="21"/>
                <w:szCs w:val="21"/>
              </w:rPr>
              <w:t>轨叉爪</w:t>
            </w:r>
            <w:proofErr w:type="gramEnd"/>
            <w:r>
              <w:rPr>
                <w:rFonts w:ascii="宋体" w:hAnsi="宋体" w:hint="eastAsia"/>
                <w:bCs/>
                <w:sz w:val="21"/>
                <w:szCs w:val="21"/>
              </w:rPr>
              <w:t>式人车3年后禁止使用，</w:t>
            </w:r>
            <w:proofErr w:type="gramStart"/>
            <w:r>
              <w:rPr>
                <w:rFonts w:ascii="宋体" w:hAnsi="宋体" w:hint="eastAsia"/>
                <w:bCs/>
                <w:sz w:val="21"/>
                <w:szCs w:val="21"/>
              </w:rPr>
              <w:t>普通轨抱轨式</w:t>
            </w:r>
            <w:proofErr w:type="gramEnd"/>
            <w:r>
              <w:rPr>
                <w:rFonts w:ascii="宋体" w:hAnsi="宋体" w:hint="eastAsia"/>
                <w:bCs/>
                <w:sz w:val="21"/>
                <w:szCs w:val="21"/>
              </w:rPr>
              <w:t>人车5年后禁止使用。</w:t>
            </w:r>
          </w:p>
        </w:tc>
        <w:tc>
          <w:tcPr>
            <w:tcW w:w="466" w:type="pct"/>
            <w:tcMar>
              <w:left w:w="108" w:type="dxa"/>
              <w:right w:w="108" w:type="dxa"/>
            </w:tcMar>
            <w:vAlign w:val="center"/>
          </w:tcPr>
          <w:p w14:paraId="616640CF" w14:textId="77777777" w:rsidR="009219A0" w:rsidRDefault="00000000">
            <w:pPr>
              <w:widowControl/>
              <w:adjustRightInd/>
              <w:snapToGrid/>
              <w:spacing w:line="240" w:lineRule="auto"/>
              <w:ind w:firstLineChars="0" w:firstLine="0"/>
              <w:jc w:val="center"/>
              <w:rPr>
                <w:rFonts w:ascii="宋体" w:hAnsi="宋体" w:cs="宋体" w:hint="eastAsia"/>
                <w:bCs/>
                <w:color w:val="444444"/>
                <w:kern w:val="0"/>
                <w:sz w:val="21"/>
                <w:szCs w:val="21"/>
                <w:lang w:bidi="ar"/>
              </w:rPr>
            </w:pPr>
            <w:r>
              <w:rPr>
                <w:rFonts w:ascii="宋体" w:hAnsi="宋体" w:cs="宋体" w:hint="eastAsia"/>
                <w:bCs/>
                <w:color w:val="444444"/>
                <w:kern w:val="0"/>
                <w:sz w:val="21"/>
                <w:szCs w:val="21"/>
                <w:lang w:bidi="ar"/>
              </w:rPr>
              <w:t>不涉及</w:t>
            </w:r>
          </w:p>
        </w:tc>
      </w:tr>
      <w:tr w:rsidR="009219A0" w14:paraId="45C88DAF" w14:textId="77777777">
        <w:trPr>
          <w:jc w:val="center"/>
        </w:trPr>
        <w:tc>
          <w:tcPr>
            <w:tcW w:w="5000" w:type="pct"/>
            <w:gridSpan w:val="6"/>
            <w:tcMar>
              <w:left w:w="108" w:type="dxa"/>
              <w:right w:w="108" w:type="dxa"/>
            </w:tcMar>
            <w:vAlign w:val="center"/>
          </w:tcPr>
          <w:p w14:paraId="357ADEF8" w14:textId="77777777" w:rsidR="009219A0" w:rsidRDefault="00000000">
            <w:pPr>
              <w:widowControl/>
              <w:adjustRightInd/>
              <w:snapToGrid/>
              <w:spacing w:line="240" w:lineRule="auto"/>
              <w:ind w:firstLineChars="0" w:firstLine="0"/>
              <w:jc w:val="left"/>
              <w:rPr>
                <w:rFonts w:ascii="宋体" w:hAnsi="宋体" w:cs="宋体" w:hint="eastAsia"/>
                <w:b/>
                <w:color w:val="444444"/>
                <w:kern w:val="0"/>
                <w:sz w:val="21"/>
                <w:szCs w:val="21"/>
                <w:lang w:bidi="ar"/>
              </w:rPr>
            </w:pPr>
            <w:r>
              <w:rPr>
                <w:rFonts w:ascii="宋体" w:hAnsi="宋体" w:hint="eastAsia"/>
                <w:b/>
                <w:sz w:val="21"/>
                <w:szCs w:val="21"/>
              </w:rPr>
              <w:t>二、危险化学品</w:t>
            </w:r>
          </w:p>
        </w:tc>
      </w:tr>
      <w:tr w:rsidR="009219A0" w14:paraId="34413701" w14:textId="77777777">
        <w:trPr>
          <w:jc w:val="center"/>
        </w:trPr>
        <w:tc>
          <w:tcPr>
            <w:tcW w:w="326" w:type="pct"/>
            <w:tcMar>
              <w:left w:w="108" w:type="dxa"/>
              <w:right w:w="108" w:type="dxa"/>
            </w:tcMar>
            <w:vAlign w:val="center"/>
          </w:tcPr>
          <w:p w14:paraId="39F05841" w14:textId="77777777" w:rsidR="009219A0" w:rsidRDefault="00000000">
            <w:pPr>
              <w:widowControl/>
              <w:adjustRightInd/>
              <w:snapToGrid/>
              <w:spacing w:line="240" w:lineRule="auto"/>
              <w:ind w:firstLineChars="0" w:firstLine="0"/>
              <w:jc w:val="center"/>
              <w:rPr>
                <w:rFonts w:ascii="宋体" w:hAnsi="宋体" w:cs="宋体" w:hint="eastAsia"/>
                <w:bCs/>
                <w:color w:val="444444"/>
                <w:kern w:val="0"/>
                <w:sz w:val="21"/>
                <w:szCs w:val="21"/>
                <w:lang w:bidi="ar"/>
              </w:rPr>
            </w:pPr>
            <w:r>
              <w:rPr>
                <w:rFonts w:ascii="宋体" w:hAnsi="宋体" w:cs="宋体" w:hint="eastAsia"/>
                <w:bCs/>
                <w:color w:val="444444"/>
                <w:kern w:val="0"/>
                <w:sz w:val="21"/>
                <w:szCs w:val="21"/>
                <w:lang w:bidi="ar"/>
              </w:rPr>
              <w:t>1</w:t>
            </w:r>
          </w:p>
        </w:tc>
        <w:tc>
          <w:tcPr>
            <w:tcW w:w="801" w:type="pct"/>
            <w:tcMar>
              <w:left w:w="108" w:type="dxa"/>
              <w:right w:w="108" w:type="dxa"/>
            </w:tcMar>
          </w:tcPr>
          <w:p w14:paraId="54767BBF" w14:textId="77777777" w:rsidR="009219A0" w:rsidRDefault="00000000">
            <w:pPr>
              <w:widowControl/>
              <w:adjustRightInd/>
              <w:snapToGrid/>
              <w:spacing w:line="240" w:lineRule="auto"/>
              <w:ind w:firstLineChars="0" w:firstLine="0"/>
              <w:jc w:val="left"/>
              <w:rPr>
                <w:rFonts w:ascii="宋体" w:hAnsi="宋体" w:cs="宋体" w:hint="eastAsia"/>
                <w:bCs/>
                <w:color w:val="444444"/>
                <w:kern w:val="0"/>
                <w:sz w:val="21"/>
                <w:szCs w:val="21"/>
                <w:lang w:bidi="ar"/>
              </w:rPr>
            </w:pPr>
            <w:r>
              <w:rPr>
                <w:rFonts w:ascii="宋体" w:hAnsi="宋体" w:hint="eastAsia"/>
                <w:bCs/>
                <w:sz w:val="21"/>
                <w:szCs w:val="21"/>
              </w:rPr>
              <w:t>间歇焦炭法二硫化碳工艺</w:t>
            </w:r>
          </w:p>
        </w:tc>
        <w:tc>
          <w:tcPr>
            <w:tcW w:w="2073" w:type="pct"/>
            <w:tcMar>
              <w:left w:w="108" w:type="dxa"/>
              <w:right w:w="108" w:type="dxa"/>
            </w:tcMar>
          </w:tcPr>
          <w:p w14:paraId="607628D3" w14:textId="77777777" w:rsidR="009219A0" w:rsidRDefault="00000000">
            <w:pPr>
              <w:widowControl/>
              <w:adjustRightInd/>
              <w:snapToGrid/>
              <w:spacing w:line="240" w:lineRule="auto"/>
              <w:ind w:firstLineChars="0" w:firstLine="0"/>
              <w:jc w:val="left"/>
              <w:rPr>
                <w:rFonts w:ascii="宋体" w:hAnsi="宋体" w:cs="宋体" w:hint="eastAsia"/>
                <w:bCs/>
                <w:color w:val="444444"/>
                <w:kern w:val="0"/>
                <w:sz w:val="21"/>
                <w:szCs w:val="21"/>
                <w:lang w:bidi="ar"/>
              </w:rPr>
            </w:pPr>
            <w:r>
              <w:rPr>
                <w:rFonts w:ascii="宋体" w:hAnsi="宋体" w:hint="eastAsia"/>
                <w:bCs/>
                <w:sz w:val="21"/>
                <w:szCs w:val="21"/>
              </w:rPr>
              <w:t xml:space="preserve">上世纪80年代国外已淘汰该工艺及设备。存在高污染、高环境危害等问题，同时易发生泄漏、中毒、爆炸等生产安全事故，安全隐患突出。 </w:t>
            </w:r>
          </w:p>
        </w:tc>
        <w:tc>
          <w:tcPr>
            <w:tcW w:w="451" w:type="pct"/>
            <w:tcMar>
              <w:left w:w="108" w:type="dxa"/>
              <w:right w:w="108" w:type="dxa"/>
            </w:tcMar>
          </w:tcPr>
          <w:p w14:paraId="300909B5" w14:textId="77777777" w:rsidR="009219A0" w:rsidRDefault="00000000">
            <w:pPr>
              <w:widowControl/>
              <w:adjustRightInd/>
              <w:snapToGrid/>
              <w:spacing w:line="240" w:lineRule="auto"/>
              <w:ind w:firstLineChars="0" w:firstLine="0"/>
              <w:jc w:val="left"/>
              <w:rPr>
                <w:rFonts w:ascii="宋体" w:hAnsi="宋体" w:cs="宋体" w:hint="eastAsia"/>
                <w:bCs/>
                <w:color w:val="444444"/>
                <w:kern w:val="0"/>
                <w:sz w:val="21"/>
                <w:szCs w:val="21"/>
                <w:lang w:bidi="ar"/>
              </w:rPr>
            </w:pPr>
            <w:r>
              <w:rPr>
                <w:rFonts w:ascii="宋体" w:hAnsi="宋体" w:hint="eastAsia"/>
                <w:bCs/>
                <w:sz w:val="21"/>
                <w:szCs w:val="21"/>
              </w:rPr>
              <w:t>限制</w:t>
            </w:r>
          </w:p>
        </w:tc>
        <w:tc>
          <w:tcPr>
            <w:tcW w:w="883" w:type="pct"/>
            <w:tcMar>
              <w:left w:w="108" w:type="dxa"/>
              <w:right w:w="108" w:type="dxa"/>
            </w:tcMar>
          </w:tcPr>
          <w:p w14:paraId="65C64389" w14:textId="77777777" w:rsidR="009219A0" w:rsidRDefault="00000000">
            <w:pPr>
              <w:widowControl/>
              <w:adjustRightInd/>
              <w:snapToGrid/>
              <w:spacing w:line="240" w:lineRule="auto"/>
              <w:ind w:firstLineChars="0" w:firstLine="0"/>
              <w:jc w:val="center"/>
              <w:rPr>
                <w:rFonts w:ascii="宋体" w:hAnsi="宋体" w:cs="宋体" w:hint="eastAsia"/>
                <w:bCs/>
                <w:color w:val="444444"/>
                <w:kern w:val="0"/>
                <w:sz w:val="21"/>
                <w:szCs w:val="21"/>
                <w:lang w:bidi="ar"/>
              </w:rPr>
            </w:pPr>
            <w:r>
              <w:rPr>
                <w:rFonts w:ascii="宋体" w:hAnsi="宋体" w:hint="eastAsia"/>
                <w:bCs/>
                <w:sz w:val="21"/>
                <w:szCs w:val="21"/>
              </w:rPr>
              <w:t>新建二硫化碳生产项目禁止使用。</w:t>
            </w:r>
          </w:p>
        </w:tc>
        <w:tc>
          <w:tcPr>
            <w:tcW w:w="466" w:type="pct"/>
            <w:tcMar>
              <w:left w:w="108" w:type="dxa"/>
              <w:right w:w="108" w:type="dxa"/>
            </w:tcMar>
            <w:vAlign w:val="center"/>
          </w:tcPr>
          <w:p w14:paraId="0219D65C"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0ED42E27" w14:textId="77777777">
        <w:trPr>
          <w:jc w:val="center"/>
        </w:trPr>
        <w:tc>
          <w:tcPr>
            <w:tcW w:w="5000" w:type="pct"/>
            <w:gridSpan w:val="6"/>
            <w:tcMar>
              <w:left w:w="108" w:type="dxa"/>
              <w:right w:w="108" w:type="dxa"/>
            </w:tcMar>
            <w:vAlign w:val="center"/>
          </w:tcPr>
          <w:p w14:paraId="44E7E1F4" w14:textId="77777777" w:rsidR="009219A0" w:rsidRDefault="00000000">
            <w:pPr>
              <w:widowControl/>
              <w:adjustRightInd/>
              <w:snapToGrid/>
              <w:spacing w:line="240" w:lineRule="auto"/>
              <w:ind w:firstLineChars="0" w:firstLine="0"/>
              <w:jc w:val="left"/>
              <w:rPr>
                <w:rFonts w:ascii="宋体" w:hAnsi="宋体" w:hint="eastAsia"/>
                <w:b/>
                <w:sz w:val="21"/>
                <w:szCs w:val="21"/>
              </w:rPr>
            </w:pPr>
            <w:r>
              <w:rPr>
                <w:rFonts w:ascii="宋体" w:hAnsi="宋体" w:hint="eastAsia"/>
                <w:b/>
                <w:sz w:val="21"/>
                <w:szCs w:val="21"/>
              </w:rPr>
              <w:t>三、工贸企业</w:t>
            </w:r>
          </w:p>
        </w:tc>
      </w:tr>
      <w:tr w:rsidR="009219A0" w14:paraId="1FBB2C64" w14:textId="77777777">
        <w:trPr>
          <w:jc w:val="center"/>
        </w:trPr>
        <w:tc>
          <w:tcPr>
            <w:tcW w:w="326" w:type="pct"/>
            <w:tcMar>
              <w:left w:w="108" w:type="dxa"/>
              <w:right w:w="108" w:type="dxa"/>
            </w:tcMar>
            <w:vAlign w:val="center"/>
          </w:tcPr>
          <w:p w14:paraId="7CFB3FD8" w14:textId="77777777" w:rsidR="009219A0" w:rsidRDefault="009219A0">
            <w:pPr>
              <w:pStyle w:val="aff4"/>
              <w:widowControl/>
              <w:numPr>
                <w:ilvl w:val="0"/>
                <w:numId w:val="16"/>
              </w:numPr>
              <w:adjustRightInd/>
              <w:snapToGrid/>
              <w:spacing w:line="240" w:lineRule="auto"/>
              <w:ind w:left="0" w:firstLineChars="0" w:firstLine="0"/>
              <w:jc w:val="center"/>
              <w:rPr>
                <w:rFonts w:ascii="宋体" w:hAnsi="宋体" w:cs="宋体" w:hint="eastAsia"/>
                <w:bCs/>
                <w:color w:val="444444"/>
                <w:kern w:val="0"/>
                <w:sz w:val="21"/>
                <w:szCs w:val="21"/>
                <w:lang w:bidi="ar"/>
              </w:rPr>
            </w:pPr>
          </w:p>
        </w:tc>
        <w:tc>
          <w:tcPr>
            <w:tcW w:w="801" w:type="pct"/>
            <w:tcMar>
              <w:left w:w="108" w:type="dxa"/>
              <w:right w:w="108" w:type="dxa"/>
            </w:tcMar>
          </w:tcPr>
          <w:p w14:paraId="4DCD2BB7" w14:textId="77777777" w:rsidR="009219A0" w:rsidRDefault="00000000">
            <w:pPr>
              <w:widowControl/>
              <w:adjustRightInd/>
              <w:snapToGrid/>
              <w:spacing w:line="240" w:lineRule="auto"/>
              <w:ind w:firstLineChars="0" w:firstLine="0"/>
              <w:jc w:val="left"/>
              <w:rPr>
                <w:rFonts w:ascii="宋体" w:hAnsi="宋体" w:cs="宋体" w:hint="eastAsia"/>
                <w:bCs/>
                <w:color w:val="444444"/>
                <w:kern w:val="0"/>
                <w:sz w:val="21"/>
                <w:szCs w:val="21"/>
                <w:lang w:bidi="ar"/>
              </w:rPr>
            </w:pPr>
            <w:r>
              <w:rPr>
                <w:rFonts w:ascii="宋体" w:hAnsi="宋体" w:hint="eastAsia"/>
                <w:bCs/>
                <w:sz w:val="21"/>
                <w:szCs w:val="21"/>
              </w:rPr>
              <w:t>金属打磨工艺的砖槽式通风道</w:t>
            </w:r>
          </w:p>
        </w:tc>
        <w:tc>
          <w:tcPr>
            <w:tcW w:w="2073" w:type="pct"/>
            <w:tcMar>
              <w:left w:w="108" w:type="dxa"/>
              <w:right w:w="108" w:type="dxa"/>
            </w:tcMar>
          </w:tcPr>
          <w:p w14:paraId="5312FB33" w14:textId="77777777" w:rsidR="009219A0" w:rsidRDefault="00000000">
            <w:pPr>
              <w:widowControl/>
              <w:adjustRightInd/>
              <w:snapToGrid/>
              <w:spacing w:line="240" w:lineRule="auto"/>
              <w:ind w:firstLineChars="0" w:firstLine="0"/>
              <w:jc w:val="left"/>
              <w:rPr>
                <w:rFonts w:ascii="宋体" w:hAnsi="宋体" w:cs="宋体" w:hint="eastAsia"/>
                <w:bCs/>
                <w:color w:val="444444"/>
                <w:kern w:val="0"/>
                <w:sz w:val="21"/>
                <w:szCs w:val="21"/>
                <w:lang w:bidi="ar"/>
              </w:rPr>
            </w:pPr>
            <w:r>
              <w:rPr>
                <w:rFonts w:ascii="宋体" w:hAnsi="宋体" w:hint="eastAsia"/>
                <w:bCs/>
                <w:sz w:val="21"/>
                <w:szCs w:val="21"/>
              </w:rPr>
              <w:t>容易造成粉尘沉降，导致静电累积，安全隐患大，易发生粉尘爆炸事故。</w:t>
            </w:r>
          </w:p>
        </w:tc>
        <w:tc>
          <w:tcPr>
            <w:tcW w:w="451" w:type="pct"/>
            <w:tcMar>
              <w:left w:w="108" w:type="dxa"/>
              <w:right w:w="108" w:type="dxa"/>
            </w:tcMar>
          </w:tcPr>
          <w:p w14:paraId="1A3BA6B3" w14:textId="77777777" w:rsidR="009219A0" w:rsidRDefault="00000000">
            <w:pPr>
              <w:widowControl/>
              <w:adjustRightInd/>
              <w:snapToGrid/>
              <w:spacing w:line="240" w:lineRule="auto"/>
              <w:ind w:firstLineChars="0" w:firstLine="0"/>
              <w:jc w:val="left"/>
              <w:rPr>
                <w:rFonts w:ascii="宋体" w:hAnsi="宋体" w:cs="宋体" w:hint="eastAsia"/>
                <w:bCs/>
                <w:color w:val="444444"/>
                <w:kern w:val="0"/>
                <w:sz w:val="21"/>
                <w:szCs w:val="21"/>
                <w:lang w:bidi="ar"/>
              </w:rPr>
            </w:pPr>
            <w:r>
              <w:rPr>
                <w:rFonts w:ascii="宋体" w:hAnsi="宋体" w:hint="eastAsia"/>
                <w:bCs/>
                <w:sz w:val="21"/>
                <w:szCs w:val="21"/>
              </w:rPr>
              <w:t>禁止</w:t>
            </w:r>
          </w:p>
        </w:tc>
        <w:tc>
          <w:tcPr>
            <w:tcW w:w="883" w:type="pct"/>
            <w:tcMar>
              <w:left w:w="108" w:type="dxa"/>
              <w:right w:w="108" w:type="dxa"/>
            </w:tcMar>
          </w:tcPr>
          <w:p w14:paraId="7D76EC54" w14:textId="77777777" w:rsidR="009219A0" w:rsidRDefault="00000000">
            <w:pPr>
              <w:widowControl/>
              <w:adjustRightInd/>
              <w:snapToGrid/>
              <w:spacing w:line="240" w:lineRule="auto"/>
              <w:ind w:firstLineChars="0" w:firstLine="0"/>
              <w:jc w:val="center"/>
              <w:rPr>
                <w:rFonts w:ascii="宋体" w:hAnsi="宋体" w:cs="宋体" w:hint="eastAsia"/>
                <w:bCs/>
                <w:color w:val="444444"/>
                <w:kern w:val="0"/>
                <w:sz w:val="21"/>
                <w:szCs w:val="21"/>
                <w:lang w:bidi="ar"/>
              </w:rPr>
            </w:pPr>
            <w:r>
              <w:rPr>
                <w:rFonts w:ascii="宋体" w:hAnsi="宋体" w:hint="eastAsia"/>
                <w:bCs/>
                <w:sz w:val="21"/>
                <w:szCs w:val="21"/>
              </w:rPr>
              <w:t>1年后禁止使用。</w:t>
            </w:r>
          </w:p>
        </w:tc>
        <w:tc>
          <w:tcPr>
            <w:tcW w:w="466" w:type="pct"/>
            <w:tcMar>
              <w:left w:w="108" w:type="dxa"/>
              <w:right w:w="108" w:type="dxa"/>
            </w:tcMar>
            <w:vAlign w:val="center"/>
          </w:tcPr>
          <w:p w14:paraId="56554169" w14:textId="77777777" w:rsidR="009219A0" w:rsidRDefault="00000000">
            <w:pPr>
              <w:widowControl/>
              <w:adjustRightInd/>
              <w:snapToGrid/>
              <w:spacing w:line="240" w:lineRule="auto"/>
              <w:ind w:firstLineChars="0" w:firstLine="0"/>
              <w:jc w:val="left"/>
              <w:rPr>
                <w:rFonts w:ascii="宋体" w:hAnsi="宋体" w:hint="eastAsia"/>
                <w:bCs/>
                <w:sz w:val="21"/>
                <w:szCs w:val="21"/>
              </w:rPr>
            </w:pPr>
            <w:r>
              <w:rPr>
                <w:rFonts w:ascii="宋体" w:hAnsi="宋体" w:hint="eastAsia"/>
                <w:bCs/>
                <w:sz w:val="21"/>
                <w:szCs w:val="21"/>
              </w:rPr>
              <w:t>不涉及</w:t>
            </w:r>
          </w:p>
        </w:tc>
      </w:tr>
      <w:tr w:rsidR="009219A0" w14:paraId="02433A5C" w14:textId="77777777">
        <w:trPr>
          <w:jc w:val="center"/>
        </w:trPr>
        <w:tc>
          <w:tcPr>
            <w:tcW w:w="5000" w:type="pct"/>
            <w:gridSpan w:val="6"/>
            <w:tcMar>
              <w:left w:w="108" w:type="dxa"/>
              <w:right w:w="108" w:type="dxa"/>
            </w:tcMar>
            <w:vAlign w:val="center"/>
          </w:tcPr>
          <w:p w14:paraId="6AA2CA99" w14:textId="77777777" w:rsidR="009219A0" w:rsidRDefault="00000000">
            <w:pPr>
              <w:widowControl/>
              <w:adjustRightInd/>
              <w:snapToGrid/>
              <w:spacing w:line="240" w:lineRule="auto"/>
              <w:ind w:firstLineChars="0" w:firstLine="0"/>
              <w:rPr>
                <w:rFonts w:ascii="宋体" w:hAnsi="宋体" w:cs="宋体" w:hint="eastAsia"/>
                <w:b/>
                <w:color w:val="444444"/>
                <w:kern w:val="0"/>
                <w:sz w:val="21"/>
                <w:szCs w:val="21"/>
                <w:lang w:bidi="ar"/>
              </w:rPr>
            </w:pPr>
            <w:r>
              <w:rPr>
                <w:rFonts w:ascii="宋体" w:hAnsi="宋体" w:hint="eastAsia"/>
                <w:b/>
                <w:sz w:val="21"/>
                <w:szCs w:val="21"/>
              </w:rPr>
              <w:t>四、职业健康</w:t>
            </w:r>
          </w:p>
        </w:tc>
      </w:tr>
      <w:tr w:rsidR="009219A0" w14:paraId="7BF3D62A" w14:textId="77777777">
        <w:trPr>
          <w:jc w:val="center"/>
        </w:trPr>
        <w:tc>
          <w:tcPr>
            <w:tcW w:w="326" w:type="pct"/>
            <w:tcMar>
              <w:left w:w="108" w:type="dxa"/>
              <w:right w:w="108" w:type="dxa"/>
            </w:tcMar>
            <w:vAlign w:val="center"/>
          </w:tcPr>
          <w:p w14:paraId="682288AD" w14:textId="77777777" w:rsidR="009219A0" w:rsidRDefault="009219A0">
            <w:pPr>
              <w:pStyle w:val="aff4"/>
              <w:widowControl/>
              <w:numPr>
                <w:ilvl w:val="0"/>
                <w:numId w:val="17"/>
              </w:numPr>
              <w:adjustRightInd/>
              <w:snapToGrid/>
              <w:spacing w:line="240" w:lineRule="auto"/>
              <w:ind w:left="0" w:firstLineChars="0" w:firstLine="0"/>
              <w:jc w:val="center"/>
              <w:rPr>
                <w:rFonts w:ascii="宋体" w:hAnsi="宋体" w:cs="宋体" w:hint="eastAsia"/>
                <w:bCs/>
                <w:color w:val="444444"/>
                <w:kern w:val="0"/>
                <w:sz w:val="21"/>
                <w:szCs w:val="21"/>
                <w:lang w:bidi="ar"/>
              </w:rPr>
            </w:pPr>
          </w:p>
        </w:tc>
        <w:tc>
          <w:tcPr>
            <w:tcW w:w="801" w:type="pct"/>
            <w:tcMar>
              <w:left w:w="108" w:type="dxa"/>
              <w:right w:w="108" w:type="dxa"/>
            </w:tcMar>
          </w:tcPr>
          <w:p w14:paraId="0FE249F7" w14:textId="77777777" w:rsidR="009219A0" w:rsidRDefault="00000000">
            <w:pPr>
              <w:widowControl/>
              <w:adjustRightInd/>
              <w:snapToGrid/>
              <w:spacing w:line="240" w:lineRule="auto"/>
              <w:ind w:firstLineChars="0" w:firstLine="0"/>
              <w:jc w:val="left"/>
              <w:rPr>
                <w:rFonts w:ascii="宋体" w:hAnsi="宋体" w:cs="宋体" w:hint="eastAsia"/>
                <w:bCs/>
                <w:color w:val="444444"/>
                <w:kern w:val="0"/>
                <w:sz w:val="21"/>
                <w:szCs w:val="21"/>
                <w:lang w:bidi="ar"/>
              </w:rPr>
            </w:pPr>
            <w:r>
              <w:rPr>
                <w:rFonts w:ascii="宋体" w:hAnsi="宋体" w:hint="eastAsia"/>
                <w:bCs/>
                <w:sz w:val="21"/>
                <w:szCs w:val="21"/>
              </w:rPr>
              <w:t>鞋和箱包制造领域有害物质超标的胶粘工艺</w:t>
            </w:r>
          </w:p>
        </w:tc>
        <w:tc>
          <w:tcPr>
            <w:tcW w:w="2073" w:type="pct"/>
            <w:tcMar>
              <w:left w:w="108" w:type="dxa"/>
              <w:right w:w="108" w:type="dxa"/>
            </w:tcMar>
          </w:tcPr>
          <w:p w14:paraId="773C4F89" w14:textId="77777777" w:rsidR="009219A0" w:rsidRDefault="00000000">
            <w:pPr>
              <w:widowControl/>
              <w:adjustRightInd/>
              <w:snapToGrid/>
              <w:spacing w:line="240" w:lineRule="auto"/>
              <w:ind w:firstLineChars="0" w:firstLine="0"/>
              <w:jc w:val="left"/>
              <w:rPr>
                <w:rFonts w:ascii="宋体" w:hAnsi="宋体" w:cs="宋体" w:hint="eastAsia"/>
                <w:bCs/>
                <w:color w:val="444444"/>
                <w:kern w:val="0"/>
                <w:sz w:val="21"/>
                <w:szCs w:val="21"/>
                <w:lang w:bidi="ar"/>
              </w:rPr>
            </w:pPr>
            <w:r>
              <w:rPr>
                <w:rFonts w:ascii="宋体" w:hAnsi="宋体" w:hint="eastAsia"/>
                <w:bCs/>
                <w:sz w:val="21"/>
                <w:szCs w:val="21"/>
              </w:rPr>
              <w:t>胶粘剂中苯、正己烷、1,2</w:t>
            </w:r>
            <w:proofErr w:type="gramStart"/>
            <w:r>
              <w:rPr>
                <w:rFonts w:ascii="宋体" w:hAnsi="宋体" w:hint="eastAsia"/>
                <w:bCs/>
                <w:sz w:val="21"/>
                <w:szCs w:val="21"/>
              </w:rPr>
              <w:t>一</w:t>
            </w:r>
            <w:proofErr w:type="gramEnd"/>
            <w:r>
              <w:rPr>
                <w:rFonts w:ascii="宋体" w:hAnsi="宋体" w:hint="eastAsia"/>
                <w:bCs/>
                <w:sz w:val="21"/>
                <w:szCs w:val="21"/>
              </w:rPr>
              <w:t>二氯乙烷等有害物质超标，职业病危害严重，不符合《鞋和箱包用胶粘剂》（GB19340）标准规定。</w:t>
            </w:r>
          </w:p>
        </w:tc>
        <w:tc>
          <w:tcPr>
            <w:tcW w:w="451" w:type="pct"/>
            <w:tcMar>
              <w:left w:w="108" w:type="dxa"/>
              <w:right w:w="108" w:type="dxa"/>
            </w:tcMar>
          </w:tcPr>
          <w:p w14:paraId="5FC42D8F" w14:textId="77777777" w:rsidR="009219A0" w:rsidRDefault="00000000">
            <w:pPr>
              <w:widowControl/>
              <w:adjustRightInd/>
              <w:snapToGrid/>
              <w:spacing w:line="240" w:lineRule="auto"/>
              <w:ind w:firstLineChars="0" w:firstLine="0"/>
              <w:jc w:val="left"/>
              <w:rPr>
                <w:rFonts w:ascii="宋体" w:hAnsi="宋体" w:cs="宋体" w:hint="eastAsia"/>
                <w:bCs/>
                <w:color w:val="444444"/>
                <w:kern w:val="0"/>
                <w:sz w:val="21"/>
                <w:szCs w:val="21"/>
                <w:lang w:bidi="ar"/>
              </w:rPr>
            </w:pPr>
            <w:r>
              <w:rPr>
                <w:rFonts w:ascii="宋体" w:hAnsi="宋体" w:hint="eastAsia"/>
                <w:bCs/>
                <w:sz w:val="21"/>
                <w:szCs w:val="21"/>
              </w:rPr>
              <w:t>限制</w:t>
            </w:r>
          </w:p>
        </w:tc>
        <w:tc>
          <w:tcPr>
            <w:tcW w:w="883" w:type="pct"/>
            <w:tcMar>
              <w:left w:w="108" w:type="dxa"/>
              <w:right w:w="108" w:type="dxa"/>
            </w:tcMar>
          </w:tcPr>
          <w:p w14:paraId="0414AB48" w14:textId="77777777" w:rsidR="009219A0" w:rsidRDefault="00000000">
            <w:pPr>
              <w:widowControl/>
              <w:adjustRightInd/>
              <w:snapToGrid/>
              <w:spacing w:line="240" w:lineRule="auto"/>
              <w:ind w:firstLineChars="0" w:firstLine="0"/>
              <w:jc w:val="center"/>
              <w:rPr>
                <w:rFonts w:ascii="宋体" w:hAnsi="宋体" w:cs="宋体" w:hint="eastAsia"/>
                <w:bCs/>
                <w:color w:val="444444"/>
                <w:kern w:val="0"/>
                <w:sz w:val="21"/>
                <w:szCs w:val="21"/>
                <w:lang w:bidi="ar"/>
              </w:rPr>
            </w:pPr>
            <w:r>
              <w:rPr>
                <w:rFonts w:ascii="宋体" w:hAnsi="宋体" w:hint="eastAsia"/>
                <w:bCs/>
                <w:sz w:val="21"/>
                <w:szCs w:val="21"/>
              </w:rPr>
              <w:t>1年后禁止使用。</w:t>
            </w:r>
          </w:p>
        </w:tc>
        <w:tc>
          <w:tcPr>
            <w:tcW w:w="466" w:type="pct"/>
            <w:tcMar>
              <w:left w:w="108" w:type="dxa"/>
              <w:right w:w="108" w:type="dxa"/>
            </w:tcMar>
            <w:vAlign w:val="center"/>
          </w:tcPr>
          <w:p w14:paraId="27FBA4F3" w14:textId="77777777" w:rsidR="009219A0" w:rsidRDefault="00000000">
            <w:pPr>
              <w:widowControl/>
              <w:adjustRightInd/>
              <w:snapToGrid/>
              <w:spacing w:line="240" w:lineRule="auto"/>
              <w:ind w:firstLineChars="0" w:firstLine="0"/>
              <w:jc w:val="left"/>
              <w:rPr>
                <w:rFonts w:ascii="宋体" w:hAnsi="宋体" w:cs="宋体" w:hint="eastAsia"/>
                <w:bCs/>
                <w:color w:val="444444"/>
                <w:kern w:val="0"/>
                <w:sz w:val="21"/>
                <w:szCs w:val="21"/>
                <w:lang w:bidi="ar"/>
              </w:rPr>
            </w:pPr>
            <w:r>
              <w:rPr>
                <w:rFonts w:ascii="宋体" w:hAnsi="宋体" w:hint="eastAsia"/>
                <w:bCs/>
                <w:sz w:val="21"/>
                <w:szCs w:val="21"/>
              </w:rPr>
              <w:t>不涉及</w:t>
            </w:r>
          </w:p>
        </w:tc>
      </w:tr>
    </w:tbl>
    <w:p w14:paraId="546C0BEF" w14:textId="77777777" w:rsidR="009219A0" w:rsidRDefault="009219A0">
      <w:pPr>
        <w:ind w:firstLine="560"/>
        <w:jc w:val="center"/>
      </w:pPr>
    </w:p>
    <w:p w14:paraId="5012A145" w14:textId="77777777" w:rsidR="009219A0" w:rsidRDefault="00000000">
      <w:pPr>
        <w:ind w:firstLine="560"/>
        <w:jc w:val="center"/>
        <w:rPr>
          <w:color w:val="auto"/>
        </w:rPr>
      </w:pPr>
      <w:r>
        <w:rPr>
          <w:rFonts w:hint="eastAsia"/>
          <w:color w:val="auto"/>
        </w:rPr>
        <w:lastRenderedPageBreak/>
        <w:t>表</w:t>
      </w:r>
      <w:r>
        <w:rPr>
          <w:rFonts w:hint="eastAsia"/>
          <w:color w:val="auto"/>
        </w:rPr>
        <w:t xml:space="preserve">2.9-5  </w:t>
      </w:r>
      <w:r>
        <w:rPr>
          <w:rFonts w:hint="eastAsia"/>
          <w:color w:val="auto"/>
        </w:rPr>
        <w:t>金属冶炼企业禁止使用的设备及工艺目录（第一批）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0"/>
        <w:gridCol w:w="1540"/>
        <w:gridCol w:w="3968"/>
        <w:gridCol w:w="1134"/>
        <w:gridCol w:w="1700"/>
      </w:tblGrid>
      <w:tr w:rsidR="009219A0" w14:paraId="6F09F8C0" w14:textId="77777777">
        <w:trPr>
          <w:jc w:val="center"/>
        </w:trPr>
        <w:tc>
          <w:tcPr>
            <w:tcW w:w="402" w:type="pct"/>
            <w:tcMar>
              <w:left w:w="108" w:type="dxa"/>
              <w:right w:w="108" w:type="dxa"/>
            </w:tcMar>
            <w:vAlign w:val="center"/>
          </w:tcPr>
          <w:p w14:paraId="75C1BEE9"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
                <w:sz w:val="21"/>
                <w:szCs w:val="21"/>
              </w:rPr>
            </w:pPr>
            <w:r>
              <w:rPr>
                <w:rFonts w:asciiTheme="minorEastAsia" w:eastAsiaTheme="minorEastAsia" w:hAnsiTheme="minorEastAsia" w:hint="eastAsia"/>
                <w:b/>
                <w:sz w:val="21"/>
                <w:szCs w:val="21"/>
              </w:rPr>
              <w:t>序号</w:t>
            </w:r>
          </w:p>
        </w:tc>
        <w:tc>
          <w:tcPr>
            <w:tcW w:w="849" w:type="pct"/>
            <w:tcMar>
              <w:left w:w="108" w:type="dxa"/>
              <w:right w:w="108" w:type="dxa"/>
            </w:tcMar>
            <w:vAlign w:val="center"/>
          </w:tcPr>
          <w:p w14:paraId="24C5F199"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
                <w:sz w:val="21"/>
                <w:szCs w:val="21"/>
              </w:rPr>
            </w:pPr>
            <w:r>
              <w:rPr>
                <w:rFonts w:asciiTheme="minorEastAsia" w:eastAsiaTheme="minorEastAsia" w:hAnsiTheme="minorEastAsia" w:hint="eastAsia"/>
                <w:b/>
                <w:sz w:val="21"/>
                <w:szCs w:val="21"/>
              </w:rPr>
              <w:t>设备或工艺名称（型号）</w:t>
            </w:r>
          </w:p>
        </w:tc>
        <w:tc>
          <w:tcPr>
            <w:tcW w:w="2187" w:type="pct"/>
            <w:tcMar>
              <w:left w:w="108" w:type="dxa"/>
              <w:right w:w="108" w:type="dxa"/>
            </w:tcMar>
            <w:vAlign w:val="center"/>
          </w:tcPr>
          <w:p w14:paraId="58D24549"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
                <w:sz w:val="21"/>
                <w:szCs w:val="21"/>
              </w:rPr>
            </w:pPr>
            <w:r>
              <w:rPr>
                <w:rFonts w:asciiTheme="minorEastAsia" w:eastAsiaTheme="minorEastAsia" w:hAnsiTheme="minorEastAsia" w:hint="eastAsia"/>
                <w:b/>
                <w:sz w:val="21"/>
                <w:szCs w:val="21"/>
              </w:rPr>
              <w:t>禁止原因</w:t>
            </w:r>
          </w:p>
        </w:tc>
        <w:tc>
          <w:tcPr>
            <w:tcW w:w="625" w:type="pct"/>
            <w:tcMar>
              <w:left w:w="108" w:type="dxa"/>
              <w:right w:w="108" w:type="dxa"/>
            </w:tcMar>
            <w:vAlign w:val="center"/>
          </w:tcPr>
          <w:p w14:paraId="15B8DF08"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
                <w:sz w:val="21"/>
                <w:szCs w:val="21"/>
              </w:rPr>
            </w:pPr>
            <w:r>
              <w:rPr>
                <w:rFonts w:asciiTheme="minorEastAsia" w:eastAsiaTheme="minorEastAsia" w:hAnsiTheme="minorEastAsia" w:hint="eastAsia"/>
                <w:b/>
                <w:sz w:val="21"/>
                <w:szCs w:val="21"/>
              </w:rPr>
              <w:t>禁止期限</w:t>
            </w:r>
          </w:p>
        </w:tc>
        <w:tc>
          <w:tcPr>
            <w:tcW w:w="937" w:type="pct"/>
            <w:tcMar>
              <w:left w:w="108" w:type="dxa"/>
              <w:right w:w="108" w:type="dxa"/>
            </w:tcMar>
            <w:vAlign w:val="center"/>
          </w:tcPr>
          <w:p w14:paraId="705103C1"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
                <w:sz w:val="21"/>
                <w:szCs w:val="21"/>
              </w:rPr>
            </w:pPr>
            <w:r>
              <w:rPr>
                <w:rFonts w:asciiTheme="minorEastAsia" w:eastAsiaTheme="minorEastAsia" w:hAnsiTheme="minorEastAsia" w:hint="eastAsia"/>
                <w:b/>
                <w:sz w:val="21"/>
                <w:szCs w:val="21"/>
              </w:rPr>
              <w:t>检查内容</w:t>
            </w:r>
          </w:p>
        </w:tc>
      </w:tr>
      <w:tr w:rsidR="009219A0" w14:paraId="3BE002C3" w14:textId="77777777">
        <w:trPr>
          <w:jc w:val="center"/>
        </w:trPr>
        <w:tc>
          <w:tcPr>
            <w:tcW w:w="402" w:type="pct"/>
            <w:tcMar>
              <w:left w:w="108" w:type="dxa"/>
              <w:right w:w="108" w:type="dxa"/>
            </w:tcMar>
            <w:vAlign w:val="center"/>
          </w:tcPr>
          <w:p w14:paraId="6C98BE7B" w14:textId="77777777" w:rsidR="009219A0" w:rsidRDefault="00000000">
            <w:pPr>
              <w:widowControl/>
              <w:adjustRightInd/>
              <w:snapToGrid/>
              <w:spacing w:line="240" w:lineRule="auto"/>
              <w:ind w:firstLineChars="0" w:firstLine="0"/>
              <w:jc w:val="center"/>
              <w:rPr>
                <w:rFonts w:asciiTheme="minorEastAsia" w:eastAsiaTheme="minorEastAsia" w:hAnsiTheme="minorEastAsia" w:cs="宋体" w:hint="eastAsia"/>
                <w:sz w:val="21"/>
                <w:szCs w:val="21"/>
              </w:rPr>
            </w:pPr>
            <w:r>
              <w:rPr>
                <w:rFonts w:asciiTheme="minorEastAsia" w:eastAsiaTheme="minorEastAsia" w:hAnsiTheme="minorEastAsia" w:cs="宋体" w:hint="eastAsia"/>
                <w:color w:val="444444"/>
                <w:kern w:val="0"/>
                <w:sz w:val="21"/>
                <w:szCs w:val="21"/>
                <w:lang w:bidi="ar"/>
              </w:rPr>
              <w:t>1</w:t>
            </w:r>
          </w:p>
        </w:tc>
        <w:tc>
          <w:tcPr>
            <w:tcW w:w="849" w:type="pct"/>
            <w:tcMar>
              <w:left w:w="108" w:type="dxa"/>
              <w:right w:w="108" w:type="dxa"/>
            </w:tcMar>
            <w:vAlign w:val="center"/>
          </w:tcPr>
          <w:p w14:paraId="3AD061B4"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钢（铁）水罐非</w:t>
            </w:r>
            <w:proofErr w:type="gramStart"/>
            <w:r>
              <w:rPr>
                <w:rFonts w:asciiTheme="minorEastAsia" w:eastAsiaTheme="minorEastAsia" w:hAnsiTheme="minorEastAsia" w:hint="eastAsia"/>
                <w:bCs/>
                <w:sz w:val="21"/>
                <w:szCs w:val="21"/>
              </w:rPr>
              <w:t>烘烤器</w:t>
            </w:r>
            <w:proofErr w:type="gramEnd"/>
            <w:r>
              <w:rPr>
                <w:rFonts w:asciiTheme="minorEastAsia" w:eastAsiaTheme="minorEastAsia" w:hAnsiTheme="minorEastAsia" w:hint="eastAsia"/>
                <w:bCs/>
                <w:sz w:val="21"/>
                <w:szCs w:val="21"/>
              </w:rPr>
              <w:t>烘烤</w:t>
            </w:r>
          </w:p>
        </w:tc>
        <w:tc>
          <w:tcPr>
            <w:tcW w:w="2187" w:type="pct"/>
            <w:tcMar>
              <w:left w:w="108" w:type="dxa"/>
              <w:right w:w="108" w:type="dxa"/>
            </w:tcMar>
            <w:vAlign w:val="center"/>
          </w:tcPr>
          <w:p w14:paraId="67411B51"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采用红渣或木柴烘烤，无法按照烘烤曲线进行升温、保温，容易导致罐（包）体烘烤不充分，当钢（铁）水罐</w:t>
            </w:r>
            <w:proofErr w:type="gramStart"/>
            <w:r>
              <w:rPr>
                <w:rFonts w:asciiTheme="minorEastAsia" w:eastAsiaTheme="minorEastAsia" w:hAnsiTheme="minorEastAsia" w:hint="eastAsia"/>
                <w:bCs/>
                <w:sz w:val="21"/>
                <w:szCs w:val="21"/>
              </w:rPr>
              <w:t>耐材存在</w:t>
            </w:r>
            <w:proofErr w:type="gramEnd"/>
            <w:r>
              <w:rPr>
                <w:rFonts w:asciiTheme="minorEastAsia" w:eastAsiaTheme="minorEastAsia" w:hAnsiTheme="minorEastAsia" w:hint="eastAsia"/>
                <w:bCs/>
                <w:sz w:val="21"/>
                <w:szCs w:val="21"/>
              </w:rPr>
              <w:t>局部潮湿、气孔不畅，吊运或运输作业时容易引发钢（铁）水喷溅</w:t>
            </w:r>
            <w:proofErr w:type="gramStart"/>
            <w:r>
              <w:rPr>
                <w:rFonts w:asciiTheme="minorEastAsia" w:eastAsiaTheme="minorEastAsia" w:hAnsiTheme="minorEastAsia" w:hint="eastAsia"/>
                <w:bCs/>
                <w:sz w:val="21"/>
                <w:szCs w:val="21"/>
              </w:rPr>
              <w:t>或喷爆事故</w:t>
            </w:r>
            <w:proofErr w:type="gramEnd"/>
            <w:r>
              <w:rPr>
                <w:rFonts w:asciiTheme="minorEastAsia" w:eastAsiaTheme="minorEastAsia" w:hAnsiTheme="minorEastAsia" w:hint="eastAsia"/>
                <w:bCs/>
                <w:sz w:val="21"/>
                <w:szCs w:val="21"/>
              </w:rPr>
              <w:t>，引发人员伤亡。</w:t>
            </w:r>
          </w:p>
        </w:tc>
        <w:tc>
          <w:tcPr>
            <w:tcW w:w="625" w:type="pct"/>
            <w:tcMar>
              <w:left w:w="108" w:type="dxa"/>
              <w:right w:w="108" w:type="dxa"/>
            </w:tcMar>
            <w:vAlign w:val="center"/>
          </w:tcPr>
          <w:p w14:paraId="47C1E5F7"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自2018年9月1日起禁止</w:t>
            </w:r>
          </w:p>
        </w:tc>
        <w:tc>
          <w:tcPr>
            <w:tcW w:w="937" w:type="pct"/>
            <w:tcMar>
              <w:left w:w="108" w:type="dxa"/>
              <w:right w:w="108" w:type="dxa"/>
            </w:tcMar>
            <w:vAlign w:val="center"/>
          </w:tcPr>
          <w:p w14:paraId="74A01203"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不涉及</w:t>
            </w:r>
          </w:p>
        </w:tc>
      </w:tr>
      <w:tr w:rsidR="009219A0" w14:paraId="77617FD8" w14:textId="77777777">
        <w:trPr>
          <w:jc w:val="center"/>
        </w:trPr>
        <w:tc>
          <w:tcPr>
            <w:tcW w:w="402" w:type="pct"/>
            <w:tcMar>
              <w:left w:w="108" w:type="dxa"/>
              <w:right w:w="108" w:type="dxa"/>
            </w:tcMar>
            <w:vAlign w:val="center"/>
          </w:tcPr>
          <w:p w14:paraId="1BD6CE7B" w14:textId="77777777" w:rsidR="009219A0" w:rsidRDefault="00000000">
            <w:pPr>
              <w:widowControl/>
              <w:adjustRightInd/>
              <w:snapToGrid/>
              <w:spacing w:line="240" w:lineRule="auto"/>
              <w:ind w:firstLineChars="0" w:firstLine="0"/>
              <w:jc w:val="center"/>
              <w:rPr>
                <w:rFonts w:asciiTheme="minorEastAsia" w:eastAsiaTheme="minorEastAsia" w:hAnsiTheme="minorEastAsia" w:cs="宋体" w:hint="eastAsia"/>
                <w:sz w:val="21"/>
                <w:szCs w:val="21"/>
              </w:rPr>
            </w:pPr>
            <w:r>
              <w:rPr>
                <w:rFonts w:asciiTheme="minorEastAsia" w:eastAsiaTheme="minorEastAsia" w:hAnsiTheme="minorEastAsia" w:cs="宋体" w:hint="eastAsia"/>
                <w:color w:val="444444"/>
                <w:kern w:val="0"/>
                <w:sz w:val="21"/>
                <w:szCs w:val="21"/>
                <w:lang w:bidi="ar"/>
              </w:rPr>
              <w:t>2</w:t>
            </w:r>
          </w:p>
        </w:tc>
        <w:tc>
          <w:tcPr>
            <w:tcW w:w="849" w:type="pct"/>
            <w:tcMar>
              <w:left w:w="108" w:type="dxa"/>
              <w:right w:w="108" w:type="dxa"/>
            </w:tcMar>
            <w:vAlign w:val="center"/>
          </w:tcPr>
          <w:p w14:paraId="1ABBFDC8" w14:textId="77777777" w:rsidR="009219A0" w:rsidRDefault="00000000">
            <w:pPr>
              <w:widowControl/>
              <w:adjustRightInd/>
              <w:snapToGrid/>
              <w:spacing w:line="240" w:lineRule="auto"/>
              <w:ind w:firstLineChars="0" w:firstLine="0"/>
              <w:jc w:val="left"/>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转炉炼钢吹炼后期补铁水增碳</w:t>
            </w:r>
          </w:p>
        </w:tc>
        <w:tc>
          <w:tcPr>
            <w:tcW w:w="2187" w:type="pct"/>
            <w:tcMar>
              <w:left w:w="108" w:type="dxa"/>
              <w:right w:w="108" w:type="dxa"/>
            </w:tcMar>
            <w:vAlign w:val="center"/>
          </w:tcPr>
          <w:p w14:paraId="3903A4DE"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转炉冶炼后期钢水的氧化性较强，当出现钢水成分不合格情况，若采取补铁水增碳的冶炼方式，炉内碳氧反应剧烈，易造成钢水大喷溅引发的生产安全事故。</w:t>
            </w:r>
          </w:p>
        </w:tc>
        <w:tc>
          <w:tcPr>
            <w:tcW w:w="625" w:type="pct"/>
            <w:tcMar>
              <w:left w:w="108" w:type="dxa"/>
              <w:right w:w="108" w:type="dxa"/>
            </w:tcMar>
            <w:vAlign w:val="center"/>
          </w:tcPr>
          <w:p w14:paraId="5BD8AFDD"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自2018年3月1日起禁止</w:t>
            </w:r>
          </w:p>
        </w:tc>
        <w:tc>
          <w:tcPr>
            <w:tcW w:w="937" w:type="pct"/>
            <w:tcMar>
              <w:left w:w="108" w:type="dxa"/>
              <w:right w:w="108" w:type="dxa"/>
            </w:tcMar>
            <w:vAlign w:val="center"/>
          </w:tcPr>
          <w:p w14:paraId="22DF9B9C"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不涉及</w:t>
            </w:r>
          </w:p>
        </w:tc>
      </w:tr>
      <w:tr w:rsidR="009219A0" w14:paraId="6D9B39AF" w14:textId="77777777">
        <w:trPr>
          <w:trHeight w:val="965"/>
          <w:jc w:val="center"/>
        </w:trPr>
        <w:tc>
          <w:tcPr>
            <w:tcW w:w="402" w:type="pct"/>
            <w:tcMar>
              <w:left w:w="108" w:type="dxa"/>
              <w:right w:w="108" w:type="dxa"/>
            </w:tcMar>
            <w:vAlign w:val="center"/>
          </w:tcPr>
          <w:p w14:paraId="727268F1" w14:textId="77777777" w:rsidR="009219A0" w:rsidRDefault="00000000">
            <w:pPr>
              <w:widowControl/>
              <w:adjustRightInd/>
              <w:snapToGrid/>
              <w:spacing w:line="240" w:lineRule="auto"/>
              <w:ind w:firstLineChars="0" w:firstLine="0"/>
              <w:jc w:val="center"/>
              <w:rPr>
                <w:rFonts w:asciiTheme="minorEastAsia" w:eastAsiaTheme="minorEastAsia" w:hAnsiTheme="minorEastAsia" w:cs="宋体" w:hint="eastAsia"/>
                <w:sz w:val="21"/>
                <w:szCs w:val="21"/>
              </w:rPr>
            </w:pPr>
            <w:r>
              <w:rPr>
                <w:rFonts w:asciiTheme="minorEastAsia" w:eastAsiaTheme="minorEastAsia" w:hAnsiTheme="minorEastAsia" w:cs="宋体" w:hint="eastAsia"/>
                <w:color w:val="444444"/>
                <w:kern w:val="0"/>
                <w:sz w:val="21"/>
                <w:szCs w:val="21"/>
                <w:lang w:bidi="ar"/>
              </w:rPr>
              <w:t>3</w:t>
            </w:r>
          </w:p>
        </w:tc>
        <w:tc>
          <w:tcPr>
            <w:tcW w:w="849" w:type="pct"/>
            <w:tcMar>
              <w:left w:w="108" w:type="dxa"/>
              <w:right w:w="108" w:type="dxa"/>
            </w:tcMar>
            <w:vAlign w:val="center"/>
          </w:tcPr>
          <w:p w14:paraId="2A30DFE9" w14:textId="77777777" w:rsidR="009219A0" w:rsidRDefault="00000000">
            <w:pPr>
              <w:widowControl/>
              <w:adjustRightInd/>
              <w:snapToGrid/>
              <w:spacing w:line="240" w:lineRule="auto"/>
              <w:ind w:firstLineChars="0" w:firstLine="0"/>
              <w:jc w:val="left"/>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爆破废钢（渣）</w:t>
            </w:r>
          </w:p>
        </w:tc>
        <w:tc>
          <w:tcPr>
            <w:tcW w:w="2187" w:type="pct"/>
            <w:tcMar>
              <w:left w:w="108" w:type="dxa"/>
              <w:right w:w="108" w:type="dxa"/>
            </w:tcMar>
            <w:vAlign w:val="center"/>
          </w:tcPr>
          <w:p w14:paraId="300AB8F3"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爆破方式处理废钢（渣）容易导致作业区域的周边人员及设备设施，发生伤亡及损害事故。</w:t>
            </w:r>
          </w:p>
        </w:tc>
        <w:tc>
          <w:tcPr>
            <w:tcW w:w="625" w:type="pct"/>
            <w:tcMar>
              <w:left w:w="108" w:type="dxa"/>
              <w:right w:w="108" w:type="dxa"/>
            </w:tcMar>
            <w:vAlign w:val="center"/>
          </w:tcPr>
          <w:p w14:paraId="26660ACF"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自2018年3月1日起禁止</w:t>
            </w:r>
          </w:p>
        </w:tc>
        <w:tc>
          <w:tcPr>
            <w:tcW w:w="937" w:type="pct"/>
            <w:tcMar>
              <w:left w:w="108" w:type="dxa"/>
              <w:right w:w="108" w:type="dxa"/>
            </w:tcMar>
            <w:vAlign w:val="center"/>
          </w:tcPr>
          <w:p w14:paraId="33B97A72"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不涉及</w:t>
            </w:r>
          </w:p>
        </w:tc>
      </w:tr>
      <w:tr w:rsidR="009219A0" w14:paraId="20C9F975" w14:textId="77777777">
        <w:trPr>
          <w:trHeight w:val="1851"/>
          <w:jc w:val="center"/>
        </w:trPr>
        <w:tc>
          <w:tcPr>
            <w:tcW w:w="402" w:type="pct"/>
            <w:tcMar>
              <w:left w:w="108" w:type="dxa"/>
              <w:right w:w="108" w:type="dxa"/>
            </w:tcMar>
            <w:vAlign w:val="center"/>
          </w:tcPr>
          <w:p w14:paraId="7700D958" w14:textId="77777777" w:rsidR="009219A0" w:rsidRDefault="00000000">
            <w:pPr>
              <w:widowControl/>
              <w:adjustRightInd/>
              <w:snapToGrid/>
              <w:spacing w:line="240" w:lineRule="auto"/>
              <w:ind w:firstLineChars="0" w:firstLine="0"/>
              <w:jc w:val="center"/>
              <w:rPr>
                <w:rFonts w:asciiTheme="minorEastAsia" w:eastAsiaTheme="minorEastAsia" w:hAnsiTheme="minorEastAsia" w:cs="宋体" w:hint="eastAsia"/>
                <w:sz w:val="21"/>
                <w:szCs w:val="21"/>
              </w:rPr>
            </w:pPr>
            <w:r>
              <w:rPr>
                <w:rFonts w:asciiTheme="minorEastAsia" w:eastAsiaTheme="minorEastAsia" w:hAnsiTheme="minorEastAsia" w:cs="宋体" w:hint="eastAsia"/>
                <w:color w:val="444444"/>
                <w:kern w:val="0"/>
                <w:sz w:val="21"/>
                <w:szCs w:val="21"/>
                <w:lang w:bidi="ar"/>
              </w:rPr>
              <w:t>4</w:t>
            </w:r>
          </w:p>
        </w:tc>
        <w:tc>
          <w:tcPr>
            <w:tcW w:w="849" w:type="pct"/>
            <w:tcMar>
              <w:left w:w="108" w:type="dxa"/>
              <w:right w:w="108" w:type="dxa"/>
            </w:tcMar>
            <w:vAlign w:val="center"/>
          </w:tcPr>
          <w:p w14:paraId="769EFF06" w14:textId="77777777" w:rsidR="009219A0" w:rsidRDefault="00000000">
            <w:pPr>
              <w:widowControl/>
              <w:adjustRightInd/>
              <w:snapToGrid/>
              <w:spacing w:line="240" w:lineRule="auto"/>
              <w:ind w:firstLineChars="0" w:firstLine="0"/>
              <w:jc w:val="left"/>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转炉煤气回收系统机前的膨胀</w:t>
            </w:r>
            <w:proofErr w:type="gramStart"/>
            <w:r>
              <w:rPr>
                <w:rFonts w:asciiTheme="minorEastAsia" w:eastAsiaTheme="minorEastAsia" w:hAnsiTheme="minorEastAsia" w:hint="eastAsia"/>
                <w:bCs/>
                <w:sz w:val="21"/>
                <w:szCs w:val="21"/>
              </w:rPr>
              <w:t>节采用</w:t>
            </w:r>
            <w:proofErr w:type="gramEnd"/>
            <w:r>
              <w:rPr>
                <w:rFonts w:asciiTheme="minorEastAsia" w:eastAsiaTheme="minorEastAsia" w:hAnsiTheme="minorEastAsia" w:hint="eastAsia"/>
                <w:bCs/>
                <w:sz w:val="21"/>
                <w:szCs w:val="21"/>
              </w:rPr>
              <w:t>非金属材质</w:t>
            </w:r>
          </w:p>
        </w:tc>
        <w:tc>
          <w:tcPr>
            <w:tcW w:w="2187" w:type="pct"/>
            <w:tcMar>
              <w:left w:w="108" w:type="dxa"/>
              <w:right w:w="108" w:type="dxa"/>
            </w:tcMar>
            <w:vAlign w:val="center"/>
          </w:tcPr>
          <w:p w14:paraId="4CAA8556"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由于膨胀节安装部位在转炉一次风机前的负压段，且位置距离地面过高，不便于检查，风机叶轮高速运转，烟气温度约60℃以上，若使用胶管等非金属材质，一旦破损，将会吸入大量空气，容易造成混合性爆炸气体，引发煤气爆炸事故。</w:t>
            </w:r>
          </w:p>
        </w:tc>
        <w:tc>
          <w:tcPr>
            <w:tcW w:w="625" w:type="pct"/>
            <w:tcMar>
              <w:left w:w="108" w:type="dxa"/>
              <w:right w:w="108" w:type="dxa"/>
            </w:tcMar>
            <w:vAlign w:val="center"/>
          </w:tcPr>
          <w:p w14:paraId="44CA0D55"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自2018年9月1日起禁止</w:t>
            </w:r>
          </w:p>
        </w:tc>
        <w:tc>
          <w:tcPr>
            <w:tcW w:w="937" w:type="pct"/>
            <w:tcMar>
              <w:left w:w="108" w:type="dxa"/>
              <w:right w:w="108" w:type="dxa"/>
            </w:tcMar>
            <w:vAlign w:val="center"/>
          </w:tcPr>
          <w:p w14:paraId="166E4E99"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不涉及</w:t>
            </w:r>
          </w:p>
        </w:tc>
      </w:tr>
      <w:tr w:rsidR="009219A0" w14:paraId="2CF7C4DC" w14:textId="77777777">
        <w:trPr>
          <w:trHeight w:val="1525"/>
          <w:jc w:val="center"/>
        </w:trPr>
        <w:tc>
          <w:tcPr>
            <w:tcW w:w="402" w:type="pct"/>
            <w:tcMar>
              <w:left w:w="108" w:type="dxa"/>
              <w:right w:w="108" w:type="dxa"/>
            </w:tcMar>
            <w:vAlign w:val="center"/>
          </w:tcPr>
          <w:p w14:paraId="7F73C7FB" w14:textId="77777777" w:rsidR="009219A0" w:rsidRDefault="00000000">
            <w:pPr>
              <w:widowControl/>
              <w:adjustRightInd/>
              <w:snapToGrid/>
              <w:spacing w:line="240" w:lineRule="auto"/>
              <w:ind w:firstLineChars="0" w:firstLine="0"/>
              <w:jc w:val="center"/>
              <w:rPr>
                <w:rFonts w:asciiTheme="minorEastAsia" w:eastAsiaTheme="minorEastAsia" w:hAnsiTheme="minorEastAsia" w:cs="宋体" w:hint="eastAsia"/>
                <w:sz w:val="21"/>
                <w:szCs w:val="21"/>
              </w:rPr>
            </w:pPr>
            <w:r>
              <w:rPr>
                <w:rFonts w:asciiTheme="minorEastAsia" w:eastAsiaTheme="minorEastAsia" w:hAnsiTheme="minorEastAsia" w:cs="宋体" w:hint="eastAsia"/>
                <w:color w:val="444444"/>
                <w:kern w:val="0"/>
                <w:sz w:val="21"/>
                <w:szCs w:val="21"/>
                <w:lang w:bidi="ar"/>
              </w:rPr>
              <w:t>5</w:t>
            </w:r>
          </w:p>
        </w:tc>
        <w:tc>
          <w:tcPr>
            <w:tcW w:w="849" w:type="pct"/>
            <w:tcMar>
              <w:left w:w="108" w:type="dxa"/>
              <w:right w:w="108" w:type="dxa"/>
            </w:tcMar>
            <w:vAlign w:val="center"/>
          </w:tcPr>
          <w:p w14:paraId="17CBD728" w14:textId="77777777" w:rsidR="009219A0" w:rsidRDefault="00000000">
            <w:pPr>
              <w:widowControl/>
              <w:adjustRightInd/>
              <w:snapToGrid/>
              <w:spacing w:line="240" w:lineRule="auto"/>
              <w:ind w:firstLineChars="0" w:firstLine="0"/>
              <w:jc w:val="left"/>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高炉炼铁使用有水炮泥堵铁口</w:t>
            </w:r>
          </w:p>
        </w:tc>
        <w:tc>
          <w:tcPr>
            <w:tcW w:w="2187" w:type="pct"/>
            <w:tcMar>
              <w:left w:w="108" w:type="dxa"/>
              <w:right w:w="108" w:type="dxa"/>
            </w:tcMar>
            <w:vAlign w:val="center"/>
          </w:tcPr>
          <w:p w14:paraId="0209CD76"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有水炮泥是造成铁口潮的主要原因，</w:t>
            </w:r>
            <w:proofErr w:type="gramStart"/>
            <w:r>
              <w:rPr>
                <w:rFonts w:asciiTheme="minorEastAsia" w:eastAsiaTheme="minorEastAsia" w:hAnsiTheme="minorEastAsia" w:hint="eastAsia"/>
                <w:bCs/>
                <w:sz w:val="21"/>
                <w:szCs w:val="21"/>
              </w:rPr>
              <w:t>掏潮泥</w:t>
            </w:r>
            <w:proofErr w:type="gramEnd"/>
            <w:r>
              <w:rPr>
                <w:rFonts w:asciiTheme="minorEastAsia" w:eastAsiaTheme="minorEastAsia" w:hAnsiTheme="minorEastAsia" w:hint="eastAsia"/>
                <w:bCs/>
                <w:sz w:val="21"/>
                <w:szCs w:val="21"/>
              </w:rPr>
              <w:t>作业是高炉炉前危险性极高的作业之一，而且极易引发铁口“放火箭”事故，进而损害炉前岗位职工的生命安全。</w:t>
            </w:r>
          </w:p>
        </w:tc>
        <w:tc>
          <w:tcPr>
            <w:tcW w:w="625" w:type="pct"/>
            <w:tcMar>
              <w:left w:w="108" w:type="dxa"/>
              <w:right w:w="108" w:type="dxa"/>
            </w:tcMar>
            <w:vAlign w:val="center"/>
          </w:tcPr>
          <w:p w14:paraId="4D1BD69F"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自2018年3月1日起禁止</w:t>
            </w:r>
          </w:p>
        </w:tc>
        <w:tc>
          <w:tcPr>
            <w:tcW w:w="937" w:type="pct"/>
            <w:tcMar>
              <w:left w:w="108" w:type="dxa"/>
              <w:right w:w="108" w:type="dxa"/>
            </w:tcMar>
            <w:vAlign w:val="center"/>
          </w:tcPr>
          <w:p w14:paraId="400578CA"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不涉及</w:t>
            </w:r>
          </w:p>
        </w:tc>
      </w:tr>
      <w:tr w:rsidR="009219A0" w14:paraId="723FD8EC" w14:textId="77777777">
        <w:trPr>
          <w:trHeight w:val="1366"/>
          <w:jc w:val="center"/>
        </w:trPr>
        <w:tc>
          <w:tcPr>
            <w:tcW w:w="402" w:type="pct"/>
            <w:tcMar>
              <w:left w:w="108" w:type="dxa"/>
              <w:right w:w="108" w:type="dxa"/>
            </w:tcMar>
            <w:vAlign w:val="center"/>
          </w:tcPr>
          <w:p w14:paraId="3847FFD8" w14:textId="77777777" w:rsidR="009219A0" w:rsidRDefault="00000000">
            <w:pPr>
              <w:widowControl/>
              <w:adjustRightInd/>
              <w:snapToGrid/>
              <w:spacing w:line="240" w:lineRule="auto"/>
              <w:ind w:firstLineChars="0" w:firstLine="0"/>
              <w:jc w:val="center"/>
              <w:rPr>
                <w:rFonts w:asciiTheme="minorEastAsia" w:eastAsiaTheme="minorEastAsia" w:hAnsiTheme="minorEastAsia" w:cs="宋体" w:hint="eastAsia"/>
                <w:sz w:val="21"/>
                <w:szCs w:val="21"/>
              </w:rPr>
            </w:pPr>
            <w:r>
              <w:rPr>
                <w:rFonts w:asciiTheme="minorEastAsia" w:eastAsiaTheme="minorEastAsia" w:hAnsiTheme="minorEastAsia" w:cs="宋体" w:hint="eastAsia"/>
                <w:color w:val="444444"/>
                <w:kern w:val="0"/>
                <w:sz w:val="21"/>
                <w:szCs w:val="21"/>
                <w:lang w:bidi="ar"/>
              </w:rPr>
              <w:t>6</w:t>
            </w:r>
          </w:p>
        </w:tc>
        <w:tc>
          <w:tcPr>
            <w:tcW w:w="849" w:type="pct"/>
            <w:tcMar>
              <w:left w:w="108" w:type="dxa"/>
              <w:right w:w="108" w:type="dxa"/>
            </w:tcMar>
            <w:vAlign w:val="center"/>
          </w:tcPr>
          <w:p w14:paraId="3D2EC5BB" w14:textId="77777777" w:rsidR="009219A0" w:rsidRDefault="00000000">
            <w:pPr>
              <w:widowControl/>
              <w:adjustRightInd/>
              <w:snapToGrid/>
              <w:spacing w:line="240" w:lineRule="auto"/>
              <w:ind w:firstLineChars="0" w:firstLine="0"/>
              <w:jc w:val="left"/>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高炉炉身煤气</w:t>
            </w:r>
            <w:proofErr w:type="gramStart"/>
            <w:r>
              <w:rPr>
                <w:rFonts w:asciiTheme="minorEastAsia" w:eastAsiaTheme="minorEastAsia" w:hAnsiTheme="minorEastAsia" w:hint="eastAsia"/>
                <w:bCs/>
                <w:sz w:val="21"/>
                <w:szCs w:val="21"/>
              </w:rPr>
              <w:t>取样机</w:t>
            </w:r>
            <w:proofErr w:type="gramEnd"/>
          </w:p>
        </w:tc>
        <w:tc>
          <w:tcPr>
            <w:tcW w:w="2187" w:type="pct"/>
            <w:tcMar>
              <w:left w:w="108" w:type="dxa"/>
              <w:right w:w="108" w:type="dxa"/>
            </w:tcMar>
            <w:vAlign w:val="center"/>
          </w:tcPr>
          <w:p w14:paraId="46645C9E"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高炉大型化和高压操作等现实情况下，炉身煤气</w:t>
            </w:r>
            <w:proofErr w:type="gramStart"/>
            <w:r>
              <w:rPr>
                <w:rFonts w:asciiTheme="minorEastAsia" w:eastAsiaTheme="minorEastAsia" w:hAnsiTheme="minorEastAsia" w:hint="eastAsia"/>
                <w:bCs/>
                <w:sz w:val="21"/>
                <w:szCs w:val="21"/>
              </w:rPr>
              <w:t>取样机</w:t>
            </w:r>
            <w:proofErr w:type="gramEnd"/>
            <w:r>
              <w:rPr>
                <w:rFonts w:asciiTheme="minorEastAsia" w:eastAsiaTheme="minorEastAsia" w:hAnsiTheme="minorEastAsia" w:hint="eastAsia"/>
                <w:bCs/>
                <w:sz w:val="21"/>
                <w:szCs w:val="21"/>
              </w:rPr>
              <w:t>的设备本质</w:t>
            </w:r>
            <w:proofErr w:type="gramStart"/>
            <w:r>
              <w:rPr>
                <w:rFonts w:asciiTheme="minorEastAsia" w:eastAsiaTheme="minorEastAsia" w:hAnsiTheme="minorEastAsia" w:hint="eastAsia"/>
                <w:bCs/>
                <w:sz w:val="21"/>
                <w:szCs w:val="21"/>
              </w:rPr>
              <w:t>化安全</w:t>
            </w:r>
            <w:proofErr w:type="gramEnd"/>
            <w:r>
              <w:rPr>
                <w:rFonts w:asciiTheme="minorEastAsia" w:eastAsiaTheme="minorEastAsia" w:hAnsiTheme="minorEastAsia" w:hint="eastAsia"/>
                <w:bCs/>
                <w:sz w:val="21"/>
                <w:szCs w:val="21"/>
              </w:rPr>
              <w:t>及取样操作的安全性难以保证。</w:t>
            </w:r>
          </w:p>
        </w:tc>
        <w:tc>
          <w:tcPr>
            <w:tcW w:w="625" w:type="pct"/>
            <w:tcMar>
              <w:left w:w="108" w:type="dxa"/>
              <w:right w:w="108" w:type="dxa"/>
            </w:tcMar>
            <w:vAlign w:val="center"/>
          </w:tcPr>
          <w:p w14:paraId="1341F065"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自2018年9月1日起禁止</w:t>
            </w:r>
          </w:p>
        </w:tc>
        <w:tc>
          <w:tcPr>
            <w:tcW w:w="937" w:type="pct"/>
            <w:tcMar>
              <w:left w:w="108" w:type="dxa"/>
              <w:right w:w="108" w:type="dxa"/>
            </w:tcMar>
            <w:vAlign w:val="center"/>
          </w:tcPr>
          <w:p w14:paraId="63B001BF"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不涉及</w:t>
            </w:r>
          </w:p>
        </w:tc>
      </w:tr>
      <w:tr w:rsidR="009219A0" w14:paraId="126CC836" w14:textId="77777777">
        <w:trPr>
          <w:jc w:val="center"/>
        </w:trPr>
        <w:tc>
          <w:tcPr>
            <w:tcW w:w="402" w:type="pct"/>
            <w:tcMar>
              <w:left w:w="108" w:type="dxa"/>
              <w:right w:w="108" w:type="dxa"/>
            </w:tcMar>
            <w:vAlign w:val="center"/>
          </w:tcPr>
          <w:p w14:paraId="1671BC17" w14:textId="77777777" w:rsidR="009219A0" w:rsidRDefault="00000000">
            <w:pPr>
              <w:widowControl/>
              <w:adjustRightInd/>
              <w:snapToGrid/>
              <w:spacing w:line="240" w:lineRule="auto"/>
              <w:ind w:firstLineChars="0" w:firstLine="0"/>
              <w:jc w:val="center"/>
              <w:rPr>
                <w:rFonts w:asciiTheme="minorEastAsia" w:eastAsiaTheme="minorEastAsia" w:hAnsiTheme="minorEastAsia" w:cs="宋体" w:hint="eastAsia"/>
                <w:sz w:val="21"/>
                <w:szCs w:val="21"/>
              </w:rPr>
            </w:pPr>
            <w:r>
              <w:rPr>
                <w:rFonts w:asciiTheme="minorEastAsia" w:eastAsiaTheme="minorEastAsia" w:hAnsiTheme="minorEastAsia" w:cs="宋体" w:hint="eastAsia"/>
                <w:color w:val="444444"/>
                <w:kern w:val="0"/>
                <w:sz w:val="21"/>
                <w:szCs w:val="21"/>
                <w:lang w:bidi="ar"/>
              </w:rPr>
              <w:t>7</w:t>
            </w:r>
          </w:p>
        </w:tc>
        <w:tc>
          <w:tcPr>
            <w:tcW w:w="849" w:type="pct"/>
            <w:tcMar>
              <w:left w:w="108" w:type="dxa"/>
              <w:right w:w="108" w:type="dxa"/>
            </w:tcMar>
            <w:vAlign w:val="center"/>
          </w:tcPr>
          <w:p w14:paraId="244976A1" w14:textId="77777777" w:rsidR="009219A0" w:rsidRDefault="00000000">
            <w:pPr>
              <w:widowControl/>
              <w:adjustRightInd/>
              <w:snapToGrid/>
              <w:spacing w:line="240" w:lineRule="auto"/>
              <w:ind w:firstLineChars="0" w:firstLine="0"/>
              <w:jc w:val="left"/>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高炉上料料车单钢丝绳牵引设备</w:t>
            </w:r>
          </w:p>
        </w:tc>
        <w:tc>
          <w:tcPr>
            <w:tcW w:w="2187" w:type="pct"/>
            <w:tcMar>
              <w:left w:w="108" w:type="dxa"/>
              <w:right w:w="108" w:type="dxa"/>
            </w:tcMar>
            <w:vAlign w:val="center"/>
          </w:tcPr>
          <w:p w14:paraId="3158C1C6"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高炉上料料车负责将高炉冶炼所用的</w:t>
            </w:r>
            <w:proofErr w:type="gramStart"/>
            <w:r>
              <w:rPr>
                <w:rFonts w:asciiTheme="minorEastAsia" w:eastAsiaTheme="minorEastAsia" w:hAnsiTheme="minorEastAsia" w:hint="eastAsia"/>
                <w:bCs/>
                <w:sz w:val="21"/>
                <w:szCs w:val="21"/>
              </w:rPr>
              <w:t>各类原燃料</w:t>
            </w:r>
            <w:proofErr w:type="gramEnd"/>
            <w:r>
              <w:rPr>
                <w:rFonts w:asciiTheme="minorEastAsia" w:eastAsiaTheme="minorEastAsia" w:hAnsiTheme="minorEastAsia" w:hint="eastAsia"/>
                <w:bCs/>
                <w:sz w:val="21"/>
                <w:szCs w:val="21"/>
              </w:rPr>
              <w:t>送到炉顶并装入受料槽内，提升高度高达几十米且重量大，使用单钢丝绳牵引料车安全系数低，易发生罐体脱轨、坠落事故。</w:t>
            </w:r>
          </w:p>
        </w:tc>
        <w:tc>
          <w:tcPr>
            <w:tcW w:w="625" w:type="pct"/>
            <w:tcMar>
              <w:left w:w="108" w:type="dxa"/>
              <w:right w:w="108" w:type="dxa"/>
            </w:tcMar>
            <w:vAlign w:val="center"/>
          </w:tcPr>
          <w:p w14:paraId="350EA71E"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自2018年3月1日起禁止</w:t>
            </w:r>
          </w:p>
        </w:tc>
        <w:tc>
          <w:tcPr>
            <w:tcW w:w="937" w:type="pct"/>
            <w:tcMar>
              <w:left w:w="108" w:type="dxa"/>
              <w:right w:w="108" w:type="dxa"/>
            </w:tcMar>
            <w:vAlign w:val="center"/>
          </w:tcPr>
          <w:p w14:paraId="0E2DE9BE"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不涉及</w:t>
            </w:r>
          </w:p>
        </w:tc>
      </w:tr>
      <w:tr w:rsidR="009219A0" w14:paraId="1F6ABACC" w14:textId="77777777">
        <w:trPr>
          <w:jc w:val="center"/>
        </w:trPr>
        <w:tc>
          <w:tcPr>
            <w:tcW w:w="402" w:type="pct"/>
            <w:tcMar>
              <w:left w:w="108" w:type="dxa"/>
              <w:right w:w="108" w:type="dxa"/>
            </w:tcMar>
            <w:vAlign w:val="center"/>
          </w:tcPr>
          <w:p w14:paraId="72497D35" w14:textId="77777777" w:rsidR="009219A0" w:rsidRDefault="00000000">
            <w:pPr>
              <w:widowControl/>
              <w:adjustRightInd/>
              <w:snapToGrid/>
              <w:spacing w:line="240" w:lineRule="auto"/>
              <w:ind w:firstLineChars="0" w:firstLine="0"/>
              <w:jc w:val="center"/>
              <w:rPr>
                <w:rFonts w:asciiTheme="minorEastAsia" w:eastAsiaTheme="minorEastAsia" w:hAnsiTheme="minorEastAsia" w:cs="宋体" w:hint="eastAsia"/>
                <w:color w:val="444444"/>
                <w:kern w:val="0"/>
                <w:sz w:val="21"/>
                <w:szCs w:val="21"/>
                <w:lang w:bidi="ar"/>
              </w:rPr>
            </w:pPr>
            <w:r>
              <w:rPr>
                <w:rFonts w:asciiTheme="minorEastAsia" w:eastAsiaTheme="minorEastAsia" w:hAnsiTheme="minorEastAsia" w:cs="宋体" w:hint="eastAsia"/>
                <w:color w:val="444444"/>
                <w:kern w:val="0"/>
                <w:sz w:val="21"/>
                <w:szCs w:val="21"/>
                <w:lang w:bidi="ar"/>
              </w:rPr>
              <w:t>8</w:t>
            </w:r>
          </w:p>
        </w:tc>
        <w:tc>
          <w:tcPr>
            <w:tcW w:w="849" w:type="pct"/>
            <w:tcMar>
              <w:left w:w="108" w:type="dxa"/>
              <w:right w:w="108" w:type="dxa"/>
            </w:tcMar>
            <w:vAlign w:val="center"/>
          </w:tcPr>
          <w:p w14:paraId="08553FEF" w14:textId="77777777" w:rsidR="009219A0" w:rsidRDefault="00000000">
            <w:pPr>
              <w:widowControl/>
              <w:adjustRightInd/>
              <w:snapToGrid/>
              <w:spacing w:line="240" w:lineRule="auto"/>
              <w:ind w:firstLineChars="0" w:firstLine="0"/>
              <w:jc w:val="left"/>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高炉炉前出铁场直接铸铁工艺</w:t>
            </w:r>
          </w:p>
        </w:tc>
        <w:tc>
          <w:tcPr>
            <w:tcW w:w="2187" w:type="pct"/>
            <w:tcMar>
              <w:left w:w="108" w:type="dxa"/>
              <w:right w:w="108" w:type="dxa"/>
            </w:tcMar>
            <w:vAlign w:val="center"/>
          </w:tcPr>
          <w:p w14:paraId="49827A08"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铁水在高炉炉前出铁场直接铸造生成铸铁块过程，极易引发高温烫伤、铁水“打炮”、煤气中毒等安全事故，还会造成严重的环境污染。</w:t>
            </w:r>
          </w:p>
        </w:tc>
        <w:tc>
          <w:tcPr>
            <w:tcW w:w="625" w:type="pct"/>
            <w:tcMar>
              <w:left w:w="108" w:type="dxa"/>
              <w:right w:w="108" w:type="dxa"/>
            </w:tcMar>
            <w:vAlign w:val="center"/>
          </w:tcPr>
          <w:p w14:paraId="2D906651"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自2018年3月1日起禁止</w:t>
            </w:r>
          </w:p>
        </w:tc>
        <w:tc>
          <w:tcPr>
            <w:tcW w:w="937" w:type="pct"/>
            <w:tcMar>
              <w:left w:w="108" w:type="dxa"/>
              <w:right w:w="108" w:type="dxa"/>
            </w:tcMar>
            <w:vAlign w:val="center"/>
          </w:tcPr>
          <w:p w14:paraId="17B1EA00"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不涉及</w:t>
            </w:r>
          </w:p>
        </w:tc>
      </w:tr>
      <w:tr w:rsidR="009219A0" w14:paraId="740AABF3" w14:textId="77777777">
        <w:trPr>
          <w:jc w:val="center"/>
        </w:trPr>
        <w:tc>
          <w:tcPr>
            <w:tcW w:w="402" w:type="pct"/>
            <w:tcMar>
              <w:left w:w="108" w:type="dxa"/>
              <w:right w:w="108" w:type="dxa"/>
            </w:tcMar>
            <w:vAlign w:val="center"/>
          </w:tcPr>
          <w:p w14:paraId="5C8CF1CF" w14:textId="77777777" w:rsidR="009219A0" w:rsidRDefault="00000000">
            <w:pPr>
              <w:widowControl/>
              <w:adjustRightInd/>
              <w:snapToGrid/>
              <w:spacing w:line="240" w:lineRule="auto"/>
              <w:ind w:firstLineChars="0" w:firstLine="0"/>
              <w:jc w:val="center"/>
              <w:rPr>
                <w:rFonts w:asciiTheme="minorEastAsia" w:eastAsiaTheme="minorEastAsia" w:hAnsiTheme="minorEastAsia" w:cs="宋体" w:hint="eastAsia"/>
                <w:color w:val="444444"/>
                <w:kern w:val="0"/>
                <w:sz w:val="21"/>
                <w:szCs w:val="21"/>
                <w:lang w:bidi="ar"/>
              </w:rPr>
            </w:pPr>
            <w:r>
              <w:rPr>
                <w:rFonts w:asciiTheme="minorEastAsia" w:eastAsiaTheme="minorEastAsia" w:hAnsiTheme="minorEastAsia" w:cs="宋体" w:hint="eastAsia"/>
                <w:color w:val="444444"/>
                <w:kern w:val="0"/>
                <w:sz w:val="21"/>
                <w:szCs w:val="21"/>
                <w:lang w:bidi="ar"/>
              </w:rPr>
              <w:t>9</w:t>
            </w:r>
          </w:p>
        </w:tc>
        <w:tc>
          <w:tcPr>
            <w:tcW w:w="849" w:type="pct"/>
            <w:tcMar>
              <w:left w:w="108" w:type="dxa"/>
              <w:right w:w="108" w:type="dxa"/>
            </w:tcMar>
            <w:vAlign w:val="center"/>
          </w:tcPr>
          <w:p w14:paraId="262579E7" w14:textId="77777777" w:rsidR="009219A0" w:rsidRDefault="00000000">
            <w:pPr>
              <w:widowControl/>
              <w:adjustRightInd/>
              <w:snapToGrid/>
              <w:spacing w:line="240" w:lineRule="auto"/>
              <w:ind w:firstLineChars="0" w:firstLine="0"/>
              <w:jc w:val="left"/>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高炉出铁场使</w:t>
            </w:r>
          </w:p>
          <w:p w14:paraId="06C25562" w14:textId="77777777" w:rsidR="009219A0" w:rsidRDefault="00000000">
            <w:pPr>
              <w:widowControl/>
              <w:adjustRightInd/>
              <w:snapToGrid/>
              <w:spacing w:line="240" w:lineRule="auto"/>
              <w:ind w:firstLineChars="0" w:firstLine="0"/>
              <w:jc w:val="left"/>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用活动主沟</w:t>
            </w:r>
          </w:p>
        </w:tc>
        <w:tc>
          <w:tcPr>
            <w:tcW w:w="2187" w:type="pct"/>
            <w:tcMar>
              <w:left w:w="108" w:type="dxa"/>
              <w:right w:w="108" w:type="dxa"/>
            </w:tcMar>
            <w:vAlign w:val="center"/>
          </w:tcPr>
          <w:p w14:paraId="6852487F"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高炉炉前活动主</w:t>
            </w:r>
            <w:proofErr w:type="gramStart"/>
            <w:r>
              <w:rPr>
                <w:rFonts w:asciiTheme="minorEastAsia" w:eastAsiaTheme="minorEastAsia" w:hAnsiTheme="minorEastAsia" w:hint="eastAsia"/>
                <w:bCs/>
                <w:sz w:val="21"/>
                <w:szCs w:val="21"/>
              </w:rPr>
              <w:t>沟可以</w:t>
            </w:r>
            <w:proofErr w:type="gramEnd"/>
            <w:r>
              <w:rPr>
                <w:rFonts w:asciiTheme="minorEastAsia" w:eastAsiaTheme="minorEastAsia" w:hAnsiTheme="minorEastAsia" w:hint="eastAsia"/>
                <w:bCs/>
                <w:sz w:val="21"/>
                <w:szCs w:val="21"/>
              </w:rPr>
              <w:t>整体吊起，移动灵活，可以运到工厂进行维修，但活动主沟连接结构处理困难，难以达到理想状态，极易引发漏铁水事故，进而对职工人身安全和设备设施造成损害。</w:t>
            </w:r>
          </w:p>
        </w:tc>
        <w:tc>
          <w:tcPr>
            <w:tcW w:w="625" w:type="pct"/>
            <w:tcMar>
              <w:left w:w="108" w:type="dxa"/>
              <w:right w:w="108" w:type="dxa"/>
            </w:tcMar>
            <w:vAlign w:val="center"/>
          </w:tcPr>
          <w:p w14:paraId="37B41D4F"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自2018年9月1日起禁止</w:t>
            </w:r>
          </w:p>
        </w:tc>
        <w:tc>
          <w:tcPr>
            <w:tcW w:w="937" w:type="pct"/>
            <w:tcMar>
              <w:left w:w="108" w:type="dxa"/>
              <w:right w:w="108" w:type="dxa"/>
            </w:tcMar>
            <w:vAlign w:val="center"/>
          </w:tcPr>
          <w:p w14:paraId="13D52C21"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不涉及</w:t>
            </w:r>
          </w:p>
        </w:tc>
      </w:tr>
      <w:tr w:rsidR="009219A0" w14:paraId="377B413B" w14:textId="77777777">
        <w:trPr>
          <w:jc w:val="center"/>
        </w:trPr>
        <w:tc>
          <w:tcPr>
            <w:tcW w:w="402" w:type="pct"/>
            <w:tcMar>
              <w:left w:w="108" w:type="dxa"/>
              <w:right w:w="108" w:type="dxa"/>
            </w:tcMar>
            <w:vAlign w:val="center"/>
          </w:tcPr>
          <w:p w14:paraId="587391CC" w14:textId="77777777" w:rsidR="009219A0" w:rsidRDefault="00000000">
            <w:pPr>
              <w:widowControl/>
              <w:adjustRightInd/>
              <w:snapToGrid/>
              <w:spacing w:line="240" w:lineRule="auto"/>
              <w:ind w:firstLineChars="0" w:firstLine="0"/>
              <w:jc w:val="center"/>
              <w:rPr>
                <w:rFonts w:asciiTheme="minorEastAsia" w:eastAsiaTheme="minorEastAsia" w:hAnsiTheme="minorEastAsia" w:cs="宋体" w:hint="eastAsia"/>
                <w:color w:val="444444"/>
                <w:kern w:val="0"/>
                <w:sz w:val="21"/>
                <w:szCs w:val="21"/>
                <w:lang w:bidi="ar"/>
              </w:rPr>
            </w:pPr>
            <w:r>
              <w:rPr>
                <w:rFonts w:asciiTheme="minorEastAsia" w:eastAsiaTheme="minorEastAsia" w:hAnsiTheme="minorEastAsia" w:cs="宋体" w:hint="eastAsia"/>
                <w:color w:val="444444"/>
                <w:kern w:val="0"/>
                <w:sz w:val="21"/>
                <w:szCs w:val="21"/>
                <w:lang w:bidi="ar"/>
              </w:rPr>
              <w:t>10</w:t>
            </w:r>
          </w:p>
        </w:tc>
        <w:tc>
          <w:tcPr>
            <w:tcW w:w="849" w:type="pct"/>
            <w:tcMar>
              <w:left w:w="108" w:type="dxa"/>
              <w:right w:w="108" w:type="dxa"/>
            </w:tcMar>
            <w:vAlign w:val="center"/>
          </w:tcPr>
          <w:p w14:paraId="64AD1726" w14:textId="77777777" w:rsidR="009219A0" w:rsidRDefault="00000000">
            <w:pPr>
              <w:widowControl/>
              <w:adjustRightInd/>
              <w:snapToGrid/>
              <w:spacing w:line="240" w:lineRule="auto"/>
              <w:ind w:firstLineChars="0" w:firstLine="0"/>
              <w:jc w:val="left"/>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煤气重力除尘</w:t>
            </w:r>
            <w:r>
              <w:rPr>
                <w:rFonts w:asciiTheme="minorEastAsia" w:eastAsiaTheme="minorEastAsia" w:hAnsiTheme="minorEastAsia" w:hint="eastAsia"/>
                <w:bCs/>
                <w:sz w:val="21"/>
                <w:szCs w:val="21"/>
              </w:rPr>
              <w:lastRenderedPageBreak/>
              <w:t>重锤式（翻板式、盘式）</w:t>
            </w:r>
            <w:proofErr w:type="gramStart"/>
            <w:r>
              <w:rPr>
                <w:rFonts w:asciiTheme="minorEastAsia" w:eastAsiaTheme="minorEastAsia" w:hAnsiTheme="minorEastAsia" w:hint="eastAsia"/>
                <w:bCs/>
                <w:sz w:val="21"/>
                <w:szCs w:val="21"/>
              </w:rPr>
              <w:t>泄灰装置</w:t>
            </w:r>
            <w:proofErr w:type="gramEnd"/>
          </w:p>
        </w:tc>
        <w:tc>
          <w:tcPr>
            <w:tcW w:w="2187" w:type="pct"/>
            <w:tcMar>
              <w:left w:w="108" w:type="dxa"/>
              <w:right w:w="108" w:type="dxa"/>
            </w:tcMar>
            <w:vAlign w:val="center"/>
          </w:tcPr>
          <w:p w14:paraId="5F5DF70D"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lastRenderedPageBreak/>
              <w:t>重锤式（翻板式、盘式）</w:t>
            </w:r>
            <w:proofErr w:type="gramStart"/>
            <w:r>
              <w:rPr>
                <w:rFonts w:asciiTheme="minorEastAsia" w:eastAsiaTheme="minorEastAsia" w:hAnsiTheme="minorEastAsia" w:hint="eastAsia"/>
                <w:bCs/>
                <w:sz w:val="21"/>
                <w:szCs w:val="21"/>
              </w:rPr>
              <w:t>泄灰装置</w:t>
            </w:r>
            <w:proofErr w:type="gramEnd"/>
            <w:r>
              <w:rPr>
                <w:rFonts w:asciiTheme="minorEastAsia" w:eastAsiaTheme="minorEastAsia" w:hAnsiTheme="minorEastAsia" w:hint="eastAsia"/>
                <w:bCs/>
                <w:sz w:val="21"/>
                <w:szCs w:val="21"/>
              </w:rPr>
              <w:t>操作不</w:t>
            </w:r>
            <w:r>
              <w:rPr>
                <w:rFonts w:asciiTheme="minorEastAsia" w:eastAsiaTheme="minorEastAsia" w:hAnsiTheme="minorEastAsia" w:hint="eastAsia"/>
                <w:bCs/>
                <w:sz w:val="21"/>
                <w:szCs w:val="21"/>
              </w:rPr>
              <w:lastRenderedPageBreak/>
              <w:t>方便，难于实现精确控制，</w:t>
            </w:r>
            <w:proofErr w:type="gramStart"/>
            <w:r>
              <w:rPr>
                <w:rFonts w:asciiTheme="minorEastAsia" w:eastAsiaTheme="minorEastAsia" w:hAnsiTheme="minorEastAsia" w:hint="eastAsia"/>
                <w:bCs/>
                <w:sz w:val="21"/>
                <w:szCs w:val="21"/>
              </w:rPr>
              <w:t>泄灰不</w:t>
            </w:r>
            <w:proofErr w:type="gramEnd"/>
            <w:r>
              <w:rPr>
                <w:rFonts w:asciiTheme="minorEastAsia" w:eastAsiaTheme="minorEastAsia" w:hAnsiTheme="minorEastAsia" w:hint="eastAsia"/>
                <w:bCs/>
                <w:sz w:val="21"/>
                <w:szCs w:val="21"/>
              </w:rPr>
              <w:t>均匀，关闭不彻底，主要利用除尘器内部存留一定高度的除尘灰来辅助实现煤气的密封，操作过程中易发生煤气泄漏，作业过程易扬尘，环境恶劣，易造成作业区域以及周边人员发生中毒事故和职业伤害。</w:t>
            </w:r>
          </w:p>
        </w:tc>
        <w:tc>
          <w:tcPr>
            <w:tcW w:w="625" w:type="pct"/>
            <w:tcMar>
              <w:left w:w="108" w:type="dxa"/>
              <w:right w:w="108" w:type="dxa"/>
            </w:tcMar>
            <w:vAlign w:val="center"/>
          </w:tcPr>
          <w:p w14:paraId="32DB9D4B"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lastRenderedPageBreak/>
              <w:t>自2018年</w:t>
            </w:r>
            <w:r>
              <w:rPr>
                <w:rFonts w:asciiTheme="minorEastAsia" w:eastAsiaTheme="minorEastAsia" w:hAnsiTheme="minorEastAsia" w:hint="eastAsia"/>
                <w:bCs/>
                <w:sz w:val="21"/>
                <w:szCs w:val="21"/>
              </w:rPr>
              <w:lastRenderedPageBreak/>
              <w:t>9月1日起禁止</w:t>
            </w:r>
          </w:p>
        </w:tc>
        <w:tc>
          <w:tcPr>
            <w:tcW w:w="937" w:type="pct"/>
            <w:tcMar>
              <w:left w:w="108" w:type="dxa"/>
              <w:right w:w="108" w:type="dxa"/>
            </w:tcMar>
            <w:vAlign w:val="center"/>
          </w:tcPr>
          <w:p w14:paraId="2E2E0B7B"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lastRenderedPageBreak/>
              <w:t>不涉及</w:t>
            </w:r>
          </w:p>
        </w:tc>
      </w:tr>
      <w:tr w:rsidR="009219A0" w14:paraId="4EC8D75B" w14:textId="77777777">
        <w:trPr>
          <w:jc w:val="center"/>
        </w:trPr>
        <w:tc>
          <w:tcPr>
            <w:tcW w:w="402" w:type="pct"/>
            <w:tcMar>
              <w:left w:w="108" w:type="dxa"/>
              <w:right w:w="108" w:type="dxa"/>
            </w:tcMar>
            <w:vAlign w:val="center"/>
          </w:tcPr>
          <w:p w14:paraId="0E823C38" w14:textId="77777777" w:rsidR="009219A0" w:rsidRDefault="00000000">
            <w:pPr>
              <w:widowControl/>
              <w:adjustRightInd/>
              <w:snapToGrid/>
              <w:spacing w:line="240" w:lineRule="auto"/>
              <w:ind w:firstLineChars="0" w:firstLine="0"/>
              <w:jc w:val="center"/>
              <w:rPr>
                <w:rFonts w:asciiTheme="minorEastAsia" w:eastAsiaTheme="minorEastAsia" w:hAnsiTheme="minorEastAsia" w:cs="宋体" w:hint="eastAsia"/>
                <w:color w:val="444444"/>
                <w:kern w:val="0"/>
                <w:sz w:val="21"/>
                <w:szCs w:val="21"/>
                <w:lang w:bidi="ar"/>
              </w:rPr>
            </w:pPr>
            <w:r>
              <w:rPr>
                <w:rFonts w:asciiTheme="minorEastAsia" w:eastAsiaTheme="minorEastAsia" w:hAnsiTheme="minorEastAsia" w:cs="宋体" w:hint="eastAsia"/>
                <w:color w:val="444444"/>
                <w:kern w:val="0"/>
                <w:sz w:val="21"/>
                <w:szCs w:val="21"/>
                <w:lang w:bidi="ar"/>
              </w:rPr>
              <w:t>11</w:t>
            </w:r>
          </w:p>
        </w:tc>
        <w:tc>
          <w:tcPr>
            <w:tcW w:w="849" w:type="pct"/>
            <w:tcMar>
              <w:left w:w="108" w:type="dxa"/>
              <w:right w:w="108" w:type="dxa"/>
            </w:tcMar>
            <w:vAlign w:val="center"/>
          </w:tcPr>
          <w:p w14:paraId="354CE445" w14:textId="77777777" w:rsidR="009219A0" w:rsidRDefault="00000000">
            <w:pPr>
              <w:widowControl/>
              <w:adjustRightInd/>
              <w:snapToGrid/>
              <w:spacing w:line="240" w:lineRule="auto"/>
              <w:ind w:firstLineChars="0" w:firstLine="0"/>
              <w:jc w:val="left"/>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铁合金矿热炉使用普通液压油</w:t>
            </w:r>
          </w:p>
        </w:tc>
        <w:tc>
          <w:tcPr>
            <w:tcW w:w="2187" w:type="pct"/>
            <w:tcMar>
              <w:left w:w="108" w:type="dxa"/>
              <w:right w:w="108" w:type="dxa"/>
            </w:tcMar>
            <w:vAlign w:val="center"/>
          </w:tcPr>
          <w:p w14:paraId="61DE002F"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随着铁合金矿热炉大型化、自动化水平的不断提高，液压设备在矿热炉生产中应用逐渐增多，特别是高温区域，例如：电极升降、电极压放、</w:t>
            </w:r>
            <w:proofErr w:type="gramStart"/>
            <w:r>
              <w:rPr>
                <w:rFonts w:asciiTheme="minorEastAsia" w:eastAsiaTheme="minorEastAsia" w:hAnsiTheme="minorEastAsia" w:hint="eastAsia"/>
                <w:bCs/>
                <w:sz w:val="21"/>
                <w:szCs w:val="21"/>
              </w:rPr>
              <w:t>开堵炉眼</w:t>
            </w:r>
            <w:proofErr w:type="gramEnd"/>
            <w:r>
              <w:rPr>
                <w:rFonts w:asciiTheme="minorEastAsia" w:eastAsiaTheme="minorEastAsia" w:hAnsiTheme="minorEastAsia" w:hint="eastAsia"/>
                <w:bCs/>
                <w:sz w:val="21"/>
                <w:szCs w:val="21"/>
              </w:rPr>
              <w:t>等关键部位等，这些都是处于高温区域或者操作困难区域，使用普通液压油一旦泄漏极易燃烧失火，造成人员伤亡或设备损毁。</w:t>
            </w:r>
          </w:p>
        </w:tc>
        <w:tc>
          <w:tcPr>
            <w:tcW w:w="625" w:type="pct"/>
            <w:tcMar>
              <w:left w:w="108" w:type="dxa"/>
              <w:right w:w="108" w:type="dxa"/>
            </w:tcMar>
            <w:vAlign w:val="center"/>
          </w:tcPr>
          <w:p w14:paraId="1CB9F21A"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自2018年3月1日起禁止</w:t>
            </w:r>
          </w:p>
        </w:tc>
        <w:tc>
          <w:tcPr>
            <w:tcW w:w="937" w:type="pct"/>
            <w:tcMar>
              <w:left w:w="108" w:type="dxa"/>
              <w:right w:w="108" w:type="dxa"/>
            </w:tcMar>
            <w:vAlign w:val="center"/>
          </w:tcPr>
          <w:p w14:paraId="24899FEC"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不涉及</w:t>
            </w:r>
          </w:p>
        </w:tc>
      </w:tr>
      <w:tr w:rsidR="009219A0" w14:paraId="5FDDFBC9" w14:textId="77777777">
        <w:trPr>
          <w:jc w:val="center"/>
        </w:trPr>
        <w:tc>
          <w:tcPr>
            <w:tcW w:w="402" w:type="pct"/>
            <w:tcMar>
              <w:left w:w="108" w:type="dxa"/>
              <w:right w:w="108" w:type="dxa"/>
            </w:tcMar>
            <w:vAlign w:val="center"/>
          </w:tcPr>
          <w:p w14:paraId="09FAA7DC" w14:textId="77777777" w:rsidR="009219A0" w:rsidRDefault="00000000">
            <w:pPr>
              <w:widowControl/>
              <w:adjustRightInd/>
              <w:snapToGrid/>
              <w:spacing w:line="240" w:lineRule="auto"/>
              <w:ind w:firstLineChars="0" w:firstLine="0"/>
              <w:jc w:val="center"/>
              <w:rPr>
                <w:rFonts w:asciiTheme="minorEastAsia" w:eastAsiaTheme="minorEastAsia" w:hAnsiTheme="minorEastAsia" w:cs="宋体" w:hint="eastAsia"/>
                <w:color w:val="444444"/>
                <w:kern w:val="0"/>
                <w:sz w:val="21"/>
                <w:szCs w:val="21"/>
                <w:lang w:bidi="ar"/>
              </w:rPr>
            </w:pPr>
            <w:r>
              <w:rPr>
                <w:rFonts w:asciiTheme="minorEastAsia" w:eastAsiaTheme="minorEastAsia" w:hAnsiTheme="minorEastAsia" w:cs="宋体" w:hint="eastAsia"/>
                <w:color w:val="444444"/>
                <w:kern w:val="0"/>
                <w:sz w:val="21"/>
                <w:szCs w:val="21"/>
                <w:lang w:bidi="ar"/>
              </w:rPr>
              <w:t>12</w:t>
            </w:r>
          </w:p>
        </w:tc>
        <w:tc>
          <w:tcPr>
            <w:tcW w:w="849" w:type="pct"/>
            <w:tcMar>
              <w:left w:w="108" w:type="dxa"/>
              <w:right w:w="108" w:type="dxa"/>
            </w:tcMar>
            <w:vAlign w:val="center"/>
          </w:tcPr>
          <w:p w14:paraId="700668AD" w14:textId="77777777" w:rsidR="009219A0" w:rsidRDefault="00000000">
            <w:pPr>
              <w:widowControl/>
              <w:adjustRightInd/>
              <w:snapToGrid/>
              <w:spacing w:line="240" w:lineRule="auto"/>
              <w:ind w:firstLineChars="0" w:firstLine="0"/>
              <w:jc w:val="left"/>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铁合金铸造使用水冷（通水）</w:t>
            </w:r>
            <w:proofErr w:type="gramStart"/>
            <w:r>
              <w:rPr>
                <w:rFonts w:asciiTheme="minorEastAsia" w:eastAsiaTheme="minorEastAsia" w:hAnsiTheme="minorEastAsia" w:hint="eastAsia"/>
                <w:bCs/>
                <w:sz w:val="21"/>
                <w:szCs w:val="21"/>
              </w:rPr>
              <w:t>锭模</w:t>
            </w:r>
            <w:proofErr w:type="gramEnd"/>
          </w:p>
        </w:tc>
        <w:tc>
          <w:tcPr>
            <w:tcW w:w="2187" w:type="pct"/>
            <w:tcMar>
              <w:left w:w="108" w:type="dxa"/>
              <w:right w:w="108" w:type="dxa"/>
            </w:tcMar>
            <w:vAlign w:val="center"/>
          </w:tcPr>
          <w:p w14:paraId="40EAB92C"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水冷（通水）</w:t>
            </w:r>
            <w:proofErr w:type="gramStart"/>
            <w:r>
              <w:rPr>
                <w:rFonts w:asciiTheme="minorEastAsia" w:eastAsiaTheme="minorEastAsia" w:hAnsiTheme="minorEastAsia" w:hint="eastAsia"/>
                <w:bCs/>
                <w:sz w:val="21"/>
                <w:szCs w:val="21"/>
              </w:rPr>
              <w:t>锭模长</w:t>
            </w:r>
            <w:proofErr w:type="gramEnd"/>
            <w:r>
              <w:rPr>
                <w:rFonts w:asciiTheme="minorEastAsia" w:eastAsiaTheme="minorEastAsia" w:hAnsiTheme="minorEastAsia" w:hint="eastAsia"/>
                <w:bCs/>
                <w:sz w:val="21"/>
                <w:szCs w:val="21"/>
              </w:rPr>
              <w:t>时间使用存在开裂可能，同时高温铁水浇注时，可能烧穿锭模，若使用水冷（通水）锭模，易发生高温铁水遇水爆炸事故。</w:t>
            </w:r>
          </w:p>
        </w:tc>
        <w:tc>
          <w:tcPr>
            <w:tcW w:w="625" w:type="pct"/>
            <w:tcMar>
              <w:left w:w="108" w:type="dxa"/>
              <w:right w:w="108" w:type="dxa"/>
            </w:tcMar>
            <w:vAlign w:val="center"/>
          </w:tcPr>
          <w:p w14:paraId="07CE9E6F"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自2018年9月1日起禁止</w:t>
            </w:r>
          </w:p>
        </w:tc>
        <w:tc>
          <w:tcPr>
            <w:tcW w:w="937" w:type="pct"/>
            <w:tcMar>
              <w:left w:w="108" w:type="dxa"/>
              <w:right w:w="108" w:type="dxa"/>
            </w:tcMar>
            <w:vAlign w:val="center"/>
          </w:tcPr>
          <w:p w14:paraId="1CA0CCD0"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不涉及</w:t>
            </w:r>
          </w:p>
        </w:tc>
      </w:tr>
      <w:tr w:rsidR="009219A0" w14:paraId="177A2DC5" w14:textId="77777777">
        <w:trPr>
          <w:jc w:val="center"/>
        </w:trPr>
        <w:tc>
          <w:tcPr>
            <w:tcW w:w="402" w:type="pct"/>
            <w:tcMar>
              <w:left w:w="108" w:type="dxa"/>
              <w:right w:w="108" w:type="dxa"/>
            </w:tcMar>
            <w:vAlign w:val="center"/>
          </w:tcPr>
          <w:p w14:paraId="62113F02" w14:textId="77777777" w:rsidR="009219A0" w:rsidRDefault="00000000">
            <w:pPr>
              <w:widowControl/>
              <w:adjustRightInd/>
              <w:snapToGrid/>
              <w:spacing w:line="240" w:lineRule="auto"/>
              <w:ind w:firstLineChars="0" w:firstLine="0"/>
              <w:jc w:val="center"/>
              <w:rPr>
                <w:rFonts w:asciiTheme="minorEastAsia" w:eastAsiaTheme="minorEastAsia" w:hAnsiTheme="minorEastAsia" w:cs="宋体" w:hint="eastAsia"/>
                <w:color w:val="444444"/>
                <w:kern w:val="0"/>
                <w:sz w:val="21"/>
                <w:szCs w:val="21"/>
                <w:lang w:bidi="ar"/>
              </w:rPr>
            </w:pPr>
            <w:r>
              <w:rPr>
                <w:rFonts w:asciiTheme="minorEastAsia" w:eastAsiaTheme="minorEastAsia" w:hAnsiTheme="minorEastAsia" w:cs="宋体" w:hint="eastAsia"/>
                <w:color w:val="444444"/>
                <w:kern w:val="0"/>
                <w:sz w:val="21"/>
                <w:szCs w:val="21"/>
                <w:lang w:bidi="ar"/>
              </w:rPr>
              <w:t>13</w:t>
            </w:r>
          </w:p>
        </w:tc>
        <w:tc>
          <w:tcPr>
            <w:tcW w:w="849" w:type="pct"/>
            <w:tcMar>
              <w:left w:w="108" w:type="dxa"/>
              <w:right w:w="108" w:type="dxa"/>
            </w:tcMar>
            <w:vAlign w:val="center"/>
          </w:tcPr>
          <w:p w14:paraId="4AAB2CA2" w14:textId="77777777" w:rsidR="009219A0" w:rsidRDefault="00000000">
            <w:pPr>
              <w:widowControl/>
              <w:adjustRightInd/>
              <w:snapToGrid/>
              <w:spacing w:line="240" w:lineRule="auto"/>
              <w:ind w:firstLineChars="0" w:firstLine="0"/>
              <w:jc w:val="left"/>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深井浇铸结晶器的循环水系统未设置应急水源或循环水水泵未设置应急电源</w:t>
            </w:r>
          </w:p>
        </w:tc>
        <w:tc>
          <w:tcPr>
            <w:tcW w:w="2187" w:type="pct"/>
            <w:tcMar>
              <w:left w:w="108" w:type="dxa"/>
              <w:right w:w="108" w:type="dxa"/>
            </w:tcMar>
            <w:vAlign w:val="center"/>
          </w:tcPr>
          <w:p w14:paraId="23DC14D3"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深井浇铸过程发生冷却水中断时，结晶器无法获得及时供水，因结晶器导热性能降低，熔融金属冷却、结晶不完全，长时间冷却水中断会造成高温熔融金属漏入铸井，引发高温熔融金属遇水爆炸事故。</w:t>
            </w:r>
          </w:p>
        </w:tc>
        <w:tc>
          <w:tcPr>
            <w:tcW w:w="625" w:type="pct"/>
            <w:tcMar>
              <w:left w:w="108" w:type="dxa"/>
              <w:right w:w="108" w:type="dxa"/>
            </w:tcMar>
            <w:vAlign w:val="center"/>
          </w:tcPr>
          <w:p w14:paraId="4D17B18D"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自2018年9月1日起禁止</w:t>
            </w:r>
          </w:p>
        </w:tc>
        <w:tc>
          <w:tcPr>
            <w:tcW w:w="937" w:type="pct"/>
            <w:tcMar>
              <w:left w:w="108" w:type="dxa"/>
              <w:right w:w="108" w:type="dxa"/>
            </w:tcMar>
            <w:vAlign w:val="center"/>
          </w:tcPr>
          <w:p w14:paraId="21035254"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不涉及</w:t>
            </w:r>
          </w:p>
        </w:tc>
      </w:tr>
      <w:tr w:rsidR="009219A0" w14:paraId="6B75FAAD" w14:textId="77777777">
        <w:trPr>
          <w:jc w:val="center"/>
        </w:trPr>
        <w:tc>
          <w:tcPr>
            <w:tcW w:w="402" w:type="pct"/>
            <w:tcMar>
              <w:left w:w="108" w:type="dxa"/>
              <w:right w:w="108" w:type="dxa"/>
            </w:tcMar>
            <w:vAlign w:val="center"/>
          </w:tcPr>
          <w:p w14:paraId="453A9C75" w14:textId="77777777" w:rsidR="009219A0" w:rsidRDefault="00000000">
            <w:pPr>
              <w:widowControl/>
              <w:adjustRightInd/>
              <w:snapToGrid/>
              <w:spacing w:line="240" w:lineRule="auto"/>
              <w:ind w:firstLineChars="0" w:firstLine="0"/>
              <w:jc w:val="center"/>
              <w:rPr>
                <w:rFonts w:asciiTheme="minorEastAsia" w:eastAsiaTheme="minorEastAsia" w:hAnsiTheme="minorEastAsia" w:cs="宋体" w:hint="eastAsia"/>
                <w:color w:val="444444"/>
                <w:kern w:val="0"/>
                <w:sz w:val="21"/>
                <w:szCs w:val="21"/>
                <w:lang w:bidi="ar"/>
              </w:rPr>
            </w:pPr>
            <w:r>
              <w:rPr>
                <w:rFonts w:asciiTheme="minorEastAsia" w:eastAsiaTheme="minorEastAsia" w:hAnsiTheme="minorEastAsia" w:cs="宋体" w:hint="eastAsia"/>
                <w:color w:val="444444"/>
                <w:kern w:val="0"/>
                <w:sz w:val="21"/>
                <w:szCs w:val="21"/>
                <w:lang w:bidi="ar"/>
              </w:rPr>
              <w:t>14</w:t>
            </w:r>
          </w:p>
        </w:tc>
        <w:tc>
          <w:tcPr>
            <w:tcW w:w="849" w:type="pct"/>
            <w:tcMar>
              <w:left w:w="108" w:type="dxa"/>
              <w:right w:w="108" w:type="dxa"/>
            </w:tcMar>
            <w:vAlign w:val="center"/>
          </w:tcPr>
          <w:p w14:paraId="74910FB0" w14:textId="77777777" w:rsidR="009219A0" w:rsidRDefault="00000000">
            <w:pPr>
              <w:widowControl/>
              <w:adjustRightInd/>
              <w:snapToGrid/>
              <w:spacing w:line="240" w:lineRule="auto"/>
              <w:ind w:firstLineChars="0" w:firstLine="0"/>
              <w:jc w:val="left"/>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有色金属冶炼炉、熔炼炉及炉渣处理烟化炉冷却水系统未设置温度、流量、压力检测报警装置</w:t>
            </w:r>
          </w:p>
        </w:tc>
        <w:tc>
          <w:tcPr>
            <w:tcW w:w="2187" w:type="pct"/>
            <w:tcMar>
              <w:left w:w="108" w:type="dxa"/>
              <w:right w:w="108" w:type="dxa"/>
            </w:tcMar>
            <w:vAlign w:val="center"/>
          </w:tcPr>
          <w:p w14:paraId="7C13D54F"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冷却水系统若未设置温度、流量、压力检测报警装置，无法及时发现冷却水异常。(1)冶炼炉水冷却系统若发生漏水进入冶炼炉内部，会引发恶性爆炸事故；(2)冶炼炉、熔炼炉、</w:t>
            </w:r>
            <w:proofErr w:type="gramStart"/>
            <w:r>
              <w:rPr>
                <w:rFonts w:asciiTheme="minorEastAsia" w:eastAsiaTheme="minorEastAsia" w:hAnsiTheme="minorEastAsia" w:hint="eastAsia"/>
                <w:bCs/>
                <w:sz w:val="21"/>
                <w:szCs w:val="21"/>
              </w:rPr>
              <w:t>烟化炉水冷却系统</w:t>
            </w:r>
            <w:proofErr w:type="gramEnd"/>
            <w:r>
              <w:rPr>
                <w:rFonts w:asciiTheme="minorEastAsia" w:eastAsiaTheme="minorEastAsia" w:hAnsiTheme="minorEastAsia" w:hint="eastAsia"/>
                <w:bCs/>
                <w:sz w:val="21"/>
                <w:szCs w:val="21"/>
              </w:rPr>
              <w:t>若断水，易引发炉子烧穿事故，导致炉内高温熔融金属及熔渣泄漏，继而引发火灾、爆炸等恶性事故；(3)</w:t>
            </w:r>
            <w:proofErr w:type="gramStart"/>
            <w:r>
              <w:rPr>
                <w:rFonts w:asciiTheme="minorEastAsia" w:eastAsiaTheme="minorEastAsia" w:hAnsiTheme="minorEastAsia" w:hint="eastAsia"/>
                <w:bCs/>
                <w:sz w:val="21"/>
                <w:szCs w:val="21"/>
              </w:rPr>
              <w:t>烟化炉水夹套</w:t>
            </w:r>
            <w:proofErr w:type="gramEnd"/>
            <w:r>
              <w:rPr>
                <w:rFonts w:asciiTheme="minorEastAsia" w:eastAsiaTheme="minorEastAsia" w:hAnsiTheme="minorEastAsia" w:hint="eastAsia"/>
                <w:bCs/>
                <w:sz w:val="21"/>
                <w:szCs w:val="21"/>
              </w:rPr>
              <w:t>冷却水供水不</w:t>
            </w:r>
          </w:p>
          <w:p w14:paraId="1FEB3A00"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足，水冷夹套易发生水汽爆炸事故。</w:t>
            </w:r>
          </w:p>
        </w:tc>
        <w:tc>
          <w:tcPr>
            <w:tcW w:w="625" w:type="pct"/>
            <w:tcMar>
              <w:left w:w="108" w:type="dxa"/>
              <w:right w:w="108" w:type="dxa"/>
            </w:tcMar>
            <w:vAlign w:val="center"/>
          </w:tcPr>
          <w:p w14:paraId="1E1CE70C"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自2018年9月1日起禁止</w:t>
            </w:r>
          </w:p>
        </w:tc>
        <w:tc>
          <w:tcPr>
            <w:tcW w:w="937" w:type="pct"/>
            <w:tcMar>
              <w:left w:w="108" w:type="dxa"/>
              <w:right w:w="108" w:type="dxa"/>
            </w:tcMar>
            <w:vAlign w:val="center"/>
          </w:tcPr>
          <w:p w14:paraId="55D8710E"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不涉及</w:t>
            </w:r>
          </w:p>
        </w:tc>
      </w:tr>
      <w:tr w:rsidR="009219A0" w14:paraId="34BE0B94" w14:textId="77777777">
        <w:trPr>
          <w:jc w:val="center"/>
        </w:trPr>
        <w:tc>
          <w:tcPr>
            <w:tcW w:w="402" w:type="pct"/>
            <w:tcMar>
              <w:left w:w="108" w:type="dxa"/>
              <w:right w:w="108" w:type="dxa"/>
            </w:tcMar>
            <w:vAlign w:val="center"/>
          </w:tcPr>
          <w:p w14:paraId="281EC1D3" w14:textId="77777777" w:rsidR="009219A0" w:rsidRDefault="00000000">
            <w:pPr>
              <w:widowControl/>
              <w:adjustRightInd/>
              <w:snapToGrid/>
              <w:spacing w:line="240" w:lineRule="auto"/>
              <w:ind w:firstLineChars="0" w:firstLine="0"/>
              <w:jc w:val="center"/>
              <w:rPr>
                <w:rFonts w:asciiTheme="minorEastAsia" w:eastAsiaTheme="minorEastAsia" w:hAnsiTheme="minorEastAsia" w:cs="宋体" w:hint="eastAsia"/>
                <w:color w:val="444444"/>
                <w:kern w:val="0"/>
                <w:sz w:val="21"/>
                <w:szCs w:val="21"/>
                <w:lang w:bidi="ar"/>
              </w:rPr>
            </w:pPr>
            <w:r>
              <w:rPr>
                <w:rFonts w:asciiTheme="minorEastAsia" w:eastAsiaTheme="minorEastAsia" w:hAnsiTheme="minorEastAsia" w:cs="宋体" w:hint="eastAsia"/>
                <w:color w:val="444444"/>
                <w:kern w:val="0"/>
                <w:sz w:val="21"/>
                <w:szCs w:val="21"/>
                <w:lang w:bidi="ar"/>
              </w:rPr>
              <w:t>15</w:t>
            </w:r>
          </w:p>
        </w:tc>
        <w:tc>
          <w:tcPr>
            <w:tcW w:w="849" w:type="pct"/>
            <w:tcMar>
              <w:left w:w="108" w:type="dxa"/>
              <w:right w:w="108" w:type="dxa"/>
            </w:tcMar>
            <w:vAlign w:val="center"/>
          </w:tcPr>
          <w:p w14:paraId="3EFE829C" w14:textId="77777777" w:rsidR="009219A0" w:rsidRDefault="00000000">
            <w:pPr>
              <w:widowControl/>
              <w:adjustRightInd/>
              <w:snapToGrid/>
              <w:spacing w:line="240" w:lineRule="auto"/>
              <w:ind w:firstLineChars="0" w:firstLine="0"/>
              <w:jc w:val="left"/>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可能产生砷化氢生产场所，使用不符合国家标准最高容许浓度精度要求的砷化氢检（监）测仪</w:t>
            </w:r>
          </w:p>
        </w:tc>
        <w:tc>
          <w:tcPr>
            <w:tcW w:w="2187" w:type="pct"/>
            <w:tcMar>
              <w:left w:w="108" w:type="dxa"/>
              <w:right w:w="108" w:type="dxa"/>
            </w:tcMar>
            <w:vAlign w:val="center"/>
          </w:tcPr>
          <w:p w14:paraId="44E57509"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《工作场所有害因素职业接触限值·化学因素》（GBZ2.1-2007）规定，作业场所砷化氢的最高容许浓度为0.03mg/m</w:t>
            </w:r>
            <w:r>
              <w:rPr>
                <w:rFonts w:asciiTheme="minorEastAsia" w:eastAsiaTheme="minorEastAsia" w:hAnsiTheme="minorEastAsia" w:hint="eastAsia"/>
                <w:bCs/>
                <w:sz w:val="21"/>
                <w:szCs w:val="21"/>
                <w:vertAlign w:val="superscript"/>
              </w:rPr>
              <w:t>3</w:t>
            </w:r>
            <w:r>
              <w:rPr>
                <w:rFonts w:asciiTheme="minorEastAsia" w:eastAsiaTheme="minorEastAsia" w:hAnsiTheme="minorEastAsia" w:hint="eastAsia"/>
                <w:bCs/>
                <w:sz w:val="21"/>
                <w:szCs w:val="21"/>
              </w:rPr>
              <w:t>（0.009ppm）。但目前市场上大部分砷化氢检（监）测仪测量精度为0.1mg/m</w:t>
            </w:r>
            <w:r>
              <w:rPr>
                <w:rFonts w:asciiTheme="minorEastAsia" w:eastAsiaTheme="minorEastAsia" w:hAnsiTheme="minorEastAsia" w:hint="eastAsia"/>
                <w:bCs/>
                <w:sz w:val="21"/>
                <w:szCs w:val="21"/>
                <w:vertAlign w:val="superscript"/>
              </w:rPr>
              <w:t>3</w:t>
            </w:r>
            <w:r>
              <w:rPr>
                <w:rFonts w:asciiTheme="minorEastAsia" w:eastAsiaTheme="minorEastAsia" w:hAnsiTheme="minorEastAsia" w:hint="eastAsia"/>
                <w:bCs/>
                <w:sz w:val="21"/>
                <w:szCs w:val="21"/>
              </w:rPr>
              <w:t>或0.1ppm，检测结果不能满足标准规定的检测精度要求，且抗酸雾等干扰能力差。</w:t>
            </w:r>
          </w:p>
        </w:tc>
        <w:tc>
          <w:tcPr>
            <w:tcW w:w="625" w:type="pct"/>
            <w:tcMar>
              <w:left w:w="108" w:type="dxa"/>
              <w:right w:w="108" w:type="dxa"/>
            </w:tcMar>
            <w:vAlign w:val="center"/>
          </w:tcPr>
          <w:p w14:paraId="31C7B65C" w14:textId="77777777" w:rsidR="009219A0" w:rsidRDefault="00000000">
            <w:pPr>
              <w:widowControl/>
              <w:adjustRightInd/>
              <w:snapToGrid/>
              <w:spacing w:line="240" w:lineRule="auto"/>
              <w:ind w:firstLineChars="0" w:firstLine="0"/>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自2018年3月1日起禁止</w:t>
            </w:r>
          </w:p>
        </w:tc>
        <w:tc>
          <w:tcPr>
            <w:tcW w:w="937" w:type="pct"/>
            <w:tcMar>
              <w:left w:w="108" w:type="dxa"/>
              <w:right w:w="108" w:type="dxa"/>
            </w:tcMar>
            <w:vAlign w:val="center"/>
          </w:tcPr>
          <w:p w14:paraId="55ABA3F7" w14:textId="77777777" w:rsidR="009219A0" w:rsidRDefault="00000000">
            <w:pPr>
              <w:widowControl/>
              <w:adjustRightInd/>
              <w:snapToGrid/>
              <w:spacing w:line="240" w:lineRule="auto"/>
              <w:ind w:firstLineChars="0" w:firstLine="0"/>
              <w:rPr>
                <w:rFonts w:asciiTheme="minorEastAsia" w:eastAsiaTheme="minorEastAsia" w:hAnsiTheme="minorEastAsia" w:hint="eastAsia"/>
                <w:bCs/>
                <w:sz w:val="21"/>
                <w:szCs w:val="21"/>
              </w:rPr>
            </w:pPr>
            <w:r>
              <w:rPr>
                <w:rFonts w:asciiTheme="minorEastAsia" w:eastAsiaTheme="minorEastAsia" w:hAnsiTheme="minorEastAsia" w:hint="eastAsia"/>
                <w:bCs/>
                <w:color w:val="auto"/>
                <w:sz w:val="21"/>
                <w:szCs w:val="21"/>
              </w:rPr>
              <w:t>本项目不涉及金属冶炼。项目小试、中试试验过程中能会有</w:t>
            </w:r>
            <w:proofErr w:type="gramStart"/>
            <w:r>
              <w:rPr>
                <w:rFonts w:asciiTheme="minorEastAsia" w:eastAsiaTheme="minorEastAsia" w:hAnsiTheme="minorEastAsia" w:hint="eastAsia"/>
                <w:bCs/>
                <w:color w:val="auto"/>
                <w:sz w:val="21"/>
                <w:szCs w:val="21"/>
              </w:rPr>
              <w:t>少量砷化氢气</w:t>
            </w:r>
            <w:proofErr w:type="gramEnd"/>
            <w:r>
              <w:rPr>
                <w:rFonts w:asciiTheme="minorEastAsia" w:eastAsiaTheme="minorEastAsia" w:hAnsiTheme="minorEastAsia" w:hint="eastAsia"/>
                <w:bCs/>
                <w:color w:val="auto"/>
                <w:sz w:val="21"/>
                <w:szCs w:val="21"/>
              </w:rPr>
              <w:t>体产生。小试试验在通风橱中进行操作，实验室有强制排风措施；中试试验循环槽、氧化槽为密闭设备，产生的废气由排风管和风机抽吸至二级碱液喷淋塔进行处理，现场配备有溴化汞试纸。</w:t>
            </w:r>
          </w:p>
        </w:tc>
      </w:tr>
    </w:tbl>
    <w:p w14:paraId="79CF063A" w14:textId="77777777" w:rsidR="009219A0" w:rsidRDefault="00000000">
      <w:pPr>
        <w:pStyle w:val="2"/>
        <w:rPr>
          <w:rFonts w:hint="eastAsia"/>
        </w:rPr>
      </w:pPr>
      <w:bookmarkStart w:id="289" w:name="_Toc211950510"/>
      <w:r>
        <w:rPr>
          <w:rFonts w:hint="eastAsia"/>
        </w:rPr>
        <w:lastRenderedPageBreak/>
        <w:t>2.10 事故案例</w:t>
      </w:r>
      <w:bookmarkEnd w:id="288"/>
      <w:bookmarkEnd w:id="289"/>
    </w:p>
    <w:p w14:paraId="162EDAA1" w14:textId="77777777" w:rsidR="009219A0" w:rsidRDefault="00000000">
      <w:pPr>
        <w:pStyle w:val="3"/>
        <w:rPr>
          <w:rFonts w:hint="eastAsia"/>
        </w:rPr>
      </w:pPr>
      <w:bookmarkStart w:id="290" w:name="_Toc211950511"/>
      <w:r>
        <w:rPr>
          <w:rFonts w:hint="eastAsia"/>
        </w:rPr>
        <w:t>2.10.1 事故案例后果</w:t>
      </w:r>
      <w:bookmarkEnd w:id="290"/>
      <w:r>
        <w:rPr>
          <w:rFonts w:hint="eastAsia"/>
        </w:rPr>
        <w:t xml:space="preserve"> </w:t>
      </w:r>
    </w:p>
    <w:p w14:paraId="1E861A32" w14:textId="77777777" w:rsidR="009219A0" w:rsidRDefault="00000000">
      <w:pPr>
        <w:ind w:firstLine="560"/>
        <w:rPr>
          <w:color w:val="auto"/>
        </w:rPr>
      </w:pPr>
      <w:r>
        <w:rPr>
          <w:rFonts w:hint="eastAsia"/>
          <w:color w:val="auto"/>
        </w:rPr>
        <w:t>[</w:t>
      </w:r>
      <w:r>
        <w:rPr>
          <w:rFonts w:hint="eastAsia"/>
          <w:color w:val="auto"/>
        </w:rPr>
        <w:t>案例</w:t>
      </w:r>
      <w:r>
        <w:rPr>
          <w:rFonts w:hint="eastAsia"/>
          <w:color w:val="auto"/>
        </w:rPr>
        <w:t xml:space="preserve">] </w:t>
      </w:r>
      <w:r>
        <w:rPr>
          <w:rFonts w:hint="eastAsia"/>
          <w:color w:val="auto"/>
        </w:rPr>
        <w:t>化学实验室火灾</w:t>
      </w:r>
    </w:p>
    <w:p w14:paraId="19A7C37D" w14:textId="77777777" w:rsidR="009219A0" w:rsidRDefault="00000000">
      <w:pPr>
        <w:ind w:firstLine="560"/>
        <w:rPr>
          <w:color w:val="auto"/>
        </w:rPr>
      </w:pPr>
      <w:r>
        <w:rPr>
          <w:rFonts w:hint="eastAsia"/>
          <w:color w:val="auto"/>
        </w:rPr>
        <w:t>2019</w:t>
      </w:r>
      <w:r>
        <w:rPr>
          <w:rFonts w:hint="eastAsia"/>
          <w:color w:val="auto"/>
        </w:rPr>
        <w:t>年</w:t>
      </w:r>
      <w:r>
        <w:rPr>
          <w:rFonts w:hint="eastAsia"/>
          <w:color w:val="auto"/>
        </w:rPr>
        <w:t>5</w:t>
      </w:r>
      <w:r>
        <w:rPr>
          <w:rFonts w:hint="eastAsia"/>
          <w:color w:val="auto"/>
        </w:rPr>
        <w:t>月</w:t>
      </w:r>
      <w:r>
        <w:rPr>
          <w:rFonts w:hint="eastAsia"/>
          <w:color w:val="auto"/>
        </w:rPr>
        <w:t>2</w:t>
      </w:r>
      <w:r>
        <w:rPr>
          <w:rFonts w:hint="eastAsia"/>
          <w:color w:val="auto"/>
        </w:rPr>
        <w:t>日晚，某高校化学实验室发生火灾。事发之后，消防部门迅速赶到现场，花了约</w:t>
      </w:r>
      <w:r>
        <w:rPr>
          <w:rFonts w:hint="eastAsia"/>
          <w:color w:val="auto"/>
        </w:rPr>
        <w:t>40</w:t>
      </w:r>
      <w:r>
        <w:rPr>
          <w:rFonts w:hint="eastAsia"/>
          <w:color w:val="auto"/>
        </w:rPr>
        <w:t>分钟才将大火控制在实验室内部。事故发生后，无人员伤亡，但实验室内的设施、仪器、试剂等大部分被烧毁、损坏，造成直接经济损失约</w:t>
      </w:r>
      <w:r>
        <w:rPr>
          <w:rFonts w:hint="eastAsia"/>
          <w:color w:val="auto"/>
        </w:rPr>
        <w:t>240</w:t>
      </w:r>
      <w:r>
        <w:rPr>
          <w:rFonts w:hint="eastAsia"/>
          <w:color w:val="auto"/>
        </w:rPr>
        <w:t>万元。</w:t>
      </w:r>
    </w:p>
    <w:p w14:paraId="54034549" w14:textId="77777777" w:rsidR="009219A0" w:rsidRDefault="00000000">
      <w:pPr>
        <w:pStyle w:val="3"/>
        <w:rPr>
          <w:rFonts w:hint="eastAsia"/>
        </w:rPr>
      </w:pPr>
      <w:bookmarkStart w:id="291" w:name="_Toc211950512"/>
      <w:r>
        <w:rPr>
          <w:rFonts w:hint="eastAsia"/>
        </w:rPr>
        <w:t>2.10.2案例原因分析</w:t>
      </w:r>
      <w:bookmarkEnd w:id="291"/>
    </w:p>
    <w:p w14:paraId="1C85E82C" w14:textId="77777777" w:rsidR="009219A0" w:rsidRDefault="00000000">
      <w:pPr>
        <w:ind w:firstLine="560"/>
        <w:rPr>
          <w:color w:val="auto"/>
        </w:rPr>
      </w:pPr>
      <w:r>
        <w:rPr>
          <w:rFonts w:hint="eastAsia"/>
          <w:color w:val="auto"/>
        </w:rPr>
        <w:t>（</w:t>
      </w:r>
      <w:r>
        <w:rPr>
          <w:rFonts w:hint="eastAsia"/>
          <w:color w:val="auto"/>
        </w:rPr>
        <w:t>1</w:t>
      </w:r>
      <w:r>
        <w:rPr>
          <w:rFonts w:hint="eastAsia"/>
          <w:color w:val="auto"/>
        </w:rPr>
        <w:t>）未按规定储存试剂。实验室内存在大量未按规定储存的易燃、易爆、有毒或有害化学物品，如硫酸、酒精、溴甲烷等。</w:t>
      </w:r>
    </w:p>
    <w:p w14:paraId="5828B3FA" w14:textId="77777777" w:rsidR="009219A0" w:rsidRDefault="00000000">
      <w:pPr>
        <w:ind w:firstLine="560"/>
        <w:rPr>
          <w:color w:val="auto"/>
        </w:rPr>
      </w:pPr>
      <w:r>
        <w:rPr>
          <w:rFonts w:hint="eastAsia"/>
          <w:color w:val="auto"/>
        </w:rPr>
        <w:t>（</w:t>
      </w:r>
      <w:r>
        <w:rPr>
          <w:rFonts w:hint="eastAsia"/>
          <w:color w:val="auto"/>
        </w:rPr>
        <w:t>2</w:t>
      </w:r>
      <w:r>
        <w:rPr>
          <w:rFonts w:hint="eastAsia"/>
          <w:color w:val="auto"/>
        </w:rPr>
        <w:t>）操作不当。实验操作人员会在清洁玻璃器皿上方使用自来水直接冲洗玻璃器皿，这可能会造成水与试剂反应，导致危险物质气化、爆炸。</w:t>
      </w:r>
    </w:p>
    <w:p w14:paraId="2C8D6F6A" w14:textId="77777777" w:rsidR="009219A0" w:rsidRDefault="00000000">
      <w:pPr>
        <w:ind w:firstLine="560"/>
        <w:rPr>
          <w:color w:val="auto"/>
        </w:rPr>
      </w:pPr>
      <w:r>
        <w:rPr>
          <w:rFonts w:hint="eastAsia"/>
          <w:color w:val="auto"/>
        </w:rPr>
        <w:t>（</w:t>
      </w:r>
      <w:r>
        <w:rPr>
          <w:rFonts w:hint="eastAsia"/>
          <w:color w:val="auto"/>
        </w:rPr>
        <w:t>3</w:t>
      </w:r>
      <w:r>
        <w:rPr>
          <w:rFonts w:hint="eastAsia"/>
          <w:color w:val="auto"/>
        </w:rPr>
        <w:t>）电气设备安全隐患。实验室中存在一些安全隐患较大的电气设备。如绝缘不良的插座、线路老化、电线烧痕等。</w:t>
      </w:r>
    </w:p>
    <w:p w14:paraId="48F7F712" w14:textId="77777777" w:rsidR="009219A0" w:rsidRDefault="00000000">
      <w:pPr>
        <w:ind w:firstLine="560"/>
        <w:rPr>
          <w:color w:val="auto"/>
        </w:rPr>
      </w:pPr>
      <w:r>
        <w:rPr>
          <w:rFonts w:hint="eastAsia"/>
          <w:color w:val="auto"/>
        </w:rPr>
        <w:t>（</w:t>
      </w:r>
      <w:r>
        <w:rPr>
          <w:rFonts w:hint="eastAsia"/>
          <w:color w:val="auto"/>
        </w:rPr>
        <w:t>4</w:t>
      </w:r>
      <w:r>
        <w:rPr>
          <w:rFonts w:hint="eastAsia"/>
          <w:color w:val="auto"/>
        </w:rPr>
        <w:t>）火源未及时排除。还有一种是实验室中存在大量火源，如吸烟等。</w:t>
      </w:r>
      <w:r>
        <w:rPr>
          <w:rFonts w:hint="eastAsia"/>
          <w:color w:val="auto"/>
        </w:rPr>
        <w:t xml:space="preserve">                                                                     </w:t>
      </w:r>
    </w:p>
    <w:p w14:paraId="6BCE44E7" w14:textId="77777777" w:rsidR="009219A0" w:rsidRDefault="00000000">
      <w:pPr>
        <w:pStyle w:val="3"/>
        <w:rPr>
          <w:rFonts w:hint="eastAsia"/>
        </w:rPr>
      </w:pPr>
      <w:bookmarkStart w:id="292" w:name="_Toc211950513"/>
      <w:r>
        <w:rPr>
          <w:rFonts w:hint="eastAsia"/>
        </w:rPr>
        <w:t>2.10.3 事故教训</w:t>
      </w:r>
      <w:bookmarkEnd w:id="292"/>
    </w:p>
    <w:p w14:paraId="63364A2D" w14:textId="77777777" w:rsidR="009219A0" w:rsidRDefault="00000000">
      <w:pPr>
        <w:ind w:firstLine="560"/>
        <w:rPr>
          <w:color w:val="auto"/>
        </w:rPr>
      </w:pPr>
      <w:r>
        <w:rPr>
          <w:rFonts w:hint="eastAsia"/>
          <w:color w:val="auto"/>
        </w:rPr>
        <w:t>（</w:t>
      </w:r>
      <w:r>
        <w:rPr>
          <w:rFonts w:hint="eastAsia"/>
          <w:color w:val="auto"/>
        </w:rPr>
        <w:t>1</w:t>
      </w:r>
      <w:r>
        <w:rPr>
          <w:rFonts w:hint="eastAsia"/>
          <w:color w:val="auto"/>
        </w:rPr>
        <w:t>）充分了解实验工作的重要性和危险性，必须遵守实验室操作规程，正确调整并掌握实验条件；</w:t>
      </w:r>
    </w:p>
    <w:p w14:paraId="34C88EB8" w14:textId="77777777" w:rsidR="009219A0" w:rsidRDefault="00000000">
      <w:pPr>
        <w:ind w:firstLine="560"/>
        <w:rPr>
          <w:color w:val="auto"/>
        </w:rPr>
      </w:pPr>
      <w:r>
        <w:rPr>
          <w:rFonts w:hint="eastAsia"/>
          <w:color w:val="auto"/>
        </w:rPr>
        <w:t>（</w:t>
      </w:r>
      <w:r>
        <w:rPr>
          <w:rFonts w:hint="eastAsia"/>
          <w:color w:val="auto"/>
        </w:rPr>
        <w:t>2</w:t>
      </w:r>
      <w:r>
        <w:rPr>
          <w:rFonts w:hint="eastAsia"/>
          <w:color w:val="auto"/>
        </w:rPr>
        <w:t>）应严格规范化学试剂的配制及储存，维护安全，确保实验室正常工作；</w:t>
      </w:r>
    </w:p>
    <w:p w14:paraId="0D17F1AD" w14:textId="77777777" w:rsidR="009219A0" w:rsidRDefault="00000000">
      <w:pPr>
        <w:ind w:firstLine="560"/>
        <w:rPr>
          <w:color w:val="auto"/>
        </w:rPr>
      </w:pPr>
      <w:r>
        <w:rPr>
          <w:rFonts w:hint="eastAsia"/>
          <w:color w:val="auto"/>
        </w:rPr>
        <w:t>（</w:t>
      </w:r>
      <w:r>
        <w:rPr>
          <w:rFonts w:hint="eastAsia"/>
          <w:color w:val="auto"/>
        </w:rPr>
        <w:t>3</w:t>
      </w:r>
      <w:r>
        <w:rPr>
          <w:rFonts w:hint="eastAsia"/>
          <w:color w:val="auto"/>
        </w:rPr>
        <w:t>）需要充分强化实验室员工对生产安全的重视和防范能力，积极推广安全型实验室，使责任、安全、科学和技术得到充分的保障。</w:t>
      </w:r>
    </w:p>
    <w:p w14:paraId="6A9F429A" w14:textId="77777777" w:rsidR="009219A0" w:rsidRDefault="009219A0">
      <w:pPr>
        <w:pStyle w:val="Style2"/>
        <w:topLinePunct/>
        <w:spacing w:line="520" w:lineRule="exact"/>
        <w:ind w:firstLine="560"/>
        <w:rPr>
          <w:rFonts w:ascii="宋体" w:hAnsi="宋体" w:hint="eastAsia"/>
          <w:color w:val="auto"/>
          <w:szCs w:val="28"/>
        </w:rPr>
        <w:sectPr w:rsidR="009219A0">
          <w:pgSz w:w="11906" w:h="16838"/>
          <w:pgMar w:top="1418" w:right="1418" w:bottom="1588" w:left="1418" w:header="851" w:footer="992" w:gutter="0"/>
          <w:cols w:space="425"/>
          <w:docGrid w:linePitch="381"/>
        </w:sectPr>
      </w:pPr>
    </w:p>
    <w:p w14:paraId="7ACAF618" w14:textId="77777777" w:rsidR="009219A0" w:rsidRDefault="00000000">
      <w:pPr>
        <w:pStyle w:val="1"/>
        <w:keepNext w:val="0"/>
        <w:keepLines w:val="0"/>
        <w:textAlignment w:val="center"/>
        <w:rPr>
          <w:rFonts w:ascii="宋体" w:hAnsi="宋体" w:hint="eastAsia"/>
          <w:b/>
          <w:bCs w:val="0"/>
          <w:color w:val="auto"/>
          <w:szCs w:val="20"/>
        </w:rPr>
      </w:pPr>
      <w:bookmarkStart w:id="293" w:name="_Toc165281482"/>
      <w:bookmarkStart w:id="294" w:name="_Toc211950514"/>
      <w:r>
        <w:rPr>
          <w:rFonts w:ascii="宋体" w:hAnsi="宋体" w:hint="eastAsia"/>
          <w:b/>
          <w:bCs w:val="0"/>
          <w:color w:val="auto"/>
          <w:szCs w:val="20"/>
        </w:rPr>
        <w:lastRenderedPageBreak/>
        <w:t>附件3  选用的安全评价方法简介</w:t>
      </w:r>
      <w:bookmarkEnd w:id="293"/>
      <w:bookmarkEnd w:id="294"/>
    </w:p>
    <w:p w14:paraId="574FE2FD" w14:textId="77777777" w:rsidR="009219A0" w:rsidRDefault="009219A0">
      <w:pPr>
        <w:ind w:firstLine="560"/>
        <w:rPr>
          <w:color w:val="auto"/>
        </w:rPr>
      </w:pPr>
    </w:p>
    <w:p w14:paraId="2EC3EFE2" w14:textId="77777777" w:rsidR="009219A0" w:rsidRDefault="00000000">
      <w:pPr>
        <w:pStyle w:val="2"/>
        <w:rPr>
          <w:rFonts w:hint="eastAsia"/>
        </w:rPr>
      </w:pPr>
      <w:bookmarkStart w:id="295" w:name="_Toc165281483"/>
      <w:bookmarkStart w:id="296" w:name="_Toc211950515"/>
      <w:r>
        <w:rPr>
          <w:rFonts w:hint="eastAsia"/>
        </w:rPr>
        <w:t>3.1 安全检查表法</w:t>
      </w:r>
      <w:bookmarkEnd w:id="295"/>
      <w:bookmarkEnd w:id="296"/>
    </w:p>
    <w:p w14:paraId="2DD68120" w14:textId="77777777" w:rsidR="009219A0" w:rsidRDefault="00000000">
      <w:pPr>
        <w:ind w:firstLine="560"/>
        <w:rPr>
          <w:color w:val="auto"/>
        </w:rPr>
      </w:pPr>
      <w:r>
        <w:rPr>
          <w:rFonts w:hint="eastAsia"/>
          <w:color w:val="auto"/>
        </w:rPr>
        <w:t>安全检查表评价法（</w:t>
      </w:r>
      <w:r>
        <w:rPr>
          <w:rFonts w:hint="eastAsia"/>
          <w:color w:val="auto"/>
        </w:rPr>
        <w:t>Safety Check List</w:t>
      </w:r>
      <w:r>
        <w:rPr>
          <w:rFonts w:hint="eastAsia"/>
          <w:color w:val="auto"/>
        </w:rPr>
        <w:t>，简称</w:t>
      </w:r>
      <w:r>
        <w:rPr>
          <w:rFonts w:hint="eastAsia"/>
          <w:color w:val="auto"/>
        </w:rPr>
        <w:t>SCL</w:t>
      </w:r>
      <w:r>
        <w:rPr>
          <w:rFonts w:hint="eastAsia"/>
          <w:color w:val="auto"/>
        </w:rPr>
        <w:t>），是安全评价的常规方法，具有简便、实用、有效的特点，常常用于对安全生产管理，对熟知的工艺设计、物料、设备或操作规程进行分析，也可用于新开发工艺过程的早期阶段，识别和消除在类似系统的多年操作中所发现的危险。这种方法主要是依据国家、地区、行业等相关的标准、法规编制检查表，针对检查内容判断是否、有无，从而找出系统中存在的缺陷、疏漏、隐患、问题，并提出在工程设计、建设或运行过程中应注意的问题。</w:t>
      </w:r>
    </w:p>
    <w:p w14:paraId="1924822B" w14:textId="77777777" w:rsidR="009219A0" w:rsidRDefault="00000000">
      <w:pPr>
        <w:pStyle w:val="1"/>
        <w:keepNext w:val="0"/>
        <w:keepLines w:val="0"/>
        <w:textAlignment w:val="center"/>
        <w:rPr>
          <w:rFonts w:ascii="宋体" w:hAnsi="宋体" w:hint="eastAsia"/>
          <w:b/>
          <w:bCs w:val="0"/>
          <w:color w:val="auto"/>
          <w:szCs w:val="20"/>
        </w:rPr>
      </w:pPr>
      <w:bookmarkStart w:id="297" w:name="_Toc165281485"/>
      <w:bookmarkStart w:id="298" w:name="_Toc211950516"/>
      <w:r>
        <w:rPr>
          <w:rFonts w:ascii="宋体" w:hAnsi="宋体" w:hint="eastAsia"/>
          <w:b/>
          <w:bCs w:val="0"/>
          <w:color w:val="auto"/>
          <w:szCs w:val="20"/>
        </w:rPr>
        <w:lastRenderedPageBreak/>
        <w:t>附件4  “三同时”符合性评价及安全对策措施落实情况分析单元</w:t>
      </w:r>
      <w:bookmarkEnd w:id="297"/>
      <w:bookmarkEnd w:id="298"/>
    </w:p>
    <w:p w14:paraId="28A2616C" w14:textId="77777777" w:rsidR="009219A0" w:rsidRDefault="009219A0">
      <w:pPr>
        <w:ind w:firstLine="560"/>
        <w:rPr>
          <w:color w:val="auto"/>
        </w:rPr>
      </w:pPr>
    </w:p>
    <w:p w14:paraId="78802FBE" w14:textId="77777777" w:rsidR="009219A0" w:rsidRDefault="00000000">
      <w:pPr>
        <w:pStyle w:val="2"/>
        <w:rPr>
          <w:rFonts w:hint="eastAsia"/>
        </w:rPr>
      </w:pPr>
      <w:bookmarkStart w:id="299" w:name="_Toc211950517"/>
      <w:bookmarkStart w:id="300" w:name="_Toc165281486"/>
      <w:r>
        <w:rPr>
          <w:rFonts w:hint="eastAsia"/>
        </w:rPr>
        <w:t>4.1“三同时”符合性分析评价</w:t>
      </w:r>
      <w:bookmarkEnd w:id="299"/>
      <w:bookmarkEnd w:id="300"/>
    </w:p>
    <w:p w14:paraId="68B47F1C" w14:textId="77777777" w:rsidR="009219A0" w:rsidRDefault="00000000">
      <w:pPr>
        <w:ind w:firstLine="560"/>
        <w:rPr>
          <w:color w:val="auto"/>
          <w:sz w:val="24"/>
        </w:rPr>
      </w:pPr>
      <w:r>
        <w:rPr>
          <w:color w:val="auto"/>
        </w:rPr>
        <w:t>根据</w:t>
      </w:r>
      <w:r>
        <w:rPr>
          <w:rFonts w:hint="eastAsia"/>
          <w:color w:val="auto"/>
        </w:rPr>
        <w:t>《中华人民共和国安全生产法（</w:t>
      </w:r>
      <w:r>
        <w:rPr>
          <w:rFonts w:hint="eastAsia"/>
          <w:color w:val="auto"/>
        </w:rPr>
        <w:t>2021</w:t>
      </w:r>
      <w:r>
        <w:rPr>
          <w:rFonts w:hint="eastAsia"/>
          <w:color w:val="auto"/>
        </w:rPr>
        <w:t>年修订）》（中华人民共和国主席令第八十八号修订后公布，</w:t>
      </w:r>
      <w:r>
        <w:rPr>
          <w:rFonts w:hint="eastAsia"/>
          <w:color w:val="auto"/>
        </w:rPr>
        <w:t>2021</w:t>
      </w:r>
      <w:r>
        <w:rPr>
          <w:rFonts w:hint="eastAsia"/>
          <w:color w:val="auto"/>
        </w:rPr>
        <w:t>年</w:t>
      </w:r>
      <w:r>
        <w:rPr>
          <w:rFonts w:hint="eastAsia"/>
          <w:color w:val="auto"/>
        </w:rPr>
        <w:t>9</w:t>
      </w:r>
      <w:r>
        <w:rPr>
          <w:rFonts w:hint="eastAsia"/>
          <w:color w:val="auto"/>
        </w:rPr>
        <w:t>月</w:t>
      </w:r>
      <w:r>
        <w:rPr>
          <w:rFonts w:hint="eastAsia"/>
          <w:color w:val="auto"/>
        </w:rPr>
        <w:t>1</w:t>
      </w:r>
      <w:r>
        <w:rPr>
          <w:rFonts w:hint="eastAsia"/>
          <w:color w:val="auto"/>
        </w:rPr>
        <w:t>日施行）</w:t>
      </w:r>
      <w:r>
        <w:rPr>
          <w:color w:val="auto"/>
        </w:rPr>
        <w:t>、《</w:t>
      </w:r>
      <w:r>
        <w:rPr>
          <w:color w:val="auto"/>
          <w:kern w:val="0"/>
        </w:rPr>
        <w:t>建设项目安全设施</w:t>
      </w:r>
      <w:r>
        <w:rPr>
          <w:rFonts w:hint="eastAsia"/>
          <w:color w:val="auto"/>
          <w:kern w:val="0"/>
        </w:rPr>
        <w:t>“</w:t>
      </w:r>
      <w:r>
        <w:rPr>
          <w:color w:val="auto"/>
          <w:kern w:val="0"/>
        </w:rPr>
        <w:t>三同时</w:t>
      </w:r>
      <w:r>
        <w:rPr>
          <w:rFonts w:hint="eastAsia"/>
          <w:color w:val="auto"/>
          <w:kern w:val="0"/>
        </w:rPr>
        <w:t>”</w:t>
      </w:r>
      <w:r>
        <w:rPr>
          <w:color w:val="auto"/>
          <w:kern w:val="0"/>
        </w:rPr>
        <w:t>监督管理办法》（</w:t>
      </w:r>
      <w:r>
        <w:rPr>
          <w:bCs/>
          <w:color w:val="auto"/>
        </w:rPr>
        <w:t>国家安监总局令第</w:t>
      </w:r>
      <w:r>
        <w:rPr>
          <w:bCs/>
          <w:color w:val="auto"/>
        </w:rPr>
        <w:t>36</w:t>
      </w:r>
      <w:r>
        <w:rPr>
          <w:bCs/>
          <w:color w:val="auto"/>
        </w:rPr>
        <w:t>号</w:t>
      </w:r>
      <w:r>
        <w:rPr>
          <w:color w:val="auto"/>
          <w:kern w:val="0"/>
        </w:rPr>
        <w:t>，</w:t>
      </w:r>
      <w:r>
        <w:rPr>
          <w:bCs/>
          <w:color w:val="auto"/>
        </w:rPr>
        <w:t>国家安监总局令第</w:t>
      </w:r>
      <w:r>
        <w:rPr>
          <w:bCs/>
          <w:color w:val="auto"/>
        </w:rPr>
        <w:t>77</w:t>
      </w:r>
      <w:r>
        <w:rPr>
          <w:bCs/>
          <w:color w:val="auto"/>
        </w:rPr>
        <w:t>号修改</w:t>
      </w:r>
      <w:r>
        <w:rPr>
          <w:color w:val="auto"/>
          <w:kern w:val="0"/>
        </w:rPr>
        <w:t>）</w:t>
      </w:r>
      <w:r>
        <w:rPr>
          <w:color w:val="auto"/>
        </w:rPr>
        <w:t>等法律、规范的要求，对该</w:t>
      </w:r>
      <w:r>
        <w:rPr>
          <w:rFonts w:hint="eastAsia"/>
          <w:color w:val="auto"/>
        </w:rPr>
        <w:t>项目</w:t>
      </w:r>
      <w:r>
        <w:rPr>
          <w:color w:val="auto"/>
        </w:rPr>
        <w:t>进行</w:t>
      </w:r>
      <w:r>
        <w:rPr>
          <w:rFonts w:hint="eastAsia"/>
          <w:color w:val="auto"/>
        </w:rPr>
        <w:t>“</w:t>
      </w:r>
      <w:r>
        <w:rPr>
          <w:color w:val="auto"/>
        </w:rPr>
        <w:t>三同时</w:t>
      </w:r>
      <w:r>
        <w:rPr>
          <w:rFonts w:hint="eastAsia"/>
          <w:color w:val="auto"/>
        </w:rPr>
        <w:t>”</w:t>
      </w:r>
      <w:r>
        <w:rPr>
          <w:color w:val="auto"/>
        </w:rPr>
        <w:t>符合性评价，具体情况如下表</w:t>
      </w:r>
      <w:r>
        <w:rPr>
          <w:color w:val="auto"/>
        </w:rPr>
        <w:t>4</w:t>
      </w:r>
      <w:r>
        <w:rPr>
          <w:rFonts w:hint="eastAsia"/>
          <w:color w:val="auto"/>
        </w:rPr>
        <w:t>.1</w:t>
      </w:r>
      <w:r>
        <w:rPr>
          <w:color w:val="auto"/>
        </w:rPr>
        <w:t>-1</w:t>
      </w:r>
      <w:r>
        <w:rPr>
          <w:color w:val="auto"/>
        </w:rPr>
        <w:t>所示。</w:t>
      </w:r>
    </w:p>
    <w:p w14:paraId="6F7D555F" w14:textId="77777777" w:rsidR="009219A0" w:rsidRDefault="00000000">
      <w:pPr>
        <w:adjustRightInd/>
        <w:snapToGrid/>
        <w:ind w:firstLineChars="0" w:firstLine="0"/>
        <w:jc w:val="center"/>
        <w:rPr>
          <w:bCs/>
          <w:color w:val="auto"/>
          <w:szCs w:val="28"/>
        </w:rPr>
      </w:pPr>
      <w:r>
        <w:rPr>
          <w:bCs/>
          <w:color w:val="auto"/>
          <w:szCs w:val="28"/>
        </w:rPr>
        <w:t>附表</w:t>
      </w:r>
      <w:r>
        <w:rPr>
          <w:bCs/>
          <w:color w:val="auto"/>
          <w:szCs w:val="28"/>
        </w:rPr>
        <w:t>4</w:t>
      </w:r>
      <w:r>
        <w:rPr>
          <w:rFonts w:hint="eastAsia"/>
          <w:bCs/>
          <w:color w:val="auto"/>
          <w:szCs w:val="28"/>
        </w:rPr>
        <w:t>.1</w:t>
      </w:r>
      <w:r>
        <w:rPr>
          <w:bCs/>
          <w:color w:val="auto"/>
          <w:szCs w:val="28"/>
        </w:rPr>
        <w:t>-1  “</w:t>
      </w:r>
      <w:r>
        <w:rPr>
          <w:bCs/>
          <w:color w:val="auto"/>
          <w:szCs w:val="28"/>
        </w:rPr>
        <w:t>三同时</w:t>
      </w:r>
      <w:r>
        <w:rPr>
          <w:bCs/>
          <w:color w:val="auto"/>
          <w:szCs w:val="28"/>
        </w:rPr>
        <w:t>”</w:t>
      </w:r>
      <w:r>
        <w:rPr>
          <w:bCs/>
          <w:color w:val="auto"/>
          <w:szCs w:val="28"/>
        </w:rPr>
        <w:t>符合性检查表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3329"/>
        <w:gridCol w:w="2410"/>
        <w:gridCol w:w="2128"/>
        <w:gridCol w:w="706"/>
      </w:tblGrid>
      <w:tr w:rsidR="009219A0" w14:paraId="291CE124" w14:textId="77777777">
        <w:trPr>
          <w:trHeight w:val="397"/>
          <w:tblHeader/>
          <w:jc w:val="center"/>
        </w:trPr>
        <w:tc>
          <w:tcPr>
            <w:tcW w:w="499" w:type="dxa"/>
            <w:tcBorders>
              <w:top w:val="single" w:sz="4" w:space="0" w:color="auto"/>
              <w:left w:val="single" w:sz="4" w:space="0" w:color="auto"/>
              <w:bottom w:val="single" w:sz="4" w:space="0" w:color="auto"/>
              <w:right w:val="single" w:sz="4" w:space="0" w:color="auto"/>
            </w:tcBorders>
            <w:vAlign w:val="center"/>
          </w:tcPr>
          <w:p w14:paraId="3641158C" w14:textId="77777777" w:rsidR="009219A0" w:rsidRDefault="00000000">
            <w:pPr>
              <w:adjustRightInd/>
              <w:snapToGrid/>
              <w:spacing w:line="240" w:lineRule="auto"/>
              <w:ind w:firstLineChars="0" w:firstLine="0"/>
              <w:jc w:val="center"/>
              <w:rPr>
                <w:b/>
                <w:color w:val="auto"/>
                <w:sz w:val="21"/>
              </w:rPr>
            </w:pPr>
            <w:r>
              <w:rPr>
                <w:b/>
                <w:color w:val="auto"/>
                <w:sz w:val="21"/>
              </w:rPr>
              <w:t>序号</w:t>
            </w:r>
          </w:p>
        </w:tc>
        <w:tc>
          <w:tcPr>
            <w:tcW w:w="3329" w:type="dxa"/>
            <w:tcBorders>
              <w:top w:val="single" w:sz="4" w:space="0" w:color="auto"/>
              <w:left w:val="single" w:sz="4" w:space="0" w:color="auto"/>
              <w:bottom w:val="single" w:sz="4" w:space="0" w:color="auto"/>
              <w:right w:val="single" w:sz="4" w:space="0" w:color="auto"/>
            </w:tcBorders>
            <w:vAlign w:val="center"/>
          </w:tcPr>
          <w:p w14:paraId="79E47565" w14:textId="77777777" w:rsidR="009219A0" w:rsidRDefault="00000000">
            <w:pPr>
              <w:adjustRightInd/>
              <w:snapToGrid/>
              <w:spacing w:line="240" w:lineRule="auto"/>
              <w:ind w:firstLineChars="0" w:firstLine="0"/>
              <w:jc w:val="center"/>
              <w:rPr>
                <w:b/>
                <w:color w:val="auto"/>
                <w:sz w:val="21"/>
              </w:rPr>
            </w:pPr>
            <w:r>
              <w:rPr>
                <w:b/>
                <w:color w:val="auto"/>
                <w:sz w:val="21"/>
              </w:rPr>
              <w:t>检查内容</w:t>
            </w:r>
          </w:p>
        </w:tc>
        <w:tc>
          <w:tcPr>
            <w:tcW w:w="2410" w:type="dxa"/>
            <w:tcBorders>
              <w:top w:val="single" w:sz="4" w:space="0" w:color="auto"/>
              <w:left w:val="single" w:sz="4" w:space="0" w:color="auto"/>
              <w:bottom w:val="single" w:sz="4" w:space="0" w:color="auto"/>
              <w:right w:val="single" w:sz="4" w:space="0" w:color="auto"/>
            </w:tcBorders>
            <w:vAlign w:val="center"/>
          </w:tcPr>
          <w:p w14:paraId="4C78A637" w14:textId="77777777" w:rsidR="009219A0" w:rsidRDefault="00000000">
            <w:pPr>
              <w:adjustRightInd/>
              <w:snapToGrid/>
              <w:spacing w:line="240" w:lineRule="auto"/>
              <w:ind w:firstLineChars="0" w:firstLine="0"/>
              <w:jc w:val="center"/>
              <w:rPr>
                <w:b/>
                <w:color w:val="auto"/>
                <w:sz w:val="21"/>
              </w:rPr>
            </w:pPr>
            <w:r>
              <w:rPr>
                <w:b/>
                <w:color w:val="auto"/>
                <w:sz w:val="21"/>
              </w:rPr>
              <w:t>检查依据</w:t>
            </w:r>
          </w:p>
        </w:tc>
        <w:tc>
          <w:tcPr>
            <w:tcW w:w="2128" w:type="dxa"/>
            <w:tcBorders>
              <w:top w:val="single" w:sz="4" w:space="0" w:color="auto"/>
              <w:left w:val="single" w:sz="4" w:space="0" w:color="auto"/>
              <w:bottom w:val="single" w:sz="4" w:space="0" w:color="auto"/>
              <w:right w:val="single" w:sz="4" w:space="0" w:color="auto"/>
            </w:tcBorders>
            <w:vAlign w:val="center"/>
          </w:tcPr>
          <w:p w14:paraId="4B8D7601" w14:textId="77777777" w:rsidR="009219A0" w:rsidRDefault="00000000">
            <w:pPr>
              <w:adjustRightInd/>
              <w:snapToGrid/>
              <w:spacing w:line="240" w:lineRule="auto"/>
              <w:ind w:firstLineChars="0" w:firstLine="0"/>
              <w:jc w:val="center"/>
              <w:rPr>
                <w:b/>
                <w:color w:val="auto"/>
                <w:sz w:val="21"/>
              </w:rPr>
            </w:pPr>
            <w:r>
              <w:rPr>
                <w:b/>
                <w:color w:val="auto"/>
                <w:sz w:val="21"/>
              </w:rPr>
              <w:t>检查记录</w:t>
            </w:r>
          </w:p>
        </w:tc>
        <w:tc>
          <w:tcPr>
            <w:tcW w:w="706" w:type="dxa"/>
            <w:tcBorders>
              <w:top w:val="single" w:sz="4" w:space="0" w:color="auto"/>
              <w:left w:val="single" w:sz="4" w:space="0" w:color="auto"/>
              <w:bottom w:val="single" w:sz="4" w:space="0" w:color="auto"/>
              <w:right w:val="single" w:sz="4" w:space="0" w:color="auto"/>
            </w:tcBorders>
            <w:vAlign w:val="center"/>
          </w:tcPr>
          <w:p w14:paraId="0CF4DF08" w14:textId="77777777" w:rsidR="009219A0" w:rsidRDefault="00000000">
            <w:pPr>
              <w:adjustRightInd/>
              <w:snapToGrid/>
              <w:spacing w:line="240" w:lineRule="auto"/>
              <w:ind w:firstLineChars="0" w:firstLine="0"/>
              <w:jc w:val="center"/>
              <w:rPr>
                <w:b/>
                <w:color w:val="auto"/>
                <w:sz w:val="21"/>
              </w:rPr>
            </w:pPr>
            <w:r>
              <w:rPr>
                <w:b/>
                <w:color w:val="auto"/>
                <w:sz w:val="21"/>
              </w:rPr>
              <w:t>检查结果</w:t>
            </w:r>
          </w:p>
        </w:tc>
      </w:tr>
      <w:tr w:rsidR="009219A0" w14:paraId="2244E1D4" w14:textId="77777777">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14:paraId="53F5F480" w14:textId="77777777" w:rsidR="009219A0" w:rsidRDefault="009219A0">
            <w:pPr>
              <w:numPr>
                <w:ilvl w:val="0"/>
                <w:numId w:val="18"/>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14:paraId="1DB1A4D9" w14:textId="77777777" w:rsidR="009219A0" w:rsidRDefault="00000000">
            <w:pPr>
              <w:adjustRightInd/>
              <w:snapToGrid/>
              <w:spacing w:line="240" w:lineRule="auto"/>
              <w:ind w:firstLineChars="0" w:firstLine="0"/>
              <w:rPr>
                <w:color w:val="auto"/>
                <w:sz w:val="21"/>
                <w:szCs w:val="21"/>
              </w:rPr>
            </w:pPr>
            <w:r>
              <w:rPr>
                <w:color w:val="auto"/>
                <w:sz w:val="21"/>
                <w:szCs w:val="21"/>
              </w:rPr>
              <w:t>生产经营单位新建、改建、扩建工程项目（以下统称建设项目）的安全设施，必须与主体工程同时设计、同时施工、同时投入生产和使用。安全设施投资应当纳入建设项目概算。</w:t>
            </w:r>
          </w:p>
        </w:tc>
        <w:tc>
          <w:tcPr>
            <w:tcW w:w="2410" w:type="dxa"/>
            <w:tcBorders>
              <w:top w:val="single" w:sz="4" w:space="0" w:color="auto"/>
              <w:left w:val="single" w:sz="4" w:space="0" w:color="auto"/>
              <w:bottom w:val="single" w:sz="4" w:space="0" w:color="auto"/>
              <w:right w:val="single" w:sz="4" w:space="0" w:color="auto"/>
            </w:tcBorders>
            <w:vAlign w:val="center"/>
          </w:tcPr>
          <w:p w14:paraId="430DE436" w14:textId="77777777" w:rsidR="009219A0" w:rsidRDefault="00000000">
            <w:pPr>
              <w:adjustRightInd/>
              <w:snapToGrid/>
              <w:spacing w:line="240" w:lineRule="auto"/>
              <w:ind w:firstLineChars="0" w:firstLine="0"/>
              <w:jc w:val="center"/>
              <w:rPr>
                <w:color w:val="auto"/>
                <w:sz w:val="21"/>
                <w:szCs w:val="21"/>
              </w:rPr>
            </w:pPr>
            <w:r>
              <w:rPr>
                <w:rFonts w:hint="eastAsia"/>
                <w:color w:val="auto"/>
                <w:sz w:val="21"/>
                <w:szCs w:val="21"/>
              </w:rPr>
              <w:t>《中华人民共和国安全生产法（</w:t>
            </w:r>
            <w:r>
              <w:rPr>
                <w:rFonts w:hint="eastAsia"/>
                <w:color w:val="auto"/>
                <w:sz w:val="21"/>
                <w:szCs w:val="21"/>
              </w:rPr>
              <w:t>2021</w:t>
            </w:r>
            <w:r>
              <w:rPr>
                <w:rFonts w:hint="eastAsia"/>
                <w:color w:val="auto"/>
                <w:sz w:val="21"/>
                <w:szCs w:val="21"/>
              </w:rPr>
              <w:t>年修订）》（中华人民共和国主席令第八十八号修订后公布，</w:t>
            </w:r>
            <w:r>
              <w:rPr>
                <w:rFonts w:hint="eastAsia"/>
                <w:color w:val="auto"/>
                <w:sz w:val="21"/>
                <w:szCs w:val="21"/>
              </w:rPr>
              <w:t>2021</w:t>
            </w:r>
            <w:r>
              <w:rPr>
                <w:rFonts w:hint="eastAsia"/>
                <w:color w:val="auto"/>
                <w:sz w:val="21"/>
                <w:szCs w:val="21"/>
              </w:rPr>
              <w:t>年</w:t>
            </w:r>
            <w:r>
              <w:rPr>
                <w:rFonts w:hint="eastAsia"/>
                <w:color w:val="auto"/>
                <w:sz w:val="21"/>
                <w:szCs w:val="21"/>
              </w:rPr>
              <w:t>9</w:t>
            </w:r>
            <w:r>
              <w:rPr>
                <w:rFonts w:hint="eastAsia"/>
                <w:color w:val="auto"/>
                <w:sz w:val="21"/>
                <w:szCs w:val="21"/>
              </w:rPr>
              <w:t>月</w:t>
            </w:r>
            <w:r>
              <w:rPr>
                <w:rFonts w:hint="eastAsia"/>
                <w:color w:val="auto"/>
                <w:sz w:val="21"/>
                <w:szCs w:val="21"/>
              </w:rPr>
              <w:t>1</w:t>
            </w:r>
            <w:r>
              <w:rPr>
                <w:rFonts w:hint="eastAsia"/>
                <w:color w:val="auto"/>
                <w:sz w:val="21"/>
                <w:szCs w:val="21"/>
              </w:rPr>
              <w:t>日施行）</w:t>
            </w:r>
            <w:r>
              <w:rPr>
                <w:color w:val="auto"/>
                <w:sz w:val="21"/>
                <w:szCs w:val="21"/>
              </w:rPr>
              <w:t>第三十一条</w:t>
            </w:r>
          </w:p>
        </w:tc>
        <w:tc>
          <w:tcPr>
            <w:tcW w:w="2128" w:type="dxa"/>
            <w:tcBorders>
              <w:top w:val="single" w:sz="4" w:space="0" w:color="auto"/>
              <w:left w:val="single" w:sz="4" w:space="0" w:color="auto"/>
              <w:bottom w:val="single" w:sz="4" w:space="0" w:color="auto"/>
              <w:right w:val="single" w:sz="4" w:space="0" w:color="auto"/>
            </w:tcBorders>
            <w:vAlign w:val="center"/>
          </w:tcPr>
          <w:p w14:paraId="06F8BB1F" w14:textId="77777777" w:rsidR="009219A0" w:rsidRDefault="00000000">
            <w:pPr>
              <w:adjustRightInd/>
              <w:snapToGrid/>
              <w:spacing w:line="240" w:lineRule="auto"/>
              <w:ind w:firstLineChars="0" w:firstLine="0"/>
              <w:rPr>
                <w:color w:val="auto"/>
                <w:sz w:val="21"/>
                <w:szCs w:val="21"/>
              </w:rPr>
            </w:pPr>
            <w:r>
              <w:rPr>
                <w:rFonts w:hint="eastAsia"/>
                <w:snapToGrid w:val="0"/>
                <w:color w:val="auto"/>
                <w:kern w:val="0"/>
                <w:sz w:val="21"/>
                <w:szCs w:val="21"/>
              </w:rPr>
              <w:t>本</w:t>
            </w:r>
            <w:r>
              <w:rPr>
                <w:rFonts w:hint="eastAsia"/>
                <w:color w:val="auto"/>
                <w:sz w:val="21"/>
                <w:szCs w:val="21"/>
              </w:rPr>
              <w:t>项目</w:t>
            </w:r>
            <w:r>
              <w:rPr>
                <w:color w:val="auto"/>
                <w:sz w:val="21"/>
                <w:szCs w:val="21"/>
              </w:rPr>
              <w:t>的安全设施与主体工程基本同时设计、同时施工、同时投入生产和使用。安全设施投资纳入了建设项目概算。</w:t>
            </w:r>
          </w:p>
        </w:tc>
        <w:tc>
          <w:tcPr>
            <w:tcW w:w="706" w:type="dxa"/>
            <w:tcBorders>
              <w:top w:val="single" w:sz="4" w:space="0" w:color="auto"/>
              <w:left w:val="single" w:sz="4" w:space="0" w:color="auto"/>
              <w:bottom w:val="single" w:sz="4" w:space="0" w:color="auto"/>
              <w:right w:val="single" w:sz="4" w:space="0" w:color="auto"/>
            </w:tcBorders>
            <w:vAlign w:val="center"/>
          </w:tcPr>
          <w:p w14:paraId="0F2F3D07" w14:textId="77777777" w:rsidR="009219A0" w:rsidRDefault="00000000">
            <w:pPr>
              <w:adjustRightInd/>
              <w:snapToGrid/>
              <w:spacing w:line="240" w:lineRule="auto"/>
              <w:ind w:firstLineChars="0" w:firstLine="0"/>
              <w:jc w:val="center"/>
              <w:rPr>
                <w:color w:val="auto"/>
                <w:sz w:val="21"/>
                <w:szCs w:val="21"/>
              </w:rPr>
            </w:pPr>
            <w:r>
              <w:rPr>
                <w:color w:val="auto"/>
                <w:sz w:val="21"/>
                <w:szCs w:val="21"/>
              </w:rPr>
              <w:t>符合</w:t>
            </w:r>
          </w:p>
        </w:tc>
      </w:tr>
      <w:tr w:rsidR="009219A0" w14:paraId="65B2CB0E" w14:textId="77777777">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14:paraId="479842E7" w14:textId="77777777" w:rsidR="009219A0" w:rsidRDefault="009219A0">
            <w:pPr>
              <w:numPr>
                <w:ilvl w:val="0"/>
                <w:numId w:val="18"/>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14:paraId="374B7D4C" w14:textId="77777777" w:rsidR="009219A0" w:rsidRDefault="00000000">
            <w:pPr>
              <w:adjustRightInd/>
              <w:snapToGrid/>
              <w:spacing w:line="240" w:lineRule="auto"/>
              <w:ind w:firstLineChars="0" w:firstLine="0"/>
              <w:rPr>
                <w:color w:val="auto"/>
                <w:sz w:val="21"/>
                <w:szCs w:val="21"/>
              </w:rPr>
            </w:pPr>
            <w:r>
              <w:rPr>
                <w:rFonts w:hint="eastAsia"/>
                <w:color w:val="auto"/>
                <w:kern w:val="0"/>
                <w:sz w:val="21"/>
                <w:szCs w:val="21"/>
              </w:rPr>
              <w:t>建设项目安全设施必须与主体工程同时设计、同时施工、同时投入生产和使用（以下简称“三同时”）。</w:t>
            </w:r>
          </w:p>
        </w:tc>
        <w:tc>
          <w:tcPr>
            <w:tcW w:w="2410" w:type="dxa"/>
            <w:tcBorders>
              <w:top w:val="single" w:sz="4" w:space="0" w:color="auto"/>
              <w:left w:val="single" w:sz="4" w:space="0" w:color="auto"/>
              <w:bottom w:val="single" w:sz="4" w:space="0" w:color="auto"/>
              <w:right w:val="single" w:sz="4" w:space="0" w:color="auto"/>
            </w:tcBorders>
            <w:vAlign w:val="center"/>
          </w:tcPr>
          <w:p w14:paraId="66129D3B" w14:textId="77777777" w:rsidR="009219A0" w:rsidRDefault="00000000">
            <w:pPr>
              <w:adjustRightInd/>
              <w:snapToGrid/>
              <w:spacing w:line="240" w:lineRule="auto"/>
              <w:ind w:firstLineChars="0" w:firstLine="0"/>
              <w:jc w:val="center"/>
              <w:rPr>
                <w:color w:val="auto"/>
                <w:sz w:val="21"/>
                <w:szCs w:val="21"/>
              </w:rPr>
            </w:pPr>
            <w:r>
              <w:rPr>
                <w:color w:val="auto"/>
                <w:sz w:val="21"/>
                <w:szCs w:val="21"/>
              </w:rPr>
              <w:t>《建设项目安全设施</w:t>
            </w:r>
            <w:r>
              <w:rPr>
                <w:color w:val="auto"/>
                <w:sz w:val="21"/>
                <w:szCs w:val="21"/>
              </w:rPr>
              <w:t>“</w:t>
            </w:r>
            <w:r>
              <w:rPr>
                <w:color w:val="auto"/>
                <w:sz w:val="21"/>
                <w:szCs w:val="21"/>
              </w:rPr>
              <w:t>三同时</w:t>
            </w:r>
            <w:r>
              <w:rPr>
                <w:color w:val="auto"/>
                <w:sz w:val="21"/>
                <w:szCs w:val="21"/>
              </w:rPr>
              <w:t>”</w:t>
            </w:r>
            <w:r>
              <w:rPr>
                <w:color w:val="auto"/>
                <w:sz w:val="21"/>
                <w:szCs w:val="21"/>
              </w:rPr>
              <w:t>监督管理办法》（</w:t>
            </w:r>
            <w:r>
              <w:rPr>
                <w:bCs/>
                <w:color w:val="auto"/>
                <w:sz w:val="21"/>
                <w:szCs w:val="21"/>
              </w:rPr>
              <w:t>国家安监总局令第</w:t>
            </w:r>
            <w:r>
              <w:rPr>
                <w:bCs/>
                <w:color w:val="auto"/>
                <w:sz w:val="21"/>
                <w:szCs w:val="21"/>
              </w:rPr>
              <w:t>36</w:t>
            </w:r>
            <w:r>
              <w:rPr>
                <w:bCs/>
                <w:color w:val="auto"/>
                <w:sz w:val="21"/>
                <w:szCs w:val="21"/>
              </w:rPr>
              <w:t>号</w:t>
            </w:r>
            <w:r>
              <w:rPr>
                <w:color w:val="auto"/>
                <w:kern w:val="0"/>
                <w:szCs w:val="28"/>
              </w:rPr>
              <w:t>，</w:t>
            </w:r>
            <w:r>
              <w:rPr>
                <w:bCs/>
                <w:color w:val="auto"/>
                <w:sz w:val="21"/>
                <w:szCs w:val="21"/>
              </w:rPr>
              <w:t>国家安监总局令第</w:t>
            </w:r>
            <w:r>
              <w:rPr>
                <w:bCs/>
                <w:color w:val="auto"/>
                <w:sz w:val="21"/>
                <w:szCs w:val="21"/>
              </w:rPr>
              <w:t>77</w:t>
            </w:r>
            <w:r>
              <w:rPr>
                <w:bCs/>
                <w:color w:val="auto"/>
                <w:sz w:val="21"/>
                <w:szCs w:val="21"/>
              </w:rPr>
              <w:t>号修改</w:t>
            </w:r>
            <w:r>
              <w:rPr>
                <w:color w:val="auto"/>
                <w:sz w:val="21"/>
                <w:szCs w:val="21"/>
              </w:rPr>
              <w:t>）第</w:t>
            </w:r>
            <w:r>
              <w:rPr>
                <w:rFonts w:hint="eastAsia"/>
                <w:color w:val="auto"/>
                <w:sz w:val="21"/>
                <w:szCs w:val="21"/>
              </w:rPr>
              <w:t>4</w:t>
            </w:r>
            <w:r>
              <w:rPr>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14:paraId="7326CB5A" w14:textId="77777777" w:rsidR="009219A0" w:rsidRDefault="00000000">
            <w:pPr>
              <w:adjustRightInd/>
              <w:snapToGrid/>
              <w:spacing w:line="240" w:lineRule="auto"/>
              <w:ind w:firstLineChars="0" w:firstLine="0"/>
              <w:rPr>
                <w:color w:val="auto"/>
                <w:sz w:val="21"/>
                <w:szCs w:val="21"/>
              </w:rPr>
            </w:pPr>
            <w:r>
              <w:rPr>
                <w:rFonts w:hint="eastAsia"/>
                <w:snapToGrid w:val="0"/>
                <w:color w:val="auto"/>
                <w:kern w:val="0"/>
                <w:sz w:val="21"/>
                <w:szCs w:val="21"/>
              </w:rPr>
              <w:t>本</w:t>
            </w:r>
            <w:r>
              <w:rPr>
                <w:color w:val="auto"/>
                <w:sz w:val="21"/>
                <w:szCs w:val="21"/>
              </w:rPr>
              <w:t>项目</w:t>
            </w:r>
            <w:r>
              <w:rPr>
                <w:rFonts w:hint="eastAsia"/>
                <w:color w:val="auto"/>
                <w:sz w:val="21"/>
                <w:szCs w:val="21"/>
              </w:rPr>
              <w:t>安全设施与主体工程同时设计、同时施工、同时投入生产和使用。</w:t>
            </w:r>
          </w:p>
        </w:tc>
        <w:tc>
          <w:tcPr>
            <w:tcW w:w="706" w:type="dxa"/>
            <w:tcBorders>
              <w:top w:val="single" w:sz="4" w:space="0" w:color="auto"/>
              <w:left w:val="single" w:sz="4" w:space="0" w:color="auto"/>
              <w:bottom w:val="single" w:sz="4" w:space="0" w:color="auto"/>
              <w:right w:val="single" w:sz="4" w:space="0" w:color="auto"/>
            </w:tcBorders>
            <w:vAlign w:val="center"/>
          </w:tcPr>
          <w:p w14:paraId="3254439E" w14:textId="77777777" w:rsidR="009219A0" w:rsidRDefault="00000000">
            <w:pPr>
              <w:adjustRightInd/>
              <w:snapToGrid/>
              <w:spacing w:line="240" w:lineRule="auto"/>
              <w:ind w:firstLineChars="0" w:firstLine="0"/>
              <w:jc w:val="center"/>
              <w:rPr>
                <w:color w:val="auto"/>
                <w:sz w:val="21"/>
                <w:szCs w:val="21"/>
              </w:rPr>
            </w:pPr>
            <w:r>
              <w:rPr>
                <w:color w:val="auto"/>
                <w:sz w:val="21"/>
                <w:szCs w:val="21"/>
              </w:rPr>
              <w:t>符合</w:t>
            </w:r>
          </w:p>
        </w:tc>
      </w:tr>
      <w:tr w:rsidR="009219A0" w14:paraId="6BCD24A9" w14:textId="77777777">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14:paraId="1724BCF1" w14:textId="77777777" w:rsidR="009219A0" w:rsidRDefault="009219A0">
            <w:pPr>
              <w:numPr>
                <w:ilvl w:val="0"/>
                <w:numId w:val="18"/>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14:paraId="77712FC1" w14:textId="77777777" w:rsidR="009219A0" w:rsidRDefault="00000000">
            <w:pPr>
              <w:adjustRightInd/>
              <w:snapToGrid/>
              <w:spacing w:line="240" w:lineRule="auto"/>
              <w:ind w:firstLineChars="0" w:firstLine="0"/>
              <w:rPr>
                <w:color w:val="auto"/>
                <w:sz w:val="21"/>
                <w:szCs w:val="21"/>
              </w:rPr>
            </w:pPr>
            <w:r>
              <w:rPr>
                <w:rFonts w:hint="eastAsia"/>
                <w:color w:val="auto"/>
                <w:sz w:val="21"/>
                <w:szCs w:val="21"/>
              </w:rPr>
              <w:t>本办法第七条规定以外的其他建设项目，生产经营单位应当对其安全生产条件和设施进行综合分析，形成书面报告备查。</w:t>
            </w:r>
          </w:p>
        </w:tc>
        <w:tc>
          <w:tcPr>
            <w:tcW w:w="2410" w:type="dxa"/>
            <w:tcBorders>
              <w:top w:val="single" w:sz="4" w:space="0" w:color="auto"/>
              <w:left w:val="single" w:sz="4" w:space="0" w:color="auto"/>
              <w:bottom w:val="single" w:sz="4" w:space="0" w:color="auto"/>
              <w:right w:val="single" w:sz="4" w:space="0" w:color="auto"/>
            </w:tcBorders>
            <w:vAlign w:val="center"/>
          </w:tcPr>
          <w:p w14:paraId="4C4206E2" w14:textId="77777777" w:rsidR="009219A0" w:rsidRDefault="00000000">
            <w:pPr>
              <w:adjustRightInd/>
              <w:snapToGrid/>
              <w:spacing w:line="240" w:lineRule="auto"/>
              <w:ind w:firstLineChars="0" w:firstLine="0"/>
              <w:jc w:val="center"/>
              <w:rPr>
                <w:color w:val="auto"/>
                <w:sz w:val="21"/>
                <w:szCs w:val="21"/>
              </w:rPr>
            </w:pPr>
            <w:r>
              <w:rPr>
                <w:rFonts w:hint="eastAsia"/>
                <w:bCs/>
                <w:color w:val="auto"/>
                <w:sz w:val="21"/>
                <w:szCs w:val="21"/>
              </w:rPr>
              <w:t>第</w:t>
            </w:r>
            <w:r>
              <w:rPr>
                <w:rFonts w:hint="eastAsia"/>
                <w:bCs/>
                <w:color w:val="auto"/>
                <w:sz w:val="21"/>
                <w:szCs w:val="21"/>
              </w:rPr>
              <w:t>9</w:t>
            </w:r>
            <w:r>
              <w:rPr>
                <w:rFonts w:hint="eastAsia"/>
                <w:bCs/>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14:paraId="1C0EEB0A" w14:textId="77777777" w:rsidR="009219A0" w:rsidRDefault="00000000">
            <w:pPr>
              <w:adjustRightInd/>
              <w:snapToGrid/>
              <w:spacing w:line="240" w:lineRule="auto"/>
              <w:ind w:firstLineChars="0" w:firstLine="0"/>
              <w:rPr>
                <w:color w:val="auto"/>
                <w:sz w:val="21"/>
                <w:szCs w:val="21"/>
              </w:rPr>
            </w:pPr>
            <w:r>
              <w:rPr>
                <w:rFonts w:hint="eastAsia"/>
                <w:snapToGrid w:val="0"/>
                <w:color w:val="auto"/>
                <w:kern w:val="0"/>
                <w:sz w:val="21"/>
                <w:szCs w:val="21"/>
              </w:rPr>
              <w:t>本</w:t>
            </w:r>
            <w:r>
              <w:rPr>
                <w:snapToGrid w:val="0"/>
                <w:color w:val="auto"/>
                <w:kern w:val="0"/>
                <w:sz w:val="21"/>
                <w:szCs w:val="21"/>
              </w:rPr>
              <w:t>项目属于</w:t>
            </w:r>
            <w:r>
              <w:rPr>
                <w:rFonts w:hint="eastAsia"/>
                <w:snapToGrid w:val="0"/>
                <w:color w:val="auto"/>
                <w:kern w:val="0"/>
                <w:sz w:val="21"/>
                <w:szCs w:val="21"/>
              </w:rPr>
              <w:t>第七条规定以外的其他建设项目，已按要求编制安全生产条件和设施进行综合分析报告，详见附件</w:t>
            </w:r>
            <w:r>
              <w:rPr>
                <w:rFonts w:hint="eastAsia"/>
                <w:snapToGrid w:val="0"/>
                <w:color w:val="auto"/>
                <w:kern w:val="0"/>
                <w:sz w:val="21"/>
                <w:szCs w:val="21"/>
              </w:rPr>
              <w:t>7.5</w:t>
            </w:r>
            <w:r>
              <w:rPr>
                <w:rFonts w:hint="eastAsia"/>
                <w:snapToGrid w:val="0"/>
                <w:color w:val="auto"/>
                <w:kern w:val="0"/>
                <w:sz w:val="21"/>
                <w:szCs w:val="21"/>
              </w:rPr>
              <w:t>。</w:t>
            </w:r>
          </w:p>
        </w:tc>
        <w:tc>
          <w:tcPr>
            <w:tcW w:w="706" w:type="dxa"/>
            <w:tcBorders>
              <w:top w:val="single" w:sz="4" w:space="0" w:color="auto"/>
              <w:left w:val="single" w:sz="4" w:space="0" w:color="auto"/>
              <w:bottom w:val="single" w:sz="4" w:space="0" w:color="auto"/>
              <w:right w:val="single" w:sz="4" w:space="0" w:color="auto"/>
            </w:tcBorders>
            <w:vAlign w:val="center"/>
          </w:tcPr>
          <w:p w14:paraId="035B976F" w14:textId="77777777" w:rsidR="009219A0" w:rsidRDefault="00000000">
            <w:pPr>
              <w:adjustRightInd/>
              <w:snapToGrid/>
              <w:spacing w:line="240" w:lineRule="auto"/>
              <w:ind w:firstLineChars="0" w:firstLine="0"/>
              <w:jc w:val="center"/>
              <w:rPr>
                <w:color w:val="auto"/>
                <w:sz w:val="21"/>
                <w:szCs w:val="21"/>
              </w:rPr>
            </w:pPr>
            <w:r>
              <w:rPr>
                <w:color w:val="auto"/>
                <w:sz w:val="21"/>
                <w:szCs w:val="21"/>
              </w:rPr>
              <w:t>符合</w:t>
            </w:r>
          </w:p>
        </w:tc>
      </w:tr>
      <w:tr w:rsidR="009219A0" w14:paraId="3DE5A31D" w14:textId="77777777">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14:paraId="38044F19" w14:textId="77777777" w:rsidR="009219A0" w:rsidRDefault="009219A0">
            <w:pPr>
              <w:numPr>
                <w:ilvl w:val="0"/>
                <w:numId w:val="18"/>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14:paraId="185B348C" w14:textId="77777777" w:rsidR="009219A0" w:rsidRDefault="00000000">
            <w:pPr>
              <w:adjustRightInd/>
              <w:snapToGrid/>
              <w:spacing w:line="240" w:lineRule="auto"/>
              <w:ind w:firstLineChars="0" w:firstLine="0"/>
              <w:jc w:val="left"/>
              <w:rPr>
                <w:color w:val="auto"/>
                <w:sz w:val="21"/>
                <w:szCs w:val="21"/>
              </w:rPr>
            </w:pPr>
            <w:r>
              <w:rPr>
                <w:rFonts w:hint="eastAsia"/>
                <w:bCs/>
                <w:color w:val="auto"/>
                <w:sz w:val="21"/>
                <w:szCs w:val="21"/>
              </w:rPr>
              <w:t>生产经营单位在建设项目初步设计时，应当委托有相应资质的初步设计单位对建设项目安全设施同时进行设计，编制安全设施设计。</w:t>
            </w:r>
          </w:p>
        </w:tc>
        <w:tc>
          <w:tcPr>
            <w:tcW w:w="2410" w:type="dxa"/>
            <w:tcBorders>
              <w:top w:val="single" w:sz="4" w:space="0" w:color="auto"/>
              <w:left w:val="single" w:sz="4" w:space="0" w:color="auto"/>
              <w:bottom w:val="single" w:sz="4" w:space="0" w:color="auto"/>
              <w:right w:val="single" w:sz="4" w:space="0" w:color="auto"/>
            </w:tcBorders>
            <w:vAlign w:val="center"/>
          </w:tcPr>
          <w:p w14:paraId="7DFB96C1" w14:textId="77777777" w:rsidR="009219A0" w:rsidRDefault="00000000">
            <w:pPr>
              <w:adjustRightInd/>
              <w:snapToGrid/>
              <w:spacing w:line="240" w:lineRule="auto"/>
              <w:ind w:firstLineChars="0" w:firstLine="0"/>
              <w:jc w:val="center"/>
              <w:rPr>
                <w:color w:val="auto"/>
                <w:sz w:val="21"/>
                <w:szCs w:val="21"/>
              </w:rPr>
            </w:pPr>
            <w:r>
              <w:rPr>
                <w:rFonts w:hint="eastAsia"/>
                <w:bCs/>
                <w:color w:val="auto"/>
                <w:sz w:val="21"/>
                <w:szCs w:val="21"/>
              </w:rPr>
              <w:t>第</w:t>
            </w:r>
            <w:r>
              <w:rPr>
                <w:rFonts w:hint="eastAsia"/>
                <w:bCs/>
                <w:color w:val="auto"/>
                <w:sz w:val="21"/>
                <w:szCs w:val="21"/>
              </w:rPr>
              <w:t>10</w:t>
            </w:r>
            <w:r>
              <w:rPr>
                <w:rFonts w:hint="eastAsia"/>
                <w:bCs/>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14:paraId="37D35749" w14:textId="77777777" w:rsidR="009219A0" w:rsidRDefault="00000000">
            <w:pPr>
              <w:adjustRightInd/>
              <w:snapToGrid/>
              <w:spacing w:line="240" w:lineRule="auto"/>
              <w:ind w:firstLineChars="0" w:firstLine="0"/>
              <w:rPr>
                <w:color w:val="auto"/>
                <w:sz w:val="21"/>
                <w:szCs w:val="21"/>
              </w:rPr>
            </w:pPr>
            <w:r>
              <w:rPr>
                <w:rFonts w:hint="eastAsia"/>
                <w:snapToGrid w:val="0"/>
                <w:color w:val="auto"/>
                <w:kern w:val="0"/>
                <w:sz w:val="21"/>
                <w:szCs w:val="21"/>
              </w:rPr>
              <w:t>本</w:t>
            </w:r>
            <w:r>
              <w:rPr>
                <w:rFonts w:hint="eastAsia"/>
                <w:color w:val="auto"/>
                <w:sz w:val="21"/>
                <w:szCs w:val="21"/>
              </w:rPr>
              <w:t>项目按要求委托黑龙江龙维化学工程设计有限公司编制了</w:t>
            </w:r>
            <w:r>
              <w:rPr>
                <w:color w:val="auto"/>
                <w:sz w:val="21"/>
                <w:szCs w:val="21"/>
              </w:rPr>
              <w:t>安全设施设计</w:t>
            </w:r>
            <w:r>
              <w:rPr>
                <w:rFonts w:hint="eastAsia"/>
                <w:color w:val="auto"/>
                <w:sz w:val="21"/>
                <w:szCs w:val="21"/>
              </w:rPr>
              <w:t>，并通过项目审查。</w:t>
            </w:r>
          </w:p>
        </w:tc>
        <w:tc>
          <w:tcPr>
            <w:tcW w:w="706" w:type="dxa"/>
            <w:tcBorders>
              <w:top w:val="single" w:sz="4" w:space="0" w:color="auto"/>
              <w:left w:val="single" w:sz="4" w:space="0" w:color="auto"/>
              <w:bottom w:val="single" w:sz="4" w:space="0" w:color="auto"/>
              <w:right w:val="single" w:sz="4" w:space="0" w:color="auto"/>
            </w:tcBorders>
            <w:vAlign w:val="center"/>
          </w:tcPr>
          <w:p w14:paraId="41C85806" w14:textId="77777777" w:rsidR="009219A0" w:rsidRDefault="00000000">
            <w:pPr>
              <w:adjustRightInd/>
              <w:snapToGrid/>
              <w:spacing w:line="240" w:lineRule="auto"/>
              <w:ind w:firstLineChars="0" w:firstLine="0"/>
              <w:jc w:val="center"/>
              <w:rPr>
                <w:color w:val="auto"/>
                <w:sz w:val="21"/>
                <w:szCs w:val="21"/>
              </w:rPr>
            </w:pPr>
            <w:r>
              <w:rPr>
                <w:color w:val="auto"/>
                <w:sz w:val="21"/>
                <w:szCs w:val="21"/>
              </w:rPr>
              <w:t>符合</w:t>
            </w:r>
          </w:p>
        </w:tc>
      </w:tr>
      <w:tr w:rsidR="009219A0" w14:paraId="4FC1A5A4" w14:textId="77777777">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14:paraId="2DAF6D92" w14:textId="77777777" w:rsidR="009219A0" w:rsidRDefault="009219A0">
            <w:pPr>
              <w:numPr>
                <w:ilvl w:val="0"/>
                <w:numId w:val="18"/>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14:paraId="3E0B524E" w14:textId="77777777" w:rsidR="009219A0" w:rsidRDefault="00000000">
            <w:pPr>
              <w:adjustRightInd/>
              <w:snapToGrid/>
              <w:spacing w:line="240" w:lineRule="auto"/>
              <w:ind w:firstLineChars="0" w:firstLine="0"/>
              <w:rPr>
                <w:color w:val="auto"/>
                <w:sz w:val="21"/>
                <w:szCs w:val="21"/>
              </w:rPr>
            </w:pPr>
            <w:r>
              <w:rPr>
                <w:rFonts w:hint="eastAsia"/>
                <w:color w:val="auto"/>
                <w:sz w:val="21"/>
                <w:szCs w:val="21"/>
              </w:rPr>
              <w:t>本办法第七条第一项、第二项、第三项和第四项规定以外的建设项目安全设施设计，由生产经营单位组织审查，形成书面报告备查。</w:t>
            </w:r>
          </w:p>
        </w:tc>
        <w:tc>
          <w:tcPr>
            <w:tcW w:w="2410" w:type="dxa"/>
            <w:tcBorders>
              <w:top w:val="single" w:sz="4" w:space="0" w:color="auto"/>
              <w:left w:val="single" w:sz="4" w:space="0" w:color="auto"/>
              <w:bottom w:val="single" w:sz="4" w:space="0" w:color="auto"/>
              <w:right w:val="single" w:sz="4" w:space="0" w:color="auto"/>
            </w:tcBorders>
            <w:vAlign w:val="center"/>
          </w:tcPr>
          <w:p w14:paraId="53615320" w14:textId="77777777" w:rsidR="009219A0" w:rsidRDefault="00000000">
            <w:pPr>
              <w:adjustRightInd/>
              <w:snapToGrid/>
              <w:spacing w:line="240" w:lineRule="auto"/>
              <w:ind w:firstLineChars="0" w:firstLine="0"/>
              <w:jc w:val="center"/>
              <w:rPr>
                <w:color w:val="auto"/>
                <w:sz w:val="21"/>
                <w:szCs w:val="21"/>
              </w:rPr>
            </w:pPr>
            <w:r>
              <w:rPr>
                <w:rFonts w:hint="eastAsia"/>
                <w:bCs/>
                <w:color w:val="auto"/>
                <w:sz w:val="21"/>
                <w:szCs w:val="21"/>
              </w:rPr>
              <w:t>第</w:t>
            </w:r>
            <w:r>
              <w:rPr>
                <w:rFonts w:hint="eastAsia"/>
                <w:bCs/>
                <w:color w:val="auto"/>
                <w:sz w:val="21"/>
                <w:szCs w:val="21"/>
              </w:rPr>
              <w:t>16</w:t>
            </w:r>
            <w:r>
              <w:rPr>
                <w:rFonts w:hint="eastAsia"/>
                <w:bCs/>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14:paraId="57BED5D4" w14:textId="77777777" w:rsidR="009219A0" w:rsidRDefault="00000000">
            <w:pPr>
              <w:adjustRightInd/>
              <w:snapToGrid/>
              <w:spacing w:line="240" w:lineRule="auto"/>
              <w:ind w:firstLineChars="0" w:firstLine="0"/>
              <w:rPr>
                <w:color w:val="auto"/>
                <w:sz w:val="21"/>
                <w:szCs w:val="21"/>
              </w:rPr>
            </w:pPr>
            <w:r>
              <w:rPr>
                <w:rFonts w:hint="eastAsia"/>
                <w:color w:val="auto"/>
                <w:sz w:val="21"/>
                <w:szCs w:val="21"/>
              </w:rPr>
              <w:t>本项目</w:t>
            </w:r>
            <w:r>
              <w:rPr>
                <w:color w:val="auto"/>
                <w:sz w:val="21"/>
                <w:szCs w:val="21"/>
              </w:rPr>
              <w:t>按相关要求委托</w:t>
            </w:r>
            <w:r>
              <w:rPr>
                <w:rFonts w:hint="eastAsia"/>
                <w:color w:val="auto"/>
                <w:sz w:val="21"/>
                <w:szCs w:val="21"/>
              </w:rPr>
              <w:t>黑龙江龙维化学工程设计有限公司</w:t>
            </w:r>
            <w:r>
              <w:rPr>
                <w:color w:val="auto"/>
                <w:sz w:val="21"/>
                <w:szCs w:val="21"/>
              </w:rPr>
              <w:t>编制了安全设施设计，</w:t>
            </w:r>
            <w:r>
              <w:rPr>
                <w:rFonts w:hint="eastAsia"/>
                <w:color w:val="auto"/>
                <w:sz w:val="21"/>
                <w:szCs w:val="21"/>
              </w:rPr>
              <w:t>并通过专家审查。</w:t>
            </w:r>
          </w:p>
        </w:tc>
        <w:tc>
          <w:tcPr>
            <w:tcW w:w="706" w:type="dxa"/>
            <w:tcBorders>
              <w:top w:val="single" w:sz="4" w:space="0" w:color="auto"/>
              <w:left w:val="single" w:sz="4" w:space="0" w:color="auto"/>
              <w:bottom w:val="single" w:sz="4" w:space="0" w:color="auto"/>
              <w:right w:val="single" w:sz="4" w:space="0" w:color="auto"/>
            </w:tcBorders>
            <w:vAlign w:val="center"/>
          </w:tcPr>
          <w:p w14:paraId="4F1E12BC" w14:textId="77777777" w:rsidR="009219A0" w:rsidRDefault="00000000">
            <w:pPr>
              <w:adjustRightInd/>
              <w:snapToGrid/>
              <w:spacing w:line="240" w:lineRule="auto"/>
              <w:ind w:firstLineChars="0" w:firstLine="0"/>
              <w:jc w:val="center"/>
              <w:rPr>
                <w:color w:val="auto"/>
                <w:sz w:val="21"/>
                <w:szCs w:val="21"/>
              </w:rPr>
            </w:pPr>
            <w:r>
              <w:rPr>
                <w:color w:val="auto"/>
                <w:sz w:val="21"/>
                <w:szCs w:val="21"/>
              </w:rPr>
              <w:t>符合</w:t>
            </w:r>
          </w:p>
        </w:tc>
      </w:tr>
      <w:tr w:rsidR="009219A0" w14:paraId="7D48F7FD" w14:textId="77777777">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14:paraId="52FC5B45" w14:textId="77777777" w:rsidR="009219A0" w:rsidRDefault="009219A0">
            <w:pPr>
              <w:numPr>
                <w:ilvl w:val="0"/>
                <w:numId w:val="18"/>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14:paraId="364645FA" w14:textId="77777777" w:rsidR="009219A0" w:rsidRDefault="00000000">
            <w:pPr>
              <w:adjustRightInd/>
              <w:snapToGrid/>
              <w:spacing w:line="240" w:lineRule="auto"/>
              <w:ind w:firstLineChars="0" w:firstLine="0"/>
              <w:rPr>
                <w:color w:val="auto"/>
                <w:sz w:val="21"/>
                <w:szCs w:val="21"/>
              </w:rPr>
            </w:pPr>
            <w:r>
              <w:rPr>
                <w:rFonts w:hint="eastAsia"/>
                <w:color w:val="auto"/>
                <w:sz w:val="21"/>
                <w:szCs w:val="21"/>
              </w:rPr>
              <w:t>建设项目安全设施的施工应当由取得相应资质的施工单位进行，并与建设项目主体工程同时施工。</w:t>
            </w:r>
          </w:p>
        </w:tc>
        <w:tc>
          <w:tcPr>
            <w:tcW w:w="2410" w:type="dxa"/>
            <w:tcBorders>
              <w:top w:val="single" w:sz="4" w:space="0" w:color="auto"/>
              <w:left w:val="single" w:sz="4" w:space="0" w:color="auto"/>
              <w:bottom w:val="single" w:sz="4" w:space="0" w:color="auto"/>
              <w:right w:val="single" w:sz="4" w:space="0" w:color="auto"/>
            </w:tcBorders>
            <w:vAlign w:val="center"/>
          </w:tcPr>
          <w:p w14:paraId="40F74E7A" w14:textId="77777777" w:rsidR="009219A0" w:rsidRDefault="00000000">
            <w:pPr>
              <w:adjustRightInd/>
              <w:snapToGrid/>
              <w:spacing w:line="240" w:lineRule="auto"/>
              <w:ind w:firstLineChars="0" w:firstLine="0"/>
              <w:jc w:val="center"/>
              <w:rPr>
                <w:color w:val="auto"/>
                <w:sz w:val="21"/>
                <w:szCs w:val="21"/>
              </w:rPr>
            </w:pPr>
            <w:r>
              <w:rPr>
                <w:rFonts w:hint="eastAsia"/>
                <w:bCs/>
                <w:color w:val="auto"/>
                <w:sz w:val="21"/>
                <w:szCs w:val="21"/>
              </w:rPr>
              <w:t>第</w:t>
            </w:r>
            <w:r>
              <w:rPr>
                <w:rFonts w:hint="eastAsia"/>
                <w:bCs/>
                <w:color w:val="auto"/>
                <w:sz w:val="21"/>
                <w:szCs w:val="21"/>
              </w:rPr>
              <w:t>17</w:t>
            </w:r>
            <w:r>
              <w:rPr>
                <w:rFonts w:hint="eastAsia"/>
                <w:bCs/>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14:paraId="6A8A832C" w14:textId="77777777" w:rsidR="009219A0" w:rsidRDefault="00000000">
            <w:pPr>
              <w:adjustRightInd/>
              <w:snapToGrid/>
              <w:spacing w:line="240" w:lineRule="auto"/>
              <w:ind w:firstLineChars="0" w:firstLine="0"/>
              <w:rPr>
                <w:color w:val="auto"/>
                <w:sz w:val="21"/>
                <w:szCs w:val="21"/>
              </w:rPr>
            </w:pPr>
            <w:r>
              <w:rPr>
                <w:color w:val="auto"/>
                <w:sz w:val="21"/>
                <w:szCs w:val="21"/>
              </w:rPr>
              <w:t>项目</w:t>
            </w:r>
            <w:r>
              <w:rPr>
                <w:rFonts w:hint="eastAsia"/>
                <w:color w:val="auto"/>
                <w:sz w:val="21"/>
                <w:szCs w:val="21"/>
              </w:rPr>
              <w:t>安全设施</w:t>
            </w:r>
            <w:r>
              <w:rPr>
                <w:color w:val="auto"/>
                <w:sz w:val="21"/>
                <w:szCs w:val="21"/>
              </w:rPr>
              <w:t>施工由</w:t>
            </w:r>
            <w:r>
              <w:rPr>
                <w:rFonts w:hint="eastAsia"/>
                <w:color w:val="auto"/>
                <w:sz w:val="21"/>
                <w:szCs w:val="21"/>
              </w:rPr>
              <w:t>云南融升建设工程有限公司</w:t>
            </w:r>
            <w:r>
              <w:rPr>
                <w:color w:val="auto"/>
                <w:sz w:val="21"/>
                <w:szCs w:val="21"/>
              </w:rPr>
              <w:t>进行施工，有相应资质。</w:t>
            </w:r>
          </w:p>
        </w:tc>
        <w:tc>
          <w:tcPr>
            <w:tcW w:w="706" w:type="dxa"/>
            <w:tcBorders>
              <w:top w:val="single" w:sz="4" w:space="0" w:color="auto"/>
              <w:left w:val="single" w:sz="4" w:space="0" w:color="auto"/>
              <w:bottom w:val="single" w:sz="4" w:space="0" w:color="auto"/>
              <w:right w:val="single" w:sz="4" w:space="0" w:color="auto"/>
            </w:tcBorders>
            <w:vAlign w:val="center"/>
          </w:tcPr>
          <w:p w14:paraId="5ED71B8E" w14:textId="77777777" w:rsidR="009219A0" w:rsidRDefault="00000000">
            <w:pPr>
              <w:adjustRightInd/>
              <w:snapToGrid/>
              <w:spacing w:line="240" w:lineRule="auto"/>
              <w:ind w:firstLineChars="0" w:firstLine="0"/>
              <w:jc w:val="center"/>
              <w:rPr>
                <w:color w:val="auto"/>
                <w:sz w:val="21"/>
                <w:szCs w:val="21"/>
              </w:rPr>
            </w:pPr>
            <w:r>
              <w:rPr>
                <w:color w:val="auto"/>
                <w:sz w:val="21"/>
                <w:szCs w:val="21"/>
              </w:rPr>
              <w:t>符合</w:t>
            </w:r>
          </w:p>
        </w:tc>
      </w:tr>
      <w:tr w:rsidR="009219A0" w14:paraId="09090A11" w14:textId="77777777">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14:paraId="735EAA34" w14:textId="77777777" w:rsidR="009219A0" w:rsidRDefault="009219A0">
            <w:pPr>
              <w:numPr>
                <w:ilvl w:val="0"/>
                <w:numId w:val="18"/>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14:paraId="11B4927E" w14:textId="77777777" w:rsidR="009219A0" w:rsidRDefault="00000000">
            <w:pPr>
              <w:adjustRightInd/>
              <w:snapToGrid/>
              <w:spacing w:line="240" w:lineRule="auto"/>
              <w:ind w:firstLineChars="0" w:firstLine="0"/>
              <w:rPr>
                <w:color w:val="auto"/>
                <w:sz w:val="21"/>
                <w:szCs w:val="21"/>
              </w:rPr>
            </w:pPr>
            <w:r>
              <w:rPr>
                <w:rFonts w:hint="eastAsia"/>
                <w:color w:val="auto"/>
                <w:sz w:val="21"/>
                <w:szCs w:val="21"/>
              </w:rPr>
              <w:t>工程监理单位应当审查施工组织设计中的安全技术措施或者专项施工方案是否符合工程建设强制性标准。</w:t>
            </w:r>
          </w:p>
        </w:tc>
        <w:tc>
          <w:tcPr>
            <w:tcW w:w="2410" w:type="dxa"/>
            <w:tcBorders>
              <w:top w:val="single" w:sz="4" w:space="0" w:color="auto"/>
              <w:left w:val="single" w:sz="4" w:space="0" w:color="auto"/>
              <w:bottom w:val="single" w:sz="4" w:space="0" w:color="auto"/>
              <w:right w:val="single" w:sz="4" w:space="0" w:color="auto"/>
            </w:tcBorders>
            <w:vAlign w:val="center"/>
          </w:tcPr>
          <w:p w14:paraId="57649A27" w14:textId="77777777" w:rsidR="009219A0" w:rsidRDefault="00000000">
            <w:pPr>
              <w:adjustRightInd/>
              <w:snapToGrid/>
              <w:spacing w:line="240" w:lineRule="auto"/>
              <w:ind w:firstLineChars="0" w:firstLine="0"/>
              <w:jc w:val="center"/>
              <w:rPr>
                <w:color w:val="auto"/>
                <w:sz w:val="21"/>
                <w:szCs w:val="21"/>
              </w:rPr>
            </w:pPr>
            <w:r>
              <w:rPr>
                <w:rFonts w:hint="eastAsia"/>
                <w:bCs/>
                <w:color w:val="auto"/>
                <w:sz w:val="21"/>
                <w:szCs w:val="21"/>
              </w:rPr>
              <w:t>第</w:t>
            </w:r>
            <w:r>
              <w:rPr>
                <w:rFonts w:hint="eastAsia"/>
                <w:bCs/>
                <w:color w:val="auto"/>
                <w:sz w:val="21"/>
                <w:szCs w:val="21"/>
              </w:rPr>
              <w:t>19</w:t>
            </w:r>
            <w:r>
              <w:rPr>
                <w:rFonts w:hint="eastAsia"/>
                <w:bCs/>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14:paraId="497AB4B7" w14:textId="77777777" w:rsidR="009219A0" w:rsidRDefault="00000000">
            <w:pPr>
              <w:adjustRightInd/>
              <w:snapToGrid/>
              <w:spacing w:line="240" w:lineRule="auto"/>
              <w:ind w:firstLineChars="0" w:firstLine="0"/>
              <w:rPr>
                <w:color w:val="auto"/>
                <w:sz w:val="21"/>
                <w:szCs w:val="21"/>
              </w:rPr>
            </w:pPr>
            <w:r>
              <w:rPr>
                <w:rFonts w:hint="eastAsia"/>
                <w:color w:val="auto"/>
                <w:sz w:val="21"/>
                <w:szCs w:val="21"/>
              </w:rPr>
              <w:t>本项目规模较小由企业</w:t>
            </w:r>
            <w:r>
              <w:rPr>
                <w:color w:val="auto"/>
                <w:sz w:val="21"/>
                <w:szCs w:val="21"/>
              </w:rPr>
              <w:t>进行监理</w:t>
            </w:r>
            <w:r>
              <w:rPr>
                <w:rFonts w:hint="eastAsia"/>
                <w:color w:val="auto"/>
                <w:sz w:val="21"/>
                <w:szCs w:val="21"/>
              </w:rPr>
              <w:t>，施工方案符合相关要求。</w:t>
            </w:r>
          </w:p>
        </w:tc>
        <w:tc>
          <w:tcPr>
            <w:tcW w:w="706" w:type="dxa"/>
            <w:tcBorders>
              <w:top w:val="single" w:sz="4" w:space="0" w:color="auto"/>
              <w:left w:val="single" w:sz="4" w:space="0" w:color="auto"/>
              <w:bottom w:val="single" w:sz="4" w:space="0" w:color="auto"/>
              <w:right w:val="single" w:sz="4" w:space="0" w:color="auto"/>
            </w:tcBorders>
            <w:vAlign w:val="center"/>
          </w:tcPr>
          <w:p w14:paraId="0373B590" w14:textId="77777777" w:rsidR="009219A0" w:rsidRDefault="00000000">
            <w:pPr>
              <w:adjustRightInd/>
              <w:snapToGrid/>
              <w:spacing w:line="240" w:lineRule="auto"/>
              <w:ind w:firstLineChars="0" w:firstLine="0"/>
              <w:jc w:val="center"/>
              <w:rPr>
                <w:color w:val="auto"/>
                <w:sz w:val="21"/>
                <w:szCs w:val="21"/>
              </w:rPr>
            </w:pPr>
            <w:r>
              <w:rPr>
                <w:color w:val="auto"/>
                <w:sz w:val="21"/>
                <w:szCs w:val="21"/>
              </w:rPr>
              <w:t>符合</w:t>
            </w:r>
          </w:p>
        </w:tc>
      </w:tr>
      <w:tr w:rsidR="009219A0" w14:paraId="08723BFE" w14:textId="77777777">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14:paraId="3AD3DCDB" w14:textId="77777777" w:rsidR="009219A0" w:rsidRDefault="009219A0">
            <w:pPr>
              <w:numPr>
                <w:ilvl w:val="0"/>
                <w:numId w:val="18"/>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14:paraId="6CCC9D9D" w14:textId="77777777" w:rsidR="009219A0" w:rsidRDefault="00000000">
            <w:pPr>
              <w:adjustRightInd/>
              <w:snapToGrid/>
              <w:spacing w:line="240" w:lineRule="auto"/>
              <w:ind w:firstLineChars="0" w:firstLine="0"/>
              <w:rPr>
                <w:color w:val="auto"/>
                <w:sz w:val="21"/>
                <w:szCs w:val="21"/>
              </w:rPr>
            </w:pPr>
            <w:r>
              <w:rPr>
                <w:rFonts w:hint="eastAsia"/>
                <w:color w:val="auto"/>
                <w:sz w:val="21"/>
                <w:szCs w:val="21"/>
              </w:rPr>
              <w:t>建设项目竣工投入生产或者使用前，生产经营单位应当组织对安全设施进行竣工验收，并形成书面报告备查。安全设施竣工验收合格后，方可投入生产和使用。</w:t>
            </w:r>
          </w:p>
        </w:tc>
        <w:tc>
          <w:tcPr>
            <w:tcW w:w="2410" w:type="dxa"/>
            <w:tcBorders>
              <w:top w:val="single" w:sz="4" w:space="0" w:color="auto"/>
              <w:left w:val="single" w:sz="4" w:space="0" w:color="auto"/>
              <w:bottom w:val="single" w:sz="4" w:space="0" w:color="auto"/>
              <w:right w:val="single" w:sz="4" w:space="0" w:color="auto"/>
            </w:tcBorders>
            <w:vAlign w:val="center"/>
          </w:tcPr>
          <w:p w14:paraId="00C78AFF" w14:textId="77777777" w:rsidR="009219A0" w:rsidRDefault="00000000">
            <w:pPr>
              <w:adjustRightInd/>
              <w:snapToGrid/>
              <w:spacing w:line="240" w:lineRule="auto"/>
              <w:ind w:firstLineChars="0" w:firstLine="0"/>
              <w:jc w:val="center"/>
              <w:rPr>
                <w:bCs/>
                <w:color w:val="auto"/>
                <w:sz w:val="21"/>
                <w:szCs w:val="21"/>
              </w:rPr>
            </w:pPr>
            <w:r>
              <w:rPr>
                <w:rFonts w:hint="eastAsia"/>
                <w:bCs/>
                <w:color w:val="auto"/>
                <w:sz w:val="21"/>
                <w:szCs w:val="21"/>
              </w:rPr>
              <w:t>第</w:t>
            </w:r>
            <w:r>
              <w:rPr>
                <w:rFonts w:hint="eastAsia"/>
                <w:bCs/>
                <w:color w:val="auto"/>
                <w:sz w:val="21"/>
                <w:szCs w:val="21"/>
              </w:rPr>
              <w:t>23</w:t>
            </w:r>
            <w:r>
              <w:rPr>
                <w:rFonts w:hint="eastAsia"/>
                <w:bCs/>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14:paraId="022C0EF7" w14:textId="77777777" w:rsidR="009219A0" w:rsidRDefault="00000000">
            <w:pPr>
              <w:adjustRightInd/>
              <w:snapToGrid/>
              <w:spacing w:line="240" w:lineRule="auto"/>
              <w:ind w:firstLineChars="0" w:firstLine="0"/>
              <w:rPr>
                <w:color w:val="auto"/>
                <w:sz w:val="21"/>
                <w:szCs w:val="21"/>
              </w:rPr>
            </w:pPr>
            <w:r>
              <w:rPr>
                <w:rFonts w:hint="eastAsia"/>
                <w:color w:val="auto"/>
                <w:sz w:val="21"/>
                <w:szCs w:val="21"/>
              </w:rPr>
              <w:t>本项目</w:t>
            </w:r>
            <w:r>
              <w:rPr>
                <w:color w:val="auto"/>
                <w:sz w:val="21"/>
                <w:szCs w:val="21"/>
              </w:rPr>
              <w:t>委托</w:t>
            </w:r>
            <w:r>
              <w:rPr>
                <w:rFonts w:hint="eastAsia"/>
                <w:color w:val="auto"/>
                <w:sz w:val="21"/>
                <w:szCs w:val="21"/>
              </w:rPr>
              <w:t>昭通市</w:t>
            </w:r>
            <w:proofErr w:type="gramStart"/>
            <w:r>
              <w:rPr>
                <w:rFonts w:hint="eastAsia"/>
                <w:color w:val="auto"/>
                <w:sz w:val="21"/>
                <w:szCs w:val="21"/>
              </w:rPr>
              <w:t>鼎安科技</w:t>
            </w:r>
            <w:proofErr w:type="gramEnd"/>
            <w:r>
              <w:rPr>
                <w:rFonts w:hint="eastAsia"/>
                <w:color w:val="auto"/>
                <w:sz w:val="21"/>
                <w:szCs w:val="21"/>
              </w:rPr>
              <w:t>有限公司</w:t>
            </w:r>
            <w:r>
              <w:rPr>
                <w:color w:val="auto"/>
                <w:sz w:val="21"/>
                <w:szCs w:val="21"/>
              </w:rPr>
              <w:t>进行安全验收评价。</w:t>
            </w:r>
          </w:p>
        </w:tc>
        <w:tc>
          <w:tcPr>
            <w:tcW w:w="706" w:type="dxa"/>
            <w:tcBorders>
              <w:top w:val="single" w:sz="4" w:space="0" w:color="auto"/>
              <w:left w:val="single" w:sz="4" w:space="0" w:color="auto"/>
              <w:bottom w:val="single" w:sz="4" w:space="0" w:color="auto"/>
              <w:right w:val="single" w:sz="4" w:space="0" w:color="auto"/>
            </w:tcBorders>
            <w:vAlign w:val="center"/>
          </w:tcPr>
          <w:p w14:paraId="6F46C14B" w14:textId="77777777" w:rsidR="009219A0" w:rsidRDefault="00000000">
            <w:pPr>
              <w:adjustRightInd/>
              <w:snapToGrid/>
              <w:spacing w:line="240" w:lineRule="auto"/>
              <w:ind w:firstLineChars="0" w:firstLine="0"/>
              <w:jc w:val="center"/>
              <w:rPr>
                <w:color w:val="auto"/>
                <w:sz w:val="21"/>
                <w:szCs w:val="21"/>
              </w:rPr>
            </w:pPr>
            <w:r>
              <w:rPr>
                <w:color w:val="auto"/>
                <w:sz w:val="21"/>
                <w:szCs w:val="21"/>
              </w:rPr>
              <w:t>符合</w:t>
            </w:r>
          </w:p>
        </w:tc>
      </w:tr>
    </w:tbl>
    <w:p w14:paraId="21742D0F" w14:textId="77777777" w:rsidR="009219A0" w:rsidRDefault="009219A0">
      <w:pPr>
        <w:ind w:firstLine="560"/>
        <w:rPr>
          <w:color w:val="auto"/>
          <w:lang w:val="zh-CN"/>
        </w:rPr>
      </w:pPr>
    </w:p>
    <w:p w14:paraId="00F14B41" w14:textId="77777777" w:rsidR="009219A0" w:rsidRDefault="00000000">
      <w:pPr>
        <w:pStyle w:val="2"/>
        <w:rPr>
          <w:rFonts w:hint="eastAsia"/>
        </w:rPr>
      </w:pPr>
      <w:bookmarkStart w:id="301" w:name="_Toc165281487"/>
      <w:bookmarkStart w:id="302" w:name="_Toc211950518"/>
      <w:r>
        <w:rPr>
          <w:rFonts w:hint="eastAsia"/>
        </w:rPr>
        <w:t>4.2 安全对策措施落实情况分析评价</w:t>
      </w:r>
      <w:bookmarkEnd w:id="301"/>
      <w:bookmarkEnd w:id="302"/>
    </w:p>
    <w:p w14:paraId="43E0B5EF" w14:textId="77777777" w:rsidR="009219A0" w:rsidRDefault="00000000">
      <w:pPr>
        <w:ind w:firstLine="560"/>
        <w:rPr>
          <w:color w:val="auto"/>
        </w:rPr>
      </w:pPr>
      <w:r>
        <w:rPr>
          <w:rFonts w:hint="eastAsia"/>
          <w:color w:val="auto"/>
        </w:rPr>
        <w:t>根据个旧</w:t>
      </w:r>
      <w:proofErr w:type="gramStart"/>
      <w:r>
        <w:rPr>
          <w:rFonts w:hint="eastAsia"/>
          <w:color w:val="auto"/>
        </w:rPr>
        <w:t>市创源科技</w:t>
      </w:r>
      <w:proofErr w:type="gramEnd"/>
      <w:r>
        <w:rPr>
          <w:rFonts w:hint="eastAsia"/>
          <w:color w:val="auto"/>
        </w:rPr>
        <w:t>有限公司《个旧市创源科技有限公司新建实验与研究开发中心及实验基地工程建设项目安全设施设计》第六章，编制了安全设施设计符合性检查表对建设项目的安全设施进行检查，具体见表</w:t>
      </w:r>
      <w:r>
        <w:rPr>
          <w:rFonts w:hint="eastAsia"/>
          <w:color w:val="auto"/>
        </w:rPr>
        <w:t>4.2-1</w:t>
      </w:r>
      <w:r>
        <w:rPr>
          <w:rFonts w:hint="eastAsia"/>
          <w:color w:val="auto"/>
        </w:rPr>
        <w:t>。</w:t>
      </w:r>
    </w:p>
    <w:p w14:paraId="1EB069F2" w14:textId="77777777" w:rsidR="009219A0" w:rsidRDefault="00000000">
      <w:pPr>
        <w:adjustRightInd/>
        <w:snapToGrid/>
        <w:ind w:firstLineChars="0" w:firstLine="0"/>
        <w:jc w:val="center"/>
        <w:rPr>
          <w:bCs/>
          <w:color w:val="auto"/>
          <w:szCs w:val="28"/>
        </w:rPr>
      </w:pPr>
      <w:r>
        <w:rPr>
          <w:bCs/>
          <w:color w:val="auto"/>
          <w:szCs w:val="28"/>
        </w:rPr>
        <w:t>附表</w:t>
      </w:r>
      <w:r>
        <w:rPr>
          <w:bCs/>
          <w:color w:val="auto"/>
          <w:szCs w:val="28"/>
        </w:rPr>
        <w:t>4</w:t>
      </w:r>
      <w:r>
        <w:rPr>
          <w:rFonts w:hint="eastAsia"/>
          <w:bCs/>
          <w:color w:val="auto"/>
          <w:szCs w:val="28"/>
        </w:rPr>
        <w:t>.2</w:t>
      </w:r>
      <w:r>
        <w:rPr>
          <w:bCs/>
          <w:color w:val="auto"/>
          <w:szCs w:val="28"/>
        </w:rPr>
        <w:t xml:space="preserve">-1  </w:t>
      </w:r>
      <w:r>
        <w:rPr>
          <w:rFonts w:hint="eastAsia"/>
          <w:bCs/>
          <w:color w:val="auto"/>
          <w:szCs w:val="28"/>
        </w:rPr>
        <w:t>安全设施设计符合性</w:t>
      </w:r>
      <w:r>
        <w:rPr>
          <w:bCs/>
          <w:color w:val="auto"/>
          <w:szCs w:val="28"/>
        </w:rPr>
        <w:t>检查表</w:t>
      </w:r>
    </w:p>
    <w:tbl>
      <w:tblPr>
        <w:tblW w:w="9072"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5360"/>
        <w:gridCol w:w="2410"/>
        <w:gridCol w:w="653"/>
      </w:tblGrid>
      <w:tr w:rsidR="009219A0" w14:paraId="108677C3" w14:textId="77777777">
        <w:trPr>
          <w:trHeight w:val="340"/>
        </w:trPr>
        <w:tc>
          <w:tcPr>
            <w:tcW w:w="649" w:type="dxa"/>
            <w:vAlign w:val="center"/>
          </w:tcPr>
          <w:p w14:paraId="70DD18DE" w14:textId="77777777" w:rsidR="009219A0" w:rsidRDefault="00000000">
            <w:pPr>
              <w:adjustRightInd/>
              <w:spacing w:line="240" w:lineRule="auto"/>
              <w:ind w:firstLineChars="0" w:firstLine="0"/>
              <w:jc w:val="center"/>
              <w:rPr>
                <w:rFonts w:ascii="宋体" w:hAnsi="宋体" w:cs="宋体" w:hint="eastAsia"/>
                <w:b/>
                <w:color w:val="auto"/>
                <w:sz w:val="21"/>
                <w:szCs w:val="21"/>
              </w:rPr>
            </w:pPr>
            <w:r>
              <w:rPr>
                <w:rFonts w:ascii="宋体" w:hAnsi="宋体" w:cs="宋体" w:hint="eastAsia"/>
                <w:b/>
                <w:color w:val="auto"/>
                <w:sz w:val="21"/>
                <w:szCs w:val="21"/>
              </w:rPr>
              <w:t>序号</w:t>
            </w:r>
          </w:p>
        </w:tc>
        <w:tc>
          <w:tcPr>
            <w:tcW w:w="5360" w:type="dxa"/>
            <w:vAlign w:val="center"/>
          </w:tcPr>
          <w:p w14:paraId="6D0FE013" w14:textId="77777777" w:rsidR="009219A0" w:rsidRDefault="00000000">
            <w:pPr>
              <w:adjustRightInd/>
              <w:spacing w:line="240" w:lineRule="auto"/>
              <w:ind w:firstLineChars="0" w:firstLine="0"/>
              <w:jc w:val="center"/>
              <w:rPr>
                <w:rFonts w:ascii="宋体" w:hAnsi="宋体" w:cs="宋体" w:hint="eastAsia"/>
                <w:b/>
                <w:color w:val="auto"/>
                <w:sz w:val="21"/>
                <w:szCs w:val="21"/>
              </w:rPr>
            </w:pPr>
            <w:r>
              <w:rPr>
                <w:rFonts w:ascii="宋体" w:hAnsi="宋体" w:cs="宋体" w:hint="eastAsia"/>
                <w:b/>
                <w:color w:val="auto"/>
                <w:sz w:val="21"/>
                <w:szCs w:val="21"/>
              </w:rPr>
              <w:t>安全设施设计中提出的安全对策与措施</w:t>
            </w:r>
          </w:p>
        </w:tc>
        <w:tc>
          <w:tcPr>
            <w:tcW w:w="2410" w:type="dxa"/>
            <w:vAlign w:val="center"/>
          </w:tcPr>
          <w:p w14:paraId="15143A9B" w14:textId="77777777" w:rsidR="009219A0" w:rsidRDefault="00000000">
            <w:pPr>
              <w:adjustRightInd/>
              <w:spacing w:line="240" w:lineRule="auto"/>
              <w:ind w:firstLineChars="0" w:firstLine="0"/>
              <w:jc w:val="center"/>
              <w:rPr>
                <w:rFonts w:ascii="宋体" w:hAnsi="宋体" w:cs="宋体" w:hint="eastAsia"/>
                <w:b/>
                <w:color w:val="auto"/>
                <w:sz w:val="21"/>
                <w:szCs w:val="21"/>
              </w:rPr>
            </w:pPr>
            <w:r>
              <w:rPr>
                <w:rFonts w:ascii="宋体" w:hAnsi="宋体" w:cs="宋体" w:hint="eastAsia"/>
                <w:b/>
                <w:color w:val="auto"/>
                <w:sz w:val="21"/>
                <w:szCs w:val="21"/>
              </w:rPr>
              <w:t>检查结果</w:t>
            </w:r>
          </w:p>
        </w:tc>
        <w:tc>
          <w:tcPr>
            <w:tcW w:w="653" w:type="dxa"/>
            <w:vAlign w:val="center"/>
          </w:tcPr>
          <w:p w14:paraId="44190FF8" w14:textId="77777777" w:rsidR="009219A0" w:rsidRDefault="00000000">
            <w:pPr>
              <w:adjustRightInd/>
              <w:spacing w:line="240" w:lineRule="auto"/>
              <w:ind w:firstLineChars="0" w:firstLine="0"/>
              <w:jc w:val="center"/>
              <w:rPr>
                <w:rFonts w:ascii="宋体" w:hAnsi="宋体" w:cs="宋体" w:hint="eastAsia"/>
                <w:b/>
                <w:color w:val="auto"/>
                <w:sz w:val="21"/>
                <w:szCs w:val="21"/>
              </w:rPr>
            </w:pPr>
            <w:r>
              <w:rPr>
                <w:rFonts w:ascii="宋体" w:hAnsi="宋体" w:cs="宋体" w:hint="eastAsia"/>
                <w:b/>
                <w:color w:val="auto"/>
                <w:sz w:val="21"/>
                <w:szCs w:val="21"/>
              </w:rPr>
              <w:t>结论</w:t>
            </w:r>
          </w:p>
        </w:tc>
      </w:tr>
      <w:tr w:rsidR="009219A0" w14:paraId="398DEE53" w14:textId="77777777">
        <w:trPr>
          <w:trHeight w:val="340"/>
        </w:trPr>
        <w:tc>
          <w:tcPr>
            <w:tcW w:w="9072" w:type="dxa"/>
            <w:gridSpan w:val="4"/>
          </w:tcPr>
          <w:p w14:paraId="11AD1F14" w14:textId="77777777" w:rsidR="009219A0" w:rsidRDefault="00000000">
            <w:pPr>
              <w:adjustRightInd/>
              <w:spacing w:line="240" w:lineRule="auto"/>
              <w:ind w:firstLineChars="0" w:firstLine="0"/>
              <w:rPr>
                <w:rFonts w:ascii="宋体" w:hAnsi="宋体" w:cs="宋体" w:hint="eastAsia"/>
                <w:b/>
                <w:color w:val="auto"/>
                <w:sz w:val="21"/>
                <w:szCs w:val="21"/>
              </w:rPr>
            </w:pPr>
            <w:r>
              <w:rPr>
                <w:rFonts w:ascii="宋体" w:hAnsi="宋体" w:cs="宋体" w:hint="eastAsia"/>
                <w:b/>
                <w:color w:val="auto"/>
                <w:sz w:val="21"/>
                <w:szCs w:val="21"/>
              </w:rPr>
              <w:t>6.1 工艺、设备安全防范措施</w:t>
            </w:r>
          </w:p>
        </w:tc>
      </w:tr>
      <w:tr w:rsidR="009219A0" w14:paraId="3E3ED1E1" w14:textId="77777777">
        <w:trPr>
          <w:trHeight w:val="340"/>
        </w:trPr>
        <w:tc>
          <w:tcPr>
            <w:tcW w:w="9072" w:type="dxa"/>
            <w:gridSpan w:val="4"/>
          </w:tcPr>
          <w:p w14:paraId="14FCB880" w14:textId="77777777" w:rsidR="009219A0" w:rsidRDefault="00000000">
            <w:pPr>
              <w:adjustRightInd/>
              <w:spacing w:line="240" w:lineRule="auto"/>
              <w:ind w:firstLineChars="0" w:firstLine="0"/>
              <w:rPr>
                <w:rFonts w:ascii="宋体" w:hAnsi="宋体" w:cs="宋体" w:hint="eastAsia"/>
                <w:b/>
                <w:color w:val="auto"/>
                <w:sz w:val="21"/>
                <w:szCs w:val="21"/>
              </w:rPr>
            </w:pPr>
            <w:r>
              <w:rPr>
                <w:rFonts w:ascii="宋体" w:hAnsi="宋体" w:cs="宋体" w:hint="eastAsia"/>
                <w:b/>
                <w:color w:val="auto"/>
                <w:sz w:val="21"/>
                <w:szCs w:val="21"/>
              </w:rPr>
              <w:t>6.1.1工艺、设备选型、设备布置安全防范措施</w:t>
            </w:r>
          </w:p>
        </w:tc>
      </w:tr>
      <w:tr w:rsidR="009219A0" w14:paraId="275B189B" w14:textId="77777777">
        <w:trPr>
          <w:trHeight w:val="340"/>
        </w:trPr>
        <w:tc>
          <w:tcPr>
            <w:tcW w:w="649" w:type="dxa"/>
            <w:vMerge w:val="restart"/>
          </w:tcPr>
          <w:p w14:paraId="0B06743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1.</w:t>
            </w:r>
            <w:r>
              <w:rPr>
                <w:rFonts w:ascii="宋体" w:hAnsi="宋体" w:cs="宋体" w:hint="eastAsia"/>
                <w:color w:val="auto"/>
                <w:sz w:val="21"/>
                <w:szCs w:val="21"/>
              </w:rPr>
              <w:tab/>
              <w:t>工艺设备选型安全防范措施</w:t>
            </w:r>
          </w:p>
        </w:tc>
        <w:tc>
          <w:tcPr>
            <w:tcW w:w="5360" w:type="dxa"/>
          </w:tcPr>
          <w:p w14:paraId="11A6174A"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1）根据检测工艺特点，选择有资质的厂家生产的合格设备，不得选用国家明令禁止或淘汰的设备；根据设备用途和特点配置监测仪表、监测记录装置、计量装置、显示装置等，选用合理，灵敏可靠，易于辨识，尽量选用自动化程度高的设备。</w:t>
            </w:r>
          </w:p>
        </w:tc>
        <w:tc>
          <w:tcPr>
            <w:tcW w:w="2410" w:type="dxa"/>
          </w:tcPr>
          <w:p w14:paraId="2BD81E2B" w14:textId="77777777" w:rsidR="009219A0" w:rsidRDefault="00000000">
            <w:pPr>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企业选择有资质的厂家生产的合格设备。</w:t>
            </w:r>
          </w:p>
        </w:tc>
        <w:tc>
          <w:tcPr>
            <w:tcW w:w="653" w:type="dxa"/>
          </w:tcPr>
          <w:p w14:paraId="1D0A1883"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8983339" w14:textId="77777777">
        <w:trPr>
          <w:trHeight w:val="340"/>
        </w:trPr>
        <w:tc>
          <w:tcPr>
            <w:tcW w:w="649" w:type="dxa"/>
            <w:vMerge/>
          </w:tcPr>
          <w:p w14:paraId="6CCBC2EE"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0020F62"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（2）本项目工艺设备根据工艺特点，接触化学物质相关的设备、容器及管道绝大部分选用不锈钢作为设备材料，可防腐防尘，并由具备相应资质的生产厂家制造，确保设备质量合格。</w:t>
            </w:r>
          </w:p>
        </w:tc>
        <w:tc>
          <w:tcPr>
            <w:tcW w:w="2410" w:type="dxa"/>
          </w:tcPr>
          <w:p w14:paraId="4A15043C"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项目工艺设备根据工艺特点，接触化学物质相关的设备、容器及管道绝大部分选用不锈钢作为设备材料，并由具备相应资质的生产厂家制造。</w:t>
            </w:r>
          </w:p>
        </w:tc>
        <w:tc>
          <w:tcPr>
            <w:tcW w:w="653" w:type="dxa"/>
          </w:tcPr>
          <w:p w14:paraId="23503F4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376E01AE" w14:textId="77777777">
        <w:trPr>
          <w:trHeight w:val="340"/>
        </w:trPr>
        <w:tc>
          <w:tcPr>
            <w:tcW w:w="649" w:type="dxa"/>
            <w:vMerge/>
          </w:tcPr>
          <w:p w14:paraId="61F206E5"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1CFF5C54"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3）设备及其零部件，必须有足够的强度、刚度、稳定性和可靠性。在按规定条件制造、运输、贮存、安装和使用时，不得对人员造成危险。设备本身具备必要的防护、净化、减振、消音、保险等可靠的安全、卫生装置。</w:t>
            </w:r>
          </w:p>
        </w:tc>
        <w:tc>
          <w:tcPr>
            <w:tcW w:w="2410" w:type="dxa"/>
          </w:tcPr>
          <w:p w14:paraId="0B85D3E4"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企业选择有资质的厂家生产的合格设备。</w:t>
            </w:r>
          </w:p>
        </w:tc>
        <w:tc>
          <w:tcPr>
            <w:tcW w:w="653" w:type="dxa"/>
          </w:tcPr>
          <w:p w14:paraId="281E8F59"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39800190" w14:textId="77777777">
        <w:trPr>
          <w:trHeight w:val="340"/>
        </w:trPr>
        <w:tc>
          <w:tcPr>
            <w:tcW w:w="649" w:type="dxa"/>
            <w:vMerge/>
          </w:tcPr>
          <w:p w14:paraId="12433A78"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826C14C"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（4）对操作人员在设备运行时可能触及的可动零部件，配置必要的安全防护装置。</w:t>
            </w:r>
          </w:p>
        </w:tc>
        <w:tc>
          <w:tcPr>
            <w:tcW w:w="2410" w:type="dxa"/>
          </w:tcPr>
          <w:p w14:paraId="41D240D3"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现场已按要求设置</w:t>
            </w:r>
            <w:r>
              <w:rPr>
                <w:rFonts w:ascii="宋体" w:hAnsi="宋体" w:hint="eastAsia"/>
                <w:color w:val="auto"/>
                <w:sz w:val="21"/>
                <w:szCs w:val="21"/>
              </w:rPr>
              <w:t>必要的安全防护装置。</w:t>
            </w:r>
          </w:p>
        </w:tc>
        <w:tc>
          <w:tcPr>
            <w:tcW w:w="653" w:type="dxa"/>
          </w:tcPr>
          <w:p w14:paraId="3A0DABA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75F35BE5" w14:textId="77777777">
        <w:trPr>
          <w:trHeight w:val="340"/>
        </w:trPr>
        <w:tc>
          <w:tcPr>
            <w:tcW w:w="649" w:type="dxa"/>
            <w:vMerge/>
          </w:tcPr>
          <w:p w14:paraId="7EC8B27F"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7474B363"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（5）硫酸、盐酸输送管道法兰连接处设置橡胶挡板，防止喷溅。</w:t>
            </w:r>
          </w:p>
        </w:tc>
        <w:tc>
          <w:tcPr>
            <w:tcW w:w="2410" w:type="dxa"/>
          </w:tcPr>
          <w:p w14:paraId="3C12C38B"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现场已按要求设置</w:t>
            </w:r>
            <w:r>
              <w:rPr>
                <w:rFonts w:ascii="宋体" w:hAnsi="宋体" w:hint="eastAsia"/>
                <w:color w:val="auto"/>
                <w:sz w:val="21"/>
                <w:szCs w:val="21"/>
              </w:rPr>
              <w:t>橡胶挡板。</w:t>
            </w:r>
          </w:p>
        </w:tc>
        <w:tc>
          <w:tcPr>
            <w:tcW w:w="653" w:type="dxa"/>
          </w:tcPr>
          <w:p w14:paraId="36E47899"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hint="eastAsia"/>
                <w:color w:val="00B050"/>
                <w:sz w:val="21"/>
                <w:szCs w:val="21"/>
              </w:rPr>
              <w:t>符合</w:t>
            </w:r>
          </w:p>
        </w:tc>
      </w:tr>
      <w:tr w:rsidR="009219A0" w14:paraId="49ACA397" w14:textId="77777777">
        <w:trPr>
          <w:trHeight w:val="849"/>
        </w:trPr>
        <w:tc>
          <w:tcPr>
            <w:tcW w:w="649" w:type="dxa"/>
            <w:vMerge/>
          </w:tcPr>
          <w:p w14:paraId="141969FD"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2E03C3E3"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（6）设备控制指示按钮、开关、仪表设置指示功能和/或动作的标志，标志内容和动作、功能一致，标志文字清晰、完整、准确；设置急停按钮。</w:t>
            </w:r>
          </w:p>
        </w:tc>
        <w:tc>
          <w:tcPr>
            <w:tcW w:w="2410" w:type="dxa"/>
          </w:tcPr>
          <w:p w14:paraId="617E9F0C"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设备控制指示按钮、开关、仪表设置指示功能的标志，标志内容和动作、功能一致，标志文</w:t>
            </w:r>
            <w:r>
              <w:rPr>
                <w:rFonts w:ascii="宋体" w:hAnsi="宋体" w:hint="eastAsia"/>
                <w:color w:val="auto"/>
                <w:sz w:val="21"/>
                <w:szCs w:val="21"/>
              </w:rPr>
              <w:lastRenderedPageBreak/>
              <w:t>字清晰、完整、准确。</w:t>
            </w:r>
          </w:p>
        </w:tc>
        <w:tc>
          <w:tcPr>
            <w:tcW w:w="653" w:type="dxa"/>
          </w:tcPr>
          <w:p w14:paraId="51A8896B"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lastRenderedPageBreak/>
              <w:t>符合</w:t>
            </w:r>
          </w:p>
        </w:tc>
      </w:tr>
      <w:tr w:rsidR="009219A0" w14:paraId="5FA5546C" w14:textId="77777777">
        <w:trPr>
          <w:trHeight w:val="340"/>
        </w:trPr>
        <w:tc>
          <w:tcPr>
            <w:tcW w:w="649" w:type="dxa"/>
            <w:vMerge w:val="restart"/>
          </w:tcPr>
          <w:p w14:paraId="7F0CA9E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2.</w:t>
            </w:r>
            <w:r>
              <w:rPr>
                <w:rFonts w:ascii="宋体" w:hAnsi="宋体" w:hint="eastAsia"/>
                <w:color w:val="auto"/>
                <w:sz w:val="21"/>
                <w:szCs w:val="21"/>
              </w:rPr>
              <w:tab/>
              <w:t>工艺设备布置安全防范措施</w:t>
            </w:r>
          </w:p>
        </w:tc>
        <w:tc>
          <w:tcPr>
            <w:tcW w:w="5360" w:type="dxa"/>
          </w:tcPr>
          <w:p w14:paraId="23DED8CA"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（1）作业区的布置保证人员有足够的安全活动区间。</w:t>
            </w:r>
          </w:p>
        </w:tc>
        <w:tc>
          <w:tcPr>
            <w:tcW w:w="2410" w:type="dxa"/>
          </w:tcPr>
          <w:p w14:paraId="372F7727"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现场</w:t>
            </w:r>
            <w:r>
              <w:rPr>
                <w:rFonts w:ascii="宋体" w:hAnsi="宋体" w:hint="eastAsia"/>
                <w:color w:val="auto"/>
                <w:sz w:val="21"/>
                <w:szCs w:val="21"/>
              </w:rPr>
              <w:t>作业区的布置保证人员有足够的安全活动区间。</w:t>
            </w:r>
          </w:p>
        </w:tc>
        <w:tc>
          <w:tcPr>
            <w:tcW w:w="653" w:type="dxa"/>
          </w:tcPr>
          <w:p w14:paraId="32FAEEBB"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4FCD10FE" w14:textId="77777777">
        <w:trPr>
          <w:trHeight w:val="340"/>
        </w:trPr>
        <w:tc>
          <w:tcPr>
            <w:tcW w:w="649" w:type="dxa"/>
            <w:vMerge/>
          </w:tcPr>
          <w:p w14:paraId="64A4A0ED"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1ABEA14E"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（2）设备与墙、柱距离（以活动机件的最大范围计算）：大型≥0.9m，中型≥0.8m，小型≥0.7m。在墙、柱与设备间有人操作的，满足设备与墙、柱间和操作空间的最大距离要求。</w:t>
            </w:r>
          </w:p>
        </w:tc>
        <w:tc>
          <w:tcPr>
            <w:tcW w:w="2410" w:type="dxa"/>
          </w:tcPr>
          <w:p w14:paraId="1E3EF4D2"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现场在墙、柱与设备间有人操作的，满足设备与墙、柱间和操作空间的最大距离要求。</w:t>
            </w:r>
          </w:p>
        </w:tc>
        <w:tc>
          <w:tcPr>
            <w:tcW w:w="653" w:type="dxa"/>
          </w:tcPr>
          <w:p w14:paraId="7042DAB4"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3DD228F0" w14:textId="77777777">
        <w:trPr>
          <w:trHeight w:val="622"/>
        </w:trPr>
        <w:tc>
          <w:tcPr>
            <w:tcW w:w="649" w:type="dxa"/>
            <w:vMerge/>
          </w:tcPr>
          <w:p w14:paraId="0911C5CE"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09DE2809"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（3）项目区域内设置视频监控系统，信号接至值班室。若发生火灾事故等，可及时发现。</w:t>
            </w:r>
          </w:p>
        </w:tc>
        <w:tc>
          <w:tcPr>
            <w:tcW w:w="2410" w:type="dxa"/>
          </w:tcPr>
          <w:p w14:paraId="2AB29D97"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现场已设置视频监控系统，信号已引至值班室。</w:t>
            </w:r>
          </w:p>
        </w:tc>
        <w:tc>
          <w:tcPr>
            <w:tcW w:w="653" w:type="dxa"/>
          </w:tcPr>
          <w:p w14:paraId="215465CD"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437BDD2C" w14:textId="77777777">
        <w:trPr>
          <w:trHeight w:val="348"/>
        </w:trPr>
        <w:tc>
          <w:tcPr>
            <w:tcW w:w="9072" w:type="dxa"/>
            <w:gridSpan w:val="4"/>
          </w:tcPr>
          <w:p w14:paraId="42795342" w14:textId="77777777" w:rsidR="009219A0" w:rsidRDefault="00000000">
            <w:pPr>
              <w:spacing w:line="240" w:lineRule="auto"/>
              <w:ind w:firstLineChars="0" w:firstLine="0"/>
              <w:rPr>
                <w:rFonts w:ascii="宋体" w:hAnsi="宋体" w:cs="宋体" w:hint="eastAsia"/>
                <w:color w:val="auto"/>
                <w:sz w:val="21"/>
                <w:szCs w:val="21"/>
              </w:rPr>
            </w:pPr>
            <w:r>
              <w:rPr>
                <w:rFonts w:ascii="宋体" w:hAnsi="宋体" w:hint="eastAsia"/>
                <w:b/>
                <w:color w:val="auto"/>
                <w:sz w:val="21"/>
                <w:szCs w:val="21"/>
              </w:rPr>
              <w:t>6.1.2设备、设施安全防范措施</w:t>
            </w:r>
          </w:p>
        </w:tc>
      </w:tr>
      <w:tr w:rsidR="009219A0" w14:paraId="14DA1656" w14:textId="77777777">
        <w:trPr>
          <w:trHeight w:val="1133"/>
        </w:trPr>
        <w:tc>
          <w:tcPr>
            <w:tcW w:w="649" w:type="dxa"/>
            <w:vMerge w:val="restart"/>
          </w:tcPr>
          <w:p w14:paraId="01E0C4CB"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26EA5120" w14:textId="77777777" w:rsidR="009219A0" w:rsidRDefault="00000000">
            <w:pPr>
              <w:adjustRightInd/>
              <w:spacing w:line="240" w:lineRule="auto"/>
              <w:ind w:firstLineChars="0" w:firstLine="0"/>
              <w:rPr>
                <w:rFonts w:ascii="宋体" w:hAnsi="宋体" w:hint="eastAsia"/>
                <w:sz w:val="21"/>
                <w:szCs w:val="21"/>
              </w:rPr>
            </w:pPr>
            <w:r>
              <w:rPr>
                <w:rFonts w:ascii="宋体" w:hAnsi="宋体" w:hint="eastAsia"/>
                <w:sz w:val="21"/>
                <w:szCs w:val="21"/>
              </w:rPr>
              <w:t>（1）各转动机械设备设置安全防护罩，设备运行时，设备工作区域无其他闲杂人员，地面干净、无积水等杂物。更换各机械设备零部件时必须使用专用工具，对号入座保证准确无误无损。</w:t>
            </w:r>
          </w:p>
        </w:tc>
        <w:tc>
          <w:tcPr>
            <w:tcW w:w="2410" w:type="dxa"/>
          </w:tcPr>
          <w:p w14:paraId="06370702"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sz w:val="21"/>
                <w:szCs w:val="21"/>
              </w:rPr>
              <w:t>各转动机械设备设置安全防护罩。</w:t>
            </w:r>
          </w:p>
        </w:tc>
        <w:tc>
          <w:tcPr>
            <w:tcW w:w="653" w:type="dxa"/>
          </w:tcPr>
          <w:p w14:paraId="08147BB2"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632B805A" w14:textId="77777777">
        <w:trPr>
          <w:trHeight w:val="749"/>
        </w:trPr>
        <w:tc>
          <w:tcPr>
            <w:tcW w:w="649" w:type="dxa"/>
            <w:vMerge/>
          </w:tcPr>
          <w:p w14:paraId="0D979D57"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0C7BB9A6" w14:textId="77777777" w:rsidR="009219A0" w:rsidRDefault="00000000">
            <w:pPr>
              <w:adjustRightInd/>
              <w:spacing w:line="240" w:lineRule="auto"/>
              <w:ind w:firstLineChars="0" w:firstLine="0"/>
            </w:pPr>
            <w:r>
              <w:rPr>
                <w:rFonts w:ascii="宋体" w:hAnsi="宋体" w:hint="eastAsia"/>
                <w:sz w:val="21"/>
                <w:szCs w:val="21"/>
              </w:rPr>
              <w:t>（2）项目区域内设置实时视频监控系统，信号接入至值班室，若发生事故，值班人员可及时发现。</w:t>
            </w:r>
          </w:p>
        </w:tc>
        <w:tc>
          <w:tcPr>
            <w:tcW w:w="2410" w:type="dxa"/>
          </w:tcPr>
          <w:p w14:paraId="018DBAC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现场已设置视频监控系统，信号已引至值班室。</w:t>
            </w:r>
          </w:p>
        </w:tc>
        <w:tc>
          <w:tcPr>
            <w:tcW w:w="653" w:type="dxa"/>
          </w:tcPr>
          <w:p w14:paraId="3542EA83"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8199C29" w14:textId="77777777">
        <w:trPr>
          <w:trHeight w:val="340"/>
        </w:trPr>
        <w:tc>
          <w:tcPr>
            <w:tcW w:w="9072" w:type="dxa"/>
            <w:gridSpan w:val="4"/>
          </w:tcPr>
          <w:p w14:paraId="16E7DD18" w14:textId="77777777" w:rsidR="009219A0" w:rsidRDefault="00000000">
            <w:pPr>
              <w:adjustRightInd/>
              <w:spacing w:line="240" w:lineRule="auto"/>
              <w:ind w:firstLineChars="0" w:firstLine="0"/>
              <w:rPr>
                <w:rFonts w:ascii="宋体" w:hAnsi="宋体" w:cs="宋体" w:hint="eastAsia"/>
                <w:b/>
                <w:color w:val="auto"/>
                <w:sz w:val="21"/>
                <w:szCs w:val="21"/>
              </w:rPr>
            </w:pPr>
            <w:r>
              <w:rPr>
                <w:rFonts w:ascii="宋体" w:hAnsi="宋体" w:hint="eastAsia"/>
                <w:b/>
                <w:color w:val="auto"/>
                <w:sz w:val="21"/>
                <w:szCs w:val="21"/>
              </w:rPr>
              <w:t>6.2.</w:t>
            </w:r>
            <w:r>
              <w:rPr>
                <w:rFonts w:ascii="宋体" w:hAnsi="宋体" w:hint="eastAsia"/>
                <w:b/>
                <w:color w:val="auto"/>
                <w:sz w:val="21"/>
                <w:szCs w:val="21"/>
              </w:rPr>
              <w:tab/>
              <w:t>主要危险、有害因素安全防范措施</w:t>
            </w:r>
          </w:p>
        </w:tc>
      </w:tr>
      <w:tr w:rsidR="009219A0" w14:paraId="3EF312F7" w14:textId="77777777">
        <w:trPr>
          <w:trHeight w:val="340"/>
        </w:trPr>
        <w:tc>
          <w:tcPr>
            <w:tcW w:w="9072" w:type="dxa"/>
            <w:gridSpan w:val="4"/>
          </w:tcPr>
          <w:p w14:paraId="6988C4CE" w14:textId="77777777" w:rsidR="009219A0" w:rsidRDefault="00000000">
            <w:pPr>
              <w:adjustRightInd/>
              <w:spacing w:line="240" w:lineRule="auto"/>
              <w:ind w:firstLineChars="0" w:firstLine="0"/>
              <w:rPr>
                <w:rFonts w:ascii="宋体" w:hAnsi="宋体" w:hint="eastAsia"/>
                <w:b/>
                <w:color w:val="auto"/>
                <w:sz w:val="21"/>
                <w:szCs w:val="21"/>
              </w:rPr>
            </w:pPr>
            <w:r>
              <w:rPr>
                <w:rFonts w:ascii="宋体" w:hAnsi="宋体" w:hint="eastAsia"/>
                <w:b/>
                <w:color w:val="auto"/>
                <w:sz w:val="21"/>
                <w:szCs w:val="21"/>
              </w:rPr>
              <w:t>6.2.1</w:t>
            </w:r>
            <w:r>
              <w:rPr>
                <w:rFonts w:hint="eastAsia"/>
              </w:rPr>
              <w:t xml:space="preserve"> </w:t>
            </w:r>
            <w:r>
              <w:rPr>
                <w:rFonts w:ascii="宋体" w:hAnsi="宋体" w:hint="eastAsia"/>
                <w:b/>
                <w:color w:val="auto"/>
                <w:sz w:val="21"/>
                <w:szCs w:val="21"/>
              </w:rPr>
              <w:tab/>
              <w:t>防泄漏安全防范措施</w:t>
            </w:r>
          </w:p>
        </w:tc>
      </w:tr>
      <w:tr w:rsidR="009219A0" w14:paraId="32254412" w14:textId="77777777">
        <w:trPr>
          <w:trHeight w:val="340"/>
        </w:trPr>
        <w:tc>
          <w:tcPr>
            <w:tcW w:w="649" w:type="dxa"/>
            <w:vMerge w:val="restart"/>
          </w:tcPr>
          <w:p w14:paraId="0E2B5870"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2FEC77D6"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本项目可能发生泄漏的主要区域为：实验室试剂存放、使用处；中试车间硫酸、盐酸储罐和使用点。对实验用到盐酸、硫酸、氧化钙等腐蚀性化学品，采取以下措施进行防护：</w:t>
            </w:r>
          </w:p>
          <w:p w14:paraId="1DBE1A98"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（1）中试车间、实验室等使用和储存腐蚀性化学品处应做相应的防腐、防溢和收容措施，如：涂刷防腐材料、采用防腐蚀地面；在硫酸罐、盐酸计量槽、氧化槽等储存点设置围堤和沙土收容等安全措施。</w:t>
            </w:r>
          </w:p>
        </w:tc>
        <w:tc>
          <w:tcPr>
            <w:tcW w:w="2410" w:type="dxa"/>
          </w:tcPr>
          <w:p w14:paraId="210F087F"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中试车间、实验室使用和储存腐蚀性化学品处已做相应地防腐设施，采用防腐蚀地面，设置相应的防渗漏及收容措施。</w:t>
            </w:r>
          </w:p>
        </w:tc>
        <w:tc>
          <w:tcPr>
            <w:tcW w:w="653" w:type="dxa"/>
          </w:tcPr>
          <w:p w14:paraId="58C5AA5B"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4DEC207A" w14:textId="77777777">
        <w:trPr>
          <w:trHeight w:val="340"/>
        </w:trPr>
        <w:tc>
          <w:tcPr>
            <w:tcW w:w="649" w:type="dxa"/>
            <w:vMerge/>
          </w:tcPr>
          <w:p w14:paraId="5AB1264D"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591747EA"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（2）使用强酸强碱和易挥发化学品应佩戴护目镜、口罩、耐酸碱手套、防护服等必要的防护措施，尤其要注意保护眼睛。</w:t>
            </w:r>
          </w:p>
        </w:tc>
        <w:tc>
          <w:tcPr>
            <w:tcW w:w="2410" w:type="dxa"/>
          </w:tcPr>
          <w:p w14:paraId="6D2EC415"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已为操作人员配备相应劳动防护用品，并督促正确使用佩戴。</w:t>
            </w:r>
          </w:p>
        </w:tc>
        <w:tc>
          <w:tcPr>
            <w:tcW w:w="653" w:type="dxa"/>
          </w:tcPr>
          <w:p w14:paraId="36253EEF"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0A4EB05C" w14:textId="77777777">
        <w:trPr>
          <w:trHeight w:val="340"/>
        </w:trPr>
        <w:tc>
          <w:tcPr>
            <w:tcW w:w="649" w:type="dxa"/>
            <w:vMerge/>
          </w:tcPr>
          <w:p w14:paraId="76A6D75C"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79A0EBF7"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（3）强酸碱的相关操作严格执行操作规程，配制浓酸时先加水后加酸,操作时仔细缓慢。</w:t>
            </w:r>
          </w:p>
        </w:tc>
        <w:tc>
          <w:tcPr>
            <w:tcW w:w="2410" w:type="dxa"/>
          </w:tcPr>
          <w:p w14:paraId="2D895333"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已制定相关操作规程。</w:t>
            </w:r>
          </w:p>
        </w:tc>
        <w:tc>
          <w:tcPr>
            <w:tcW w:w="653" w:type="dxa"/>
          </w:tcPr>
          <w:p w14:paraId="084997BC"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275F251" w14:textId="77777777">
        <w:trPr>
          <w:trHeight w:val="340"/>
        </w:trPr>
        <w:tc>
          <w:tcPr>
            <w:tcW w:w="649" w:type="dxa"/>
            <w:vMerge/>
          </w:tcPr>
          <w:p w14:paraId="07D08195"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507E188"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（4）含腐蚀性物质溶液、样品等转移时严禁使用纸质、塑料等器皿。防止渗漏泼洒。</w:t>
            </w:r>
          </w:p>
        </w:tc>
        <w:tc>
          <w:tcPr>
            <w:tcW w:w="2410" w:type="dxa"/>
          </w:tcPr>
          <w:p w14:paraId="7A640548"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已制定相关操作规程。</w:t>
            </w:r>
          </w:p>
        </w:tc>
        <w:tc>
          <w:tcPr>
            <w:tcW w:w="653" w:type="dxa"/>
          </w:tcPr>
          <w:p w14:paraId="6A2B840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78E68431" w14:textId="77777777">
        <w:trPr>
          <w:trHeight w:val="340"/>
        </w:trPr>
        <w:tc>
          <w:tcPr>
            <w:tcW w:w="649" w:type="dxa"/>
            <w:vMerge/>
          </w:tcPr>
          <w:p w14:paraId="21DDD01D"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5585B556"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（5）应配备应急医疗箱和中和试剂。</w:t>
            </w:r>
          </w:p>
        </w:tc>
        <w:tc>
          <w:tcPr>
            <w:tcW w:w="2410" w:type="dxa"/>
          </w:tcPr>
          <w:p w14:paraId="058A850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已配备应急医疗箱和中和试剂。</w:t>
            </w:r>
          </w:p>
        </w:tc>
        <w:tc>
          <w:tcPr>
            <w:tcW w:w="653" w:type="dxa"/>
          </w:tcPr>
          <w:p w14:paraId="2E1F114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3AB3222E" w14:textId="77777777">
        <w:trPr>
          <w:trHeight w:val="930"/>
        </w:trPr>
        <w:tc>
          <w:tcPr>
            <w:tcW w:w="649" w:type="dxa"/>
            <w:vMerge/>
          </w:tcPr>
          <w:p w14:paraId="3E6A3CDE"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0CADEE3D"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（6）中试车间内、实验室操作台附近配置喷淋洗眼装置作为应急设施。被酸灼伤时，先用大量水冲洗，再用3-5%碳酸氢钠溶液清洗。</w:t>
            </w:r>
          </w:p>
        </w:tc>
        <w:tc>
          <w:tcPr>
            <w:tcW w:w="2410" w:type="dxa"/>
          </w:tcPr>
          <w:p w14:paraId="0799489F"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中试车间内、实验室操作台附近已配置喷淋洗眼装置作为应急设施。</w:t>
            </w:r>
          </w:p>
        </w:tc>
        <w:tc>
          <w:tcPr>
            <w:tcW w:w="653" w:type="dxa"/>
          </w:tcPr>
          <w:p w14:paraId="1E83A08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1480E80D" w14:textId="77777777">
        <w:trPr>
          <w:trHeight w:val="340"/>
        </w:trPr>
        <w:tc>
          <w:tcPr>
            <w:tcW w:w="9072" w:type="dxa"/>
            <w:gridSpan w:val="4"/>
          </w:tcPr>
          <w:p w14:paraId="05331A34" w14:textId="77777777" w:rsidR="009219A0" w:rsidRDefault="00000000">
            <w:pPr>
              <w:adjustRightInd/>
              <w:spacing w:line="240" w:lineRule="auto"/>
              <w:ind w:firstLineChars="0" w:firstLine="0"/>
              <w:rPr>
                <w:rFonts w:ascii="宋体" w:hAnsi="宋体" w:cs="宋体" w:hint="eastAsia"/>
                <w:b/>
                <w:color w:val="auto"/>
                <w:sz w:val="21"/>
                <w:szCs w:val="21"/>
              </w:rPr>
            </w:pPr>
            <w:r>
              <w:rPr>
                <w:rFonts w:ascii="宋体" w:hAnsi="宋体" w:cs="宋体" w:hint="eastAsia"/>
                <w:b/>
                <w:color w:val="auto"/>
                <w:sz w:val="21"/>
                <w:szCs w:val="21"/>
              </w:rPr>
              <w:t>6.2.2防火灾安全防范措施</w:t>
            </w:r>
          </w:p>
        </w:tc>
      </w:tr>
      <w:tr w:rsidR="009219A0" w14:paraId="48D3FA2C" w14:textId="77777777">
        <w:trPr>
          <w:trHeight w:val="340"/>
        </w:trPr>
        <w:tc>
          <w:tcPr>
            <w:tcW w:w="649" w:type="dxa"/>
            <w:vMerge w:val="restart"/>
          </w:tcPr>
          <w:p w14:paraId="3053062D"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7C20C2D0"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本项目火灾可能发生的主要区域为：实验室、中试车间可燃物存在部位、电气设备周围，检维修使用氧气、乙炔区域。火灾安全防范措施如下：</w:t>
            </w:r>
          </w:p>
          <w:p w14:paraId="0FDE96EF"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（1）中试车间、实验室按规范设置灭火器。</w:t>
            </w:r>
          </w:p>
        </w:tc>
        <w:tc>
          <w:tcPr>
            <w:tcW w:w="2410" w:type="dxa"/>
          </w:tcPr>
          <w:p w14:paraId="6950FB8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中试车间、实验室已按要求设置手提式干粉灭火器。</w:t>
            </w:r>
          </w:p>
        </w:tc>
        <w:tc>
          <w:tcPr>
            <w:tcW w:w="653" w:type="dxa"/>
          </w:tcPr>
          <w:p w14:paraId="62CF6148"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154855A5" w14:textId="77777777">
        <w:trPr>
          <w:trHeight w:val="340"/>
        </w:trPr>
        <w:tc>
          <w:tcPr>
            <w:tcW w:w="649" w:type="dxa"/>
            <w:vMerge/>
          </w:tcPr>
          <w:p w14:paraId="07313CDC"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06F8735B"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（2）电气线路远离危险场所进行敷设；敷设时，避开机械损伤，摆动、腐蚀及可能过热的场所；电气线路穿越</w:t>
            </w:r>
            <w:r>
              <w:rPr>
                <w:rFonts w:ascii="宋体" w:hAnsi="宋体" w:hint="eastAsia"/>
                <w:color w:val="auto"/>
                <w:sz w:val="21"/>
                <w:szCs w:val="21"/>
              </w:rPr>
              <w:lastRenderedPageBreak/>
              <w:t>电气室时采用防火堵料封堵。</w:t>
            </w:r>
          </w:p>
        </w:tc>
        <w:tc>
          <w:tcPr>
            <w:tcW w:w="2410" w:type="dxa"/>
          </w:tcPr>
          <w:p w14:paraId="046E1CB7"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lastRenderedPageBreak/>
              <w:t>现场电气线路按要求敷设。</w:t>
            </w:r>
          </w:p>
        </w:tc>
        <w:tc>
          <w:tcPr>
            <w:tcW w:w="653" w:type="dxa"/>
          </w:tcPr>
          <w:p w14:paraId="0F5043D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DE9727E" w14:textId="77777777">
        <w:trPr>
          <w:trHeight w:val="340"/>
        </w:trPr>
        <w:tc>
          <w:tcPr>
            <w:tcW w:w="649" w:type="dxa"/>
            <w:vMerge/>
          </w:tcPr>
          <w:p w14:paraId="130A650C"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10D3497D"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（3）电气系统装设过载、过电流、短路、过负荷等电气保护装置；并装设漏电</w:t>
            </w:r>
            <w:proofErr w:type="gramStart"/>
            <w:r>
              <w:rPr>
                <w:rFonts w:ascii="宋体" w:hAnsi="宋体" w:hint="eastAsia"/>
                <w:color w:val="auto"/>
                <w:sz w:val="21"/>
                <w:szCs w:val="21"/>
              </w:rPr>
              <w:t>流超过</w:t>
            </w:r>
            <w:proofErr w:type="gramEnd"/>
            <w:r>
              <w:rPr>
                <w:rFonts w:ascii="宋体" w:hAnsi="宋体" w:hint="eastAsia"/>
                <w:color w:val="auto"/>
                <w:sz w:val="21"/>
                <w:szCs w:val="21"/>
              </w:rPr>
              <w:t>预定值时能发出光报警信号或自动切断电源的漏电保护器。</w:t>
            </w:r>
          </w:p>
        </w:tc>
        <w:tc>
          <w:tcPr>
            <w:tcW w:w="2410" w:type="dxa"/>
          </w:tcPr>
          <w:p w14:paraId="14B708D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电气系统装设过载、过电流、短路、过负荷等电气保护装置。</w:t>
            </w:r>
          </w:p>
        </w:tc>
        <w:tc>
          <w:tcPr>
            <w:tcW w:w="653" w:type="dxa"/>
          </w:tcPr>
          <w:p w14:paraId="4CDBF8ED"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620C889" w14:textId="77777777">
        <w:trPr>
          <w:trHeight w:val="1362"/>
        </w:trPr>
        <w:tc>
          <w:tcPr>
            <w:tcW w:w="649" w:type="dxa"/>
            <w:vMerge/>
          </w:tcPr>
          <w:p w14:paraId="6FDA0FCE"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1B9D4F58" w14:textId="77777777" w:rsidR="009219A0" w:rsidRDefault="00000000">
            <w:pPr>
              <w:spacing w:line="240" w:lineRule="auto"/>
              <w:ind w:firstLineChars="0" w:firstLine="0"/>
              <w:rPr>
                <w:rFonts w:ascii="宋体" w:hAnsi="宋体" w:hint="eastAsia"/>
                <w:color w:val="auto"/>
                <w:sz w:val="21"/>
                <w:szCs w:val="21"/>
              </w:rPr>
            </w:pPr>
            <w:r>
              <w:rPr>
                <w:rFonts w:ascii="宋体" w:hAnsi="宋体" w:hint="eastAsia"/>
                <w:color w:val="auto"/>
                <w:sz w:val="21"/>
                <w:szCs w:val="21"/>
              </w:rPr>
              <w:t>（4）检维修作业时，氧气瓶、乙炔瓶分开摆放，并保持5m的距离，周围不允许摆放其他易燃易爆物品。气瓶采取固定措施，设置防倾倒装置；乙炔瓶严禁倒置使用，使用时设置阻火器。氧气瓶、乙炔瓶与动火点应保持10m的距离。</w:t>
            </w:r>
          </w:p>
        </w:tc>
        <w:tc>
          <w:tcPr>
            <w:tcW w:w="2410" w:type="dxa"/>
          </w:tcPr>
          <w:p w14:paraId="7CF9A008" w14:textId="77777777" w:rsidR="009219A0" w:rsidRDefault="00000000">
            <w:pPr>
              <w:adjustRightInd/>
              <w:spacing w:line="240" w:lineRule="auto"/>
              <w:ind w:firstLineChars="0" w:firstLine="0"/>
              <w:rPr>
                <w:rFonts w:ascii="宋体" w:hAnsi="宋体" w:cs="宋体" w:hint="eastAsia"/>
                <w:color w:val="auto"/>
                <w:sz w:val="21"/>
                <w:szCs w:val="21"/>
              </w:rPr>
            </w:pPr>
            <w:proofErr w:type="gramStart"/>
            <w:r>
              <w:rPr>
                <w:rFonts w:ascii="宋体" w:hAnsi="宋体" w:hint="eastAsia"/>
                <w:color w:val="auto"/>
                <w:sz w:val="21"/>
                <w:szCs w:val="21"/>
              </w:rPr>
              <w:t>创源公司</w:t>
            </w:r>
            <w:proofErr w:type="gramEnd"/>
            <w:r>
              <w:rPr>
                <w:rFonts w:ascii="宋体" w:hAnsi="宋体" w:hint="eastAsia"/>
                <w:color w:val="auto"/>
                <w:sz w:val="21"/>
                <w:szCs w:val="21"/>
              </w:rPr>
              <w:t>建立有检维修安全操作规程。</w:t>
            </w:r>
          </w:p>
        </w:tc>
        <w:tc>
          <w:tcPr>
            <w:tcW w:w="653" w:type="dxa"/>
          </w:tcPr>
          <w:p w14:paraId="0F7D5489"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77D882C7" w14:textId="77777777">
        <w:trPr>
          <w:trHeight w:val="340"/>
        </w:trPr>
        <w:tc>
          <w:tcPr>
            <w:tcW w:w="9072" w:type="dxa"/>
            <w:gridSpan w:val="4"/>
          </w:tcPr>
          <w:p w14:paraId="42BA1586" w14:textId="77777777" w:rsidR="009219A0" w:rsidRDefault="00000000">
            <w:pPr>
              <w:adjustRightInd/>
              <w:spacing w:line="240" w:lineRule="auto"/>
              <w:ind w:firstLineChars="0" w:firstLine="0"/>
              <w:rPr>
                <w:rFonts w:ascii="宋体" w:hAnsi="宋体" w:cs="宋体" w:hint="eastAsia"/>
                <w:b/>
                <w:color w:val="auto"/>
                <w:sz w:val="21"/>
                <w:szCs w:val="21"/>
              </w:rPr>
            </w:pPr>
            <w:bookmarkStart w:id="303" w:name="_Toc54802495"/>
            <w:r>
              <w:rPr>
                <w:rFonts w:ascii="宋体" w:hAnsi="宋体" w:hint="eastAsia"/>
                <w:b/>
                <w:bCs/>
                <w:color w:val="auto"/>
                <w:sz w:val="21"/>
                <w:szCs w:val="21"/>
              </w:rPr>
              <w:t>6.2.3</w:t>
            </w:r>
            <w:r>
              <w:rPr>
                <w:rFonts w:ascii="宋体" w:hAnsi="宋体" w:hint="eastAsia"/>
                <w:b/>
                <w:color w:val="auto"/>
                <w:sz w:val="21"/>
                <w:szCs w:val="21"/>
              </w:rPr>
              <w:t>防机械伤害安全防范措施</w:t>
            </w:r>
            <w:bookmarkEnd w:id="303"/>
          </w:p>
        </w:tc>
      </w:tr>
      <w:tr w:rsidR="009219A0" w14:paraId="24E681FA" w14:textId="77777777">
        <w:trPr>
          <w:trHeight w:val="340"/>
        </w:trPr>
        <w:tc>
          <w:tcPr>
            <w:tcW w:w="649" w:type="dxa"/>
            <w:vMerge w:val="restart"/>
          </w:tcPr>
          <w:p w14:paraId="481E08F9"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434B1BE3" w14:textId="77777777" w:rsidR="009219A0" w:rsidRDefault="00000000">
            <w:pPr>
              <w:adjustRightInd/>
              <w:snapToGrid/>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本项目机械伤害可能发生的主要区域为：各种设备转（传）动处等。</w:t>
            </w:r>
          </w:p>
          <w:p w14:paraId="3379AEBB" w14:textId="77777777" w:rsidR="009219A0" w:rsidRDefault="00000000">
            <w:pPr>
              <w:adjustRightInd/>
              <w:snapToGrid/>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（1）应按照《生产设备安全卫生设计总则》（GB5083-1999）、《机械安全机械设计的卫生要求》（GB/T 19891-2005）、《机械安全防止上下肢触及危险区的安全距离》（GB 23821-2022）、《机械安全与人体部位接近速度相关防护设施的定位》（GB/T 19876-2012）等标准规范的要求对涉及的机械设备进行设计。</w:t>
            </w:r>
          </w:p>
        </w:tc>
        <w:tc>
          <w:tcPr>
            <w:tcW w:w="2410" w:type="dxa"/>
          </w:tcPr>
          <w:p w14:paraId="5E30F88D"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bCs/>
                <w:color w:val="auto"/>
                <w:sz w:val="21"/>
                <w:szCs w:val="21"/>
              </w:rPr>
              <w:t>项目按要求对涉及的机械设备进行设计。现场机泵设备转（传）动处设置了防护罩、防护栏。</w:t>
            </w:r>
          </w:p>
        </w:tc>
        <w:tc>
          <w:tcPr>
            <w:tcW w:w="653" w:type="dxa"/>
          </w:tcPr>
          <w:p w14:paraId="17BC110B"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78CDA0A2" w14:textId="77777777">
        <w:trPr>
          <w:trHeight w:val="340"/>
        </w:trPr>
        <w:tc>
          <w:tcPr>
            <w:tcW w:w="649" w:type="dxa"/>
            <w:vMerge/>
          </w:tcPr>
          <w:p w14:paraId="3A152964"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58E1A570" w14:textId="77777777" w:rsidR="009219A0" w:rsidRDefault="00000000">
            <w:pPr>
              <w:adjustRightInd/>
              <w:snapToGrid/>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（2）机械设备的转（传）动外露部分均设置防护罩或防护栏杆。操作人员在设备运行时可能触及的可动零部件，配置必要的安全防护装置和安全警示标志。</w:t>
            </w:r>
          </w:p>
        </w:tc>
        <w:tc>
          <w:tcPr>
            <w:tcW w:w="2410" w:type="dxa"/>
          </w:tcPr>
          <w:p w14:paraId="639497CC"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bCs/>
                <w:color w:val="auto"/>
                <w:sz w:val="21"/>
                <w:szCs w:val="21"/>
              </w:rPr>
              <w:t>现场转动机械设备设置有防护罩、防护栏杆，但安全警示标志不足。</w:t>
            </w:r>
          </w:p>
        </w:tc>
        <w:tc>
          <w:tcPr>
            <w:tcW w:w="653" w:type="dxa"/>
          </w:tcPr>
          <w:p w14:paraId="56904C58"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部分符合</w:t>
            </w:r>
          </w:p>
        </w:tc>
      </w:tr>
      <w:tr w:rsidR="009219A0" w14:paraId="7AF0C14C" w14:textId="77777777">
        <w:trPr>
          <w:trHeight w:val="340"/>
        </w:trPr>
        <w:tc>
          <w:tcPr>
            <w:tcW w:w="649" w:type="dxa"/>
            <w:vMerge/>
          </w:tcPr>
          <w:p w14:paraId="039870CC"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0A2C0506" w14:textId="77777777" w:rsidR="009219A0" w:rsidRDefault="00000000">
            <w:pPr>
              <w:adjustRightInd/>
              <w:snapToGrid/>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（3）机械设备的开关布局合理，设置便于操作</w:t>
            </w:r>
            <w:proofErr w:type="gramStart"/>
            <w:r>
              <w:rPr>
                <w:rFonts w:ascii="宋体" w:hAnsi="宋体" w:hint="eastAsia"/>
                <w:bCs/>
                <w:color w:val="auto"/>
                <w:sz w:val="21"/>
                <w:szCs w:val="21"/>
              </w:rPr>
              <w:t>的紧停按钮</w:t>
            </w:r>
            <w:proofErr w:type="gramEnd"/>
            <w:r>
              <w:rPr>
                <w:rFonts w:ascii="宋体" w:hAnsi="宋体" w:hint="eastAsia"/>
                <w:bCs/>
                <w:color w:val="auto"/>
                <w:sz w:val="21"/>
                <w:szCs w:val="21"/>
              </w:rPr>
              <w:t>，避免误开动其他设备。</w:t>
            </w:r>
          </w:p>
        </w:tc>
        <w:tc>
          <w:tcPr>
            <w:tcW w:w="2410" w:type="dxa"/>
          </w:tcPr>
          <w:p w14:paraId="55C9728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bCs/>
                <w:color w:val="auto"/>
                <w:sz w:val="21"/>
                <w:szCs w:val="21"/>
              </w:rPr>
              <w:t>机械设备的开关布局合理，皮带机设置了紧急拉断装置。</w:t>
            </w:r>
          </w:p>
        </w:tc>
        <w:tc>
          <w:tcPr>
            <w:tcW w:w="653" w:type="dxa"/>
          </w:tcPr>
          <w:p w14:paraId="2C3B5320"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15D1CE88" w14:textId="77777777">
        <w:trPr>
          <w:trHeight w:val="340"/>
        </w:trPr>
        <w:tc>
          <w:tcPr>
            <w:tcW w:w="649" w:type="dxa"/>
            <w:vMerge/>
          </w:tcPr>
          <w:p w14:paraId="0134762D"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54A64FAC" w14:textId="77777777" w:rsidR="009219A0" w:rsidRDefault="00000000">
            <w:pPr>
              <w:adjustRightInd/>
              <w:snapToGrid/>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（4）泵的联轴器等设备转（传）动外露装置处设置有效的机械防护装置，如防护罩、防护网等；设备控制</w:t>
            </w:r>
            <w:proofErr w:type="gramStart"/>
            <w:r>
              <w:rPr>
                <w:rFonts w:ascii="宋体" w:hAnsi="宋体" w:hint="eastAsia"/>
                <w:bCs/>
                <w:color w:val="auto"/>
                <w:sz w:val="21"/>
                <w:szCs w:val="21"/>
              </w:rPr>
              <w:t>柜设置</w:t>
            </w:r>
            <w:proofErr w:type="gramEnd"/>
            <w:r>
              <w:rPr>
                <w:rFonts w:ascii="宋体" w:hAnsi="宋体" w:hint="eastAsia"/>
                <w:bCs/>
                <w:color w:val="auto"/>
                <w:sz w:val="21"/>
                <w:szCs w:val="21"/>
              </w:rPr>
              <w:t>紧急停车按钮。凡离地面高度不足2m的传动部分，必须安装防护罩。</w:t>
            </w:r>
          </w:p>
        </w:tc>
        <w:tc>
          <w:tcPr>
            <w:tcW w:w="2410" w:type="dxa"/>
          </w:tcPr>
          <w:p w14:paraId="0B4B639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bCs/>
                <w:color w:val="auto"/>
                <w:sz w:val="21"/>
                <w:szCs w:val="21"/>
              </w:rPr>
              <w:t>现场转动机械设备设置有防护罩、防护栏杆。</w:t>
            </w:r>
          </w:p>
        </w:tc>
        <w:tc>
          <w:tcPr>
            <w:tcW w:w="653" w:type="dxa"/>
          </w:tcPr>
          <w:p w14:paraId="66383839"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A050C29" w14:textId="77777777">
        <w:trPr>
          <w:trHeight w:val="340"/>
        </w:trPr>
        <w:tc>
          <w:tcPr>
            <w:tcW w:w="649" w:type="dxa"/>
            <w:vMerge/>
          </w:tcPr>
          <w:p w14:paraId="2CECF97F"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1A2C388F" w14:textId="77777777" w:rsidR="009219A0" w:rsidRDefault="00000000">
            <w:pPr>
              <w:adjustRightInd/>
              <w:snapToGrid/>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（5）转动设备的清扫、加油、检修和内部检查，必须停止设备运转，切断电源并挂上检修牌，方可进行作业。</w:t>
            </w:r>
          </w:p>
        </w:tc>
        <w:tc>
          <w:tcPr>
            <w:tcW w:w="2410" w:type="dxa"/>
          </w:tcPr>
          <w:p w14:paraId="2D827B00"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企业已制定机械设备安全操作规程，并进行培训</w:t>
            </w:r>
            <w:r>
              <w:rPr>
                <w:rFonts w:ascii="宋体" w:hAnsi="宋体" w:cs="宋体" w:hint="eastAsia"/>
                <w:color w:val="auto"/>
                <w:sz w:val="21"/>
                <w:szCs w:val="21"/>
              </w:rPr>
              <w:t>。</w:t>
            </w:r>
          </w:p>
        </w:tc>
        <w:tc>
          <w:tcPr>
            <w:tcW w:w="653" w:type="dxa"/>
          </w:tcPr>
          <w:p w14:paraId="01B5798F"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16FE3CD" w14:textId="77777777">
        <w:trPr>
          <w:trHeight w:val="340"/>
        </w:trPr>
        <w:tc>
          <w:tcPr>
            <w:tcW w:w="649" w:type="dxa"/>
            <w:vMerge/>
          </w:tcPr>
          <w:p w14:paraId="1EB056FE"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E060D6F" w14:textId="77777777" w:rsidR="009219A0" w:rsidRDefault="00000000">
            <w:pPr>
              <w:adjustRightInd/>
              <w:snapToGrid/>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（6）人员操作旋转的设备时，必须规范着装，扎紧袖口，束紧衣襟，严禁穿戴围巾或敞开衣服操作旋转的设备。</w:t>
            </w:r>
          </w:p>
        </w:tc>
        <w:tc>
          <w:tcPr>
            <w:tcW w:w="2410" w:type="dxa"/>
          </w:tcPr>
          <w:p w14:paraId="793E603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企业已制定机械设备安全操作规程，并进行培训</w:t>
            </w:r>
            <w:r>
              <w:rPr>
                <w:rFonts w:ascii="宋体" w:hAnsi="宋体" w:cs="宋体" w:hint="eastAsia"/>
                <w:color w:val="auto"/>
                <w:sz w:val="21"/>
                <w:szCs w:val="21"/>
              </w:rPr>
              <w:t>。</w:t>
            </w:r>
          </w:p>
        </w:tc>
        <w:tc>
          <w:tcPr>
            <w:tcW w:w="653" w:type="dxa"/>
          </w:tcPr>
          <w:p w14:paraId="68FF33B7"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437A9DA" w14:textId="77777777">
        <w:trPr>
          <w:trHeight w:val="340"/>
        </w:trPr>
        <w:tc>
          <w:tcPr>
            <w:tcW w:w="649" w:type="dxa"/>
            <w:vMerge/>
          </w:tcPr>
          <w:p w14:paraId="5C82EDA9"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25E46375" w14:textId="77777777" w:rsidR="009219A0" w:rsidRDefault="00000000">
            <w:pPr>
              <w:adjustRightInd/>
              <w:snapToGrid/>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（7）制定机械设备安全操作规程，设备操作人员必须经过相关设备安全操作培训，严格按照安全操作规程操作各机械设备。</w:t>
            </w:r>
          </w:p>
        </w:tc>
        <w:tc>
          <w:tcPr>
            <w:tcW w:w="2410" w:type="dxa"/>
          </w:tcPr>
          <w:p w14:paraId="45C84B08"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企业已制定机械设备安全操作规程，并进行培训</w:t>
            </w:r>
            <w:r>
              <w:rPr>
                <w:rFonts w:ascii="宋体" w:hAnsi="宋体" w:cs="宋体" w:hint="eastAsia"/>
                <w:color w:val="auto"/>
                <w:sz w:val="21"/>
                <w:szCs w:val="21"/>
              </w:rPr>
              <w:t>。</w:t>
            </w:r>
          </w:p>
        </w:tc>
        <w:tc>
          <w:tcPr>
            <w:tcW w:w="653" w:type="dxa"/>
          </w:tcPr>
          <w:p w14:paraId="2FF34F58"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A3FA550" w14:textId="77777777">
        <w:trPr>
          <w:trHeight w:val="340"/>
        </w:trPr>
        <w:tc>
          <w:tcPr>
            <w:tcW w:w="649" w:type="dxa"/>
            <w:vMerge/>
          </w:tcPr>
          <w:p w14:paraId="067BE398"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59D6F810" w14:textId="77777777" w:rsidR="009219A0" w:rsidRDefault="00000000">
            <w:pPr>
              <w:adjustRightInd/>
              <w:snapToGrid/>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（8）实验室制定实验试剂和设备安全管理制度，非实验室工作人员未经负责人允许不得进入实验室，更不得接触实验室设备和试剂。</w:t>
            </w:r>
          </w:p>
        </w:tc>
        <w:tc>
          <w:tcPr>
            <w:tcW w:w="2410" w:type="dxa"/>
          </w:tcPr>
          <w:p w14:paraId="26F76058"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实验室已制定相关安全管理制度。</w:t>
            </w:r>
          </w:p>
        </w:tc>
        <w:tc>
          <w:tcPr>
            <w:tcW w:w="653" w:type="dxa"/>
          </w:tcPr>
          <w:p w14:paraId="7B37E45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65CB85B6" w14:textId="77777777">
        <w:trPr>
          <w:trHeight w:val="340"/>
        </w:trPr>
        <w:tc>
          <w:tcPr>
            <w:tcW w:w="9072" w:type="dxa"/>
            <w:gridSpan w:val="4"/>
          </w:tcPr>
          <w:p w14:paraId="66B5C175" w14:textId="77777777" w:rsidR="009219A0" w:rsidRDefault="00000000">
            <w:pPr>
              <w:adjustRightInd/>
              <w:spacing w:line="240" w:lineRule="auto"/>
              <w:ind w:firstLineChars="0" w:firstLine="0"/>
              <w:rPr>
                <w:rFonts w:ascii="宋体" w:hAnsi="宋体" w:cs="宋体" w:hint="eastAsia"/>
                <w:b/>
                <w:color w:val="auto"/>
                <w:sz w:val="21"/>
                <w:szCs w:val="21"/>
              </w:rPr>
            </w:pPr>
            <w:r>
              <w:rPr>
                <w:rFonts w:ascii="宋体" w:hAnsi="宋体" w:cs="宋体" w:hint="eastAsia"/>
                <w:b/>
                <w:color w:val="auto"/>
                <w:sz w:val="21"/>
                <w:szCs w:val="21"/>
              </w:rPr>
              <w:t>6.2.4 防灼烫安全防范措施</w:t>
            </w:r>
          </w:p>
        </w:tc>
      </w:tr>
      <w:tr w:rsidR="009219A0" w14:paraId="1AC5C4F9" w14:textId="77777777">
        <w:trPr>
          <w:trHeight w:val="340"/>
        </w:trPr>
        <w:tc>
          <w:tcPr>
            <w:tcW w:w="649" w:type="dxa"/>
            <w:vMerge w:val="restart"/>
          </w:tcPr>
          <w:p w14:paraId="4BD579A6"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57A8A9AC" w14:textId="77777777" w:rsidR="009219A0" w:rsidRDefault="00000000">
            <w:pPr>
              <w:adjustRightInd/>
              <w:snapToGrid/>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本项目灼烫危险可能发生的主要区域为：高温设备周围等。</w:t>
            </w:r>
          </w:p>
          <w:p w14:paraId="7C82198D" w14:textId="77777777" w:rsidR="009219A0" w:rsidRDefault="00000000">
            <w:pPr>
              <w:adjustRightInd/>
              <w:snapToGrid/>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（1）可能发生灼烫的作业场所、人员可能接触的部位设置“当心灼烫”安全警示标志，并为作业人员配备防灼烫个体劳动防护用品。</w:t>
            </w:r>
          </w:p>
        </w:tc>
        <w:tc>
          <w:tcPr>
            <w:tcW w:w="2410" w:type="dxa"/>
          </w:tcPr>
          <w:p w14:paraId="261B2FE8"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已为作业人员</w:t>
            </w:r>
            <w:proofErr w:type="gramStart"/>
            <w:r>
              <w:rPr>
                <w:rFonts w:ascii="宋体" w:hAnsi="宋体" w:cs="宋体"/>
                <w:color w:val="auto"/>
                <w:sz w:val="21"/>
                <w:szCs w:val="21"/>
              </w:rPr>
              <w:t>配备防灼烫手</w:t>
            </w:r>
            <w:proofErr w:type="gramEnd"/>
            <w:r>
              <w:rPr>
                <w:rFonts w:ascii="宋体" w:hAnsi="宋体" w:cs="宋体"/>
                <w:color w:val="auto"/>
                <w:sz w:val="21"/>
                <w:szCs w:val="21"/>
              </w:rPr>
              <w:t>套等防护用品，但现场可能发生灼烫作业场所未设置“当心灼烫”安全警示标识。</w:t>
            </w:r>
          </w:p>
        </w:tc>
        <w:tc>
          <w:tcPr>
            <w:tcW w:w="653" w:type="dxa"/>
          </w:tcPr>
          <w:p w14:paraId="7C09B084"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部分符合</w:t>
            </w:r>
          </w:p>
        </w:tc>
      </w:tr>
      <w:tr w:rsidR="009219A0" w14:paraId="166531C7" w14:textId="77777777">
        <w:trPr>
          <w:trHeight w:val="340"/>
        </w:trPr>
        <w:tc>
          <w:tcPr>
            <w:tcW w:w="649" w:type="dxa"/>
            <w:vMerge/>
          </w:tcPr>
          <w:p w14:paraId="3022323D"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2AEE2754" w14:textId="77777777" w:rsidR="009219A0" w:rsidRDefault="00000000">
            <w:pPr>
              <w:adjustRightInd/>
              <w:snapToGrid/>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（2）工作人员对高温设备进行检维修作业或接触高温设备时，采用测温枪测量以后，确保设备完全冷却，再进行作业。</w:t>
            </w:r>
          </w:p>
        </w:tc>
        <w:tc>
          <w:tcPr>
            <w:tcW w:w="2410" w:type="dxa"/>
          </w:tcPr>
          <w:p w14:paraId="0D677AD7" w14:textId="77777777" w:rsidR="009219A0" w:rsidRDefault="00000000">
            <w:pPr>
              <w:adjustRightInd/>
              <w:spacing w:line="240" w:lineRule="auto"/>
              <w:ind w:firstLineChars="0" w:firstLine="0"/>
              <w:rPr>
                <w:rFonts w:ascii="宋体" w:hAnsi="宋体" w:cs="宋体" w:hint="eastAsia"/>
                <w:color w:val="auto"/>
                <w:sz w:val="21"/>
                <w:szCs w:val="21"/>
              </w:rPr>
            </w:pPr>
            <w:proofErr w:type="gramStart"/>
            <w:r>
              <w:rPr>
                <w:rFonts w:ascii="宋体" w:hAnsi="宋体" w:hint="eastAsia"/>
                <w:color w:val="auto"/>
                <w:sz w:val="21"/>
                <w:szCs w:val="21"/>
              </w:rPr>
              <w:t>创源公司</w:t>
            </w:r>
            <w:proofErr w:type="gramEnd"/>
            <w:r>
              <w:rPr>
                <w:rFonts w:ascii="宋体" w:hAnsi="宋体" w:hint="eastAsia"/>
                <w:color w:val="auto"/>
                <w:sz w:val="21"/>
                <w:szCs w:val="21"/>
              </w:rPr>
              <w:t>建立有检维修安全操作规程。</w:t>
            </w:r>
          </w:p>
        </w:tc>
        <w:tc>
          <w:tcPr>
            <w:tcW w:w="653" w:type="dxa"/>
          </w:tcPr>
          <w:p w14:paraId="55E03BDB"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6C4DD83E" w14:textId="77777777">
        <w:trPr>
          <w:trHeight w:val="340"/>
        </w:trPr>
        <w:tc>
          <w:tcPr>
            <w:tcW w:w="649" w:type="dxa"/>
            <w:vMerge/>
          </w:tcPr>
          <w:p w14:paraId="43336461"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259EA2D9" w14:textId="77777777" w:rsidR="009219A0" w:rsidRDefault="00000000">
            <w:pPr>
              <w:adjustRightInd/>
              <w:snapToGrid/>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（3）为焊接作业人员配发防护面罩、防护手套、防护服</w:t>
            </w:r>
            <w:r>
              <w:rPr>
                <w:rFonts w:ascii="宋体" w:hAnsi="宋体" w:hint="eastAsia"/>
                <w:bCs/>
                <w:color w:val="auto"/>
                <w:sz w:val="21"/>
                <w:szCs w:val="21"/>
              </w:rPr>
              <w:lastRenderedPageBreak/>
              <w:t>等劳动防护用品。</w:t>
            </w:r>
          </w:p>
        </w:tc>
        <w:tc>
          <w:tcPr>
            <w:tcW w:w="2410" w:type="dxa"/>
          </w:tcPr>
          <w:p w14:paraId="51DA2EDB"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bCs/>
                <w:color w:val="auto"/>
                <w:sz w:val="21"/>
                <w:szCs w:val="21"/>
              </w:rPr>
              <w:lastRenderedPageBreak/>
              <w:t>已为焊接作业人员配发</w:t>
            </w:r>
            <w:r>
              <w:rPr>
                <w:rFonts w:ascii="宋体" w:hAnsi="宋体" w:hint="eastAsia"/>
                <w:bCs/>
                <w:color w:val="auto"/>
                <w:sz w:val="21"/>
                <w:szCs w:val="21"/>
              </w:rPr>
              <w:lastRenderedPageBreak/>
              <w:t>防护面罩、防护手套、防护服等劳动防护用品。</w:t>
            </w:r>
          </w:p>
        </w:tc>
        <w:tc>
          <w:tcPr>
            <w:tcW w:w="653" w:type="dxa"/>
          </w:tcPr>
          <w:p w14:paraId="3A446119"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lastRenderedPageBreak/>
              <w:t>符合</w:t>
            </w:r>
          </w:p>
        </w:tc>
      </w:tr>
      <w:tr w:rsidR="009219A0" w14:paraId="66528701" w14:textId="77777777">
        <w:trPr>
          <w:trHeight w:val="340"/>
        </w:trPr>
        <w:tc>
          <w:tcPr>
            <w:tcW w:w="649" w:type="dxa"/>
            <w:vMerge/>
          </w:tcPr>
          <w:p w14:paraId="016DAC67"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77B91DB" w14:textId="77777777" w:rsidR="009219A0" w:rsidRDefault="00000000">
            <w:pPr>
              <w:adjustRightInd/>
              <w:snapToGrid/>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（4）制定机械设备安全操作规程，设备操作人员必须经过相关设备安全操作培训，严格按照安全操作规程操作各机械设备。</w:t>
            </w:r>
          </w:p>
        </w:tc>
        <w:tc>
          <w:tcPr>
            <w:tcW w:w="2410" w:type="dxa"/>
          </w:tcPr>
          <w:p w14:paraId="0A975F5F" w14:textId="77777777" w:rsidR="009219A0" w:rsidRDefault="00000000">
            <w:pPr>
              <w:adjustRightInd/>
              <w:spacing w:line="240" w:lineRule="auto"/>
              <w:ind w:firstLineChars="0" w:firstLine="0"/>
              <w:rPr>
                <w:rFonts w:ascii="宋体" w:hAnsi="宋体" w:cs="宋体" w:hint="eastAsia"/>
                <w:color w:val="auto"/>
                <w:sz w:val="21"/>
                <w:szCs w:val="21"/>
              </w:rPr>
            </w:pPr>
            <w:proofErr w:type="gramStart"/>
            <w:r>
              <w:rPr>
                <w:rFonts w:ascii="宋体" w:hAnsi="宋体" w:hint="eastAsia"/>
                <w:color w:val="auto"/>
                <w:sz w:val="21"/>
                <w:szCs w:val="21"/>
              </w:rPr>
              <w:t>创源公司</w:t>
            </w:r>
            <w:proofErr w:type="gramEnd"/>
            <w:r>
              <w:rPr>
                <w:rFonts w:ascii="宋体" w:hAnsi="宋体" w:hint="eastAsia"/>
                <w:color w:val="auto"/>
                <w:sz w:val="21"/>
                <w:szCs w:val="21"/>
              </w:rPr>
              <w:t>建立有</w:t>
            </w:r>
            <w:r>
              <w:rPr>
                <w:rFonts w:ascii="宋体" w:hAnsi="宋体" w:hint="eastAsia"/>
                <w:bCs/>
                <w:color w:val="auto"/>
                <w:sz w:val="21"/>
                <w:szCs w:val="21"/>
              </w:rPr>
              <w:t>机械设备</w:t>
            </w:r>
            <w:r>
              <w:rPr>
                <w:rFonts w:ascii="宋体" w:hAnsi="宋体" w:hint="eastAsia"/>
                <w:color w:val="auto"/>
                <w:sz w:val="21"/>
                <w:szCs w:val="21"/>
              </w:rPr>
              <w:t>安全操作规程。</w:t>
            </w:r>
          </w:p>
        </w:tc>
        <w:tc>
          <w:tcPr>
            <w:tcW w:w="653" w:type="dxa"/>
          </w:tcPr>
          <w:p w14:paraId="6C327229"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B41902E" w14:textId="77777777">
        <w:trPr>
          <w:trHeight w:val="340"/>
        </w:trPr>
        <w:tc>
          <w:tcPr>
            <w:tcW w:w="9072" w:type="dxa"/>
            <w:gridSpan w:val="4"/>
          </w:tcPr>
          <w:p w14:paraId="071211CD" w14:textId="77777777" w:rsidR="009219A0" w:rsidRDefault="00000000">
            <w:pPr>
              <w:adjustRightInd/>
              <w:spacing w:line="240" w:lineRule="auto"/>
              <w:ind w:firstLineChars="0" w:firstLine="0"/>
              <w:rPr>
                <w:rFonts w:ascii="宋体" w:hAnsi="宋体" w:cs="宋体" w:hint="eastAsia"/>
                <w:b/>
                <w:color w:val="auto"/>
                <w:sz w:val="21"/>
                <w:szCs w:val="21"/>
              </w:rPr>
            </w:pPr>
            <w:bookmarkStart w:id="304" w:name="_Toc54802496"/>
            <w:r>
              <w:rPr>
                <w:rFonts w:ascii="宋体" w:hAnsi="宋体" w:hint="eastAsia"/>
                <w:b/>
                <w:bCs/>
                <w:color w:val="auto"/>
                <w:sz w:val="21"/>
                <w:szCs w:val="21"/>
              </w:rPr>
              <w:t>6.2.5</w:t>
            </w:r>
            <w:r>
              <w:rPr>
                <w:rFonts w:ascii="宋体" w:hAnsi="宋体" w:hint="eastAsia"/>
                <w:b/>
                <w:color w:val="auto"/>
                <w:sz w:val="21"/>
                <w:szCs w:val="21"/>
              </w:rPr>
              <w:t>防触电安全防范措施</w:t>
            </w:r>
            <w:bookmarkEnd w:id="304"/>
          </w:p>
        </w:tc>
      </w:tr>
      <w:tr w:rsidR="009219A0" w14:paraId="16D66DEB" w14:textId="77777777">
        <w:trPr>
          <w:trHeight w:val="340"/>
        </w:trPr>
        <w:tc>
          <w:tcPr>
            <w:tcW w:w="649" w:type="dxa"/>
            <w:vMerge w:val="restart"/>
          </w:tcPr>
          <w:p w14:paraId="7D452314"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05FA575"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（1）供配电系统严格按照《供配电系统设计规范》（GB50052-2009）、《低压配电设计规范》（GB50054-2011）、《通用用电设备配电设计规范》（GB50055-2011）等国家标准规范进行设计。</w:t>
            </w:r>
          </w:p>
        </w:tc>
        <w:tc>
          <w:tcPr>
            <w:tcW w:w="2410" w:type="dxa"/>
          </w:tcPr>
          <w:p w14:paraId="505B689F"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项目由有资质的单位进行设计。</w:t>
            </w:r>
          </w:p>
        </w:tc>
        <w:tc>
          <w:tcPr>
            <w:tcW w:w="653" w:type="dxa"/>
          </w:tcPr>
          <w:p w14:paraId="5DC983E9"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98A01CA" w14:textId="77777777">
        <w:trPr>
          <w:trHeight w:val="340"/>
        </w:trPr>
        <w:tc>
          <w:tcPr>
            <w:tcW w:w="649" w:type="dxa"/>
            <w:vMerge/>
          </w:tcPr>
          <w:p w14:paraId="3B4395E8"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2ADAAE57"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（2）供配电设施采取可靠的保护接零或保护接地系统。</w:t>
            </w:r>
          </w:p>
        </w:tc>
        <w:tc>
          <w:tcPr>
            <w:tcW w:w="2410" w:type="dxa"/>
          </w:tcPr>
          <w:p w14:paraId="225EF6E8"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供配电设施采取可靠的保护接地系统。</w:t>
            </w:r>
          </w:p>
        </w:tc>
        <w:tc>
          <w:tcPr>
            <w:tcW w:w="653" w:type="dxa"/>
          </w:tcPr>
          <w:p w14:paraId="3032D7B5"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45D0C35" w14:textId="77777777">
        <w:trPr>
          <w:trHeight w:val="340"/>
        </w:trPr>
        <w:tc>
          <w:tcPr>
            <w:tcW w:w="649" w:type="dxa"/>
            <w:vMerge/>
          </w:tcPr>
          <w:p w14:paraId="2E735D5A"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1AD11DAA"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（3）在可能导致触电的地点（如开关、配电箱等），悬挂标示牌和装设防护盖。</w:t>
            </w:r>
          </w:p>
        </w:tc>
        <w:tc>
          <w:tcPr>
            <w:tcW w:w="2410" w:type="dxa"/>
          </w:tcPr>
          <w:p w14:paraId="636BBFAC"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现场悬挂“有电危险”标示牌。</w:t>
            </w:r>
          </w:p>
        </w:tc>
        <w:tc>
          <w:tcPr>
            <w:tcW w:w="653" w:type="dxa"/>
          </w:tcPr>
          <w:p w14:paraId="37A51D2D"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6AB9C0A3" w14:textId="77777777">
        <w:trPr>
          <w:trHeight w:val="340"/>
        </w:trPr>
        <w:tc>
          <w:tcPr>
            <w:tcW w:w="649" w:type="dxa"/>
            <w:vMerge/>
          </w:tcPr>
          <w:p w14:paraId="10AA2453"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A403A2C"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（4）当电气设备采用超过安全电压的电源时，采取防止直接接触带电体的保护措施。</w:t>
            </w:r>
          </w:p>
        </w:tc>
        <w:tc>
          <w:tcPr>
            <w:tcW w:w="2410" w:type="dxa"/>
          </w:tcPr>
          <w:p w14:paraId="3D04A8C3"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电气设备有防止直接接触带电体的保护措施。</w:t>
            </w:r>
          </w:p>
        </w:tc>
        <w:tc>
          <w:tcPr>
            <w:tcW w:w="653" w:type="dxa"/>
          </w:tcPr>
          <w:p w14:paraId="76CB2790"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6B7BA052" w14:textId="77777777">
        <w:trPr>
          <w:trHeight w:val="340"/>
        </w:trPr>
        <w:tc>
          <w:tcPr>
            <w:tcW w:w="649" w:type="dxa"/>
            <w:vMerge/>
          </w:tcPr>
          <w:p w14:paraId="73201AD5"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1B2539E"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（5）配电箱手柄</w:t>
            </w:r>
            <w:proofErr w:type="gramStart"/>
            <w:r>
              <w:rPr>
                <w:rFonts w:ascii="宋体" w:hAnsi="宋体" w:hint="eastAsia"/>
                <w:color w:val="auto"/>
                <w:sz w:val="21"/>
                <w:szCs w:val="21"/>
              </w:rPr>
              <w:t>须操作</w:t>
            </w:r>
            <w:proofErr w:type="gramEnd"/>
            <w:r>
              <w:rPr>
                <w:rFonts w:ascii="宋体" w:hAnsi="宋体" w:hint="eastAsia"/>
                <w:color w:val="auto"/>
                <w:sz w:val="21"/>
                <w:szCs w:val="21"/>
              </w:rPr>
              <w:t>灵活，动作可靠。</w:t>
            </w:r>
          </w:p>
        </w:tc>
        <w:tc>
          <w:tcPr>
            <w:tcW w:w="2410" w:type="dxa"/>
          </w:tcPr>
          <w:p w14:paraId="213EA027"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配电箱手柄操作灵活，动作可靠。</w:t>
            </w:r>
          </w:p>
        </w:tc>
        <w:tc>
          <w:tcPr>
            <w:tcW w:w="653" w:type="dxa"/>
          </w:tcPr>
          <w:p w14:paraId="7A92C424"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3B7B41A7" w14:textId="77777777">
        <w:trPr>
          <w:trHeight w:val="340"/>
        </w:trPr>
        <w:tc>
          <w:tcPr>
            <w:tcW w:w="649" w:type="dxa"/>
            <w:vMerge/>
          </w:tcPr>
          <w:p w14:paraId="00C264C0"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C9FD013"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（6）移动式电气设备采用漏电保护装置。</w:t>
            </w:r>
          </w:p>
        </w:tc>
        <w:tc>
          <w:tcPr>
            <w:tcW w:w="2410" w:type="dxa"/>
          </w:tcPr>
          <w:p w14:paraId="59FE36D4"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移动式电气设备采用漏电保护装置。</w:t>
            </w:r>
          </w:p>
        </w:tc>
        <w:tc>
          <w:tcPr>
            <w:tcW w:w="653" w:type="dxa"/>
          </w:tcPr>
          <w:p w14:paraId="088A44BA"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73813225" w14:textId="77777777">
        <w:trPr>
          <w:trHeight w:val="340"/>
        </w:trPr>
        <w:tc>
          <w:tcPr>
            <w:tcW w:w="649" w:type="dxa"/>
            <w:vMerge/>
          </w:tcPr>
          <w:p w14:paraId="02927259"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4739692B"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（7）电气作业由持有相应资格证书的作业人员承担，并按要求为其配置绝缘靴、绝缘手套、绝缘杆等工器具。</w:t>
            </w:r>
          </w:p>
        </w:tc>
        <w:tc>
          <w:tcPr>
            <w:tcW w:w="2410" w:type="dxa"/>
          </w:tcPr>
          <w:p w14:paraId="0084703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电气作业</w:t>
            </w:r>
            <w:proofErr w:type="gramStart"/>
            <w:r>
              <w:rPr>
                <w:rFonts w:ascii="宋体" w:hAnsi="宋体" w:hint="eastAsia"/>
                <w:color w:val="auto"/>
                <w:sz w:val="21"/>
                <w:szCs w:val="21"/>
              </w:rPr>
              <w:t>依托创源公司</w:t>
            </w:r>
            <w:proofErr w:type="gramEnd"/>
            <w:r>
              <w:rPr>
                <w:rFonts w:ascii="宋体" w:hAnsi="宋体" w:hint="eastAsia"/>
                <w:color w:val="auto"/>
                <w:sz w:val="21"/>
                <w:szCs w:val="21"/>
              </w:rPr>
              <w:t>持证人员承担，已按要求为电气工作人员配备绝缘靴、绝缘手套、绝缘杆等工器具。</w:t>
            </w:r>
          </w:p>
        </w:tc>
        <w:tc>
          <w:tcPr>
            <w:tcW w:w="653" w:type="dxa"/>
          </w:tcPr>
          <w:p w14:paraId="73D2A7ED"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3E3F022" w14:textId="77777777">
        <w:trPr>
          <w:trHeight w:val="340"/>
        </w:trPr>
        <w:tc>
          <w:tcPr>
            <w:tcW w:w="649" w:type="dxa"/>
            <w:vMerge/>
          </w:tcPr>
          <w:p w14:paraId="3E6DB558" w14:textId="77777777" w:rsidR="009219A0" w:rsidRDefault="009219A0">
            <w:pPr>
              <w:pStyle w:val="11"/>
              <w:numPr>
                <w:ilvl w:val="0"/>
                <w:numId w:val="19"/>
              </w:numPr>
              <w:adjustRightInd/>
              <w:spacing w:line="240" w:lineRule="auto"/>
              <w:ind w:firstLineChars="0" w:firstLine="0"/>
              <w:rPr>
                <w:rFonts w:ascii="宋体" w:hAnsi="宋体" w:cs="宋体" w:hint="eastAsia"/>
                <w:color w:val="auto"/>
                <w:sz w:val="21"/>
                <w:szCs w:val="21"/>
              </w:rPr>
            </w:pPr>
          </w:p>
        </w:tc>
        <w:tc>
          <w:tcPr>
            <w:tcW w:w="5360" w:type="dxa"/>
          </w:tcPr>
          <w:p w14:paraId="11D2CD35"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（8）手持式电动工具使用，在一般作业场所，使用Ⅱ类工具；在潮湿作业场所或金属构架上等导电性能良好的作业场所，使用Ⅱ类或Ⅲ类工具。</w:t>
            </w:r>
          </w:p>
        </w:tc>
        <w:tc>
          <w:tcPr>
            <w:tcW w:w="2410" w:type="dxa"/>
          </w:tcPr>
          <w:p w14:paraId="5F1734BB"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已对企业手持式电动工具的使用</w:t>
            </w:r>
            <w:proofErr w:type="gramStart"/>
            <w:r>
              <w:rPr>
                <w:rFonts w:ascii="宋体" w:hAnsi="宋体" w:hint="eastAsia"/>
                <w:color w:val="auto"/>
                <w:sz w:val="21"/>
                <w:szCs w:val="21"/>
              </w:rPr>
              <w:t>作出</w:t>
            </w:r>
            <w:proofErr w:type="gramEnd"/>
            <w:r>
              <w:rPr>
                <w:rFonts w:ascii="宋体" w:hAnsi="宋体" w:hint="eastAsia"/>
                <w:color w:val="auto"/>
                <w:sz w:val="21"/>
                <w:szCs w:val="21"/>
              </w:rPr>
              <w:t>要求。</w:t>
            </w:r>
          </w:p>
        </w:tc>
        <w:tc>
          <w:tcPr>
            <w:tcW w:w="653" w:type="dxa"/>
          </w:tcPr>
          <w:p w14:paraId="184ED8E8"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79DB85EB" w14:textId="77777777">
        <w:trPr>
          <w:trHeight w:val="340"/>
        </w:trPr>
        <w:tc>
          <w:tcPr>
            <w:tcW w:w="649" w:type="dxa"/>
            <w:vMerge/>
          </w:tcPr>
          <w:p w14:paraId="7A801680" w14:textId="77777777" w:rsidR="009219A0" w:rsidRDefault="009219A0">
            <w:pPr>
              <w:pStyle w:val="11"/>
              <w:numPr>
                <w:ilvl w:val="0"/>
                <w:numId w:val="19"/>
              </w:numPr>
              <w:adjustRightInd/>
              <w:spacing w:line="240" w:lineRule="auto"/>
              <w:ind w:firstLineChars="0" w:firstLine="0"/>
              <w:rPr>
                <w:rFonts w:ascii="宋体" w:hAnsi="宋体" w:cs="宋体" w:hint="eastAsia"/>
                <w:color w:val="auto"/>
                <w:sz w:val="21"/>
                <w:szCs w:val="21"/>
              </w:rPr>
            </w:pPr>
          </w:p>
        </w:tc>
        <w:tc>
          <w:tcPr>
            <w:tcW w:w="5360" w:type="dxa"/>
          </w:tcPr>
          <w:p w14:paraId="1EEC17A6"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（9）落地式配电柜、控制柜处设置绝缘胶垫。</w:t>
            </w:r>
          </w:p>
        </w:tc>
        <w:tc>
          <w:tcPr>
            <w:tcW w:w="2410" w:type="dxa"/>
          </w:tcPr>
          <w:p w14:paraId="62540B8D"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落地式配电柜、控制柜处设置绝缘胶垫。</w:t>
            </w:r>
          </w:p>
        </w:tc>
        <w:tc>
          <w:tcPr>
            <w:tcW w:w="653" w:type="dxa"/>
          </w:tcPr>
          <w:p w14:paraId="4D4C0EAB"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1A2FC5AD" w14:textId="77777777">
        <w:trPr>
          <w:trHeight w:val="340"/>
        </w:trPr>
        <w:tc>
          <w:tcPr>
            <w:tcW w:w="9072" w:type="dxa"/>
            <w:gridSpan w:val="4"/>
          </w:tcPr>
          <w:p w14:paraId="75AD735E" w14:textId="77777777" w:rsidR="009219A0" w:rsidRDefault="00000000">
            <w:pPr>
              <w:adjustRightInd/>
              <w:snapToGrid/>
              <w:spacing w:line="240" w:lineRule="auto"/>
              <w:ind w:firstLineChars="0" w:firstLine="0"/>
              <w:rPr>
                <w:rFonts w:ascii="宋体" w:hAnsi="宋体" w:cs="宋体" w:hint="eastAsia"/>
                <w:color w:val="auto"/>
                <w:sz w:val="21"/>
                <w:szCs w:val="21"/>
              </w:rPr>
            </w:pPr>
            <w:bookmarkStart w:id="305" w:name="_Toc54802498"/>
            <w:r>
              <w:rPr>
                <w:rFonts w:ascii="宋体" w:hAnsi="宋体" w:hint="eastAsia"/>
                <w:b/>
                <w:bCs/>
                <w:color w:val="auto"/>
                <w:sz w:val="21"/>
                <w:szCs w:val="21"/>
              </w:rPr>
              <w:t>6.2.6</w:t>
            </w:r>
            <w:proofErr w:type="gramStart"/>
            <w:r>
              <w:rPr>
                <w:rFonts w:ascii="宋体" w:hAnsi="宋体" w:hint="eastAsia"/>
                <w:b/>
                <w:bCs/>
                <w:color w:val="auto"/>
                <w:sz w:val="21"/>
                <w:szCs w:val="21"/>
              </w:rPr>
              <w:t>防车辆</w:t>
            </w:r>
            <w:proofErr w:type="gramEnd"/>
            <w:r>
              <w:rPr>
                <w:rFonts w:ascii="宋体" w:hAnsi="宋体" w:hint="eastAsia"/>
                <w:b/>
                <w:bCs/>
                <w:color w:val="auto"/>
                <w:sz w:val="21"/>
                <w:szCs w:val="21"/>
              </w:rPr>
              <w:t>伤害安全防范措施</w:t>
            </w:r>
            <w:bookmarkEnd w:id="305"/>
          </w:p>
        </w:tc>
      </w:tr>
      <w:tr w:rsidR="009219A0" w14:paraId="37CC3A42" w14:textId="77777777">
        <w:trPr>
          <w:trHeight w:val="416"/>
        </w:trPr>
        <w:tc>
          <w:tcPr>
            <w:tcW w:w="649" w:type="dxa"/>
            <w:vMerge w:val="restart"/>
          </w:tcPr>
          <w:p w14:paraId="35BF404F"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0512F4F7"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（1）提高员工安全意识，严禁与车辆</w:t>
            </w:r>
            <w:proofErr w:type="gramStart"/>
            <w:r>
              <w:rPr>
                <w:rFonts w:ascii="宋体" w:hAnsi="宋体" w:hint="eastAsia"/>
                <w:color w:val="auto"/>
                <w:sz w:val="21"/>
                <w:szCs w:val="21"/>
              </w:rPr>
              <w:t>抢道及扒跳车</w:t>
            </w:r>
            <w:proofErr w:type="gramEnd"/>
            <w:r>
              <w:rPr>
                <w:rFonts w:ascii="宋体" w:hAnsi="宋体" w:hint="eastAsia"/>
                <w:color w:val="auto"/>
                <w:sz w:val="21"/>
                <w:szCs w:val="21"/>
              </w:rPr>
              <w:t>。</w:t>
            </w:r>
          </w:p>
        </w:tc>
        <w:tc>
          <w:tcPr>
            <w:tcW w:w="2410" w:type="dxa"/>
          </w:tcPr>
          <w:p w14:paraId="434C482D"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企业已进行相关安全培训。</w:t>
            </w:r>
          </w:p>
        </w:tc>
        <w:tc>
          <w:tcPr>
            <w:tcW w:w="653" w:type="dxa"/>
          </w:tcPr>
          <w:p w14:paraId="6079B2C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0D4B714A" w14:textId="77777777">
        <w:trPr>
          <w:trHeight w:val="842"/>
        </w:trPr>
        <w:tc>
          <w:tcPr>
            <w:tcW w:w="649" w:type="dxa"/>
            <w:vMerge/>
          </w:tcPr>
          <w:p w14:paraId="30E3D822"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2FE7683E"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（2）加强安全管理，严禁违章作业、违章调度、无证上岗、酒后驾车等行为。加强作业现场管理，设置现场指挥人员。</w:t>
            </w:r>
          </w:p>
        </w:tc>
        <w:tc>
          <w:tcPr>
            <w:tcW w:w="2410" w:type="dxa"/>
          </w:tcPr>
          <w:p w14:paraId="5B96EED5"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企业已进行相关安全培训。</w:t>
            </w:r>
          </w:p>
        </w:tc>
        <w:tc>
          <w:tcPr>
            <w:tcW w:w="653" w:type="dxa"/>
          </w:tcPr>
          <w:p w14:paraId="48555930"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30CA6E5E" w14:textId="77777777">
        <w:trPr>
          <w:trHeight w:val="981"/>
        </w:trPr>
        <w:tc>
          <w:tcPr>
            <w:tcW w:w="649" w:type="dxa"/>
            <w:vMerge/>
          </w:tcPr>
          <w:p w14:paraId="2245D81C"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C8074CC"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（3）作业前对车辆进行检查，确保运输车辆车况良好。司机持证上岗，严格遵守安全操作规程；精心操作，杜绝操作失误。</w:t>
            </w:r>
          </w:p>
        </w:tc>
        <w:tc>
          <w:tcPr>
            <w:tcW w:w="2410" w:type="dxa"/>
          </w:tcPr>
          <w:p w14:paraId="170DB305"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企业已进行相关安全培训。</w:t>
            </w:r>
          </w:p>
        </w:tc>
        <w:tc>
          <w:tcPr>
            <w:tcW w:w="653" w:type="dxa"/>
          </w:tcPr>
          <w:p w14:paraId="03997281"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05B5D983" w14:textId="77777777">
        <w:trPr>
          <w:trHeight w:val="565"/>
        </w:trPr>
        <w:tc>
          <w:tcPr>
            <w:tcW w:w="649" w:type="dxa"/>
            <w:vMerge/>
          </w:tcPr>
          <w:p w14:paraId="60F8EC21"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4887A1FA"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（4）装车时，禁止检查、维护车辆；驾驶员不得将头和手臂伸出驾驶室外。</w:t>
            </w:r>
          </w:p>
        </w:tc>
        <w:tc>
          <w:tcPr>
            <w:tcW w:w="2410" w:type="dxa"/>
          </w:tcPr>
          <w:p w14:paraId="165DD48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企业已进行相关安全培训。</w:t>
            </w:r>
          </w:p>
        </w:tc>
        <w:tc>
          <w:tcPr>
            <w:tcW w:w="653" w:type="dxa"/>
          </w:tcPr>
          <w:p w14:paraId="28B0122C"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013B5833" w14:textId="77777777">
        <w:trPr>
          <w:trHeight w:val="1132"/>
        </w:trPr>
        <w:tc>
          <w:tcPr>
            <w:tcW w:w="649" w:type="dxa"/>
            <w:vMerge/>
          </w:tcPr>
          <w:p w14:paraId="2C661A8F"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4159A9E"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（5）在进入厂内的道路弯度、坡度较大的地方设置球面镜、减速带及相关的安全警示标志，安全警示标志的设置、位置、形式、尺寸、图案和颜色等必须符合《道路交通标志和标线》（GB 5768-2009）的规定。</w:t>
            </w:r>
          </w:p>
        </w:tc>
        <w:tc>
          <w:tcPr>
            <w:tcW w:w="2410" w:type="dxa"/>
          </w:tcPr>
          <w:p w14:paraId="2BD981DB"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企业已</w:t>
            </w:r>
            <w:r>
              <w:rPr>
                <w:rFonts w:ascii="宋体" w:hAnsi="宋体" w:hint="eastAsia"/>
                <w:color w:val="auto"/>
                <w:sz w:val="21"/>
                <w:szCs w:val="21"/>
              </w:rPr>
              <w:t>设置相关的安全警示标志。</w:t>
            </w:r>
          </w:p>
        </w:tc>
        <w:tc>
          <w:tcPr>
            <w:tcW w:w="653" w:type="dxa"/>
          </w:tcPr>
          <w:p w14:paraId="52577BF5"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12D0E9D7" w14:textId="77777777">
        <w:trPr>
          <w:trHeight w:val="1133"/>
        </w:trPr>
        <w:tc>
          <w:tcPr>
            <w:tcW w:w="649" w:type="dxa"/>
            <w:vMerge/>
          </w:tcPr>
          <w:p w14:paraId="5CB3491C"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50893EF"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6）在厂区内按照限速及划定的路线要求行驶，实现人、货分流，避免繁忙的货流与人流交叉；急转弯处严禁超车，厂区入口等显眼、清晰的位置设置“减速慢行”、“限速”等警示标志，车辆运行速度不得超过5km/h。</w:t>
            </w:r>
          </w:p>
        </w:tc>
        <w:tc>
          <w:tcPr>
            <w:tcW w:w="2410" w:type="dxa"/>
          </w:tcPr>
          <w:p w14:paraId="1520182F"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企业已</w:t>
            </w:r>
            <w:r>
              <w:rPr>
                <w:rFonts w:ascii="宋体" w:hAnsi="宋体" w:hint="eastAsia"/>
                <w:color w:val="auto"/>
                <w:sz w:val="21"/>
                <w:szCs w:val="21"/>
              </w:rPr>
              <w:t>设置相关的安全警示标志。</w:t>
            </w:r>
          </w:p>
        </w:tc>
        <w:tc>
          <w:tcPr>
            <w:tcW w:w="653" w:type="dxa"/>
          </w:tcPr>
          <w:p w14:paraId="0B4C8D2F"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68E5B9E8" w14:textId="77777777">
        <w:trPr>
          <w:trHeight w:val="282"/>
        </w:trPr>
        <w:tc>
          <w:tcPr>
            <w:tcW w:w="649" w:type="dxa"/>
            <w:vMerge/>
          </w:tcPr>
          <w:p w14:paraId="73A7A58F"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01875198"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（7）夜间作业时，确保照明充分，无照明死角。</w:t>
            </w:r>
          </w:p>
        </w:tc>
        <w:tc>
          <w:tcPr>
            <w:tcW w:w="2410" w:type="dxa"/>
          </w:tcPr>
          <w:p w14:paraId="3F51E46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项目为长白班制，基本无夜间作业。</w:t>
            </w:r>
          </w:p>
        </w:tc>
        <w:tc>
          <w:tcPr>
            <w:tcW w:w="653" w:type="dxa"/>
          </w:tcPr>
          <w:p w14:paraId="43B3EF07"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0A1B5A0F" w14:textId="77777777">
        <w:trPr>
          <w:trHeight w:val="340"/>
        </w:trPr>
        <w:tc>
          <w:tcPr>
            <w:tcW w:w="9072" w:type="dxa"/>
            <w:gridSpan w:val="4"/>
          </w:tcPr>
          <w:p w14:paraId="5019D55E" w14:textId="77777777" w:rsidR="009219A0" w:rsidRDefault="00000000">
            <w:pPr>
              <w:adjustRightInd/>
              <w:spacing w:line="240" w:lineRule="auto"/>
              <w:ind w:firstLineChars="0" w:firstLine="0"/>
              <w:rPr>
                <w:rFonts w:ascii="宋体" w:hAnsi="宋体" w:cs="宋体" w:hint="eastAsia"/>
                <w:b/>
                <w:color w:val="auto"/>
                <w:sz w:val="21"/>
                <w:szCs w:val="21"/>
              </w:rPr>
            </w:pPr>
            <w:r>
              <w:rPr>
                <w:rFonts w:ascii="宋体" w:hAnsi="宋体" w:cs="宋体" w:hint="eastAsia"/>
                <w:b/>
                <w:color w:val="auto"/>
                <w:sz w:val="21"/>
                <w:szCs w:val="21"/>
              </w:rPr>
              <w:t xml:space="preserve">6.2.7 </w:t>
            </w:r>
            <w:r>
              <w:rPr>
                <w:rFonts w:ascii="宋体" w:hAnsi="宋体" w:cs="宋体" w:hint="eastAsia"/>
                <w:b/>
                <w:color w:val="auto"/>
                <w:sz w:val="21"/>
                <w:szCs w:val="21"/>
              </w:rPr>
              <w:tab/>
            </w:r>
            <w:r>
              <w:rPr>
                <w:rFonts w:ascii="宋体" w:hAnsi="宋体" w:cs="宋体" w:hint="eastAsia"/>
                <w:b/>
                <w:color w:val="auto"/>
                <w:sz w:val="21"/>
                <w:szCs w:val="21"/>
              </w:rPr>
              <w:tab/>
              <w:t>防起重伤害安全防范措施</w:t>
            </w:r>
          </w:p>
        </w:tc>
      </w:tr>
      <w:tr w:rsidR="009219A0" w14:paraId="496E3AC7" w14:textId="77777777">
        <w:trPr>
          <w:trHeight w:val="340"/>
        </w:trPr>
        <w:tc>
          <w:tcPr>
            <w:tcW w:w="649" w:type="dxa"/>
            <w:vMerge w:val="restart"/>
          </w:tcPr>
          <w:p w14:paraId="565A9BEF" w14:textId="77777777" w:rsidR="009219A0" w:rsidRDefault="009219A0">
            <w:pPr>
              <w:adjustRightInd/>
              <w:spacing w:line="240" w:lineRule="auto"/>
              <w:ind w:firstLineChars="0" w:firstLine="0"/>
              <w:rPr>
                <w:rFonts w:ascii="宋体" w:hAnsi="宋体" w:cs="宋体" w:hint="eastAsia"/>
                <w:b/>
                <w:color w:val="auto"/>
                <w:sz w:val="21"/>
                <w:szCs w:val="21"/>
              </w:rPr>
            </w:pPr>
          </w:p>
        </w:tc>
        <w:tc>
          <w:tcPr>
            <w:tcW w:w="5360" w:type="dxa"/>
          </w:tcPr>
          <w:p w14:paraId="6D1CF949"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（1）加强起重设备安全管理及培训。</w:t>
            </w:r>
          </w:p>
        </w:tc>
        <w:tc>
          <w:tcPr>
            <w:tcW w:w="2410" w:type="dxa"/>
          </w:tcPr>
          <w:p w14:paraId="0B946114"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已对操作人员进行相关培训。</w:t>
            </w:r>
          </w:p>
        </w:tc>
        <w:tc>
          <w:tcPr>
            <w:tcW w:w="653" w:type="dxa"/>
          </w:tcPr>
          <w:p w14:paraId="565D03F9"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63497B80" w14:textId="77777777">
        <w:trPr>
          <w:trHeight w:val="340"/>
        </w:trPr>
        <w:tc>
          <w:tcPr>
            <w:tcW w:w="649" w:type="dxa"/>
            <w:vMerge/>
          </w:tcPr>
          <w:p w14:paraId="24D1BD89"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1D60F10F"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（2）特种设备办理《特种设备使用登记证》，并定期委托有相关资质的单位进行检测。</w:t>
            </w:r>
          </w:p>
        </w:tc>
        <w:tc>
          <w:tcPr>
            <w:tcW w:w="2410" w:type="dxa"/>
          </w:tcPr>
          <w:p w14:paraId="2B0CA072"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经</w:t>
            </w:r>
            <w:proofErr w:type="gramStart"/>
            <w:r>
              <w:rPr>
                <w:rFonts w:ascii="宋体" w:hAnsi="宋体" w:cs="宋体" w:hint="eastAsia"/>
                <w:color w:val="auto"/>
                <w:sz w:val="21"/>
                <w:szCs w:val="21"/>
              </w:rPr>
              <w:t>与创源公司</w:t>
            </w:r>
            <w:proofErr w:type="gramEnd"/>
            <w:r>
              <w:rPr>
                <w:rFonts w:ascii="宋体" w:hAnsi="宋体" w:cs="宋体" w:hint="eastAsia"/>
                <w:color w:val="auto"/>
                <w:sz w:val="21"/>
                <w:szCs w:val="21"/>
              </w:rPr>
              <w:t>核实确认，使用的电动葫芦为2t，不属于特种设备。</w:t>
            </w:r>
          </w:p>
        </w:tc>
        <w:tc>
          <w:tcPr>
            <w:tcW w:w="653" w:type="dxa"/>
          </w:tcPr>
          <w:p w14:paraId="1E7400A5"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6983F779" w14:textId="77777777">
        <w:trPr>
          <w:trHeight w:val="340"/>
        </w:trPr>
        <w:tc>
          <w:tcPr>
            <w:tcW w:w="649" w:type="dxa"/>
            <w:vMerge/>
          </w:tcPr>
          <w:p w14:paraId="1513DB3C"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5CE3855"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（3）特种设备操作人员持证上岗。</w:t>
            </w:r>
          </w:p>
        </w:tc>
        <w:tc>
          <w:tcPr>
            <w:tcW w:w="2410" w:type="dxa"/>
          </w:tcPr>
          <w:p w14:paraId="4353DCCF"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经</w:t>
            </w:r>
            <w:proofErr w:type="gramStart"/>
            <w:r>
              <w:rPr>
                <w:rFonts w:ascii="宋体" w:hAnsi="宋体" w:cs="宋体" w:hint="eastAsia"/>
                <w:color w:val="auto"/>
                <w:sz w:val="21"/>
                <w:szCs w:val="21"/>
              </w:rPr>
              <w:t>与创源公司</w:t>
            </w:r>
            <w:proofErr w:type="gramEnd"/>
            <w:r>
              <w:rPr>
                <w:rFonts w:ascii="宋体" w:hAnsi="宋体" w:cs="宋体" w:hint="eastAsia"/>
                <w:color w:val="auto"/>
                <w:sz w:val="21"/>
                <w:szCs w:val="21"/>
              </w:rPr>
              <w:t>核实确认，使用的电动葫芦为2t，不属于特种设备。</w:t>
            </w:r>
          </w:p>
        </w:tc>
        <w:tc>
          <w:tcPr>
            <w:tcW w:w="653" w:type="dxa"/>
          </w:tcPr>
          <w:p w14:paraId="034AD96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7B5F4820" w14:textId="77777777">
        <w:trPr>
          <w:trHeight w:val="340"/>
        </w:trPr>
        <w:tc>
          <w:tcPr>
            <w:tcW w:w="649" w:type="dxa"/>
            <w:vMerge/>
          </w:tcPr>
          <w:p w14:paraId="06B9C4BD"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1FBD40BB" w14:textId="77777777" w:rsidR="009219A0" w:rsidRDefault="00000000">
            <w:pPr>
              <w:pStyle w:val="Default1"/>
              <w:rPr>
                <w:rFonts w:hint="default"/>
              </w:rPr>
            </w:pPr>
            <w:r>
              <w:rPr>
                <w:rFonts w:ascii="宋体" w:hAnsi="宋体"/>
                <w:color w:val="auto"/>
                <w:sz w:val="21"/>
                <w:szCs w:val="21"/>
              </w:rPr>
              <w:t>（4）起重设备严禁超负荷使用。</w:t>
            </w:r>
          </w:p>
        </w:tc>
        <w:tc>
          <w:tcPr>
            <w:tcW w:w="2410" w:type="dxa"/>
          </w:tcPr>
          <w:p w14:paraId="3A691702"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已对企业</w:t>
            </w:r>
            <w:proofErr w:type="gramStart"/>
            <w:r>
              <w:rPr>
                <w:rFonts w:ascii="宋体" w:hAnsi="宋体" w:hint="eastAsia"/>
                <w:color w:val="auto"/>
                <w:sz w:val="21"/>
                <w:szCs w:val="21"/>
              </w:rPr>
              <w:t>作出</w:t>
            </w:r>
            <w:proofErr w:type="gramEnd"/>
            <w:r>
              <w:rPr>
                <w:rFonts w:ascii="宋体" w:hAnsi="宋体" w:hint="eastAsia"/>
                <w:color w:val="auto"/>
                <w:sz w:val="21"/>
                <w:szCs w:val="21"/>
              </w:rPr>
              <w:t>要求。</w:t>
            </w:r>
          </w:p>
        </w:tc>
        <w:tc>
          <w:tcPr>
            <w:tcW w:w="653" w:type="dxa"/>
          </w:tcPr>
          <w:p w14:paraId="6CA46FBB"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6380394F" w14:textId="77777777">
        <w:trPr>
          <w:trHeight w:val="654"/>
        </w:trPr>
        <w:tc>
          <w:tcPr>
            <w:tcW w:w="649" w:type="dxa"/>
            <w:vMerge/>
          </w:tcPr>
          <w:p w14:paraId="115EE2BF"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002D7B41"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（5）根据设备制定起重设备安全操作规程并严格执行。</w:t>
            </w:r>
          </w:p>
        </w:tc>
        <w:tc>
          <w:tcPr>
            <w:tcW w:w="2410" w:type="dxa"/>
          </w:tcPr>
          <w:p w14:paraId="6BDE1320" w14:textId="77777777" w:rsidR="009219A0" w:rsidRDefault="00000000">
            <w:pPr>
              <w:adjustRightInd/>
              <w:spacing w:line="240" w:lineRule="auto"/>
              <w:ind w:firstLineChars="0" w:firstLine="0"/>
              <w:rPr>
                <w:rFonts w:ascii="宋体" w:hAnsi="宋体" w:cs="宋体" w:hint="eastAsia"/>
                <w:color w:val="auto"/>
                <w:sz w:val="21"/>
                <w:szCs w:val="21"/>
              </w:rPr>
            </w:pPr>
            <w:proofErr w:type="gramStart"/>
            <w:r>
              <w:rPr>
                <w:rFonts w:ascii="宋体" w:hAnsi="宋体" w:cs="宋体" w:hint="eastAsia"/>
                <w:color w:val="auto"/>
                <w:sz w:val="21"/>
                <w:szCs w:val="21"/>
              </w:rPr>
              <w:t>创源公司</w:t>
            </w:r>
            <w:proofErr w:type="gramEnd"/>
            <w:r>
              <w:rPr>
                <w:rFonts w:ascii="宋体" w:hAnsi="宋体" w:cs="宋体" w:hint="eastAsia"/>
                <w:color w:val="auto"/>
                <w:sz w:val="21"/>
                <w:szCs w:val="21"/>
              </w:rPr>
              <w:t>已制定相关安全操作规程。</w:t>
            </w:r>
          </w:p>
        </w:tc>
        <w:tc>
          <w:tcPr>
            <w:tcW w:w="653" w:type="dxa"/>
          </w:tcPr>
          <w:p w14:paraId="41909A67"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5163D47" w14:textId="77777777">
        <w:trPr>
          <w:trHeight w:val="654"/>
        </w:trPr>
        <w:tc>
          <w:tcPr>
            <w:tcW w:w="649" w:type="dxa"/>
            <w:vMerge/>
          </w:tcPr>
          <w:p w14:paraId="49236803"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E5A0C89"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（6）经常检查起重设备的刹车制动装置、限位装置、安全防护装置、信号装置是否齐全及灵活。</w:t>
            </w:r>
          </w:p>
        </w:tc>
        <w:tc>
          <w:tcPr>
            <w:tcW w:w="2410" w:type="dxa"/>
          </w:tcPr>
          <w:p w14:paraId="0F9FCE9F"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已对企业</w:t>
            </w:r>
            <w:proofErr w:type="gramStart"/>
            <w:r>
              <w:rPr>
                <w:rFonts w:ascii="宋体" w:hAnsi="宋体" w:hint="eastAsia"/>
                <w:color w:val="auto"/>
                <w:sz w:val="21"/>
                <w:szCs w:val="21"/>
              </w:rPr>
              <w:t>作出</w:t>
            </w:r>
            <w:proofErr w:type="gramEnd"/>
            <w:r>
              <w:rPr>
                <w:rFonts w:ascii="宋体" w:hAnsi="宋体" w:hint="eastAsia"/>
                <w:color w:val="auto"/>
                <w:sz w:val="21"/>
                <w:szCs w:val="21"/>
              </w:rPr>
              <w:t>要求。</w:t>
            </w:r>
          </w:p>
        </w:tc>
        <w:tc>
          <w:tcPr>
            <w:tcW w:w="653" w:type="dxa"/>
          </w:tcPr>
          <w:p w14:paraId="00C65E24"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FBF83B1" w14:textId="77777777">
        <w:trPr>
          <w:trHeight w:val="340"/>
        </w:trPr>
        <w:tc>
          <w:tcPr>
            <w:tcW w:w="9072" w:type="dxa"/>
            <w:gridSpan w:val="4"/>
          </w:tcPr>
          <w:p w14:paraId="5139C175" w14:textId="77777777" w:rsidR="009219A0" w:rsidRDefault="00000000">
            <w:pPr>
              <w:adjustRightInd/>
              <w:spacing w:line="240" w:lineRule="auto"/>
              <w:ind w:firstLineChars="0" w:firstLine="0"/>
              <w:rPr>
                <w:rFonts w:ascii="宋体" w:hAnsi="宋体" w:cs="宋体" w:hint="eastAsia"/>
                <w:b/>
                <w:color w:val="auto"/>
                <w:sz w:val="21"/>
                <w:szCs w:val="21"/>
              </w:rPr>
            </w:pPr>
            <w:r>
              <w:rPr>
                <w:rFonts w:ascii="宋体" w:hAnsi="宋体" w:hint="eastAsia"/>
                <w:b/>
                <w:color w:val="auto"/>
                <w:sz w:val="21"/>
                <w:szCs w:val="21"/>
              </w:rPr>
              <w:t>6.2.8 防中毒和窒息安全防范措施</w:t>
            </w:r>
          </w:p>
        </w:tc>
      </w:tr>
      <w:tr w:rsidR="009219A0" w14:paraId="74F654BA" w14:textId="77777777">
        <w:trPr>
          <w:trHeight w:val="340"/>
        </w:trPr>
        <w:tc>
          <w:tcPr>
            <w:tcW w:w="649" w:type="dxa"/>
            <w:vMerge w:val="restart"/>
          </w:tcPr>
          <w:p w14:paraId="612BDD23"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ACF7EA0"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本项目中毒窒息危险可能发生的主要区域为：实验室试剂存放、使用处；中试车间排气管等危险化学品泄漏或挥发的使用、储存点；储罐、水池等有限空间内。</w:t>
            </w:r>
          </w:p>
          <w:p w14:paraId="3539A415"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（1）本项目涉及中毒窒息危险的区域应自然通风、机械通风共用，设置门、窗、进气口及侧装轴流风机等通风，保持实验室通风良好。</w:t>
            </w:r>
          </w:p>
        </w:tc>
        <w:tc>
          <w:tcPr>
            <w:tcW w:w="2410" w:type="dxa"/>
          </w:tcPr>
          <w:p w14:paraId="7F587917"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现场自然通风、机械通风共用。</w:t>
            </w:r>
          </w:p>
        </w:tc>
        <w:tc>
          <w:tcPr>
            <w:tcW w:w="653" w:type="dxa"/>
          </w:tcPr>
          <w:p w14:paraId="002A61CB"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6A313622" w14:textId="77777777">
        <w:trPr>
          <w:trHeight w:val="340"/>
        </w:trPr>
        <w:tc>
          <w:tcPr>
            <w:tcW w:w="649" w:type="dxa"/>
            <w:vMerge/>
          </w:tcPr>
          <w:p w14:paraId="291D5551"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55EBBF2"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（2）按《个体防护装备配备规范》的相关要求为作业人员配置相应的劳动防护用品。</w:t>
            </w:r>
          </w:p>
        </w:tc>
        <w:tc>
          <w:tcPr>
            <w:tcW w:w="2410" w:type="dxa"/>
          </w:tcPr>
          <w:p w14:paraId="7E5D239A"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企业已为作业人员配置相应的劳动防护用品。</w:t>
            </w:r>
          </w:p>
        </w:tc>
        <w:tc>
          <w:tcPr>
            <w:tcW w:w="653" w:type="dxa"/>
          </w:tcPr>
          <w:p w14:paraId="562BD257"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C5B7A95" w14:textId="77777777">
        <w:trPr>
          <w:trHeight w:val="340"/>
        </w:trPr>
        <w:tc>
          <w:tcPr>
            <w:tcW w:w="649" w:type="dxa"/>
            <w:vMerge/>
          </w:tcPr>
          <w:p w14:paraId="7CF6B115"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1EF460B3"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（3）操作人员必须经过相关设备安全操作培训，严格按照安全使用规程使用各化学试剂。</w:t>
            </w:r>
          </w:p>
        </w:tc>
        <w:tc>
          <w:tcPr>
            <w:tcW w:w="2410" w:type="dxa"/>
          </w:tcPr>
          <w:p w14:paraId="202E866D"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cs="宋体"/>
                <w:color w:val="auto"/>
                <w:sz w:val="21"/>
                <w:szCs w:val="21"/>
              </w:rPr>
              <w:t>企业已进行相关安全培训。</w:t>
            </w:r>
          </w:p>
        </w:tc>
        <w:tc>
          <w:tcPr>
            <w:tcW w:w="653" w:type="dxa"/>
          </w:tcPr>
          <w:p w14:paraId="33E7BD72"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0F6263B" w14:textId="77777777">
        <w:trPr>
          <w:trHeight w:val="340"/>
        </w:trPr>
        <w:tc>
          <w:tcPr>
            <w:tcW w:w="649" w:type="dxa"/>
            <w:vMerge/>
          </w:tcPr>
          <w:p w14:paraId="3C7A7A80"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41BA4835"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（4）制定实验试剂和设备安全管理制度，非工作人员未经负责人允许不得进入，更不得接触实验设备和试剂。</w:t>
            </w:r>
          </w:p>
        </w:tc>
        <w:tc>
          <w:tcPr>
            <w:tcW w:w="2410" w:type="dxa"/>
          </w:tcPr>
          <w:p w14:paraId="2270EC94"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cs="宋体"/>
                <w:color w:val="auto"/>
                <w:sz w:val="21"/>
                <w:szCs w:val="21"/>
              </w:rPr>
              <w:t>企业相关安全管理制度</w:t>
            </w:r>
            <w:proofErr w:type="gramStart"/>
            <w:r>
              <w:rPr>
                <w:rFonts w:ascii="宋体" w:hAnsi="宋体" w:cs="宋体"/>
                <w:color w:val="auto"/>
                <w:sz w:val="21"/>
                <w:szCs w:val="21"/>
              </w:rPr>
              <w:t>包含左述内容</w:t>
            </w:r>
            <w:proofErr w:type="gramEnd"/>
            <w:r>
              <w:rPr>
                <w:rFonts w:ascii="宋体" w:hAnsi="宋体" w:cs="宋体"/>
                <w:color w:val="auto"/>
                <w:sz w:val="21"/>
                <w:szCs w:val="21"/>
              </w:rPr>
              <w:t>。</w:t>
            </w:r>
          </w:p>
        </w:tc>
        <w:tc>
          <w:tcPr>
            <w:tcW w:w="653" w:type="dxa"/>
          </w:tcPr>
          <w:p w14:paraId="61309CA4"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69E4C210" w14:textId="77777777">
        <w:trPr>
          <w:trHeight w:val="340"/>
        </w:trPr>
        <w:tc>
          <w:tcPr>
            <w:tcW w:w="649" w:type="dxa"/>
            <w:vMerge/>
          </w:tcPr>
          <w:p w14:paraId="1E25796E"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1EB03C31"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（5）应明令禁止在实验区域内饮食，办公室内员工</w:t>
            </w:r>
            <w:proofErr w:type="gramStart"/>
            <w:r>
              <w:rPr>
                <w:rFonts w:ascii="宋体" w:hAnsi="宋体" w:hint="eastAsia"/>
                <w:color w:val="auto"/>
                <w:sz w:val="21"/>
                <w:szCs w:val="21"/>
              </w:rPr>
              <w:t>饮用水杯应配备</w:t>
            </w:r>
            <w:proofErr w:type="gramEnd"/>
            <w:r>
              <w:rPr>
                <w:rFonts w:ascii="宋体" w:hAnsi="宋体" w:hint="eastAsia"/>
                <w:color w:val="auto"/>
                <w:sz w:val="21"/>
                <w:szCs w:val="21"/>
              </w:rPr>
              <w:t>杯盖。</w:t>
            </w:r>
          </w:p>
        </w:tc>
        <w:tc>
          <w:tcPr>
            <w:tcW w:w="2410" w:type="dxa"/>
          </w:tcPr>
          <w:p w14:paraId="6A01E55C"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cs="宋体"/>
                <w:color w:val="auto"/>
                <w:sz w:val="21"/>
                <w:szCs w:val="21"/>
              </w:rPr>
              <w:t>企业相关安全管理制度</w:t>
            </w:r>
            <w:proofErr w:type="gramStart"/>
            <w:r>
              <w:rPr>
                <w:rFonts w:ascii="宋体" w:hAnsi="宋体" w:cs="宋体"/>
                <w:color w:val="auto"/>
                <w:sz w:val="21"/>
                <w:szCs w:val="21"/>
              </w:rPr>
              <w:t>包含左述内容</w:t>
            </w:r>
            <w:proofErr w:type="gramEnd"/>
            <w:r>
              <w:rPr>
                <w:rFonts w:ascii="宋体" w:hAnsi="宋体" w:cs="宋体"/>
                <w:color w:val="auto"/>
                <w:sz w:val="21"/>
                <w:szCs w:val="21"/>
              </w:rPr>
              <w:t>。</w:t>
            </w:r>
          </w:p>
        </w:tc>
        <w:tc>
          <w:tcPr>
            <w:tcW w:w="653" w:type="dxa"/>
          </w:tcPr>
          <w:p w14:paraId="65C8F82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7BF0CA08" w14:textId="77777777">
        <w:trPr>
          <w:trHeight w:val="340"/>
        </w:trPr>
        <w:tc>
          <w:tcPr>
            <w:tcW w:w="9072" w:type="dxa"/>
            <w:gridSpan w:val="4"/>
          </w:tcPr>
          <w:p w14:paraId="07F5CE1C" w14:textId="77777777" w:rsidR="009219A0" w:rsidRDefault="00000000">
            <w:pPr>
              <w:adjustRightInd/>
              <w:spacing w:line="240" w:lineRule="auto"/>
              <w:ind w:firstLineChars="0" w:firstLine="0"/>
              <w:rPr>
                <w:rFonts w:ascii="宋体" w:hAnsi="宋体" w:cs="宋体" w:hint="eastAsia"/>
                <w:b/>
                <w:color w:val="auto"/>
                <w:sz w:val="21"/>
                <w:szCs w:val="21"/>
              </w:rPr>
            </w:pPr>
            <w:r>
              <w:rPr>
                <w:rFonts w:ascii="宋体" w:hAnsi="宋体" w:cs="宋体" w:hint="eastAsia"/>
                <w:b/>
                <w:color w:val="auto"/>
                <w:sz w:val="21"/>
                <w:szCs w:val="21"/>
              </w:rPr>
              <w:t>6.2.8</w:t>
            </w:r>
            <w:r>
              <w:rPr>
                <w:rFonts w:ascii="宋体" w:hAnsi="宋体" w:cs="宋体" w:hint="eastAsia"/>
                <w:b/>
                <w:color w:val="auto"/>
                <w:sz w:val="21"/>
                <w:szCs w:val="21"/>
              </w:rPr>
              <w:tab/>
              <w:t>防雷防静电安全防范措施</w:t>
            </w:r>
          </w:p>
        </w:tc>
      </w:tr>
      <w:tr w:rsidR="009219A0" w14:paraId="00DC07DB" w14:textId="77777777">
        <w:trPr>
          <w:trHeight w:val="340"/>
        </w:trPr>
        <w:tc>
          <w:tcPr>
            <w:tcW w:w="649" w:type="dxa"/>
          </w:tcPr>
          <w:p w14:paraId="5F838825"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540ADB5E"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本项目中试车间按三类防雷建筑设防，建筑的防雷装置满足防直击雷、侧击雷、防雷电感应及雷电波的侵入，严格按照《建筑物防雷设计规范》（GB50057-2010）要求进行防雷设计施工，满足建筑防雷防静电的需求。</w:t>
            </w:r>
          </w:p>
          <w:p w14:paraId="3F8E7C84"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建（构）筑物的防雷接地装置应</w:t>
            </w:r>
            <w:proofErr w:type="gramStart"/>
            <w:r>
              <w:rPr>
                <w:rFonts w:ascii="宋体" w:hAnsi="宋体" w:hint="eastAsia"/>
                <w:color w:val="auto"/>
                <w:sz w:val="21"/>
                <w:szCs w:val="21"/>
              </w:rPr>
              <w:t>定期由</w:t>
            </w:r>
            <w:proofErr w:type="gramEnd"/>
            <w:r>
              <w:rPr>
                <w:rFonts w:ascii="宋体" w:hAnsi="宋体" w:hint="eastAsia"/>
                <w:color w:val="auto"/>
                <w:sz w:val="21"/>
                <w:szCs w:val="21"/>
              </w:rPr>
              <w:t>具有资质的单位进行检测，确保防雷接地装置安全有效；定期组织防雷接地装置专业检查，发现损坏、失效及时修复；雷雨天气时，室外不得有人作业。</w:t>
            </w:r>
          </w:p>
        </w:tc>
        <w:tc>
          <w:tcPr>
            <w:tcW w:w="2410" w:type="dxa"/>
          </w:tcPr>
          <w:p w14:paraId="584BA5D9"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已对企业</w:t>
            </w:r>
            <w:proofErr w:type="gramStart"/>
            <w:r>
              <w:rPr>
                <w:rFonts w:ascii="宋体" w:hAnsi="宋体" w:hint="eastAsia"/>
                <w:color w:val="auto"/>
                <w:sz w:val="21"/>
                <w:szCs w:val="21"/>
              </w:rPr>
              <w:t>作出</w:t>
            </w:r>
            <w:proofErr w:type="gramEnd"/>
            <w:r>
              <w:rPr>
                <w:rFonts w:ascii="宋体" w:hAnsi="宋体" w:hint="eastAsia"/>
                <w:color w:val="auto"/>
                <w:sz w:val="21"/>
                <w:szCs w:val="21"/>
              </w:rPr>
              <w:t>要求。</w:t>
            </w:r>
          </w:p>
        </w:tc>
        <w:tc>
          <w:tcPr>
            <w:tcW w:w="653" w:type="dxa"/>
          </w:tcPr>
          <w:p w14:paraId="69266420"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1150B152" w14:textId="77777777">
        <w:trPr>
          <w:trHeight w:val="340"/>
        </w:trPr>
        <w:tc>
          <w:tcPr>
            <w:tcW w:w="9072" w:type="dxa"/>
            <w:gridSpan w:val="4"/>
          </w:tcPr>
          <w:p w14:paraId="14260313" w14:textId="77777777" w:rsidR="009219A0" w:rsidRDefault="00000000">
            <w:pPr>
              <w:adjustRightInd/>
              <w:spacing w:line="240" w:lineRule="auto"/>
              <w:ind w:firstLineChars="0" w:firstLine="0"/>
              <w:rPr>
                <w:rFonts w:ascii="宋体" w:hAnsi="宋体" w:cs="宋体" w:hint="eastAsia"/>
                <w:color w:val="auto"/>
                <w:sz w:val="21"/>
                <w:szCs w:val="21"/>
              </w:rPr>
            </w:pPr>
            <w:bookmarkStart w:id="306" w:name="_Toc54802503"/>
            <w:r>
              <w:rPr>
                <w:rFonts w:ascii="宋体" w:hAnsi="宋体" w:hint="eastAsia"/>
                <w:b/>
                <w:bCs/>
                <w:color w:val="auto"/>
                <w:sz w:val="21"/>
                <w:szCs w:val="21"/>
              </w:rPr>
              <w:t>6.2.10其他安全防范措施</w:t>
            </w:r>
            <w:bookmarkEnd w:id="306"/>
          </w:p>
        </w:tc>
      </w:tr>
      <w:tr w:rsidR="009219A0" w14:paraId="14CD667E" w14:textId="77777777">
        <w:trPr>
          <w:trHeight w:val="340"/>
        </w:trPr>
        <w:tc>
          <w:tcPr>
            <w:tcW w:w="649" w:type="dxa"/>
            <w:vMerge w:val="restart"/>
          </w:tcPr>
          <w:p w14:paraId="5FAF455B"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1.</w:t>
            </w:r>
            <w:r>
              <w:rPr>
                <w:rFonts w:ascii="宋体" w:hAnsi="宋体" w:cs="宋体" w:hint="eastAsia"/>
                <w:color w:val="auto"/>
                <w:sz w:val="21"/>
                <w:szCs w:val="21"/>
              </w:rPr>
              <w:tab/>
              <w:t>噪声危害安</w:t>
            </w:r>
            <w:r>
              <w:rPr>
                <w:rFonts w:ascii="宋体" w:hAnsi="宋体" w:cs="宋体" w:hint="eastAsia"/>
                <w:color w:val="auto"/>
                <w:sz w:val="21"/>
                <w:szCs w:val="21"/>
              </w:rPr>
              <w:lastRenderedPageBreak/>
              <w:t>全防范措施</w:t>
            </w:r>
          </w:p>
        </w:tc>
        <w:tc>
          <w:tcPr>
            <w:tcW w:w="5360" w:type="dxa"/>
          </w:tcPr>
          <w:p w14:paraId="62049CD8"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lastRenderedPageBreak/>
              <w:t>（1）选择低噪声的设备，易产生噪声区与非噪声区分开布置。</w:t>
            </w:r>
          </w:p>
        </w:tc>
        <w:tc>
          <w:tcPr>
            <w:tcW w:w="2410" w:type="dxa"/>
          </w:tcPr>
          <w:p w14:paraId="6601F876"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企业选择低噪声的设备，易产生噪声区与非噪声区分开布置。</w:t>
            </w:r>
          </w:p>
        </w:tc>
        <w:tc>
          <w:tcPr>
            <w:tcW w:w="653" w:type="dxa"/>
          </w:tcPr>
          <w:p w14:paraId="74A5B994"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08C6ABF1" w14:textId="77777777">
        <w:trPr>
          <w:trHeight w:val="340"/>
        </w:trPr>
        <w:tc>
          <w:tcPr>
            <w:tcW w:w="649" w:type="dxa"/>
            <w:vMerge/>
          </w:tcPr>
          <w:p w14:paraId="26E1AFD7"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B238A32"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（2）噪声、振动大的设备设置独立基础，易产生噪声部位设置减振片。</w:t>
            </w:r>
          </w:p>
        </w:tc>
        <w:tc>
          <w:tcPr>
            <w:tcW w:w="2410" w:type="dxa"/>
          </w:tcPr>
          <w:p w14:paraId="5D7977C1"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已对企业</w:t>
            </w:r>
            <w:proofErr w:type="gramStart"/>
            <w:r>
              <w:rPr>
                <w:rFonts w:ascii="宋体" w:hAnsi="宋体" w:hint="eastAsia"/>
                <w:color w:val="auto"/>
                <w:sz w:val="21"/>
                <w:szCs w:val="21"/>
              </w:rPr>
              <w:t>作出</w:t>
            </w:r>
            <w:proofErr w:type="gramEnd"/>
            <w:r>
              <w:rPr>
                <w:rFonts w:ascii="宋体" w:hAnsi="宋体" w:hint="eastAsia"/>
                <w:color w:val="auto"/>
                <w:sz w:val="21"/>
                <w:szCs w:val="21"/>
              </w:rPr>
              <w:t>要求。</w:t>
            </w:r>
          </w:p>
        </w:tc>
        <w:tc>
          <w:tcPr>
            <w:tcW w:w="653" w:type="dxa"/>
          </w:tcPr>
          <w:p w14:paraId="17F40DEB"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F373ACB" w14:textId="77777777">
        <w:trPr>
          <w:trHeight w:val="565"/>
        </w:trPr>
        <w:tc>
          <w:tcPr>
            <w:tcW w:w="649" w:type="dxa"/>
            <w:vMerge/>
          </w:tcPr>
          <w:p w14:paraId="48BEFF89"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25E1371"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（3）噪声区域作业人员配备有效的劳动防护用品，如耳塞、耳罩等。</w:t>
            </w:r>
          </w:p>
        </w:tc>
        <w:tc>
          <w:tcPr>
            <w:tcW w:w="2410" w:type="dxa"/>
          </w:tcPr>
          <w:p w14:paraId="4E1CCCBD"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企业已为作业人员配置相应的劳动防护用品。</w:t>
            </w:r>
          </w:p>
        </w:tc>
        <w:tc>
          <w:tcPr>
            <w:tcW w:w="653" w:type="dxa"/>
          </w:tcPr>
          <w:p w14:paraId="41E73DB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75250680" w14:textId="77777777">
        <w:trPr>
          <w:trHeight w:val="282"/>
        </w:trPr>
        <w:tc>
          <w:tcPr>
            <w:tcW w:w="649" w:type="dxa"/>
            <w:vMerge/>
          </w:tcPr>
          <w:p w14:paraId="64D7691E"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6E888E7"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（4）减少作业人员接触噪声的时间。</w:t>
            </w:r>
          </w:p>
        </w:tc>
        <w:tc>
          <w:tcPr>
            <w:tcW w:w="2410" w:type="dxa"/>
          </w:tcPr>
          <w:p w14:paraId="11D8DA11"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已对企业</w:t>
            </w:r>
            <w:proofErr w:type="gramStart"/>
            <w:r>
              <w:rPr>
                <w:rFonts w:ascii="宋体" w:hAnsi="宋体" w:hint="eastAsia"/>
                <w:color w:val="auto"/>
                <w:sz w:val="21"/>
                <w:szCs w:val="21"/>
              </w:rPr>
              <w:t>作出</w:t>
            </w:r>
            <w:proofErr w:type="gramEnd"/>
            <w:r>
              <w:rPr>
                <w:rFonts w:ascii="宋体" w:hAnsi="宋体" w:hint="eastAsia"/>
                <w:color w:val="auto"/>
                <w:sz w:val="21"/>
                <w:szCs w:val="21"/>
              </w:rPr>
              <w:t>要求。</w:t>
            </w:r>
          </w:p>
        </w:tc>
        <w:tc>
          <w:tcPr>
            <w:tcW w:w="653" w:type="dxa"/>
          </w:tcPr>
          <w:p w14:paraId="473270FA"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6820102A" w14:textId="77777777">
        <w:trPr>
          <w:trHeight w:val="542"/>
        </w:trPr>
        <w:tc>
          <w:tcPr>
            <w:tcW w:w="649" w:type="dxa"/>
            <w:vMerge/>
          </w:tcPr>
          <w:p w14:paraId="28775AFB"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05EA1A0A"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（5）噪声区域采取消声措施，在作业区域出入口设置“噪声危险”等安全警示标识。</w:t>
            </w:r>
          </w:p>
        </w:tc>
        <w:tc>
          <w:tcPr>
            <w:tcW w:w="2410" w:type="dxa"/>
          </w:tcPr>
          <w:p w14:paraId="00F5B6B9"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color w:val="auto"/>
                <w:sz w:val="21"/>
                <w:szCs w:val="21"/>
              </w:rPr>
              <w:t>现场有相关安全标识。</w:t>
            </w:r>
          </w:p>
        </w:tc>
        <w:tc>
          <w:tcPr>
            <w:tcW w:w="653" w:type="dxa"/>
          </w:tcPr>
          <w:p w14:paraId="6D6F7673"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A2FA875" w14:textId="77777777">
        <w:trPr>
          <w:trHeight w:val="755"/>
        </w:trPr>
        <w:tc>
          <w:tcPr>
            <w:tcW w:w="649" w:type="dxa"/>
            <w:vMerge/>
          </w:tcPr>
          <w:p w14:paraId="31190056"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272EBE5B"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（6）按要求开展职业危害因素检测和从业人员职业健康体检工作。</w:t>
            </w:r>
          </w:p>
        </w:tc>
        <w:tc>
          <w:tcPr>
            <w:tcW w:w="2410" w:type="dxa"/>
          </w:tcPr>
          <w:p w14:paraId="47497E1A"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已对企业</w:t>
            </w:r>
            <w:proofErr w:type="gramStart"/>
            <w:r>
              <w:rPr>
                <w:rFonts w:ascii="宋体" w:hAnsi="宋体" w:hint="eastAsia"/>
                <w:color w:val="auto"/>
                <w:sz w:val="21"/>
                <w:szCs w:val="21"/>
              </w:rPr>
              <w:t>作出</w:t>
            </w:r>
            <w:proofErr w:type="gramEnd"/>
            <w:r>
              <w:rPr>
                <w:rFonts w:ascii="宋体" w:hAnsi="宋体" w:hint="eastAsia"/>
                <w:color w:val="auto"/>
                <w:sz w:val="21"/>
                <w:szCs w:val="21"/>
              </w:rPr>
              <w:t>要求。</w:t>
            </w:r>
          </w:p>
        </w:tc>
        <w:tc>
          <w:tcPr>
            <w:tcW w:w="653" w:type="dxa"/>
          </w:tcPr>
          <w:p w14:paraId="69778B80"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DAD3231" w14:textId="77777777">
        <w:trPr>
          <w:trHeight w:val="340"/>
        </w:trPr>
        <w:tc>
          <w:tcPr>
            <w:tcW w:w="649" w:type="dxa"/>
            <w:vMerge w:val="restart"/>
          </w:tcPr>
          <w:p w14:paraId="015E6D1F"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2.</w:t>
            </w:r>
            <w:r>
              <w:rPr>
                <w:rFonts w:ascii="宋体" w:hAnsi="宋体" w:cs="宋体" w:hint="eastAsia"/>
                <w:color w:val="auto"/>
                <w:sz w:val="21"/>
                <w:szCs w:val="21"/>
              </w:rPr>
              <w:tab/>
            </w:r>
            <w:proofErr w:type="gramStart"/>
            <w:r>
              <w:rPr>
                <w:rFonts w:ascii="宋体" w:hAnsi="宋体" w:cs="宋体" w:hint="eastAsia"/>
                <w:color w:val="auto"/>
                <w:sz w:val="21"/>
                <w:szCs w:val="21"/>
              </w:rPr>
              <w:t>危废和</w:t>
            </w:r>
            <w:proofErr w:type="gramEnd"/>
            <w:r>
              <w:rPr>
                <w:rFonts w:ascii="宋体" w:hAnsi="宋体" w:cs="宋体" w:hint="eastAsia"/>
                <w:color w:val="auto"/>
                <w:sz w:val="21"/>
                <w:szCs w:val="21"/>
              </w:rPr>
              <w:t>废水处理措施</w:t>
            </w:r>
          </w:p>
        </w:tc>
        <w:tc>
          <w:tcPr>
            <w:tcW w:w="5360" w:type="dxa"/>
          </w:tcPr>
          <w:p w14:paraId="1E8CDEDC"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（1）实验废水：项目在进行小试实验时产生废水量约为0.4t/d，废水依托中试废水处理设施处理后回用于中试车间浸出液的配制。</w:t>
            </w:r>
          </w:p>
          <w:p w14:paraId="1D4E51ED"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项目在进行</w:t>
            </w:r>
            <w:proofErr w:type="gramStart"/>
            <w:r>
              <w:rPr>
                <w:rFonts w:ascii="宋体" w:hAnsi="宋体" w:hint="eastAsia"/>
                <w:color w:val="auto"/>
                <w:sz w:val="21"/>
                <w:szCs w:val="21"/>
              </w:rPr>
              <w:t>铁粉脱杂中试</w:t>
            </w:r>
            <w:proofErr w:type="gramEnd"/>
            <w:r>
              <w:rPr>
                <w:rFonts w:ascii="宋体" w:hAnsi="宋体" w:hint="eastAsia"/>
                <w:color w:val="auto"/>
                <w:sz w:val="21"/>
                <w:szCs w:val="21"/>
              </w:rPr>
              <w:t>实验时脱砷废水产生量为105.59t/d，8658.38t/a，硫铁矿脱砷中试实验时脱砷废水产生量为100.85t/d，13513.9t/a。中试基地废水经废水收集池收集、中和水池中和处理、回用水池沉淀处理后全部回用于本项目浸出液的配制，不外排，依托厂区隔油池、化粪池处理后进入生产废水处理站二级沉淀工序处理后回</w:t>
            </w:r>
            <w:proofErr w:type="gramStart"/>
            <w:r>
              <w:rPr>
                <w:rFonts w:ascii="宋体" w:hAnsi="宋体" w:hint="eastAsia"/>
                <w:color w:val="auto"/>
                <w:sz w:val="21"/>
                <w:szCs w:val="21"/>
              </w:rPr>
              <w:t>用于创源公司</w:t>
            </w:r>
            <w:proofErr w:type="gramEnd"/>
            <w:r>
              <w:rPr>
                <w:rFonts w:ascii="宋体" w:hAnsi="宋体" w:hint="eastAsia"/>
                <w:color w:val="auto"/>
                <w:sz w:val="21"/>
                <w:szCs w:val="21"/>
              </w:rPr>
              <w:t>硫酸技改项目，不外排。</w:t>
            </w:r>
          </w:p>
        </w:tc>
        <w:tc>
          <w:tcPr>
            <w:tcW w:w="2410" w:type="dxa"/>
          </w:tcPr>
          <w:p w14:paraId="60A9B252"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692AE557"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FB03C45" w14:textId="77777777">
        <w:trPr>
          <w:trHeight w:val="1175"/>
        </w:trPr>
        <w:tc>
          <w:tcPr>
            <w:tcW w:w="649" w:type="dxa"/>
            <w:vMerge/>
          </w:tcPr>
          <w:p w14:paraId="686B57BE"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7911FAF9" w14:textId="77777777" w:rsidR="009219A0" w:rsidRDefault="00000000">
            <w:pPr>
              <w:spacing w:line="240" w:lineRule="auto"/>
              <w:ind w:firstLineChars="0" w:firstLine="0"/>
            </w:pPr>
            <w:r>
              <w:rPr>
                <w:rFonts w:ascii="宋体" w:hAnsi="宋体" w:hint="eastAsia"/>
                <w:color w:val="auto"/>
                <w:sz w:val="21"/>
                <w:szCs w:val="21"/>
              </w:rPr>
              <w:t>（2）项目运行期产生的固体废物主要为在进行</w:t>
            </w:r>
            <w:proofErr w:type="gramStart"/>
            <w:r>
              <w:rPr>
                <w:rFonts w:ascii="宋体" w:hAnsi="宋体" w:hint="eastAsia"/>
                <w:color w:val="auto"/>
                <w:sz w:val="21"/>
                <w:szCs w:val="21"/>
              </w:rPr>
              <w:t>铁粉脱杂中试</w:t>
            </w:r>
            <w:proofErr w:type="gramEnd"/>
            <w:r>
              <w:rPr>
                <w:rFonts w:ascii="宋体" w:hAnsi="宋体" w:hint="eastAsia"/>
                <w:color w:val="auto"/>
                <w:sz w:val="21"/>
                <w:szCs w:val="21"/>
              </w:rPr>
              <w:t>实验时产生的中和渣、废矿物油、研发中心实验室中和渣、实验室废试剂瓶、生活垃圾等。可依托厂区</w:t>
            </w:r>
            <w:proofErr w:type="gramStart"/>
            <w:r>
              <w:rPr>
                <w:rFonts w:ascii="宋体" w:hAnsi="宋体" w:hint="eastAsia"/>
                <w:color w:val="auto"/>
                <w:sz w:val="21"/>
                <w:szCs w:val="21"/>
              </w:rPr>
              <w:t>现有危废暂存</w:t>
            </w:r>
            <w:proofErr w:type="gramEnd"/>
            <w:r>
              <w:rPr>
                <w:rFonts w:ascii="宋体" w:hAnsi="宋体" w:hint="eastAsia"/>
                <w:color w:val="auto"/>
                <w:sz w:val="21"/>
                <w:szCs w:val="21"/>
              </w:rPr>
              <w:t>间暂存，委托有资质的单位进行处置。</w:t>
            </w:r>
          </w:p>
        </w:tc>
        <w:tc>
          <w:tcPr>
            <w:tcW w:w="2410" w:type="dxa"/>
          </w:tcPr>
          <w:p w14:paraId="41D61253" w14:textId="77777777" w:rsidR="009219A0" w:rsidRDefault="00000000">
            <w:pPr>
              <w:spacing w:line="240" w:lineRule="auto"/>
              <w:ind w:firstLineChars="0" w:firstLine="0"/>
              <w:rPr>
                <w:rFonts w:ascii="宋体" w:hAnsi="宋体" w:hint="eastAsia"/>
                <w:color w:val="auto"/>
                <w:sz w:val="21"/>
                <w:szCs w:val="21"/>
              </w:rPr>
            </w:pPr>
            <w:r>
              <w:rPr>
                <w:rFonts w:ascii="宋体" w:hAnsi="宋体" w:hint="eastAsia"/>
                <w:color w:val="auto"/>
                <w:sz w:val="21"/>
                <w:szCs w:val="21"/>
              </w:rPr>
              <w:t>项目运行</w:t>
            </w:r>
            <w:r>
              <w:rPr>
                <w:rFonts w:ascii="宋体" w:hAnsi="宋体" w:hint="eastAsia"/>
                <w:color w:val="auto"/>
                <w:kern w:val="0"/>
                <w:sz w:val="21"/>
                <w:szCs w:val="21"/>
              </w:rPr>
              <w:t>产生的</w:t>
            </w:r>
            <w:r>
              <w:rPr>
                <w:rFonts w:ascii="宋体" w:hAnsi="宋体" w:hint="eastAsia"/>
                <w:color w:val="auto"/>
                <w:sz w:val="21"/>
                <w:szCs w:val="21"/>
              </w:rPr>
              <w:t>固体废物</w:t>
            </w:r>
            <w:r>
              <w:rPr>
                <w:rFonts w:ascii="宋体" w:hAnsi="宋体" w:hint="eastAsia"/>
                <w:color w:val="auto"/>
                <w:kern w:val="0"/>
                <w:sz w:val="21"/>
                <w:szCs w:val="21"/>
              </w:rPr>
              <w:t>暂存于</w:t>
            </w:r>
            <w:proofErr w:type="gramStart"/>
            <w:r>
              <w:rPr>
                <w:rFonts w:ascii="宋体" w:hAnsi="宋体" w:hint="eastAsia"/>
                <w:color w:val="auto"/>
                <w:kern w:val="0"/>
                <w:sz w:val="21"/>
                <w:szCs w:val="21"/>
              </w:rPr>
              <w:t>危废间</w:t>
            </w:r>
            <w:proofErr w:type="gramEnd"/>
            <w:r>
              <w:rPr>
                <w:rFonts w:ascii="宋体" w:hAnsi="宋体" w:hint="eastAsia"/>
                <w:color w:val="auto"/>
                <w:kern w:val="0"/>
                <w:sz w:val="21"/>
                <w:szCs w:val="21"/>
              </w:rPr>
              <w:t>由专人负责管理，并委托具有相关资质的单位进行转运处理。</w:t>
            </w:r>
          </w:p>
        </w:tc>
        <w:tc>
          <w:tcPr>
            <w:tcW w:w="653" w:type="dxa"/>
          </w:tcPr>
          <w:p w14:paraId="4C89DB55"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680D836E" w14:textId="77777777">
        <w:trPr>
          <w:trHeight w:val="340"/>
        </w:trPr>
        <w:tc>
          <w:tcPr>
            <w:tcW w:w="9072" w:type="dxa"/>
            <w:gridSpan w:val="4"/>
          </w:tcPr>
          <w:p w14:paraId="07050E98" w14:textId="77777777" w:rsidR="009219A0" w:rsidRDefault="00000000">
            <w:pPr>
              <w:adjustRightInd/>
              <w:spacing w:line="240" w:lineRule="auto"/>
              <w:ind w:firstLineChars="0" w:firstLine="0"/>
              <w:rPr>
                <w:rFonts w:ascii="宋体" w:hAnsi="宋体" w:cs="宋体" w:hint="eastAsia"/>
                <w:b/>
                <w:color w:val="auto"/>
                <w:sz w:val="21"/>
                <w:szCs w:val="21"/>
              </w:rPr>
            </w:pPr>
            <w:r>
              <w:rPr>
                <w:rFonts w:ascii="宋体" w:hAnsi="宋体" w:hint="eastAsia"/>
                <w:b/>
                <w:color w:val="auto"/>
                <w:sz w:val="21"/>
                <w:szCs w:val="21"/>
              </w:rPr>
              <w:t>6.3.</w:t>
            </w:r>
            <w:r>
              <w:rPr>
                <w:rFonts w:ascii="宋体" w:hAnsi="宋体" w:hint="eastAsia"/>
                <w:b/>
                <w:color w:val="auto"/>
                <w:sz w:val="21"/>
                <w:szCs w:val="21"/>
              </w:rPr>
              <w:tab/>
              <w:t>消防安全措施</w:t>
            </w:r>
          </w:p>
        </w:tc>
      </w:tr>
      <w:tr w:rsidR="009219A0" w14:paraId="45D7EE4A" w14:textId="77777777">
        <w:trPr>
          <w:trHeight w:val="340"/>
        </w:trPr>
        <w:tc>
          <w:tcPr>
            <w:tcW w:w="649" w:type="dxa"/>
            <w:vMerge w:val="restart"/>
          </w:tcPr>
          <w:p w14:paraId="69780539"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C6D5BFC"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本项目中试车间划为一个防火分区，采用水消防为主，辅以灭火器的消防方案。中试车间内按规范配置灭火器等消防器材。</w:t>
            </w:r>
          </w:p>
          <w:p w14:paraId="4A6EAB30"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（1）消防水量计算：根据《消防给水及消火栓系统技术规范》（GB50974-2014），中试车间同一时间内火灾次数取1次，室外消火栓设计流量20L/s，火灾延续时间2h，一次消防用水量为144m³。</w:t>
            </w:r>
          </w:p>
        </w:tc>
        <w:tc>
          <w:tcPr>
            <w:tcW w:w="2410" w:type="dxa"/>
          </w:tcPr>
          <w:p w14:paraId="12AA25B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24755F5B"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04B559ED" w14:textId="77777777">
        <w:trPr>
          <w:trHeight w:val="340"/>
        </w:trPr>
        <w:tc>
          <w:tcPr>
            <w:tcW w:w="649" w:type="dxa"/>
            <w:vMerge/>
          </w:tcPr>
          <w:p w14:paraId="07DD6A9F"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54501227"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（2）消防供水：用水水源自白坡水库，</w:t>
            </w:r>
            <w:proofErr w:type="gramStart"/>
            <w:r>
              <w:rPr>
                <w:rFonts w:ascii="宋体" w:hAnsi="宋体" w:hint="eastAsia"/>
                <w:color w:val="auto"/>
                <w:sz w:val="21"/>
                <w:szCs w:val="21"/>
              </w:rPr>
              <w:t>白坡水库</w:t>
            </w:r>
            <w:proofErr w:type="gramEnd"/>
            <w:r>
              <w:rPr>
                <w:rFonts w:ascii="宋体" w:hAnsi="宋体" w:hint="eastAsia"/>
                <w:color w:val="auto"/>
                <w:sz w:val="21"/>
                <w:szCs w:val="21"/>
              </w:rPr>
              <w:t>的水引至低位水池，经多级泵输送至7800m</w:t>
            </w:r>
            <w:r>
              <w:rPr>
                <w:rFonts w:ascii="宋体" w:hAnsi="宋体" w:hint="eastAsia"/>
                <w:color w:val="auto"/>
                <w:sz w:val="21"/>
                <w:szCs w:val="21"/>
                <w:vertAlign w:val="superscript"/>
              </w:rPr>
              <w:t>3</w:t>
            </w:r>
            <w:r>
              <w:rPr>
                <w:rFonts w:ascii="宋体" w:hAnsi="宋体" w:hint="eastAsia"/>
                <w:color w:val="auto"/>
                <w:sz w:val="21"/>
                <w:szCs w:val="21"/>
              </w:rPr>
              <w:t>高位水池，另设1000m</w:t>
            </w:r>
            <w:r>
              <w:rPr>
                <w:rFonts w:ascii="宋体" w:hAnsi="宋体" w:hint="eastAsia"/>
                <w:color w:val="auto"/>
                <w:sz w:val="21"/>
                <w:szCs w:val="21"/>
                <w:vertAlign w:val="superscript"/>
              </w:rPr>
              <w:t>3</w:t>
            </w:r>
            <w:r>
              <w:rPr>
                <w:rFonts w:ascii="宋体" w:hAnsi="宋体" w:hint="eastAsia"/>
                <w:color w:val="auto"/>
                <w:sz w:val="21"/>
                <w:szCs w:val="21"/>
              </w:rPr>
              <w:t>水池用于高位水池溢流，7800m</w:t>
            </w:r>
            <w:r>
              <w:rPr>
                <w:rFonts w:ascii="宋体" w:hAnsi="宋体" w:hint="eastAsia"/>
                <w:color w:val="auto"/>
                <w:sz w:val="21"/>
                <w:szCs w:val="21"/>
                <w:vertAlign w:val="superscript"/>
              </w:rPr>
              <w:t>3</w:t>
            </w:r>
            <w:r>
              <w:rPr>
                <w:rFonts w:ascii="宋体" w:hAnsi="宋体" w:hint="eastAsia"/>
                <w:color w:val="auto"/>
                <w:sz w:val="21"/>
                <w:szCs w:val="21"/>
              </w:rPr>
              <w:t>高位水池与厂区地坪高差约100m，供水压力为1MPa，高位水池至厂区的输水管管径为DN400；厂区内设有环状生产消防给水管网，主管管径DN250。消防用水就近接入厂区原有管网。</w:t>
            </w:r>
          </w:p>
        </w:tc>
        <w:tc>
          <w:tcPr>
            <w:tcW w:w="2410" w:type="dxa"/>
          </w:tcPr>
          <w:p w14:paraId="1ED54B72"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77BC0FC1"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6F30B518" w14:textId="77777777">
        <w:trPr>
          <w:trHeight w:val="340"/>
        </w:trPr>
        <w:tc>
          <w:tcPr>
            <w:tcW w:w="649" w:type="dxa"/>
            <w:vMerge/>
          </w:tcPr>
          <w:p w14:paraId="3C47817C"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1E3F4838"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（3）消火栓设置：本项目中试车间利用个旧</w:t>
            </w:r>
            <w:proofErr w:type="gramStart"/>
            <w:r>
              <w:rPr>
                <w:rFonts w:ascii="宋体" w:hAnsi="宋体" w:hint="eastAsia"/>
                <w:color w:val="auto"/>
                <w:sz w:val="21"/>
                <w:szCs w:val="21"/>
              </w:rPr>
              <w:t>市创源科技</w:t>
            </w:r>
            <w:proofErr w:type="gramEnd"/>
            <w:r>
              <w:rPr>
                <w:rFonts w:ascii="宋体" w:hAnsi="宋体" w:hint="eastAsia"/>
                <w:color w:val="auto"/>
                <w:sz w:val="21"/>
                <w:szCs w:val="21"/>
              </w:rPr>
              <w:t>有限公司现有厂房进行布置，室外消火栓可依托原有设置，厂区已设置完善的消防系统，厂区内设有环状消防给水管网，干管管</w:t>
            </w:r>
            <w:proofErr w:type="gramStart"/>
            <w:r>
              <w:rPr>
                <w:rFonts w:ascii="宋体" w:hAnsi="宋体" w:hint="eastAsia"/>
                <w:color w:val="auto"/>
                <w:sz w:val="21"/>
                <w:szCs w:val="21"/>
              </w:rPr>
              <w:t>径</w:t>
            </w:r>
            <w:proofErr w:type="gramEnd"/>
            <w:r>
              <w:rPr>
                <w:rFonts w:ascii="宋体" w:hAnsi="宋体" w:hint="eastAsia"/>
                <w:color w:val="auto"/>
                <w:sz w:val="21"/>
                <w:szCs w:val="21"/>
              </w:rPr>
              <w:t>DN250，支管最小管</w:t>
            </w:r>
            <w:proofErr w:type="gramStart"/>
            <w:r>
              <w:rPr>
                <w:rFonts w:ascii="宋体" w:hAnsi="宋体" w:hint="eastAsia"/>
                <w:color w:val="auto"/>
                <w:sz w:val="21"/>
                <w:szCs w:val="21"/>
              </w:rPr>
              <w:t>径</w:t>
            </w:r>
            <w:proofErr w:type="gramEnd"/>
            <w:r>
              <w:rPr>
                <w:rFonts w:ascii="宋体" w:hAnsi="宋体" w:hint="eastAsia"/>
                <w:color w:val="auto"/>
                <w:sz w:val="21"/>
                <w:szCs w:val="21"/>
              </w:rPr>
              <w:t>DN100，消防水源为7800m</w:t>
            </w:r>
            <w:r>
              <w:rPr>
                <w:rFonts w:ascii="宋体" w:hAnsi="宋体" w:hint="eastAsia"/>
                <w:color w:val="auto"/>
                <w:sz w:val="21"/>
                <w:szCs w:val="21"/>
                <w:vertAlign w:val="superscript"/>
              </w:rPr>
              <w:t>3</w:t>
            </w:r>
            <w:r>
              <w:rPr>
                <w:rFonts w:ascii="宋体" w:hAnsi="宋体" w:hint="eastAsia"/>
                <w:color w:val="auto"/>
                <w:sz w:val="21"/>
                <w:szCs w:val="21"/>
              </w:rPr>
              <w:t>高位水池，与厂区地坪高差约100m，供水压力为1MPa，为稳高压系统，能满足新增消防用水要求。</w:t>
            </w:r>
          </w:p>
        </w:tc>
        <w:tc>
          <w:tcPr>
            <w:tcW w:w="2410" w:type="dxa"/>
          </w:tcPr>
          <w:p w14:paraId="7CC23B78"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4270747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179CAA80" w14:textId="77777777">
        <w:trPr>
          <w:trHeight w:val="340"/>
        </w:trPr>
        <w:tc>
          <w:tcPr>
            <w:tcW w:w="649" w:type="dxa"/>
            <w:vMerge/>
          </w:tcPr>
          <w:p w14:paraId="3AA05EF1"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5671BE4"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（4）灭火器配置：根据《建筑灭火器配置设计规范》，项目火灾危险性为戊类，应按照火灾危险等级</w:t>
            </w:r>
            <w:proofErr w:type="gramStart"/>
            <w:r>
              <w:rPr>
                <w:rFonts w:ascii="宋体" w:hAnsi="宋体" w:hint="eastAsia"/>
                <w:color w:val="auto"/>
                <w:sz w:val="21"/>
                <w:szCs w:val="21"/>
              </w:rPr>
              <w:t>轻危险级</w:t>
            </w:r>
            <w:proofErr w:type="gramEnd"/>
            <w:r>
              <w:rPr>
                <w:rFonts w:ascii="宋体" w:hAnsi="宋体" w:hint="eastAsia"/>
                <w:color w:val="auto"/>
                <w:sz w:val="21"/>
                <w:szCs w:val="21"/>
              </w:rPr>
              <w:t>来选择相应灭火器进行配置。项目涉及的火灾种类为A类和E类。采用磷酸铵盐干粉灭火器。</w:t>
            </w:r>
          </w:p>
        </w:tc>
        <w:tc>
          <w:tcPr>
            <w:tcW w:w="2410" w:type="dxa"/>
          </w:tcPr>
          <w:p w14:paraId="4FA5D99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现场已按要求设置手提式干粉灭火器。</w:t>
            </w:r>
          </w:p>
        </w:tc>
        <w:tc>
          <w:tcPr>
            <w:tcW w:w="653" w:type="dxa"/>
          </w:tcPr>
          <w:p w14:paraId="28992E94"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4DBF8024" w14:textId="77777777">
        <w:trPr>
          <w:trHeight w:val="808"/>
        </w:trPr>
        <w:tc>
          <w:tcPr>
            <w:tcW w:w="649" w:type="dxa"/>
            <w:vMerge/>
          </w:tcPr>
          <w:p w14:paraId="7045B5F5"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D626074"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（5）中试车间西面设置有</w:t>
            </w:r>
            <w:proofErr w:type="gramStart"/>
            <w:r>
              <w:rPr>
                <w:rFonts w:ascii="宋体" w:hAnsi="宋体" w:hint="eastAsia"/>
                <w:color w:val="auto"/>
                <w:sz w:val="21"/>
                <w:szCs w:val="21"/>
              </w:rPr>
              <w:t>尽头式回</w:t>
            </w:r>
            <w:proofErr w:type="gramEnd"/>
            <w:r>
              <w:rPr>
                <w:rFonts w:ascii="宋体" w:hAnsi="宋体" w:hint="eastAsia"/>
                <w:color w:val="auto"/>
                <w:sz w:val="21"/>
                <w:szCs w:val="21"/>
              </w:rPr>
              <w:t>车场连接厂内道路，消防通道净空高度和净宽度不小于4m，转弯半径不小于9m。</w:t>
            </w:r>
          </w:p>
        </w:tc>
        <w:tc>
          <w:tcPr>
            <w:tcW w:w="2410" w:type="dxa"/>
          </w:tcPr>
          <w:p w14:paraId="021B2413"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6643AFE3"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14E577C4" w14:textId="77777777">
        <w:trPr>
          <w:trHeight w:val="340"/>
        </w:trPr>
        <w:tc>
          <w:tcPr>
            <w:tcW w:w="9072" w:type="dxa"/>
            <w:gridSpan w:val="4"/>
          </w:tcPr>
          <w:p w14:paraId="46A3CC67" w14:textId="77777777" w:rsidR="009219A0" w:rsidRDefault="00000000">
            <w:pPr>
              <w:adjustRightInd/>
              <w:spacing w:line="240" w:lineRule="auto"/>
              <w:ind w:firstLineChars="0" w:firstLine="0"/>
              <w:rPr>
                <w:rFonts w:ascii="宋体" w:hAnsi="宋体" w:cs="宋体" w:hint="eastAsia"/>
                <w:b/>
                <w:color w:val="auto"/>
                <w:sz w:val="21"/>
                <w:szCs w:val="21"/>
              </w:rPr>
            </w:pPr>
            <w:r>
              <w:rPr>
                <w:rFonts w:ascii="宋体" w:hAnsi="宋体" w:cs="宋体" w:hint="eastAsia"/>
                <w:b/>
                <w:color w:val="auto"/>
                <w:sz w:val="21"/>
                <w:szCs w:val="21"/>
              </w:rPr>
              <w:t>6.4.</w:t>
            </w:r>
            <w:r>
              <w:rPr>
                <w:rFonts w:ascii="宋体" w:hAnsi="宋体" w:cs="宋体" w:hint="eastAsia"/>
                <w:b/>
                <w:color w:val="auto"/>
                <w:sz w:val="21"/>
                <w:szCs w:val="21"/>
              </w:rPr>
              <w:tab/>
              <w:t>电气安全防范措施</w:t>
            </w:r>
          </w:p>
        </w:tc>
      </w:tr>
      <w:tr w:rsidR="009219A0" w14:paraId="55E0F2B0" w14:textId="77777777">
        <w:trPr>
          <w:trHeight w:val="340"/>
        </w:trPr>
        <w:tc>
          <w:tcPr>
            <w:tcW w:w="9072" w:type="dxa"/>
            <w:gridSpan w:val="4"/>
          </w:tcPr>
          <w:p w14:paraId="423066B5" w14:textId="77777777" w:rsidR="009219A0" w:rsidRDefault="00000000">
            <w:pPr>
              <w:adjustRightInd/>
              <w:spacing w:line="240" w:lineRule="auto"/>
              <w:ind w:firstLineChars="0" w:firstLine="0"/>
              <w:rPr>
                <w:rFonts w:ascii="宋体" w:hAnsi="宋体" w:cs="宋体" w:hint="eastAsia"/>
                <w:b/>
                <w:color w:val="auto"/>
                <w:sz w:val="21"/>
                <w:szCs w:val="21"/>
              </w:rPr>
            </w:pPr>
            <w:r>
              <w:rPr>
                <w:rFonts w:ascii="宋体" w:hAnsi="宋体" w:cs="宋体" w:hint="eastAsia"/>
                <w:b/>
                <w:color w:val="auto"/>
                <w:sz w:val="21"/>
                <w:szCs w:val="21"/>
              </w:rPr>
              <w:t>6.4.1</w:t>
            </w:r>
            <w:r>
              <w:rPr>
                <w:rFonts w:ascii="宋体" w:hAnsi="宋体" w:hint="eastAsia"/>
                <w:b/>
                <w:color w:val="auto"/>
                <w:sz w:val="21"/>
                <w:szCs w:val="21"/>
              </w:rPr>
              <w:t>供电电源</w:t>
            </w:r>
          </w:p>
        </w:tc>
      </w:tr>
      <w:tr w:rsidR="009219A0" w14:paraId="7A20B1D3" w14:textId="77777777">
        <w:trPr>
          <w:trHeight w:val="340"/>
        </w:trPr>
        <w:tc>
          <w:tcPr>
            <w:tcW w:w="649" w:type="dxa"/>
          </w:tcPr>
          <w:p w14:paraId="31CB27F9"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59C953B9" w14:textId="77777777" w:rsidR="009219A0" w:rsidRDefault="00000000">
            <w:pPr>
              <w:adjustRightInd/>
              <w:spacing w:line="240" w:lineRule="auto"/>
              <w:ind w:firstLineChars="0" w:firstLine="0"/>
            </w:pPr>
            <w:r>
              <w:rPr>
                <w:rFonts w:ascii="宋体" w:hAnsi="宋体" w:hint="eastAsia"/>
                <w:color w:val="auto"/>
                <w:sz w:val="21"/>
                <w:szCs w:val="21"/>
              </w:rPr>
              <w:tab/>
              <w:t>项目电源</w:t>
            </w:r>
            <w:proofErr w:type="gramStart"/>
            <w:r>
              <w:rPr>
                <w:rFonts w:ascii="宋体" w:hAnsi="宋体" w:hint="eastAsia"/>
                <w:color w:val="auto"/>
                <w:sz w:val="21"/>
                <w:szCs w:val="21"/>
              </w:rPr>
              <w:t>依托创源公司</w:t>
            </w:r>
            <w:proofErr w:type="gramEnd"/>
            <w:r>
              <w:rPr>
                <w:rFonts w:ascii="宋体" w:hAnsi="宋体" w:hint="eastAsia"/>
                <w:color w:val="auto"/>
                <w:sz w:val="21"/>
                <w:szCs w:val="21"/>
              </w:rPr>
              <w:t>原有设置。</w:t>
            </w:r>
            <w:proofErr w:type="gramStart"/>
            <w:r>
              <w:rPr>
                <w:rFonts w:ascii="宋体" w:hAnsi="宋体" w:hint="eastAsia"/>
                <w:color w:val="auto"/>
                <w:sz w:val="21"/>
                <w:szCs w:val="21"/>
              </w:rPr>
              <w:t>创源公司</w:t>
            </w:r>
            <w:proofErr w:type="gramEnd"/>
            <w:r>
              <w:rPr>
                <w:rFonts w:ascii="宋体" w:hAnsi="宋体" w:hint="eastAsia"/>
                <w:color w:val="auto"/>
                <w:sz w:val="21"/>
                <w:szCs w:val="21"/>
              </w:rPr>
              <w:t>供电电源由冲坡</w:t>
            </w:r>
            <w:proofErr w:type="gramStart"/>
            <w:r>
              <w:rPr>
                <w:rFonts w:ascii="宋体" w:hAnsi="宋体" w:hint="eastAsia"/>
                <w:color w:val="auto"/>
                <w:sz w:val="21"/>
                <w:szCs w:val="21"/>
              </w:rPr>
              <w:t>哨</w:t>
            </w:r>
            <w:proofErr w:type="gramEnd"/>
            <w:r>
              <w:rPr>
                <w:rFonts w:ascii="宋体" w:hAnsi="宋体" w:hint="eastAsia"/>
                <w:color w:val="auto"/>
                <w:sz w:val="21"/>
                <w:szCs w:val="21"/>
              </w:rPr>
              <w:t>变电站引一</w:t>
            </w:r>
            <w:proofErr w:type="gramStart"/>
            <w:r>
              <w:rPr>
                <w:rFonts w:ascii="宋体" w:hAnsi="宋体" w:hint="eastAsia"/>
                <w:color w:val="auto"/>
                <w:sz w:val="21"/>
                <w:szCs w:val="21"/>
              </w:rPr>
              <w:t>35</w:t>
            </w:r>
            <w:proofErr w:type="gramEnd"/>
            <w:r>
              <w:rPr>
                <w:rFonts w:ascii="宋体" w:hAnsi="宋体" w:hint="eastAsia"/>
                <w:color w:val="auto"/>
                <w:sz w:val="21"/>
                <w:szCs w:val="21"/>
              </w:rPr>
              <w:t>kV高压线路至厂区35kV变电站，项目供电电压为380V、220V，公司供电负荷的富余容量满足使用。研发中心和中试车间用电为三级负荷，供电有保障。另外厂内设置了一台370kW柴油发电机作为应急备用电源，事故照明采用带蓄电池的应急照明灯。</w:t>
            </w:r>
          </w:p>
        </w:tc>
        <w:tc>
          <w:tcPr>
            <w:tcW w:w="2410" w:type="dxa"/>
          </w:tcPr>
          <w:p w14:paraId="1B9DB900"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0CCEF1D8"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CA83F7B" w14:textId="77777777">
        <w:trPr>
          <w:trHeight w:val="340"/>
        </w:trPr>
        <w:tc>
          <w:tcPr>
            <w:tcW w:w="9072" w:type="dxa"/>
            <w:gridSpan w:val="4"/>
          </w:tcPr>
          <w:p w14:paraId="5352DAFF" w14:textId="77777777" w:rsidR="009219A0" w:rsidRDefault="00000000">
            <w:pPr>
              <w:adjustRightInd/>
              <w:spacing w:line="240" w:lineRule="auto"/>
              <w:ind w:firstLineChars="0" w:firstLine="0"/>
              <w:rPr>
                <w:rFonts w:ascii="宋体" w:hAnsi="宋体" w:cs="宋体" w:hint="eastAsia"/>
                <w:b/>
                <w:color w:val="auto"/>
                <w:sz w:val="21"/>
                <w:szCs w:val="21"/>
              </w:rPr>
            </w:pPr>
            <w:r>
              <w:rPr>
                <w:rFonts w:ascii="宋体" w:hAnsi="宋体" w:cs="宋体" w:hint="eastAsia"/>
                <w:b/>
                <w:color w:val="auto"/>
                <w:sz w:val="21"/>
                <w:szCs w:val="21"/>
              </w:rPr>
              <w:t>6.4.2</w:t>
            </w:r>
            <w:r>
              <w:rPr>
                <w:rFonts w:ascii="宋体" w:hAnsi="宋体" w:hint="eastAsia"/>
                <w:b/>
                <w:color w:val="auto"/>
                <w:sz w:val="21"/>
                <w:szCs w:val="21"/>
              </w:rPr>
              <w:t>电气设备的选择</w:t>
            </w:r>
          </w:p>
        </w:tc>
      </w:tr>
      <w:tr w:rsidR="009219A0" w14:paraId="1EE4A3B2" w14:textId="77777777">
        <w:trPr>
          <w:trHeight w:val="340"/>
        </w:trPr>
        <w:tc>
          <w:tcPr>
            <w:tcW w:w="649" w:type="dxa"/>
            <w:vMerge w:val="restart"/>
          </w:tcPr>
          <w:p w14:paraId="4D98192A"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5F0A4509"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ab/>
              <w:t>（1）所有电气设备的绝缘水平，均满足国家现行的有关标准要求。项目所购置的电气设备必须具有国家指定机构的安全认证标志。</w:t>
            </w:r>
          </w:p>
        </w:tc>
        <w:tc>
          <w:tcPr>
            <w:tcW w:w="2410" w:type="dxa"/>
          </w:tcPr>
          <w:p w14:paraId="28074FE0"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电气设备均为有资质厂家采购，</w:t>
            </w:r>
            <w:proofErr w:type="gramStart"/>
            <w:r>
              <w:rPr>
                <w:rFonts w:ascii="宋体" w:hAnsi="宋体" w:hint="eastAsia"/>
                <w:color w:val="auto"/>
                <w:sz w:val="21"/>
                <w:szCs w:val="21"/>
              </w:rPr>
              <w:t>符合左述要求</w:t>
            </w:r>
            <w:proofErr w:type="gramEnd"/>
            <w:r>
              <w:rPr>
                <w:rFonts w:ascii="宋体" w:hAnsi="宋体" w:hint="eastAsia"/>
                <w:color w:val="auto"/>
                <w:sz w:val="21"/>
                <w:szCs w:val="21"/>
              </w:rPr>
              <w:t>。</w:t>
            </w:r>
          </w:p>
        </w:tc>
        <w:tc>
          <w:tcPr>
            <w:tcW w:w="653" w:type="dxa"/>
          </w:tcPr>
          <w:p w14:paraId="3B90038A"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732D547F" w14:textId="77777777">
        <w:trPr>
          <w:trHeight w:val="340"/>
        </w:trPr>
        <w:tc>
          <w:tcPr>
            <w:tcW w:w="649" w:type="dxa"/>
            <w:vMerge/>
          </w:tcPr>
          <w:p w14:paraId="44689FFB"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7CCE427C"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（2）电气设备一般按照不同的使用环境、运行条件和对触电防护的要求，采用不同的绝缘结构，保证可靠的绝缘性能。</w:t>
            </w:r>
          </w:p>
        </w:tc>
        <w:tc>
          <w:tcPr>
            <w:tcW w:w="2410" w:type="dxa"/>
          </w:tcPr>
          <w:p w14:paraId="0FD99B3E"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电气设备均为有资质厂家采购，</w:t>
            </w:r>
            <w:proofErr w:type="gramStart"/>
            <w:r>
              <w:rPr>
                <w:rFonts w:ascii="宋体" w:hAnsi="宋体" w:hint="eastAsia"/>
                <w:color w:val="auto"/>
                <w:sz w:val="21"/>
                <w:szCs w:val="21"/>
              </w:rPr>
              <w:t>符合左述要求</w:t>
            </w:r>
            <w:proofErr w:type="gramEnd"/>
            <w:r>
              <w:rPr>
                <w:rFonts w:ascii="宋体" w:hAnsi="宋体" w:hint="eastAsia"/>
                <w:color w:val="auto"/>
                <w:sz w:val="21"/>
                <w:szCs w:val="21"/>
              </w:rPr>
              <w:t>。</w:t>
            </w:r>
          </w:p>
        </w:tc>
        <w:tc>
          <w:tcPr>
            <w:tcW w:w="653" w:type="dxa"/>
          </w:tcPr>
          <w:p w14:paraId="2A25474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122AD1B6" w14:textId="77777777">
        <w:trPr>
          <w:trHeight w:val="340"/>
        </w:trPr>
        <w:tc>
          <w:tcPr>
            <w:tcW w:w="649" w:type="dxa"/>
            <w:vMerge/>
          </w:tcPr>
          <w:p w14:paraId="2D0F922F"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4967ED44"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（3）根据《爆炸危险环境电力装置设计规范》(GB 50058-2014) 的相关要求，中试车间、研发中心实验室使用、储存的主要危险化学品为硫酸、盐酸等，火灾危险性分类为戊类，不涉及爆炸危险区域，选用非防爆型电气设备。</w:t>
            </w:r>
          </w:p>
        </w:tc>
        <w:tc>
          <w:tcPr>
            <w:tcW w:w="2410" w:type="dxa"/>
          </w:tcPr>
          <w:p w14:paraId="33061B87"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0C5ACB02"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3A4A3BB2" w14:textId="77777777">
        <w:trPr>
          <w:trHeight w:val="340"/>
        </w:trPr>
        <w:tc>
          <w:tcPr>
            <w:tcW w:w="9072" w:type="dxa"/>
            <w:gridSpan w:val="4"/>
          </w:tcPr>
          <w:p w14:paraId="0FBBFF9F" w14:textId="77777777" w:rsidR="009219A0" w:rsidRDefault="00000000">
            <w:pPr>
              <w:adjustRightInd/>
              <w:spacing w:line="240" w:lineRule="auto"/>
              <w:ind w:firstLineChars="0" w:firstLine="0"/>
              <w:rPr>
                <w:rFonts w:ascii="宋体" w:hAnsi="宋体" w:cs="宋体" w:hint="eastAsia"/>
                <w:b/>
                <w:color w:val="auto"/>
                <w:sz w:val="21"/>
                <w:szCs w:val="21"/>
              </w:rPr>
            </w:pPr>
            <w:bookmarkStart w:id="307" w:name="_Toc54802509"/>
            <w:r>
              <w:rPr>
                <w:rFonts w:ascii="宋体" w:hAnsi="宋体" w:hint="eastAsia"/>
                <w:b/>
                <w:color w:val="auto"/>
                <w:sz w:val="21"/>
                <w:szCs w:val="21"/>
              </w:rPr>
              <w:t>6.4.3电线、电缆</w:t>
            </w:r>
            <w:bookmarkEnd w:id="307"/>
          </w:p>
        </w:tc>
      </w:tr>
      <w:tr w:rsidR="009219A0" w14:paraId="6295A08C" w14:textId="77777777">
        <w:trPr>
          <w:trHeight w:val="340"/>
        </w:trPr>
        <w:tc>
          <w:tcPr>
            <w:tcW w:w="649" w:type="dxa"/>
            <w:vMerge w:val="restart"/>
          </w:tcPr>
          <w:p w14:paraId="4CE0F9B3"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DD8204A"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（1）线缆的选择符合《低压配电设计规范》（GB 50054-2011）的要求，带电部分须全部用绝缘层覆盖。</w:t>
            </w:r>
          </w:p>
        </w:tc>
        <w:tc>
          <w:tcPr>
            <w:tcW w:w="2410" w:type="dxa"/>
          </w:tcPr>
          <w:p w14:paraId="175BB60A"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34635A8D"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032F4772" w14:textId="77777777">
        <w:trPr>
          <w:trHeight w:val="340"/>
        </w:trPr>
        <w:tc>
          <w:tcPr>
            <w:tcW w:w="649" w:type="dxa"/>
            <w:vMerge/>
          </w:tcPr>
          <w:p w14:paraId="213D0615"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D1F2AB2"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（2）电气线路远离危险场所进行敷设；敷设时，避开机械损伤，摆动、腐蚀及可能过热的场所，电气线路穿越电气室时采用防火堵料封堵。</w:t>
            </w:r>
          </w:p>
        </w:tc>
        <w:tc>
          <w:tcPr>
            <w:tcW w:w="2410" w:type="dxa"/>
          </w:tcPr>
          <w:p w14:paraId="6FB5CB0C"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现场电气线路已按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2C3B8A24"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3CBF62F5" w14:textId="77777777">
        <w:trPr>
          <w:trHeight w:val="340"/>
        </w:trPr>
        <w:tc>
          <w:tcPr>
            <w:tcW w:w="649" w:type="dxa"/>
            <w:vMerge/>
          </w:tcPr>
          <w:p w14:paraId="47D49503"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41658190"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（3）电缆沟采取防止液体或酸、碱等物质漏入电缆沟的措施，装置内的电缆沟，有防止污水进入沟内的措施。电缆</w:t>
            </w:r>
            <w:proofErr w:type="gramStart"/>
            <w:r>
              <w:rPr>
                <w:rFonts w:ascii="宋体" w:hAnsi="宋体" w:hint="eastAsia"/>
                <w:color w:val="auto"/>
                <w:sz w:val="21"/>
                <w:szCs w:val="21"/>
              </w:rPr>
              <w:t>沟通入变配电</w:t>
            </w:r>
            <w:proofErr w:type="gramEnd"/>
            <w:r>
              <w:rPr>
                <w:rFonts w:ascii="宋体" w:hAnsi="宋体" w:hint="eastAsia"/>
                <w:color w:val="auto"/>
                <w:sz w:val="21"/>
                <w:szCs w:val="21"/>
              </w:rPr>
              <w:t>室的墙洞处进行填实、密封。</w:t>
            </w:r>
          </w:p>
        </w:tc>
        <w:tc>
          <w:tcPr>
            <w:tcW w:w="2410" w:type="dxa"/>
          </w:tcPr>
          <w:p w14:paraId="6E284A40"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1AB56A65"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30FFCB58" w14:textId="77777777">
        <w:trPr>
          <w:trHeight w:val="340"/>
        </w:trPr>
        <w:tc>
          <w:tcPr>
            <w:tcW w:w="649" w:type="dxa"/>
            <w:vMerge/>
          </w:tcPr>
          <w:p w14:paraId="154428AC"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72D915E3"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（4）地下电缆或直埋电缆的地面标志要齐全，符合有关要求；电缆隧道、电缆沟防止进水、渗水及排水设施要完好。</w:t>
            </w:r>
          </w:p>
        </w:tc>
        <w:tc>
          <w:tcPr>
            <w:tcW w:w="2410" w:type="dxa"/>
          </w:tcPr>
          <w:p w14:paraId="0D29A9A4"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125DBBF1"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0B39565C" w14:textId="77777777">
        <w:trPr>
          <w:trHeight w:val="340"/>
        </w:trPr>
        <w:tc>
          <w:tcPr>
            <w:tcW w:w="649" w:type="dxa"/>
            <w:vMerge/>
          </w:tcPr>
          <w:p w14:paraId="6028AAAF"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1328F2DD"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（5）电缆等导线在给定的工作条件和环境条件下，严禁超负荷和带故障运行，导致绝缘损坏、漏电和发生火灾。</w:t>
            </w:r>
          </w:p>
        </w:tc>
        <w:tc>
          <w:tcPr>
            <w:tcW w:w="2410" w:type="dxa"/>
          </w:tcPr>
          <w:p w14:paraId="24F9C25B"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1CA1EE22"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D4132A3" w14:textId="77777777">
        <w:trPr>
          <w:trHeight w:val="340"/>
        </w:trPr>
        <w:tc>
          <w:tcPr>
            <w:tcW w:w="649" w:type="dxa"/>
            <w:vMerge/>
          </w:tcPr>
          <w:p w14:paraId="31B2D041"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3EC165F"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（6）定期对电气线路进行检查、维护、保养，保持完好状态。</w:t>
            </w:r>
          </w:p>
        </w:tc>
        <w:tc>
          <w:tcPr>
            <w:tcW w:w="2410" w:type="dxa"/>
          </w:tcPr>
          <w:p w14:paraId="0322FC4E"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企业已制定相关安全管理制度。</w:t>
            </w:r>
          </w:p>
        </w:tc>
        <w:tc>
          <w:tcPr>
            <w:tcW w:w="653" w:type="dxa"/>
          </w:tcPr>
          <w:p w14:paraId="7035DBE1"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92F6CE5" w14:textId="77777777">
        <w:trPr>
          <w:trHeight w:val="340"/>
        </w:trPr>
        <w:tc>
          <w:tcPr>
            <w:tcW w:w="9072" w:type="dxa"/>
            <w:gridSpan w:val="4"/>
          </w:tcPr>
          <w:p w14:paraId="29407759" w14:textId="77777777" w:rsidR="009219A0" w:rsidRDefault="00000000">
            <w:pPr>
              <w:adjustRightInd/>
              <w:spacing w:line="240" w:lineRule="auto"/>
              <w:ind w:firstLineChars="0" w:firstLine="0"/>
              <w:rPr>
                <w:rFonts w:ascii="宋体" w:hAnsi="宋体" w:cs="宋体" w:hint="eastAsia"/>
                <w:b/>
                <w:color w:val="auto"/>
                <w:sz w:val="21"/>
                <w:szCs w:val="21"/>
              </w:rPr>
            </w:pPr>
            <w:bookmarkStart w:id="308" w:name="_Toc54802510"/>
            <w:r>
              <w:rPr>
                <w:rFonts w:ascii="宋体" w:hAnsi="宋体" w:hint="eastAsia"/>
                <w:b/>
                <w:color w:val="auto"/>
                <w:sz w:val="21"/>
                <w:szCs w:val="21"/>
              </w:rPr>
              <w:t>6.4.4</w:t>
            </w:r>
            <w:bookmarkEnd w:id="308"/>
            <w:r>
              <w:rPr>
                <w:rFonts w:ascii="宋体" w:hAnsi="宋体" w:hint="eastAsia"/>
                <w:b/>
                <w:color w:val="auto"/>
                <w:sz w:val="21"/>
                <w:szCs w:val="21"/>
              </w:rPr>
              <w:t>电气防火</w:t>
            </w:r>
          </w:p>
        </w:tc>
      </w:tr>
      <w:tr w:rsidR="009219A0" w14:paraId="560E7F96" w14:textId="77777777">
        <w:trPr>
          <w:trHeight w:val="340"/>
        </w:trPr>
        <w:tc>
          <w:tcPr>
            <w:tcW w:w="649" w:type="dxa"/>
            <w:vMerge w:val="restart"/>
          </w:tcPr>
          <w:p w14:paraId="1B7165AF"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856B1E7"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（1）在带电的导线、设备附近，不应有损坏电气绝缘或引起电气火灾的热源。</w:t>
            </w:r>
          </w:p>
        </w:tc>
        <w:tc>
          <w:tcPr>
            <w:tcW w:w="2410" w:type="dxa"/>
          </w:tcPr>
          <w:p w14:paraId="60F3E81F"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在带电的导线、设备附近，无损坏电气绝缘或引起电气火灾的热源。</w:t>
            </w:r>
          </w:p>
        </w:tc>
        <w:tc>
          <w:tcPr>
            <w:tcW w:w="653" w:type="dxa"/>
          </w:tcPr>
          <w:p w14:paraId="081CDB1C"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F8E0306" w14:textId="77777777">
        <w:trPr>
          <w:trHeight w:val="340"/>
        </w:trPr>
        <w:tc>
          <w:tcPr>
            <w:tcW w:w="649" w:type="dxa"/>
            <w:vMerge/>
          </w:tcPr>
          <w:p w14:paraId="05418319"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D4F153F"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（2）加强电气防火安全管理，及时消除火灾隐患，不得超负荷用电，不得擅自拉接临时电线。</w:t>
            </w:r>
          </w:p>
        </w:tc>
        <w:tc>
          <w:tcPr>
            <w:tcW w:w="2410" w:type="dxa"/>
          </w:tcPr>
          <w:p w14:paraId="1DEEF073"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企业已制定相关安全管理制度。</w:t>
            </w:r>
          </w:p>
        </w:tc>
        <w:tc>
          <w:tcPr>
            <w:tcW w:w="653" w:type="dxa"/>
          </w:tcPr>
          <w:p w14:paraId="728B2818"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92377D2" w14:textId="77777777">
        <w:trPr>
          <w:trHeight w:val="340"/>
        </w:trPr>
        <w:tc>
          <w:tcPr>
            <w:tcW w:w="649" w:type="dxa"/>
            <w:vMerge/>
          </w:tcPr>
          <w:p w14:paraId="6616E301"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170F97CD"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（3）电气设备、线路附近严禁堆放可燃、易燃物质，防止电源线路短路引燃周围可燃物蔓延成灾。</w:t>
            </w:r>
          </w:p>
        </w:tc>
        <w:tc>
          <w:tcPr>
            <w:tcW w:w="2410" w:type="dxa"/>
          </w:tcPr>
          <w:p w14:paraId="4C3F3F4E"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现场电气设备、线路附近未堆放可燃、易燃物质。</w:t>
            </w:r>
          </w:p>
        </w:tc>
        <w:tc>
          <w:tcPr>
            <w:tcW w:w="653" w:type="dxa"/>
          </w:tcPr>
          <w:p w14:paraId="316C7724"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1E471643" w14:textId="77777777">
        <w:trPr>
          <w:trHeight w:val="340"/>
        </w:trPr>
        <w:tc>
          <w:tcPr>
            <w:tcW w:w="649" w:type="dxa"/>
            <w:vMerge/>
          </w:tcPr>
          <w:p w14:paraId="50B881AA"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51533072"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（4）</w:t>
            </w:r>
            <w:proofErr w:type="gramStart"/>
            <w:r>
              <w:rPr>
                <w:rFonts w:ascii="宋体" w:hAnsi="宋体" w:hint="eastAsia"/>
                <w:color w:val="auto"/>
                <w:sz w:val="21"/>
                <w:szCs w:val="21"/>
              </w:rPr>
              <w:t>不</w:t>
            </w:r>
            <w:proofErr w:type="gramEnd"/>
            <w:r>
              <w:rPr>
                <w:rFonts w:ascii="宋体" w:hAnsi="宋体" w:hint="eastAsia"/>
                <w:color w:val="auto"/>
                <w:sz w:val="21"/>
                <w:szCs w:val="21"/>
              </w:rPr>
              <w:t>同母线段的</w:t>
            </w:r>
            <w:proofErr w:type="gramStart"/>
            <w:r>
              <w:rPr>
                <w:rFonts w:ascii="宋体" w:hAnsi="宋体" w:hint="eastAsia"/>
                <w:color w:val="auto"/>
                <w:sz w:val="21"/>
                <w:szCs w:val="21"/>
              </w:rPr>
              <w:t>电缆出线</w:t>
            </w:r>
            <w:proofErr w:type="gramEnd"/>
            <w:r>
              <w:rPr>
                <w:rFonts w:ascii="宋体" w:hAnsi="宋体" w:hint="eastAsia"/>
                <w:color w:val="auto"/>
                <w:sz w:val="21"/>
                <w:szCs w:val="21"/>
              </w:rPr>
              <w:t>分别敷设在电缆沟两侧的支</w:t>
            </w:r>
            <w:r>
              <w:rPr>
                <w:rFonts w:ascii="宋体" w:hAnsi="宋体" w:hint="eastAsia"/>
                <w:color w:val="auto"/>
                <w:sz w:val="21"/>
                <w:szCs w:val="21"/>
              </w:rPr>
              <w:lastRenderedPageBreak/>
              <w:t>架上。每根电缆敷设时，尽量避免采用电缆中间接头，以防止电缆发生过热情况。在多个电缆头并排安装的场合中，电缆头之间加隔板或填充阻燃材料。电力电缆中间接头盒的两侧及其邻近区域，采用刷防火涂料等措施，长度不小于1m。</w:t>
            </w:r>
          </w:p>
        </w:tc>
        <w:tc>
          <w:tcPr>
            <w:tcW w:w="2410" w:type="dxa"/>
          </w:tcPr>
          <w:p w14:paraId="7F766F82"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lastRenderedPageBreak/>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w:t>
            </w:r>
            <w:r>
              <w:rPr>
                <w:rFonts w:ascii="宋体" w:hAnsi="宋体" w:hint="eastAsia"/>
                <w:color w:val="auto"/>
                <w:sz w:val="21"/>
                <w:szCs w:val="21"/>
              </w:rPr>
              <w:lastRenderedPageBreak/>
              <w:t>置。</w:t>
            </w:r>
          </w:p>
        </w:tc>
        <w:tc>
          <w:tcPr>
            <w:tcW w:w="653" w:type="dxa"/>
          </w:tcPr>
          <w:p w14:paraId="7DA0D638"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lastRenderedPageBreak/>
              <w:t>符合</w:t>
            </w:r>
          </w:p>
        </w:tc>
      </w:tr>
      <w:tr w:rsidR="009219A0" w14:paraId="4EDE9B32" w14:textId="77777777">
        <w:trPr>
          <w:trHeight w:val="340"/>
        </w:trPr>
        <w:tc>
          <w:tcPr>
            <w:tcW w:w="649" w:type="dxa"/>
            <w:vMerge/>
          </w:tcPr>
          <w:p w14:paraId="282DBBD1"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7D8B1298"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（5）电缆从室外进入室内的入口处、电缆竖井的出入口处、电缆隧道的出入口处及控制室与电缆夹层之间，采取防止电缆火灾蔓延的阻燃及分隔措施。电缆沟内每隔15-20m设置耐火极限不低于0.5h的</w:t>
            </w:r>
            <w:proofErr w:type="gramStart"/>
            <w:r>
              <w:rPr>
                <w:rFonts w:ascii="宋体" w:hAnsi="宋体" w:hint="eastAsia"/>
                <w:color w:val="auto"/>
                <w:sz w:val="21"/>
                <w:szCs w:val="21"/>
              </w:rPr>
              <w:t>不</w:t>
            </w:r>
            <w:proofErr w:type="gramEnd"/>
            <w:r>
              <w:rPr>
                <w:rFonts w:ascii="宋体" w:hAnsi="宋体" w:hint="eastAsia"/>
                <w:color w:val="auto"/>
                <w:sz w:val="21"/>
                <w:szCs w:val="21"/>
              </w:rPr>
              <w:t>燃烧体进行封堵。</w:t>
            </w:r>
          </w:p>
        </w:tc>
        <w:tc>
          <w:tcPr>
            <w:tcW w:w="2410" w:type="dxa"/>
          </w:tcPr>
          <w:p w14:paraId="5B5550F8"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73102EC1"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66C6E1E1" w14:textId="77777777">
        <w:trPr>
          <w:trHeight w:val="340"/>
        </w:trPr>
        <w:tc>
          <w:tcPr>
            <w:tcW w:w="649" w:type="dxa"/>
            <w:vMerge/>
          </w:tcPr>
          <w:p w14:paraId="4CF4BB62"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3C57FDB"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（6）配电室、用电设备等可能发生火灾事故的场所，根据火灾事故的类型配备适当数量的灭火器材。</w:t>
            </w:r>
          </w:p>
        </w:tc>
        <w:tc>
          <w:tcPr>
            <w:tcW w:w="2410" w:type="dxa"/>
          </w:tcPr>
          <w:p w14:paraId="2AC6EBEC"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color w:val="auto"/>
                <w:sz w:val="21"/>
                <w:szCs w:val="21"/>
              </w:rPr>
              <w:t>现场已要求配置灭火器材。</w:t>
            </w:r>
          </w:p>
        </w:tc>
        <w:tc>
          <w:tcPr>
            <w:tcW w:w="653" w:type="dxa"/>
          </w:tcPr>
          <w:p w14:paraId="2C557DC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3357235E" w14:textId="77777777">
        <w:trPr>
          <w:trHeight w:val="340"/>
        </w:trPr>
        <w:tc>
          <w:tcPr>
            <w:tcW w:w="649" w:type="dxa"/>
            <w:vMerge/>
          </w:tcPr>
          <w:p w14:paraId="76D4637B"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4CF9515B"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（7）电缆进入配电柜、开关柜、控制柜、仪表盘、保护盘等处的电缆孔、洞等处用防火堵料严密封堵。电缆穿入保护管时管口密封。</w:t>
            </w:r>
          </w:p>
        </w:tc>
        <w:tc>
          <w:tcPr>
            <w:tcW w:w="2410" w:type="dxa"/>
          </w:tcPr>
          <w:p w14:paraId="13B2EAA6"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电缆进入配电柜的电缆孔已严密封堵。</w:t>
            </w:r>
          </w:p>
        </w:tc>
        <w:tc>
          <w:tcPr>
            <w:tcW w:w="653" w:type="dxa"/>
          </w:tcPr>
          <w:p w14:paraId="51E0ACEF"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3389372A" w14:textId="77777777">
        <w:trPr>
          <w:trHeight w:val="343"/>
        </w:trPr>
        <w:tc>
          <w:tcPr>
            <w:tcW w:w="9072" w:type="dxa"/>
            <w:gridSpan w:val="4"/>
          </w:tcPr>
          <w:p w14:paraId="30F49F1F" w14:textId="77777777" w:rsidR="009219A0" w:rsidRDefault="00000000">
            <w:pPr>
              <w:adjustRightInd/>
              <w:spacing w:line="240" w:lineRule="auto"/>
              <w:ind w:firstLineChars="0" w:firstLine="0"/>
              <w:rPr>
                <w:rFonts w:ascii="宋体" w:hAnsi="宋体" w:cs="宋体" w:hint="eastAsia"/>
                <w:color w:val="auto"/>
                <w:sz w:val="21"/>
                <w:szCs w:val="21"/>
              </w:rPr>
            </w:pPr>
            <w:bookmarkStart w:id="309" w:name="_Toc54802513"/>
            <w:r>
              <w:rPr>
                <w:rFonts w:ascii="宋体" w:hAnsi="宋体" w:hint="eastAsia"/>
                <w:b/>
                <w:bCs/>
                <w:color w:val="auto"/>
                <w:sz w:val="21"/>
                <w:szCs w:val="21"/>
              </w:rPr>
              <w:t>6.4.</w:t>
            </w:r>
            <w:bookmarkEnd w:id="309"/>
            <w:r>
              <w:rPr>
                <w:rFonts w:ascii="宋体" w:hAnsi="宋体" w:hint="eastAsia"/>
                <w:b/>
                <w:bCs/>
                <w:color w:val="auto"/>
                <w:sz w:val="21"/>
                <w:szCs w:val="21"/>
              </w:rPr>
              <w:t>5变配电安全保护措施</w:t>
            </w:r>
          </w:p>
        </w:tc>
      </w:tr>
      <w:tr w:rsidR="009219A0" w14:paraId="1D5316BD" w14:textId="77777777">
        <w:trPr>
          <w:trHeight w:val="707"/>
        </w:trPr>
        <w:tc>
          <w:tcPr>
            <w:tcW w:w="649" w:type="dxa"/>
            <w:vMerge w:val="restart"/>
          </w:tcPr>
          <w:p w14:paraId="32160400"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11A44141"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（1）配电站进线侧装设断路器。配电系统设保护装置，对系统过流、电压异常等事故进行保护；电源总配电柜</w:t>
            </w:r>
            <w:proofErr w:type="gramStart"/>
            <w:r>
              <w:rPr>
                <w:rFonts w:ascii="宋体" w:hAnsi="宋体" w:hint="eastAsia"/>
                <w:color w:val="auto"/>
                <w:sz w:val="21"/>
                <w:szCs w:val="21"/>
              </w:rPr>
              <w:t>内装第一级</w:t>
            </w:r>
            <w:proofErr w:type="gramEnd"/>
            <w:r>
              <w:rPr>
                <w:rFonts w:ascii="宋体" w:hAnsi="宋体" w:hint="eastAsia"/>
                <w:color w:val="auto"/>
                <w:sz w:val="21"/>
                <w:szCs w:val="21"/>
              </w:rPr>
              <w:t>电涌保护器。</w:t>
            </w:r>
          </w:p>
        </w:tc>
        <w:tc>
          <w:tcPr>
            <w:tcW w:w="2410" w:type="dxa"/>
          </w:tcPr>
          <w:p w14:paraId="65681881"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6580E80D"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43D5529B" w14:textId="77777777">
        <w:trPr>
          <w:trHeight w:val="707"/>
        </w:trPr>
        <w:tc>
          <w:tcPr>
            <w:tcW w:w="649" w:type="dxa"/>
            <w:vMerge/>
          </w:tcPr>
          <w:p w14:paraId="179C063D"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57A800C4"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（2）电力装置的继电保护和自动装置严格按照《电力装置的继电保护和自动装置设计规范》（GB/T50062-2008）等相关规范的要求进行设计。</w:t>
            </w:r>
          </w:p>
        </w:tc>
        <w:tc>
          <w:tcPr>
            <w:tcW w:w="2410" w:type="dxa"/>
          </w:tcPr>
          <w:p w14:paraId="6332384B"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18A66DF7"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68C7F13" w14:textId="77777777">
        <w:trPr>
          <w:trHeight w:val="707"/>
        </w:trPr>
        <w:tc>
          <w:tcPr>
            <w:tcW w:w="649" w:type="dxa"/>
            <w:vMerge/>
          </w:tcPr>
          <w:p w14:paraId="69CECEC9"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DDFE3FD"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（3）对一旦发生漏电切断电源时，会造成重大经济损失的装置和场所，均安装报警式剩余电流保护装置。移动式电气设备、工具采取漏电保护措施。</w:t>
            </w:r>
          </w:p>
        </w:tc>
        <w:tc>
          <w:tcPr>
            <w:tcW w:w="2410" w:type="dxa"/>
          </w:tcPr>
          <w:p w14:paraId="513A3B20"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41FB08C7"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13269FED" w14:textId="77777777">
        <w:trPr>
          <w:trHeight w:val="707"/>
        </w:trPr>
        <w:tc>
          <w:tcPr>
            <w:tcW w:w="649" w:type="dxa"/>
            <w:vMerge/>
          </w:tcPr>
          <w:p w14:paraId="66F3F25D"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7A5BA4B"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4）当电气设备采用超过安全电压的电源时，采取防止直接接触带电体的保护措施。用电设备使用有足够机械强度和耐火性能的材料，采用遮栏、护罩、护盖、箱匣等防护装置，将带电体同外界隔绝开来，防止人体接近或触及带电体。</w:t>
            </w:r>
          </w:p>
        </w:tc>
        <w:tc>
          <w:tcPr>
            <w:tcW w:w="2410" w:type="dxa"/>
          </w:tcPr>
          <w:p w14:paraId="6BE8A749"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576685C4"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188825DF" w14:textId="77777777">
        <w:trPr>
          <w:trHeight w:val="707"/>
        </w:trPr>
        <w:tc>
          <w:tcPr>
            <w:tcW w:w="649" w:type="dxa"/>
            <w:vMerge/>
          </w:tcPr>
          <w:p w14:paraId="4BD1F3E8"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5086D695"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（5）所有电气设备和线路，根据对人的危害程度设置明显的警示标志、防护网和安全遮栏，防护网的高度不小于1.7m，网孔不大于40mm×40mm。</w:t>
            </w:r>
          </w:p>
        </w:tc>
        <w:tc>
          <w:tcPr>
            <w:tcW w:w="2410" w:type="dxa"/>
          </w:tcPr>
          <w:p w14:paraId="5FE30105"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22AB166D"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693E024" w14:textId="77777777">
        <w:trPr>
          <w:trHeight w:val="597"/>
        </w:trPr>
        <w:tc>
          <w:tcPr>
            <w:tcW w:w="649" w:type="dxa"/>
            <w:vMerge/>
          </w:tcPr>
          <w:p w14:paraId="3A21A06C"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71422DB"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（6）带电部分的固定遮拦尺寸、安全距离，要符合要求，牢固、齐全、完整、关严、上锁。</w:t>
            </w:r>
          </w:p>
        </w:tc>
        <w:tc>
          <w:tcPr>
            <w:tcW w:w="2410" w:type="dxa"/>
          </w:tcPr>
          <w:p w14:paraId="1A89FA50"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3A547ED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46527853" w14:textId="77777777">
        <w:trPr>
          <w:trHeight w:val="707"/>
        </w:trPr>
        <w:tc>
          <w:tcPr>
            <w:tcW w:w="649" w:type="dxa"/>
            <w:vMerge/>
          </w:tcPr>
          <w:p w14:paraId="020AA896"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DF23E5B"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（7）对用电设备做好保护接地或保护接零，所有用电设备均设有现场手动控制箱，设有手动、自动及故障急停按钮。</w:t>
            </w:r>
          </w:p>
        </w:tc>
        <w:tc>
          <w:tcPr>
            <w:tcW w:w="2410" w:type="dxa"/>
          </w:tcPr>
          <w:p w14:paraId="014F2E4A"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55AF6F6C"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6FDC65C7" w14:textId="77777777">
        <w:trPr>
          <w:trHeight w:val="493"/>
        </w:trPr>
        <w:tc>
          <w:tcPr>
            <w:tcW w:w="649" w:type="dxa"/>
            <w:vMerge/>
          </w:tcPr>
          <w:p w14:paraId="64DED148"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530F9BC9"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（8）电气系统中，所有线路、电机及其它用电器均设过载及短路保护。</w:t>
            </w:r>
          </w:p>
        </w:tc>
        <w:tc>
          <w:tcPr>
            <w:tcW w:w="2410" w:type="dxa"/>
          </w:tcPr>
          <w:p w14:paraId="18D845B0"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3BF63858"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3CA719C7" w14:textId="77777777">
        <w:trPr>
          <w:trHeight w:val="544"/>
        </w:trPr>
        <w:tc>
          <w:tcPr>
            <w:tcW w:w="649" w:type="dxa"/>
            <w:vMerge/>
          </w:tcPr>
          <w:p w14:paraId="75396D04"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71817AF"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（9）电机设置超速保护、相序保护、过电压保护、异常温度保护、过载保护等保护装置。</w:t>
            </w:r>
          </w:p>
        </w:tc>
        <w:tc>
          <w:tcPr>
            <w:tcW w:w="2410" w:type="dxa"/>
          </w:tcPr>
          <w:p w14:paraId="32515756"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75905202"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02789D07" w14:textId="77777777">
        <w:trPr>
          <w:trHeight w:val="991"/>
        </w:trPr>
        <w:tc>
          <w:tcPr>
            <w:tcW w:w="649" w:type="dxa"/>
            <w:vMerge/>
          </w:tcPr>
          <w:p w14:paraId="7194B54A"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70FBDB74"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（10）在断电的线路上作业，事先对拉下的电源开关把手加锁或设专人看护，并悬挂“有人作业，不准送电”的标志牌；用验电器验明无电，并在所有可能来电线路的各端装接地线，方可进行作业。</w:t>
            </w:r>
          </w:p>
        </w:tc>
        <w:tc>
          <w:tcPr>
            <w:tcW w:w="2410" w:type="dxa"/>
          </w:tcPr>
          <w:p w14:paraId="091EEFD9"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企业已制定相关安全操作规程。</w:t>
            </w:r>
          </w:p>
        </w:tc>
        <w:tc>
          <w:tcPr>
            <w:tcW w:w="653" w:type="dxa"/>
          </w:tcPr>
          <w:p w14:paraId="02E4114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7F7194B2" w14:textId="77777777">
        <w:trPr>
          <w:trHeight w:val="291"/>
        </w:trPr>
        <w:tc>
          <w:tcPr>
            <w:tcW w:w="649" w:type="dxa"/>
            <w:vMerge/>
          </w:tcPr>
          <w:p w14:paraId="682CD828"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1B6D535E"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（11）带电设备周围，不得使用钢卷尺和带金属丝的线尺。</w:t>
            </w:r>
          </w:p>
        </w:tc>
        <w:tc>
          <w:tcPr>
            <w:tcW w:w="2410" w:type="dxa"/>
          </w:tcPr>
          <w:p w14:paraId="4C23EB01"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18FB6580"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5D8F181" w14:textId="77777777">
        <w:trPr>
          <w:trHeight w:val="561"/>
        </w:trPr>
        <w:tc>
          <w:tcPr>
            <w:tcW w:w="649" w:type="dxa"/>
            <w:vMerge/>
          </w:tcPr>
          <w:p w14:paraId="43626F85"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25D08B9"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（12）线路跳闸后，不应强行送电；应立即报告调度，并与用户联系，查明原因，排除故障，方可送电。</w:t>
            </w:r>
          </w:p>
        </w:tc>
        <w:tc>
          <w:tcPr>
            <w:tcW w:w="2410" w:type="dxa"/>
          </w:tcPr>
          <w:p w14:paraId="36247F05"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3129A62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0925C678" w14:textId="77777777">
        <w:trPr>
          <w:trHeight w:val="991"/>
        </w:trPr>
        <w:tc>
          <w:tcPr>
            <w:tcW w:w="649" w:type="dxa"/>
            <w:vMerge/>
          </w:tcPr>
          <w:p w14:paraId="0EB59D96"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86B2E0D"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（13）进行低压操作，人体或其携带的工具与带电体的最小距离不得小于0.1m；在高压线路上工作时，人体或其携带的工具与临近带电线路的最小距离，10kV及以下为1m。</w:t>
            </w:r>
          </w:p>
        </w:tc>
        <w:tc>
          <w:tcPr>
            <w:tcW w:w="2410" w:type="dxa"/>
          </w:tcPr>
          <w:p w14:paraId="72D28927"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11E4949B"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71AF4A56" w14:textId="77777777">
        <w:trPr>
          <w:trHeight w:val="874"/>
        </w:trPr>
        <w:tc>
          <w:tcPr>
            <w:tcW w:w="649" w:type="dxa"/>
            <w:vMerge/>
          </w:tcPr>
          <w:p w14:paraId="093B9A00"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4E8FB283"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（14）停电检修易误碰有电设备的，设有明显标志的永久性隔板挡板。开关把手必须加锁或专人管护，并悬挂“有人作业，严禁送电”标志牌。</w:t>
            </w:r>
          </w:p>
        </w:tc>
        <w:tc>
          <w:tcPr>
            <w:tcW w:w="2410" w:type="dxa"/>
          </w:tcPr>
          <w:p w14:paraId="79C0347C"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企业已制定相关安全操作规程。</w:t>
            </w:r>
          </w:p>
        </w:tc>
        <w:tc>
          <w:tcPr>
            <w:tcW w:w="653" w:type="dxa"/>
          </w:tcPr>
          <w:p w14:paraId="5DAA84A3"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3D4442D" w14:textId="77777777">
        <w:trPr>
          <w:trHeight w:val="991"/>
        </w:trPr>
        <w:tc>
          <w:tcPr>
            <w:tcW w:w="649" w:type="dxa"/>
            <w:vMerge/>
          </w:tcPr>
          <w:p w14:paraId="6CC3BF5F"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2C91A2B6"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（15）电气作业人员经过专门的安全技术培训考核，持证上岗，电气工作人员必须配备必要的电气安全用具和劳动保护用品，如绝缘棒、绝缘夹钳、绝缘胶鞋等，防止人员触电。</w:t>
            </w:r>
          </w:p>
        </w:tc>
        <w:tc>
          <w:tcPr>
            <w:tcW w:w="2410" w:type="dxa"/>
          </w:tcPr>
          <w:p w14:paraId="6A1BFC0D"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企业委托有相应资质的单位和人员进行作业。</w:t>
            </w:r>
          </w:p>
        </w:tc>
        <w:tc>
          <w:tcPr>
            <w:tcW w:w="653" w:type="dxa"/>
          </w:tcPr>
          <w:p w14:paraId="4EA17A0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1D9AF318" w14:textId="77777777">
        <w:trPr>
          <w:trHeight w:val="607"/>
        </w:trPr>
        <w:tc>
          <w:tcPr>
            <w:tcW w:w="649" w:type="dxa"/>
            <w:vMerge/>
          </w:tcPr>
          <w:p w14:paraId="21484B11"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6D74810C"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（16）各设备的电气控制柜和配电屏前的地板铺绝缘板，配变电室备有绝缘手套、绝缘靴和绝缘杆等。</w:t>
            </w:r>
          </w:p>
        </w:tc>
        <w:tc>
          <w:tcPr>
            <w:tcW w:w="2410" w:type="dxa"/>
          </w:tcPr>
          <w:p w14:paraId="29879A34"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现场配电柜前的地板铺绝缘板。</w:t>
            </w:r>
          </w:p>
        </w:tc>
        <w:tc>
          <w:tcPr>
            <w:tcW w:w="653" w:type="dxa"/>
          </w:tcPr>
          <w:p w14:paraId="523385A5"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2008D4A" w14:textId="77777777">
        <w:trPr>
          <w:trHeight w:val="734"/>
        </w:trPr>
        <w:tc>
          <w:tcPr>
            <w:tcW w:w="649" w:type="dxa"/>
            <w:vMerge/>
          </w:tcPr>
          <w:p w14:paraId="5C6CA5A0"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4F1AD705"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（17）潮湿地区、金属容器内作业人员配备绝缘鞋、绝缘胶垫等，设置监护人，采用安全电压。携带式照明灯具的电源电压不超过36V。</w:t>
            </w:r>
          </w:p>
        </w:tc>
        <w:tc>
          <w:tcPr>
            <w:tcW w:w="2410" w:type="dxa"/>
          </w:tcPr>
          <w:p w14:paraId="53B7CA3C"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4CD63D75"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04AAD670" w14:textId="77777777">
        <w:trPr>
          <w:trHeight w:val="991"/>
        </w:trPr>
        <w:tc>
          <w:tcPr>
            <w:tcW w:w="649" w:type="dxa"/>
            <w:vMerge/>
          </w:tcPr>
          <w:p w14:paraId="7A393D46"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00F0AE21"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（18）建立健全电气操作安全制度、用电安全规程及岗位责任制，如工作票制度、工作许可制度、工作监护制度、倒合闸操作制度、低压带电操作安全制度、备用电源操作安全制度等。</w:t>
            </w:r>
          </w:p>
        </w:tc>
        <w:tc>
          <w:tcPr>
            <w:tcW w:w="2410" w:type="dxa"/>
          </w:tcPr>
          <w:p w14:paraId="2C54D9AB"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企业已制定相关安全操作规程。</w:t>
            </w:r>
          </w:p>
        </w:tc>
        <w:tc>
          <w:tcPr>
            <w:tcW w:w="653" w:type="dxa"/>
          </w:tcPr>
          <w:p w14:paraId="4E2F3902"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A493AD6" w14:textId="77777777">
        <w:trPr>
          <w:trHeight w:val="991"/>
        </w:trPr>
        <w:tc>
          <w:tcPr>
            <w:tcW w:w="649" w:type="dxa"/>
            <w:vMerge/>
          </w:tcPr>
          <w:p w14:paraId="28F1343F"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486E1925"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（19）电气设备、设施设置醒目的、明确的、准确的、统一的图形标志和文字标志。在有可能发生触电的设备区设置“当心触电”等安全警示标识。</w:t>
            </w:r>
          </w:p>
        </w:tc>
        <w:tc>
          <w:tcPr>
            <w:tcW w:w="2410" w:type="dxa"/>
          </w:tcPr>
          <w:p w14:paraId="42C78C7D"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设置安全警示标识。</w:t>
            </w:r>
          </w:p>
        </w:tc>
        <w:tc>
          <w:tcPr>
            <w:tcW w:w="653" w:type="dxa"/>
          </w:tcPr>
          <w:p w14:paraId="7C656E6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F0E8A25" w14:textId="77777777">
        <w:trPr>
          <w:trHeight w:val="281"/>
        </w:trPr>
        <w:tc>
          <w:tcPr>
            <w:tcW w:w="9072" w:type="dxa"/>
            <w:gridSpan w:val="4"/>
          </w:tcPr>
          <w:p w14:paraId="46630047" w14:textId="77777777" w:rsidR="009219A0" w:rsidRDefault="00000000">
            <w:pPr>
              <w:adjustRightInd/>
              <w:spacing w:line="240" w:lineRule="auto"/>
              <w:ind w:firstLineChars="0" w:firstLine="0"/>
              <w:rPr>
                <w:rFonts w:ascii="宋体" w:hAnsi="宋体" w:cs="宋体" w:hint="eastAsia"/>
                <w:b/>
                <w:color w:val="auto"/>
                <w:sz w:val="21"/>
                <w:szCs w:val="21"/>
              </w:rPr>
            </w:pPr>
            <w:r>
              <w:rPr>
                <w:rFonts w:ascii="宋体" w:hAnsi="宋体" w:cs="宋体" w:hint="eastAsia"/>
                <w:b/>
                <w:color w:val="auto"/>
                <w:sz w:val="21"/>
                <w:szCs w:val="21"/>
              </w:rPr>
              <w:t>6.5 其他防范措施</w:t>
            </w:r>
          </w:p>
        </w:tc>
      </w:tr>
      <w:tr w:rsidR="009219A0" w14:paraId="00C2DED0" w14:textId="77777777">
        <w:trPr>
          <w:trHeight w:val="281"/>
        </w:trPr>
        <w:tc>
          <w:tcPr>
            <w:tcW w:w="9072" w:type="dxa"/>
            <w:gridSpan w:val="4"/>
          </w:tcPr>
          <w:p w14:paraId="4BD68BED" w14:textId="77777777" w:rsidR="009219A0" w:rsidRDefault="00000000">
            <w:pPr>
              <w:adjustRightInd/>
              <w:spacing w:line="240" w:lineRule="auto"/>
              <w:ind w:firstLineChars="0" w:firstLine="0"/>
              <w:rPr>
                <w:rFonts w:ascii="宋体" w:hAnsi="宋体" w:cs="宋体" w:hint="eastAsia"/>
                <w:b/>
                <w:color w:val="auto"/>
                <w:sz w:val="21"/>
                <w:szCs w:val="21"/>
              </w:rPr>
            </w:pPr>
            <w:r>
              <w:rPr>
                <w:rFonts w:ascii="宋体" w:hAnsi="宋体" w:cs="宋体" w:hint="eastAsia"/>
                <w:b/>
                <w:color w:val="auto"/>
                <w:sz w:val="21"/>
                <w:szCs w:val="21"/>
              </w:rPr>
              <w:t>6.5.1 劳动防护用品的配备</w:t>
            </w:r>
          </w:p>
        </w:tc>
      </w:tr>
      <w:tr w:rsidR="009219A0" w14:paraId="41349120" w14:textId="77777777">
        <w:trPr>
          <w:trHeight w:val="849"/>
        </w:trPr>
        <w:tc>
          <w:tcPr>
            <w:tcW w:w="649" w:type="dxa"/>
            <w:vMerge w:val="restart"/>
          </w:tcPr>
          <w:p w14:paraId="4EEA91A0"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17E18C95"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（1）为从业人员提供符合国家标准或者行业标准的劳动防护用品，并监督、教育从业人员按照使用规则佩戴、使用。</w:t>
            </w:r>
          </w:p>
        </w:tc>
        <w:tc>
          <w:tcPr>
            <w:tcW w:w="2410" w:type="dxa"/>
          </w:tcPr>
          <w:p w14:paraId="42DAECD2" w14:textId="77777777" w:rsidR="009219A0" w:rsidRDefault="00000000">
            <w:pPr>
              <w:spacing w:line="240" w:lineRule="auto"/>
              <w:ind w:firstLineChars="0" w:firstLine="0"/>
              <w:rPr>
                <w:rFonts w:ascii="宋体" w:hAnsi="宋体" w:hint="eastAsia"/>
                <w:color w:val="auto"/>
                <w:sz w:val="21"/>
                <w:szCs w:val="21"/>
              </w:rPr>
            </w:pPr>
            <w:r>
              <w:rPr>
                <w:rFonts w:ascii="宋体" w:hAnsi="宋体" w:hint="eastAsia"/>
                <w:color w:val="auto"/>
                <w:sz w:val="21"/>
                <w:szCs w:val="21"/>
              </w:rPr>
              <w:t>已为从业人员提供符合标准的劳动防护用品，并监督、教育从业人员按照使用规则佩戴、使用。</w:t>
            </w:r>
          </w:p>
        </w:tc>
        <w:tc>
          <w:tcPr>
            <w:tcW w:w="653" w:type="dxa"/>
          </w:tcPr>
          <w:p w14:paraId="63BC1312"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1329C3AA" w14:textId="77777777">
        <w:trPr>
          <w:trHeight w:val="708"/>
        </w:trPr>
        <w:tc>
          <w:tcPr>
            <w:tcW w:w="649" w:type="dxa"/>
            <w:vMerge/>
          </w:tcPr>
          <w:p w14:paraId="18B04E92"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3EC2F7A1"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（2）建立和健全劳动防护用品的采购、验收、保管、发放、使用、报废等管理制度。</w:t>
            </w:r>
          </w:p>
        </w:tc>
        <w:tc>
          <w:tcPr>
            <w:tcW w:w="2410" w:type="dxa"/>
          </w:tcPr>
          <w:p w14:paraId="58A2A4FE" w14:textId="77777777" w:rsidR="009219A0" w:rsidRDefault="00000000">
            <w:pPr>
              <w:spacing w:line="240" w:lineRule="auto"/>
              <w:ind w:firstLineChars="0" w:firstLine="0"/>
              <w:rPr>
                <w:rFonts w:ascii="宋体" w:hAnsi="宋体" w:hint="eastAsia"/>
                <w:color w:val="auto"/>
                <w:sz w:val="21"/>
                <w:szCs w:val="21"/>
              </w:rPr>
            </w:pPr>
            <w:proofErr w:type="gramStart"/>
            <w:r>
              <w:rPr>
                <w:rFonts w:ascii="宋体" w:hAnsi="宋体" w:hint="eastAsia"/>
                <w:color w:val="auto"/>
                <w:sz w:val="21"/>
                <w:szCs w:val="21"/>
              </w:rPr>
              <w:t>创源公司</w:t>
            </w:r>
            <w:proofErr w:type="gramEnd"/>
            <w:r>
              <w:rPr>
                <w:rFonts w:ascii="宋体" w:hAnsi="宋体" w:hint="eastAsia"/>
                <w:color w:val="auto"/>
                <w:sz w:val="21"/>
                <w:szCs w:val="21"/>
              </w:rPr>
              <w:t>建立有劳动防护用品相关管理制度。</w:t>
            </w:r>
          </w:p>
        </w:tc>
        <w:tc>
          <w:tcPr>
            <w:tcW w:w="653" w:type="dxa"/>
          </w:tcPr>
          <w:p w14:paraId="72A08561"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0E858F6F" w14:textId="77777777">
        <w:trPr>
          <w:trHeight w:val="882"/>
        </w:trPr>
        <w:tc>
          <w:tcPr>
            <w:tcW w:w="649" w:type="dxa"/>
            <w:vMerge/>
          </w:tcPr>
          <w:p w14:paraId="44441A1D"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03AA9DB6"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3）凡是从事多种作业或在多种劳动环境中作业的人员，应按其主要作业的工种和劳动环境配备劳动防护用品；如配备的劳动防护用品在从事其他工种作业时或其他劳动环境中确实不能适用的，应另配或借用所需的其他劳动防护用品。</w:t>
            </w:r>
          </w:p>
        </w:tc>
        <w:tc>
          <w:tcPr>
            <w:tcW w:w="2410" w:type="dxa"/>
          </w:tcPr>
          <w:p w14:paraId="4370F40F" w14:textId="77777777" w:rsidR="009219A0" w:rsidRDefault="00000000">
            <w:pPr>
              <w:spacing w:line="240" w:lineRule="auto"/>
              <w:ind w:firstLineChars="0" w:firstLine="0"/>
              <w:rPr>
                <w:rFonts w:ascii="宋体" w:hAnsi="宋体" w:hint="eastAsia"/>
                <w:color w:val="auto"/>
                <w:sz w:val="21"/>
                <w:szCs w:val="21"/>
              </w:rPr>
            </w:pPr>
            <w:r>
              <w:rPr>
                <w:rFonts w:ascii="宋体" w:hAnsi="宋体" w:hint="eastAsia"/>
                <w:color w:val="auto"/>
                <w:sz w:val="21"/>
                <w:szCs w:val="21"/>
              </w:rPr>
              <w:t>已按作业环境配备相应的劳动防护用品。</w:t>
            </w:r>
          </w:p>
        </w:tc>
        <w:tc>
          <w:tcPr>
            <w:tcW w:w="653" w:type="dxa"/>
          </w:tcPr>
          <w:p w14:paraId="5F4FABFA"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04214C43" w14:textId="77777777">
        <w:trPr>
          <w:trHeight w:val="944"/>
        </w:trPr>
        <w:tc>
          <w:tcPr>
            <w:tcW w:w="649" w:type="dxa"/>
            <w:vMerge/>
          </w:tcPr>
          <w:p w14:paraId="34DC413C"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00BF5F36" w14:textId="77777777" w:rsidR="009219A0" w:rsidRDefault="00000000">
            <w:pPr>
              <w:adjustRightInd/>
              <w:snapToGrid/>
              <w:spacing w:line="240" w:lineRule="auto"/>
              <w:ind w:firstLineChars="0" w:firstLine="0"/>
              <w:rPr>
                <w:rFonts w:ascii="宋体" w:hAnsi="宋体" w:hint="eastAsia"/>
                <w:color w:val="auto"/>
                <w:sz w:val="21"/>
                <w:szCs w:val="21"/>
              </w:rPr>
            </w:pPr>
            <w:r>
              <w:rPr>
                <w:rFonts w:ascii="宋体" w:hAnsi="宋体" w:hint="eastAsia"/>
                <w:color w:val="auto"/>
                <w:sz w:val="21"/>
                <w:szCs w:val="21"/>
              </w:rPr>
              <w:t>（4）根据《个体防护装备配备规范》，按照工种及该工种岗位配备标准建立职工个人劳动防护用品领用、发放登记卡片，在卡片上按标准签发品名与使用期限。</w:t>
            </w:r>
          </w:p>
        </w:tc>
        <w:tc>
          <w:tcPr>
            <w:tcW w:w="2410" w:type="dxa"/>
          </w:tcPr>
          <w:p w14:paraId="48B447E0" w14:textId="77777777" w:rsidR="009219A0" w:rsidRDefault="00000000">
            <w:pPr>
              <w:spacing w:line="240" w:lineRule="auto"/>
              <w:ind w:firstLineChars="0" w:firstLine="0"/>
              <w:rPr>
                <w:rFonts w:ascii="宋体" w:hAnsi="宋体" w:hint="eastAsia"/>
                <w:color w:val="auto"/>
                <w:sz w:val="21"/>
                <w:szCs w:val="21"/>
              </w:rPr>
            </w:pPr>
            <w:r>
              <w:rPr>
                <w:rFonts w:ascii="宋体" w:hAnsi="宋体" w:hint="eastAsia"/>
                <w:color w:val="auto"/>
                <w:sz w:val="21"/>
                <w:szCs w:val="21"/>
              </w:rPr>
              <w:t>已建立劳动用品发放台账。</w:t>
            </w:r>
          </w:p>
        </w:tc>
        <w:tc>
          <w:tcPr>
            <w:tcW w:w="653" w:type="dxa"/>
          </w:tcPr>
          <w:p w14:paraId="47362B20"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57E32DEF" w14:textId="77777777">
        <w:trPr>
          <w:trHeight w:val="340"/>
        </w:trPr>
        <w:tc>
          <w:tcPr>
            <w:tcW w:w="9072" w:type="dxa"/>
            <w:gridSpan w:val="4"/>
          </w:tcPr>
          <w:p w14:paraId="0C774D75" w14:textId="77777777" w:rsidR="009219A0" w:rsidRDefault="00000000">
            <w:pPr>
              <w:adjustRightInd/>
              <w:spacing w:line="240" w:lineRule="auto"/>
              <w:ind w:firstLineChars="0" w:firstLine="0"/>
              <w:rPr>
                <w:rFonts w:ascii="宋体" w:hAnsi="宋体" w:cs="宋体" w:hint="eastAsia"/>
                <w:b/>
                <w:color w:val="auto"/>
                <w:sz w:val="21"/>
                <w:szCs w:val="21"/>
              </w:rPr>
            </w:pPr>
            <w:bookmarkStart w:id="310" w:name="_Toc54802517"/>
            <w:r>
              <w:rPr>
                <w:rFonts w:ascii="宋体" w:hAnsi="宋体" w:hint="eastAsia"/>
                <w:b/>
                <w:color w:val="auto"/>
                <w:sz w:val="21"/>
                <w:szCs w:val="21"/>
              </w:rPr>
              <w:t xml:space="preserve">6.5.2 </w:t>
            </w:r>
            <w:r>
              <w:rPr>
                <w:rFonts w:ascii="宋体" w:hAnsi="宋体" w:hint="eastAsia"/>
                <w:b/>
                <w:color w:val="auto"/>
                <w:sz w:val="21"/>
                <w:szCs w:val="21"/>
              </w:rPr>
              <w:tab/>
              <w:t>安全警示标志、安全色、安全</w:t>
            </w:r>
            <w:proofErr w:type="gramStart"/>
            <w:r>
              <w:rPr>
                <w:rFonts w:ascii="宋体" w:hAnsi="宋体" w:hint="eastAsia"/>
                <w:b/>
                <w:color w:val="auto"/>
                <w:sz w:val="21"/>
                <w:szCs w:val="21"/>
              </w:rPr>
              <w:t>告知卡</w:t>
            </w:r>
            <w:bookmarkEnd w:id="310"/>
            <w:proofErr w:type="gramEnd"/>
          </w:p>
        </w:tc>
      </w:tr>
      <w:tr w:rsidR="009219A0" w14:paraId="0569DC2C" w14:textId="77777777">
        <w:trPr>
          <w:trHeight w:val="340"/>
        </w:trPr>
        <w:tc>
          <w:tcPr>
            <w:tcW w:w="649" w:type="dxa"/>
            <w:vMerge w:val="restart"/>
          </w:tcPr>
          <w:p w14:paraId="41661F03"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05C0933B"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（1）安全标志设置</w:t>
            </w:r>
          </w:p>
          <w:p w14:paraId="47DCE971"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1）按《安全标志及其使用导则》（GB2894-2008）的规定，</w:t>
            </w:r>
            <w:proofErr w:type="gramStart"/>
            <w:r>
              <w:rPr>
                <w:rFonts w:ascii="宋体" w:hAnsi="宋体" w:hint="eastAsia"/>
                <w:color w:val="auto"/>
                <w:sz w:val="21"/>
                <w:szCs w:val="21"/>
              </w:rPr>
              <w:t>凡容易</w:t>
            </w:r>
            <w:proofErr w:type="gramEnd"/>
            <w:r>
              <w:rPr>
                <w:rFonts w:ascii="宋体" w:hAnsi="宋体" w:hint="eastAsia"/>
                <w:color w:val="auto"/>
                <w:sz w:val="21"/>
                <w:szCs w:val="21"/>
              </w:rPr>
              <w:t>发生事故的场所和设备设置安全标志，对需要迅速发现并引起注意，以防发生事故的场所、部位涂有安全色。对作业地点的紧急出入口设置明显的标志和指示箭头。</w:t>
            </w:r>
          </w:p>
          <w:p w14:paraId="00F477EF"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 xml:space="preserve"> 2）厂内道路根据交通流量设置交通标志，其设置、位</w:t>
            </w:r>
            <w:r>
              <w:rPr>
                <w:rFonts w:ascii="宋体" w:hAnsi="宋体" w:hint="eastAsia"/>
                <w:color w:val="auto"/>
                <w:sz w:val="21"/>
                <w:szCs w:val="21"/>
              </w:rPr>
              <w:lastRenderedPageBreak/>
              <w:t>置、形式、尺寸、图案和颜色等符合《道路交通标志和标线 第2部分：道路交通标志》（GB5768.2-2022）的规定。各行车道口设立相应的指示牌，并标注“未经许可，禁止车辆进入”、“限速”、“限高”等警示标志。</w:t>
            </w:r>
          </w:p>
          <w:p w14:paraId="3DA9C42C"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3）装卸车区域设安全标识、停车限位器、防撞警示色；车辆行驶路线上方存在管线、走道等构筑物及进入车间的出入口等处设置限高标志；车辆出入的出入口区域设置“当心车辆”的警示标志。</w:t>
            </w:r>
          </w:p>
          <w:p w14:paraId="34D7963E"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4）原料、产品堆放区域等存在火灾危险的部位设置“严禁烟火”、“严禁吸烟”等标志。</w:t>
            </w:r>
          </w:p>
          <w:p w14:paraId="4DAB87B0"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t>5）疏散通道醒目处设置“禁止阻塞”标志，疏散通道门上设置“禁止锁闭”标志。消防器材地点设置“灭火设备”、“灭火器”等标志。</w:t>
            </w:r>
          </w:p>
          <w:p w14:paraId="4881497F" w14:textId="77777777" w:rsidR="009219A0" w:rsidRDefault="00000000">
            <w:pPr>
              <w:pStyle w:val="Default1"/>
              <w:rPr>
                <w:rFonts w:ascii="宋体" w:hAnsi="宋体"/>
                <w:color w:val="auto"/>
                <w:sz w:val="21"/>
                <w:szCs w:val="21"/>
              </w:rPr>
            </w:pPr>
            <w:r>
              <w:rPr>
                <w:rFonts w:ascii="宋体" w:hAnsi="宋体"/>
                <w:color w:val="auto"/>
                <w:sz w:val="21"/>
                <w:szCs w:val="21"/>
              </w:rPr>
              <w:t>6）易发生机械伤害的区域设置“当心机械伤害”等安全警示标志。</w:t>
            </w:r>
          </w:p>
          <w:p w14:paraId="22ED6FD2" w14:textId="77777777" w:rsidR="009219A0" w:rsidRDefault="00000000">
            <w:pPr>
              <w:pStyle w:val="Default1"/>
              <w:rPr>
                <w:rFonts w:ascii="宋体" w:hAnsi="宋体"/>
                <w:color w:val="auto"/>
                <w:sz w:val="21"/>
                <w:szCs w:val="21"/>
              </w:rPr>
            </w:pPr>
            <w:r>
              <w:rPr>
                <w:rFonts w:ascii="宋体" w:hAnsi="宋体"/>
                <w:color w:val="auto"/>
                <w:sz w:val="21"/>
                <w:szCs w:val="21"/>
              </w:rPr>
              <w:t>7）不准在电气设备中、供电线路上带电作业（无论高压或低压），停电作业时，采取措施让开关不能合闸，同时挂有“禁止合闸，有人工作”的标牌。在可能导致触电的地点（如开关、配电箱等），悬挂标示牌和装设防护盖，并设置“当心触电”等警示标志。</w:t>
            </w:r>
          </w:p>
          <w:p w14:paraId="09E7873C" w14:textId="77777777" w:rsidR="009219A0" w:rsidRDefault="00000000">
            <w:pPr>
              <w:pStyle w:val="Default1"/>
              <w:rPr>
                <w:rFonts w:ascii="宋体" w:hAnsi="宋体"/>
                <w:color w:val="auto"/>
                <w:sz w:val="21"/>
                <w:szCs w:val="21"/>
              </w:rPr>
            </w:pPr>
            <w:r>
              <w:rPr>
                <w:rFonts w:ascii="宋体" w:hAnsi="宋体"/>
                <w:color w:val="auto"/>
                <w:sz w:val="21"/>
                <w:szCs w:val="21"/>
              </w:rPr>
              <w:t>8）中试车间入口设置逃生路线图，对作业地点的紧急通道和紧急出入口均设置明显的标志和指示箭头。</w:t>
            </w:r>
          </w:p>
          <w:p w14:paraId="123BC844" w14:textId="77777777" w:rsidR="009219A0" w:rsidRDefault="00000000">
            <w:pPr>
              <w:pStyle w:val="Default1"/>
              <w:rPr>
                <w:rFonts w:ascii="宋体" w:hAnsi="宋体"/>
                <w:color w:val="auto"/>
                <w:sz w:val="21"/>
                <w:szCs w:val="21"/>
              </w:rPr>
            </w:pPr>
            <w:r>
              <w:rPr>
                <w:rFonts w:ascii="宋体" w:hAnsi="宋体"/>
                <w:color w:val="auto"/>
                <w:sz w:val="21"/>
                <w:szCs w:val="21"/>
              </w:rPr>
              <w:t>9）标志牌设置的高度，尽量与人眼的视线高度相一致。悬挂式和柱式的环境信息标志牌的下缘距地面的高度不宜小于2m。局部信息标志的设置高度视具体情况确定。</w:t>
            </w:r>
          </w:p>
          <w:p w14:paraId="1A7E8669" w14:textId="77777777" w:rsidR="009219A0" w:rsidRDefault="00000000">
            <w:pPr>
              <w:pStyle w:val="Default1"/>
              <w:rPr>
                <w:rFonts w:ascii="宋体" w:hAnsi="宋体"/>
                <w:color w:val="auto"/>
                <w:sz w:val="21"/>
                <w:szCs w:val="21"/>
              </w:rPr>
            </w:pPr>
            <w:r>
              <w:rPr>
                <w:rFonts w:ascii="宋体" w:hAnsi="宋体"/>
                <w:color w:val="auto"/>
                <w:sz w:val="21"/>
                <w:szCs w:val="21"/>
              </w:rPr>
              <w:t>10）标志牌设在与安全有关的醒目地方，并使人员看见后，有足够的时间来注意它所表示的内容。环境信息标志宜设在有关场所的入口处和醒目处。局部信息标志应设在所涉及的相应危险地点或设备（部件）附近的醒目处。</w:t>
            </w:r>
          </w:p>
          <w:p w14:paraId="02F73C58" w14:textId="77777777" w:rsidR="009219A0" w:rsidRDefault="00000000">
            <w:pPr>
              <w:pStyle w:val="Default1"/>
              <w:rPr>
                <w:rFonts w:ascii="宋体" w:hAnsi="宋体"/>
                <w:color w:val="auto"/>
                <w:sz w:val="21"/>
                <w:szCs w:val="21"/>
              </w:rPr>
            </w:pPr>
            <w:r>
              <w:rPr>
                <w:rFonts w:ascii="宋体" w:hAnsi="宋体"/>
                <w:color w:val="auto"/>
                <w:sz w:val="21"/>
                <w:szCs w:val="21"/>
              </w:rPr>
              <w:t>11）标志</w:t>
            </w:r>
            <w:proofErr w:type="gramStart"/>
            <w:r>
              <w:rPr>
                <w:rFonts w:ascii="宋体" w:hAnsi="宋体"/>
                <w:color w:val="auto"/>
                <w:sz w:val="21"/>
                <w:szCs w:val="21"/>
              </w:rPr>
              <w:t>牌不得</w:t>
            </w:r>
            <w:proofErr w:type="gramEnd"/>
            <w:r>
              <w:rPr>
                <w:rFonts w:ascii="宋体" w:hAnsi="宋体"/>
                <w:color w:val="auto"/>
                <w:sz w:val="21"/>
                <w:szCs w:val="21"/>
              </w:rPr>
              <w:t>设在门、窗、架等可移动的物体上，以免这些物体位置移动后，看不见安全标志。标志牌前不得放置妨碍认读的障碍物。</w:t>
            </w:r>
          </w:p>
          <w:p w14:paraId="61D2B969" w14:textId="77777777" w:rsidR="009219A0" w:rsidRDefault="00000000">
            <w:pPr>
              <w:pStyle w:val="Default1"/>
              <w:rPr>
                <w:rFonts w:hint="default"/>
              </w:rPr>
            </w:pPr>
            <w:r>
              <w:rPr>
                <w:rFonts w:ascii="宋体" w:hAnsi="宋体"/>
                <w:color w:val="auto"/>
                <w:sz w:val="21"/>
                <w:szCs w:val="21"/>
              </w:rPr>
              <w:t>12）安全标志至少每半年检查一次，如发现有破损、变形、褪色等不符合要求时，及时修整或更换。</w:t>
            </w:r>
          </w:p>
        </w:tc>
        <w:tc>
          <w:tcPr>
            <w:tcW w:w="2410" w:type="dxa"/>
          </w:tcPr>
          <w:p w14:paraId="6C1FC8E3"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lastRenderedPageBreak/>
              <w:t>现场设备区域安全标识设置不足。</w:t>
            </w:r>
          </w:p>
        </w:tc>
        <w:tc>
          <w:tcPr>
            <w:tcW w:w="653" w:type="dxa"/>
          </w:tcPr>
          <w:p w14:paraId="1A6A91D8"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hint="eastAsia"/>
                <w:color w:val="auto"/>
                <w:sz w:val="21"/>
                <w:szCs w:val="21"/>
              </w:rPr>
              <w:t>不</w:t>
            </w:r>
            <w:r>
              <w:rPr>
                <w:rFonts w:ascii="宋体" w:hAnsi="宋体" w:cs="宋体"/>
                <w:color w:val="auto"/>
                <w:sz w:val="21"/>
                <w:szCs w:val="21"/>
              </w:rPr>
              <w:t>符合</w:t>
            </w:r>
          </w:p>
        </w:tc>
      </w:tr>
      <w:tr w:rsidR="009219A0" w14:paraId="08DFC242" w14:textId="77777777">
        <w:trPr>
          <w:trHeight w:val="340"/>
        </w:trPr>
        <w:tc>
          <w:tcPr>
            <w:tcW w:w="649" w:type="dxa"/>
            <w:vMerge/>
          </w:tcPr>
          <w:p w14:paraId="49302926" w14:textId="77777777" w:rsidR="009219A0" w:rsidRDefault="009219A0">
            <w:pPr>
              <w:adjustRightInd/>
              <w:spacing w:line="240" w:lineRule="auto"/>
              <w:ind w:firstLineChars="0" w:firstLine="0"/>
              <w:rPr>
                <w:rFonts w:ascii="宋体" w:hAnsi="宋体" w:cs="宋体" w:hint="eastAsia"/>
                <w:color w:val="auto"/>
                <w:sz w:val="21"/>
                <w:szCs w:val="21"/>
              </w:rPr>
            </w:pPr>
          </w:p>
        </w:tc>
        <w:tc>
          <w:tcPr>
            <w:tcW w:w="5360" w:type="dxa"/>
          </w:tcPr>
          <w:p w14:paraId="57A7743D" w14:textId="77777777" w:rsidR="009219A0" w:rsidRDefault="00000000">
            <w:pPr>
              <w:adjustRightInd/>
              <w:spacing w:line="240" w:lineRule="auto"/>
              <w:ind w:firstLineChars="0" w:firstLine="0"/>
              <w:rPr>
                <w:rFonts w:ascii="宋体" w:hAnsi="宋体" w:hint="eastAsia"/>
                <w:color w:val="auto"/>
                <w:spacing w:val="4"/>
                <w:sz w:val="21"/>
                <w:szCs w:val="21"/>
              </w:rPr>
            </w:pPr>
            <w:r>
              <w:rPr>
                <w:rFonts w:ascii="宋体" w:hAnsi="宋体" w:hint="eastAsia"/>
                <w:color w:val="auto"/>
                <w:spacing w:val="4"/>
                <w:sz w:val="21"/>
                <w:szCs w:val="21"/>
              </w:rPr>
              <w:t>（2）安全色</w:t>
            </w:r>
          </w:p>
          <w:p w14:paraId="4E233568" w14:textId="77777777" w:rsidR="009219A0" w:rsidRDefault="00000000">
            <w:pPr>
              <w:adjustRightInd/>
              <w:spacing w:line="240" w:lineRule="auto"/>
              <w:ind w:firstLineChars="0" w:firstLine="0"/>
              <w:rPr>
                <w:rFonts w:ascii="宋体" w:hAnsi="宋体" w:hint="eastAsia"/>
                <w:color w:val="auto"/>
                <w:spacing w:val="4"/>
                <w:sz w:val="21"/>
                <w:szCs w:val="21"/>
              </w:rPr>
            </w:pPr>
            <w:r>
              <w:rPr>
                <w:rFonts w:ascii="宋体" w:hAnsi="宋体" w:hint="eastAsia"/>
                <w:color w:val="auto"/>
                <w:spacing w:val="4"/>
                <w:sz w:val="21"/>
                <w:szCs w:val="21"/>
              </w:rPr>
              <w:t>1）厂区应按照《安全标志及其使用导则》（GB2984-2008）有关规定设置限速、转弯、禁止通行等安全警示标志和标识线。装卸区等车辆通行区域的设备设施及立柱，设置相应的防撞设施，并涂以醒目的黄黑相间的安全警示色。</w:t>
            </w:r>
          </w:p>
          <w:p w14:paraId="37C4AA2D" w14:textId="77777777" w:rsidR="009219A0" w:rsidRDefault="00000000">
            <w:pPr>
              <w:adjustRightInd/>
              <w:spacing w:line="240" w:lineRule="auto"/>
              <w:ind w:firstLineChars="0" w:firstLine="0"/>
              <w:rPr>
                <w:rFonts w:ascii="宋体" w:hAnsi="宋体" w:hint="eastAsia"/>
                <w:color w:val="auto"/>
                <w:spacing w:val="4"/>
                <w:sz w:val="21"/>
                <w:szCs w:val="21"/>
              </w:rPr>
            </w:pPr>
            <w:r>
              <w:rPr>
                <w:rFonts w:ascii="宋体" w:hAnsi="宋体" w:hint="eastAsia"/>
                <w:color w:val="auto"/>
                <w:spacing w:val="4"/>
                <w:sz w:val="21"/>
                <w:szCs w:val="21"/>
              </w:rPr>
              <w:t>2）消火栓、灭火器等消防设施采用红色标识。安全通道采用绿色标识。</w:t>
            </w:r>
          </w:p>
          <w:p w14:paraId="0EC1608F" w14:textId="77777777" w:rsidR="009219A0" w:rsidRDefault="00000000">
            <w:pPr>
              <w:adjustRightInd/>
              <w:spacing w:line="240" w:lineRule="auto"/>
              <w:ind w:firstLineChars="0" w:firstLine="0"/>
              <w:rPr>
                <w:rFonts w:ascii="宋体" w:hAnsi="宋体" w:hint="eastAsia"/>
                <w:color w:val="auto"/>
                <w:spacing w:val="4"/>
                <w:sz w:val="21"/>
                <w:szCs w:val="21"/>
              </w:rPr>
            </w:pPr>
            <w:r>
              <w:rPr>
                <w:rFonts w:ascii="宋体" w:hAnsi="宋体" w:hint="eastAsia"/>
                <w:color w:val="auto"/>
                <w:spacing w:val="4"/>
                <w:sz w:val="21"/>
                <w:szCs w:val="21"/>
              </w:rPr>
              <w:t>3）安全色应按照《安全色》（GB2893-2008）的要求执行。</w:t>
            </w:r>
          </w:p>
          <w:p w14:paraId="2BA20A1E" w14:textId="77777777" w:rsidR="009219A0" w:rsidRDefault="00000000">
            <w:pPr>
              <w:adjustRightInd/>
              <w:spacing w:line="240" w:lineRule="auto"/>
              <w:ind w:firstLineChars="0" w:firstLine="0"/>
              <w:rPr>
                <w:rFonts w:ascii="宋体" w:hAnsi="宋体" w:hint="eastAsia"/>
                <w:color w:val="auto"/>
                <w:spacing w:val="4"/>
                <w:sz w:val="21"/>
                <w:szCs w:val="21"/>
              </w:rPr>
            </w:pPr>
            <w:r>
              <w:rPr>
                <w:rFonts w:ascii="宋体" w:hAnsi="宋体" w:hint="eastAsia"/>
                <w:color w:val="auto"/>
                <w:spacing w:val="4"/>
                <w:sz w:val="21"/>
                <w:szCs w:val="21"/>
              </w:rPr>
              <w:t>4）在设置安全通道处按以下分隔线划线情况进行划线：①黄色60mm的指：前处理区，半成品区、工具、设备、辅料、工作台等；②黄色100mm的指：区域划分、通道、出入口；③绿色60mm指：饮水区、样品区及安全通道方向。</w:t>
            </w:r>
          </w:p>
        </w:tc>
        <w:tc>
          <w:tcPr>
            <w:tcW w:w="2410" w:type="dxa"/>
          </w:tcPr>
          <w:p w14:paraId="026AF546"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hint="eastAsia"/>
                <w:color w:val="auto"/>
                <w:sz w:val="21"/>
                <w:szCs w:val="21"/>
              </w:rPr>
              <w:t>现场已按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653" w:type="dxa"/>
          </w:tcPr>
          <w:p w14:paraId="5C501FC5"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t>符合</w:t>
            </w:r>
          </w:p>
        </w:tc>
      </w:tr>
      <w:tr w:rsidR="009219A0" w14:paraId="25BBA253" w14:textId="77777777">
        <w:trPr>
          <w:trHeight w:val="340"/>
        </w:trPr>
        <w:tc>
          <w:tcPr>
            <w:tcW w:w="649" w:type="dxa"/>
            <w:vMerge/>
          </w:tcPr>
          <w:p w14:paraId="0B2C017F" w14:textId="77777777" w:rsidR="009219A0" w:rsidRDefault="009219A0">
            <w:pPr>
              <w:adjustRightInd/>
              <w:spacing w:line="240" w:lineRule="auto"/>
              <w:ind w:firstLineChars="0" w:firstLine="0"/>
              <w:rPr>
                <w:rFonts w:ascii="宋体" w:hAnsi="宋体" w:hint="eastAsia"/>
                <w:color w:val="auto"/>
                <w:sz w:val="21"/>
                <w:szCs w:val="21"/>
              </w:rPr>
            </w:pPr>
          </w:p>
        </w:tc>
        <w:tc>
          <w:tcPr>
            <w:tcW w:w="5360" w:type="dxa"/>
          </w:tcPr>
          <w:p w14:paraId="32421C5C" w14:textId="77777777" w:rsidR="009219A0" w:rsidRDefault="00000000">
            <w:pPr>
              <w:adjustRightInd/>
              <w:spacing w:line="240" w:lineRule="auto"/>
              <w:ind w:firstLineChars="0" w:firstLine="0"/>
              <w:rPr>
                <w:rFonts w:ascii="宋体" w:hAnsi="宋体" w:hint="eastAsia"/>
                <w:color w:val="auto"/>
                <w:spacing w:val="4"/>
                <w:sz w:val="21"/>
                <w:szCs w:val="21"/>
              </w:rPr>
            </w:pPr>
            <w:r>
              <w:rPr>
                <w:rFonts w:ascii="宋体" w:hAnsi="宋体" w:hint="eastAsia"/>
                <w:color w:val="auto"/>
                <w:spacing w:val="4"/>
                <w:sz w:val="21"/>
                <w:szCs w:val="21"/>
              </w:rPr>
              <w:t>（3）安全告知卡</w:t>
            </w:r>
          </w:p>
          <w:p w14:paraId="2D46CA3E" w14:textId="77777777" w:rsidR="009219A0" w:rsidRDefault="00000000">
            <w:pPr>
              <w:adjustRightInd/>
              <w:spacing w:line="240" w:lineRule="auto"/>
              <w:ind w:firstLineChars="0" w:firstLine="0"/>
              <w:rPr>
                <w:rFonts w:ascii="宋体" w:hAnsi="宋体" w:hint="eastAsia"/>
                <w:color w:val="auto"/>
                <w:spacing w:val="4"/>
                <w:sz w:val="21"/>
                <w:szCs w:val="21"/>
              </w:rPr>
            </w:pPr>
            <w:r>
              <w:rPr>
                <w:rFonts w:ascii="宋体" w:hAnsi="宋体" w:hint="eastAsia"/>
                <w:color w:val="auto"/>
                <w:spacing w:val="4"/>
                <w:sz w:val="21"/>
                <w:szCs w:val="21"/>
              </w:rPr>
              <w:lastRenderedPageBreak/>
              <w:t>在醒目位置设置公告栏，公布有安全的规章制度、操作规程、事故应急措施等。</w:t>
            </w:r>
          </w:p>
        </w:tc>
        <w:tc>
          <w:tcPr>
            <w:tcW w:w="2410" w:type="dxa"/>
          </w:tcPr>
          <w:p w14:paraId="0FC977AE" w14:textId="77777777" w:rsidR="009219A0" w:rsidRDefault="00000000">
            <w:pPr>
              <w:adjustRightInd/>
              <w:spacing w:line="240" w:lineRule="auto"/>
              <w:ind w:firstLineChars="0" w:firstLine="0"/>
              <w:rPr>
                <w:rFonts w:ascii="宋体" w:hAnsi="宋体" w:hint="eastAsia"/>
                <w:color w:val="auto"/>
                <w:sz w:val="21"/>
                <w:szCs w:val="21"/>
              </w:rPr>
            </w:pPr>
            <w:r>
              <w:rPr>
                <w:rFonts w:ascii="宋体" w:hAnsi="宋体" w:hint="eastAsia"/>
                <w:color w:val="auto"/>
                <w:sz w:val="21"/>
                <w:szCs w:val="21"/>
              </w:rPr>
              <w:lastRenderedPageBreak/>
              <w:t>现场已设置安全告知</w:t>
            </w:r>
            <w:r>
              <w:rPr>
                <w:rFonts w:ascii="宋体" w:hAnsi="宋体" w:hint="eastAsia"/>
                <w:color w:val="auto"/>
                <w:sz w:val="21"/>
                <w:szCs w:val="21"/>
              </w:rPr>
              <w:lastRenderedPageBreak/>
              <w:t>卡。</w:t>
            </w:r>
          </w:p>
        </w:tc>
        <w:tc>
          <w:tcPr>
            <w:tcW w:w="653" w:type="dxa"/>
          </w:tcPr>
          <w:p w14:paraId="3F0108CE" w14:textId="77777777" w:rsidR="009219A0" w:rsidRDefault="00000000">
            <w:pPr>
              <w:adjustRightInd/>
              <w:spacing w:line="240" w:lineRule="auto"/>
              <w:ind w:firstLineChars="0" w:firstLine="0"/>
              <w:rPr>
                <w:rFonts w:ascii="宋体" w:hAnsi="宋体" w:cs="宋体" w:hint="eastAsia"/>
                <w:color w:val="auto"/>
                <w:sz w:val="21"/>
                <w:szCs w:val="21"/>
              </w:rPr>
            </w:pPr>
            <w:r>
              <w:rPr>
                <w:rFonts w:ascii="宋体" w:hAnsi="宋体" w:cs="宋体"/>
                <w:color w:val="auto"/>
                <w:sz w:val="21"/>
                <w:szCs w:val="21"/>
              </w:rPr>
              <w:lastRenderedPageBreak/>
              <w:t>符合</w:t>
            </w:r>
          </w:p>
        </w:tc>
      </w:tr>
    </w:tbl>
    <w:p w14:paraId="2A4F1BAD" w14:textId="77777777" w:rsidR="009219A0" w:rsidRDefault="00000000">
      <w:pPr>
        <w:ind w:firstLine="560"/>
        <w:rPr>
          <w:color w:val="auto"/>
        </w:rPr>
      </w:pPr>
      <w:bookmarkStart w:id="311" w:name="_Toc3882"/>
      <w:bookmarkStart w:id="312" w:name="_Toc8485"/>
      <w:bookmarkStart w:id="313" w:name="_Toc285114026"/>
      <w:bookmarkStart w:id="314" w:name="_Toc14850"/>
      <w:bookmarkStart w:id="315" w:name="_Toc3093"/>
      <w:bookmarkStart w:id="316" w:name="_Toc179725329"/>
      <w:bookmarkStart w:id="317" w:name="_Toc13284"/>
      <w:bookmarkStart w:id="318" w:name="_Toc282179558"/>
      <w:bookmarkStart w:id="319" w:name="_Toc8607"/>
      <w:bookmarkStart w:id="320" w:name="_Toc16891"/>
      <w:bookmarkStart w:id="321" w:name="_Toc360569613"/>
      <w:bookmarkStart w:id="322" w:name="_Toc18825"/>
      <w:bookmarkStart w:id="323" w:name="_Toc14503"/>
      <w:bookmarkStart w:id="324" w:name="_Toc7510"/>
      <w:bookmarkStart w:id="325" w:name="_Toc26774"/>
      <w:bookmarkStart w:id="326" w:name="_Toc20112"/>
      <w:bookmarkStart w:id="327" w:name="_Toc361041800"/>
      <w:bookmarkStart w:id="328" w:name="_Toc9798"/>
      <w:bookmarkStart w:id="329" w:name="_Toc15716"/>
      <w:r>
        <w:rPr>
          <w:rFonts w:hint="eastAsia"/>
          <w:color w:val="auto"/>
        </w:rPr>
        <w:t>分析评价结果</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color w:val="auto"/>
        </w:rPr>
        <w:t>：</w:t>
      </w:r>
    </w:p>
    <w:p w14:paraId="37E5874D" w14:textId="77777777" w:rsidR="009219A0" w:rsidRDefault="00000000">
      <w:pPr>
        <w:ind w:firstLine="560"/>
        <w:rPr>
          <w:color w:val="auto"/>
        </w:rPr>
      </w:pPr>
      <w:r>
        <w:rPr>
          <w:rFonts w:hint="eastAsia"/>
          <w:color w:val="auto"/>
        </w:rPr>
        <w:t>对照个旧</w:t>
      </w:r>
      <w:proofErr w:type="gramStart"/>
      <w:r>
        <w:rPr>
          <w:rFonts w:hint="eastAsia"/>
          <w:color w:val="auto"/>
        </w:rPr>
        <w:t>市创源科技</w:t>
      </w:r>
      <w:proofErr w:type="gramEnd"/>
      <w:r>
        <w:rPr>
          <w:rFonts w:hint="eastAsia"/>
          <w:color w:val="auto"/>
        </w:rPr>
        <w:t>有限公司新建实验与研究开发中心及实验基地工程建设项目安全设施设计第六章提出的安全对策与措施分析，共有</w:t>
      </w:r>
      <w:r>
        <w:rPr>
          <w:rFonts w:hint="eastAsia"/>
          <w:color w:val="auto"/>
        </w:rPr>
        <w:t>2</w:t>
      </w:r>
      <w:r>
        <w:rPr>
          <w:rFonts w:hint="eastAsia"/>
          <w:color w:val="auto"/>
        </w:rPr>
        <w:t>条不符合项：①现场转动机械设备处安全警示标志不足；②现场可能发生灼烫作业场所未设置“当心灼烫”安全警示标识。整改之后，企业安全设施符合安全设施设计要求。</w:t>
      </w:r>
    </w:p>
    <w:p w14:paraId="7B846B70" w14:textId="77777777" w:rsidR="009219A0" w:rsidRDefault="009219A0">
      <w:pPr>
        <w:pStyle w:val="Default1"/>
        <w:rPr>
          <w:rFonts w:hint="default"/>
          <w:color w:val="auto"/>
        </w:rPr>
        <w:sectPr w:rsidR="009219A0">
          <w:pgSz w:w="11906" w:h="16838"/>
          <w:pgMar w:top="1418" w:right="1134" w:bottom="1134" w:left="1418" w:header="851" w:footer="992" w:gutter="0"/>
          <w:cols w:space="720"/>
          <w:docGrid w:linePitch="381"/>
        </w:sectPr>
      </w:pPr>
    </w:p>
    <w:p w14:paraId="221A990E" w14:textId="77777777" w:rsidR="009219A0" w:rsidRDefault="00000000">
      <w:pPr>
        <w:pStyle w:val="1"/>
        <w:keepNext w:val="0"/>
        <w:keepLines w:val="0"/>
        <w:textAlignment w:val="center"/>
        <w:rPr>
          <w:rFonts w:ascii="宋体" w:hAnsi="宋体" w:hint="eastAsia"/>
          <w:b/>
          <w:bCs w:val="0"/>
          <w:color w:val="auto"/>
          <w:szCs w:val="20"/>
        </w:rPr>
      </w:pPr>
      <w:bookmarkStart w:id="330" w:name="_Toc165281488"/>
      <w:bookmarkStart w:id="331" w:name="_Toc211950519"/>
      <w:r>
        <w:rPr>
          <w:rFonts w:ascii="宋体" w:hAnsi="宋体" w:hint="eastAsia"/>
          <w:b/>
          <w:bCs w:val="0"/>
          <w:color w:val="auto"/>
          <w:szCs w:val="20"/>
        </w:rPr>
        <w:lastRenderedPageBreak/>
        <w:t>附件5  安全条件和安全生产条件分析评价</w:t>
      </w:r>
      <w:bookmarkEnd w:id="330"/>
      <w:bookmarkEnd w:id="331"/>
    </w:p>
    <w:p w14:paraId="716E812E" w14:textId="77777777" w:rsidR="009219A0" w:rsidRDefault="009219A0">
      <w:pPr>
        <w:ind w:firstLine="560"/>
        <w:rPr>
          <w:color w:val="auto"/>
        </w:rPr>
      </w:pPr>
    </w:p>
    <w:p w14:paraId="375EAC69" w14:textId="77777777" w:rsidR="009219A0" w:rsidRDefault="00000000">
      <w:pPr>
        <w:pStyle w:val="2"/>
        <w:rPr>
          <w:rFonts w:hint="eastAsia"/>
        </w:rPr>
      </w:pPr>
      <w:bookmarkStart w:id="332" w:name="_Toc211950520"/>
      <w:bookmarkStart w:id="333" w:name="_Toc165281489"/>
      <w:r>
        <w:rPr>
          <w:rFonts w:hint="eastAsia"/>
        </w:rPr>
        <w:t>5.1 厂址及总平面布置评价单元分析评价</w:t>
      </w:r>
      <w:bookmarkEnd w:id="332"/>
      <w:bookmarkEnd w:id="333"/>
    </w:p>
    <w:p w14:paraId="460904CC" w14:textId="77777777" w:rsidR="009219A0" w:rsidRDefault="00000000">
      <w:pPr>
        <w:pStyle w:val="3"/>
        <w:rPr>
          <w:rFonts w:hint="eastAsia"/>
        </w:rPr>
      </w:pPr>
      <w:bookmarkStart w:id="334" w:name="_Toc211950521"/>
      <w:r>
        <w:rPr>
          <w:rFonts w:hint="eastAsia"/>
        </w:rPr>
        <w:t>5.1.1 厂址和总平面布置安全检查表</w:t>
      </w:r>
      <w:bookmarkEnd w:id="334"/>
    </w:p>
    <w:p w14:paraId="6309D8FA" w14:textId="77777777" w:rsidR="009219A0" w:rsidRDefault="00000000">
      <w:pPr>
        <w:ind w:firstLine="560"/>
        <w:rPr>
          <w:color w:val="auto"/>
          <w:lang w:val="zh-CN"/>
        </w:rPr>
      </w:pPr>
      <w:r>
        <w:rPr>
          <w:rFonts w:hint="eastAsia"/>
          <w:color w:val="auto"/>
          <w:lang w:val="zh-CN"/>
        </w:rPr>
        <w:t>本节根据《工业企业总平面设计规范》（</w:t>
      </w:r>
      <w:r>
        <w:rPr>
          <w:rFonts w:hint="eastAsia"/>
          <w:color w:val="auto"/>
          <w:lang w:val="zh-CN"/>
        </w:rPr>
        <w:t>GB 50187-2012</w:t>
      </w:r>
      <w:r>
        <w:rPr>
          <w:rFonts w:hint="eastAsia"/>
          <w:color w:val="auto"/>
          <w:lang w:val="zh-CN"/>
        </w:rPr>
        <w:t>）、</w:t>
      </w:r>
      <w:r>
        <w:rPr>
          <w:rFonts w:hint="eastAsia"/>
          <w:color w:val="auto"/>
        </w:rPr>
        <w:t>《建筑设计防火规范（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w:t>
      </w:r>
      <w:r>
        <w:rPr>
          <w:rFonts w:hint="eastAsia"/>
          <w:color w:val="auto"/>
          <w:lang w:val="zh-CN"/>
        </w:rPr>
        <w:t>等标准、规范，对中试车间周边环境、平面布置及建构筑物进行检查评价，具体检查情况见附表</w:t>
      </w:r>
      <w:r>
        <w:rPr>
          <w:rFonts w:hint="eastAsia"/>
          <w:color w:val="auto"/>
          <w:lang w:val="zh-CN"/>
        </w:rPr>
        <w:t>5.1-1</w:t>
      </w:r>
      <w:r>
        <w:rPr>
          <w:rFonts w:hint="eastAsia"/>
          <w:color w:val="auto"/>
          <w:lang w:val="zh-CN"/>
        </w:rPr>
        <w:t>。</w:t>
      </w:r>
    </w:p>
    <w:p w14:paraId="0BD5EAFB" w14:textId="77777777" w:rsidR="009219A0" w:rsidRDefault="00000000">
      <w:pPr>
        <w:pStyle w:val="ac"/>
        <w:widowControl w:val="0"/>
        <w:ind w:leftChars="0" w:left="0" w:firstLineChars="0" w:firstLine="0"/>
        <w:jc w:val="center"/>
        <w:rPr>
          <w:rFonts w:ascii="宋体" w:hAnsi="宋体" w:hint="eastAsia"/>
          <w:color w:val="auto"/>
          <w:sz w:val="28"/>
          <w:szCs w:val="28"/>
          <w:lang w:val="zh-CN"/>
        </w:rPr>
      </w:pPr>
      <w:r>
        <w:rPr>
          <w:rFonts w:ascii="宋体" w:hAnsi="宋体" w:hint="eastAsia"/>
          <w:color w:val="auto"/>
          <w:sz w:val="28"/>
          <w:szCs w:val="28"/>
          <w:lang w:val="zh-CN"/>
        </w:rPr>
        <w:t>附表5.1-1 厂址、周边环境和总平面布置安全检查表</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3115"/>
        <w:gridCol w:w="1707"/>
        <w:gridCol w:w="2294"/>
        <w:gridCol w:w="1246"/>
      </w:tblGrid>
      <w:tr w:rsidR="009219A0" w14:paraId="25A9B77E" w14:textId="77777777">
        <w:trPr>
          <w:trHeight w:val="340"/>
          <w:tblHeader/>
          <w:jc w:val="center"/>
        </w:trPr>
        <w:tc>
          <w:tcPr>
            <w:tcW w:w="711" w:type="dxa"/>
            <w:vAlign w:val="center"/>
          </w:tcPr>
          <w:p w14:paraId="28A451D6" w14:textId="77777777" w:rsidR="009219A0" w:rsidRDefault="00000000">
            <w:pPr>
              <w:topLinePunct/>
              <w:adjustRightInd/>
              <w:snapToGrid/>
              <w:spacing w:line="240" w:lineRule="auto"/>
              <w:ind w:firstLineChars="0" w:firstLine="0"/>
              <w:contextualSpacing/>
              <w:jc w:val="center"/>
              <w:rPr>
                <w:rFonts w:ascii="宋体" w:hAnsi="宋体" w:hint="eastAsia"/>
                <w:b/>
                <w:bCs/>
                <w:color w:val="auto"/>
                <w:sz w:val="21"/>
                <w:szCs w:val="21"/>
              </w:rPr>
            </w:pPr>
            <w:r>
              <w:rPr>
                <w:rFonts w:ascii="宋体" w:hAnsi="宋体" w:hint="eastAsia"/>
                <w:b/>
                <w:bCs/>
                <w:color w:val="auto"/>
                <w:sz w:val="21"/>
                <w:szCs w:val="21"/>
              </w:rPr>
              <w:t>序号</w:t>
            </w:r>
          </w:p>
        </w:tc>
        <w:tc>
          <w:tcPr>
            <w:tcW w:w="3115" w:type="dxa"/>
            <w:vAlign w:val="center"/>
          </w:tcPr>
          <w:p w14:paraId="42E4507D" w14:textId="77777777" w:rsidR="009219A0" w:rsidRDefault="00000000">
            <w:pPr>
              <w:topLinePunct/>
              <w:adjustRightInd/>
              <w:snapToGrid/>
              <w:spacing w:line="240" w:lineRule="auto"/>
              <w:ind w:firstLineChars="0" w:firstLine="0"/>
              <w:contextualSpacing/>
              <w:jc w:val="center"/>
              <w:rPr>
                <w:rFonts w:ascii="宋体" w:hAnsi="宋体" w:hint="eastAsia"/>
                <w:b/>
                <w:bCs/>
                <w:color w:val="auto"/>
                <w:sz w:val="21"/>
                <w:szCs w:val="21"/>
              </w:rPr>
            </w:pPr>
            <w:r>
              <w:rPr>
                <w:rFonts w:ascii="宋体" w:hAnsi="宋体" w:hint="eastAsia"/>
                <w:b/>
                <w:bCs/>
                <w:color w:val="auto"/>
                <w:sz w:val="21"/>
                <w:szCs w:val="21"/>
              </w:rPr>
              <w:t>检查项目及内容</w:t>
            </w:r>
          </w:p>
        </w:tc>
        <w:tc>
          <w:tcPr>
            <w:tcW w:w="1707" w:type="dxa"/>
            <w:vAlign w:val="center"/>
          </w:tcPr>
          <w:p w14:paraId="4BF0ABC4" w14:textId="77777777" w:rsidR="009219A0" w:rsidRDefault="00000000">
            <w:pPr>
              <w:topLinePunct/>
              <w:adjustRightInd/>
              <w:snapToGrid/>
              <w:spacing w:line="240" w:lineRule="auto"/>
              <w:ind w:firstLineChars="0" w:firstLine="0"/>
              <w:contextualSpacing/>
              <w:jc w:val="center"/>
              <w:rPr>
                <w:rFonts w:ascii="宋体" w:hAnsi="宋体" w:hint="eastAsia"/>
                <w:b/>
                <w:bCs/>
                <w:color w:val="auto"/>
                <w:sz w:val="21"/>
                <w:szCs w:val="21"/>
              </w:rPr>
            </w:pPr>
            <w:r>
              <w:rPr>
                <w:rFonts w:ascii="宋体" w:hAnsi="宋体" w:hint="eastAsia"/>
                <w:b/>
                <w:bCs/>
                <w:color w:val="auto"/>
                <w:sz w:val="21"/>
                <w:szCs w:val="21"/>
              </w:rPr>
              <w:t>检查依据</w:t>
            </w:r>
          </w:p>
        </w:tc>
        <w:tc>
          <w:tcPr>
            <w:tcW w:w="2294" w:type="dxa"/>
            <w:vAlign w:val="center"/>
          </w:tcPr>
          <w:p w14:paraId="6AFA6EAB" w14:textId="77777777" w:rsidR="009219A0" w:rsidRDefault="00000000">
            <w:pPr>
              <w:topLinePunct/>
              <w:adjustRightInd/>
              <w:snapToGrid/>
              <w:spacing w:line="240" w:lineRule="auto"/>
              <w:ind w:firstLineChars="0" w:firstLine="0"/>
              <w:contextualSpacing/>
              <w:jc w:val="center"/>
              <w:rPr>
                <w:rFonts w:ascii="宋体" w:hAnsi="宋体" w:hint="eastAsia"/>
                <w:b/>
                <w:bCs/>
                <w:color w:val="auto"/>
                <w:sz w:val="21"/>
                <w:szCs w:val="21"/>
              </w:rPr>
            </w:pPr>
            <w:r>
              <w:rPr>
                <w:rFonts w:ascii="宋体" w:hAnsi="宋体" w:hint="eastAsia"/>
                <w:b/>
                <w:bCs/>
                <w:color w:val="auto"/>
                <w:sz w:val="21"/>
                <w:szCs w:val="21"/>
              </w:rPr>
              <w:t>检查记录</w:t>
            </w:r>
          </w:p>
        </w:tc>
        <w:tc>
          <w:tcPr>
            <w:tcW w:w="1246" w:type="dxa"/>
            <w:vAlign w:val="center"/>
          </w:tcPr>
          <w:p w14:paraId="2474889D" w14:textId="77777777" w:rsidR="009219A0" w:rsidRDefault="00000000">
            <w:pPr>
              <w:topLinePunct/>
              <w:adjustRightInd/>
              <w:snapToGrid/>
              <w:spacing w:line="240" w:lineRule="auto"/>
              <w:ind w:firstLineChars="0" w:firstLine="0"/>
              <w:contextualSpacing/>
              <w:jc w:val="center"/>
              <w:rPr>
                <w:rFonts w:ascii="宋体" w:hAnsi="宋体" w:hint="eastAsia"/>
                <w:b/>
                <w:bCs/>
                <w:color w:val="auto"/>
                <w:sz w:val="21"/>
                <w:szCs w:val="21"/>
              </w:rPr>
            </w:pPr>
            <w:r>
              <w:rPr>
                <w:rFonts w:ascii="宋体" w:hAnsi="宋体" w:hint="eastAsia"/>
                <w:b/>
                <w:bCs/>
                <w:color w:val="auto"/>
                <w:sz w:val="21"/>
                <w:szCs w:val="21"/>
              </w:rPr>
              <w:t>检查结果</w:t>
            </w:r>
          </w:p>
        </w:tc>
      </w:tr>
      <w:tr w:rsidR="009219A0" w14:paraId="4AE47902" w14:textId="77777777">
        <w:trPr>
          <w:trHeight w:val="340"/>
          <w:jc w:val="center"/>
        </w:trPr>
        <w:tc>
          <w:tcPr>
            <w:tcW w:w="711" w:type="dxa"/>
            <w:vAlign w:val="center"/>
          </w:tcPr>
          <w:p w14:paraId="7AF1290C"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proofErr w:type="gramStart"/>
            <w:r>
              <w:rPr>
                <w:rFonts w:ascii="宋体" w:hAnsi="宋体" w:hint="eastAsia"/>
                <w:bCs/>
                <w:color w:val="auto"/>
                <w:sz w:val="21"/>
                <w:szCs w:val="21"/>
              </w:rPr>
              <w:t>一</w:t>
            </w:r>
            <w:proofErr w:type="gramEnd"/>
          </w:p>
        </w:tc>
        <w:tc>
          <w:tcPr>
            <w:tcW w:w="8362" w:type="dxa"/>
            <w:gridSpan w:val="4"/>
            <w:vAlign w:val="center"/>
          </w:tcPr>
          <w:p w14:paraId="10C0AE1E"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kern w:val="0"/>
                <w:sz w:val="21"/>
                <w:szCs w:val="21"/>
              </w:rPr>
              <w:t>厂址</w:t>
            </w:r>
          </w:p>
        </w:tc>
      </w:tr>
      <w:tr w:rsidR="009219A0" w14:paraId="49B0AFEB" w14:textId="77777777">
        <w:trPr>
          <w:trHeight w:val="340"/>
          <w:jc w:val="center"/>
        </w:trPr>
        <w:tc>
          <w:tcPr>
            <w:tcW w:w="711" w:type="dxa"/>
            <w:vAlign w:val="center"/>
          </w:tcPr>
          <w:p w14:paraId="3A031FD6"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1</w:t>
            </w:r>
          </w:p>
        </w:tc>
        <w:tc>
          <w:tcPr>
            <w:tcW w:w="3115" w:type="dxa"/>
            <w:vAlign w:val="center"/>
          </w:tcPr>
          <w:p w14:paraId="24E933FA"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厂址应具有满足生产、生活及发展所必需的水源和电源。水源和电源与厂址之间的管线连接应尽量短捷，且用水、用电量（特别）大的工业企业宜靠近水源及电源地 。</w:t>
            </w:r>
          </w:p>
        </w:tc>
        <w:tc>
          <w:tcPr>
            <w:tcW w:w="1707" w:type="dxa"/>
            <w:vAlign w:val="center"/>
          </w:tcPr>
          <w:p w14:paraId="217BD27E"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《工业企业总平面设计规范》</w:t>
            </w:r>
          </w:p>
          <w:p w14:paraId="2646E8FE"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G</w:t>
            </w:r>
            <w:r>
              <w:rPr>
                <w:rFonts w:ascii="宋体" w:hAnsi="宋体"/>
                <w:color w:val="auto"/>
                <w:kern w:val="0"/>
                <w:sz w:val="21"/>
                <w:szCs w:val="21"/>
              </w:rPr>
              <w:t>B 50187-2012</w:t>
            </w:r>
          </w:p>
          <w:p w14:paraId="09651B1D"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3</w:t>
            </w:r>
            <w:r>
              <w:rPr>
                <w:rFonts w:ascii="宋体" w:hAnsi="宋体"/>
                <w:color w:val="auto"/>
                <w:kern w:val="0"/>
                <w:sz w:val="21"/>
                <w:szCs w:val="21"/>
              </w:rPr>
              <w:t>.0.6</w:t>
            </w:r>
          </w:p>
        </w:tc>
        <w:tc>
          <w:tcPr>
            <w:tcW w:w="2294" w:type="dxa"/>
            <w:vAlign w:val="center"/>
          </w:tcPr>
          <w:p w14:paraId="06CDDBEA"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项目</w:t>
            </w:r>
            <w:proofErr w:type="gramStart"/>
            <w:r>
              <w:rPr>
                <w:rFonts w:ascii="宋体" w:hAnsi="宋体" w:hint="eastAsia"/>
                <w:color w:val="auto"/>
                <w:sz w:val="21"/>
                <w:szCs w:val="21"/>
              </w:rPr>
              <w:t>利用创源公司</w:t>
            </w:r>
            <w:proofErr w:type="gramEnd"/>
            <w:r>
              <w:rPr>
                <w:rFonts w:ascii="宋体" w:hAnsi="宋体" w:hint="eastAsia"/>
                <w:color w:val="auto"/>
                <w:sz w:val="21"/>
                <w:szCs w:val="21"/>
              </w:rPr>
              <w:t>原有场地进行改造，水源、电源满足需求。</w:t>
            </w:r>
          </w:p>
        </w:tc>
        <w:tc>
          <w:tcPr>
            <w:tcW w:w="1246" w:type="dxa"/>
            <w:vAlign w:val="center"/>
          </w:tcPr>
          <w:p w14:paraId="227A5236"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45F34353" w14:textId="77777777">
        <w:trPr>
          <w:trHeight w:val="340"/>
          <w:jc w:val="center"/>
        </w:trPr>
        <w:tc>
          <w:tcPr>
            <w:tcW w:w="711" w:type="dxa"/>
            <w:vAlign w:val="center"/>
          </w:tcPr>
          <w:p w14:paraId="1A599D18"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2</w:t>
            </w:r>
          </w:p>
        </w:tc>
        <w:tc>
          <w:tcPr>
            <w:tcW w:w="3115" w:type="dxa"/>
            <w:vAlign w:val="center"/>
          </w:tcPr>
          <w:p w14:paraId="7AEC6992"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厂址应满足适宜的地形坡度，尽量避开自然地形复杂、自然坡度大的地段，应避免将盆地、积水洼地作为厂址。</w:t>
            </w:r>
          </w:p>
        </w:tc>
        <w:tc>
          <w:tcPr>
            <w:tcW w:w="1707" w:type="dxa"/>
            <w:vAlign w:val="center"/>
          </w:tcPr>
          <w:p w14:paraId="5A9B0DA8"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G</w:t>
            </w:r>
            <w:r>
              <w:rPr>
                <w:rFonts w:ascii="宋体" w:hAnsi="宋体"/>
                <w:color w:val="auto"/>
                <w:kern w:val="0"/>
                <w:sz w:val="21"/>
                <w:szCs w:val="21"/>
              </w:rPr>
              <w:t>B 50187-2012</w:t>
            </w:r>
          </w:p>
          <w:p w14:paraId="0967DD8C"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3</w:t>
            </w:r>
            <w:r>
              <w:rPr>
                <w:rFonts w:ascii="宋体" w:hAnsi="宋体"/>
                <w:color w:val="auto"/>
                <w:kern w:val="0"/>
                <w:sz w:val="21"/>
                <w:szCs w:val="21"/>
              </w:rPr>
              <w:t>.0.10</w:t>
            </w:r>
          </w:p>
        </w:tc>
        <w:tc>
          <w:tcPr>
            <w:tcW w:w="2294" w:type="dxa"/>
            <w:vAlign w:val="center"/>
          </w:tcPr>
          <w:p w14:paraId="70AAEC78"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项目</w:t>
            </w:r>
            <w:proofErr w:type="gramStart"/>
            <w:r>
              <w:rPr>
                <w:rFonts w:ascii="宋体" w:hAnsi="宋体" w:hint="eastAsia"/>
                <w:color w:val="auto"/>
                <w:sz w:val="21"/>
                <w:szCs w:val="21"/>
              </w:rPr>
              <w:t>利用创源公司</w:t>
            </w:r>
            <w:proofErr w:type="gramEnd"/>
            <w:r>
              <w:rPr>
                <w:rFonts w:ascii="宋体" w:hAnsi="宋体" w:hint="eastAsia"/>
                <w:color w:val="auto"/>
                <w:sz w:val="21"/>
                <w:szCs w:val="21"/>
              </w:rPr>
              <w:t>原有场地进行改造，周围地势平坦。</w:t>
            </w:r>
          </w:p>
        </w:tc>
        <w:tc>
          <w:tcPr>
            <w:tcW w:w="1246" w:type="dxa"/>
            <w:vAlign w:val="center"/>
          </w:tcPr>
          <w:p w14:paraId="683EA2AA"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113F1254" w14:textId="77777777">
        <w:trPr>
          <w:trHeight w:val="340"/>
          <w:jc w:val="center"/>
        </w:trPr>
        <w:tc>
          <w:tcPr>
            <w:tcW w:w="711" w:type="dxa"/>
            <w:vAlign w:val="center"/>
          </w:tcPr>
          <w:p w14:paraId="206AB2C0"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3</w:t>
            </w:r>
          </w:p>
        </w:tc>
        <w:tc>
          <w:tcPr>
            <w:tcW w:w="3115" w:type="dxa"/>
            <w:vAlign w:val="center"/>
          </w:tcPr>
          <w:p w14:paraId="3858434C"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 xml:space="preserve">厂址应位于不受洪水、潮水或内涝威胁的地带，并应符合下列规定： </w:t>
            </w:r>
          </w:p>
          <w:p w14:paraId="2D1A8264"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1</w:t>
            </w:r>
            <w:r>
              <w:rPr>
                <w:rFonts w:ascii="宋体" w:hAnsi="宋体"/>
                <w:color w:val="auto"/>
                <w:kern w:val="0"/>
                <w:sz w:val="21"/>
                <w:szCs w:val="21"/>
              </w:rPr>
              <w:t>.</w:t>
            </w:r>
            <w:r>
              <w:rPr>
                <w:rFonts w:ascii="宋体" w:hAnsi="宋体" w:hint="eastAsia"/>
                <w:color w:val="auto"/>
                <w:kern w:val="0"/>
                <w:sz w:val="21"/>
                <w:szCs w:val="21"/>
              </w:rPr>
              <w:t>当厂址不可避免不受洪水、潮水、或内涝威胁的地带时，必须采取防洪、排涝 措施；</w:t>
            </w:r>
          </w:p>
          <w:p w14:paraId="6D09109D"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2</w:t>
            </w:r>
            <w:r>
              <w:rPr>
                <w:rFonts w:ascii="宋体" w:hAnsi="宋体"/>
                <w:color w:val="auto"/>
                <w:kern w:val="0"/>
                <w:sz w:val="21"/>
                <w:szCs w:val="21"/>
              </w:rPr>
              <w:t>.</w:t>
            </w:r>
            <w:r>
              <w:rPr>
                <w:rFonts w:ascii="宋体" w:hAnsi="宋体" w:hint="eastAsia"/>
                <w:color w:val="auto"/>
                <w:kern w:val="0"/>
                <w:sz w:val="21"/>
                <w:szCs w:val="21"/>
              </w:rPr>
              <w:t>凡受江、河、潮、海洪水、潮水或山洪威胁的工业企业，防洪标准应符合现行国家标准《防洪标准》GB 50201的有关规定。</w:t>
            </w:r>
          </w:p>
        </w:tc>
        <w:tc>
          <w:tcPr>
            <w:tcW w:w="1707" w:type="dxa"/>
            <w:vAlign w:val="center"/>
          </w:tcPr>
          <w:p w14:paraId="0FCF5285"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G</w:t>
            </w:r>
            <w:r>
              <w:rPr>
                <w:rFonts w:ascii="宋体" w:hAnsi="宋体"/>
                <w:color w:val="auto"/>
                <w:kern w:val="0"/>
                <w:sz w:val="21"/>
                <w:szCs w:val="21"/>
              </w:rPr>
              <w:t>B 50187-2012</w:t>
            </w:r>
          </w:p>
          <w:p w14:paraId="1F9D78FB"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3</w:t>
            </w:r>
            <w:r>
              <w:rPr>
                <w:rFonts w:ascii="宋体" w:hAnsi="宋体"/>
                <w:color w:val="auto"/>
                <w:kern w:val="0"/>
                <w:sz w:val="21"/>
                <w:szCs w:val="21"/>
              </w:rPr>
              <w:t>.0.12</w:t>
            </w:r>
          </w:p>
        </w:tc>
        <w:tc>
          <w:tcPr>
            <w:tcW w:w="2294" w:type="dxa"/>
            <w:vAlign w:val="center"/>
          </w:tcPr>
          <w:p w14:paraId="773705A7"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proofErr w:type="gramStart"/>
            <w:r>
              <w:rPr>
                <w:rFonts w:ascii="宋体" w:hAnsi="宋体" w:hint="eastAsia"/>
                <w:color w:val="auto"/>
                <w:sz w:val="21"/>
                <w:szCs w:val="21"/>
              </w:rPr>
              <w:t>创源公司</w:t>
            </w:r>
            <w:proofErr w:type="gramEnd"/>
            <w:r>
              <w:rPr>
                <w:rFonts w:ascii="宋体" w:hAnsi="宋体" w:hint="eastAsia"/>
                <w:color w:val="auto"/>
                <w:sz w:val="21"/>
                <w:szCs w:val="21"/>
              </w:rPr>
              <w:t>不在受洪水、潮水或内涝威胁的地带。</w:t>
            </w:r>
          </w:p>
        </w:tc>
        <w:tc>
          <w:tcPr>
            <w:tcW w:w="1246" w:type="dxa"/>
            <w:vAlign w:val="center"/>
          </w:tcPr>
          <w:p w14:paraId="14E0DB05"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0FCEEA76" w14:textId="77777777">
        <w:trPr>
          <w:trHeight w:val="340"/>
          <w:jc w:val="center"/>
        </w:trPr>
        <w:tc>
          <w:tcPr>
            <w:tcW w:w="711" w:type="dxa"/>
            <w:vAlign w:val="center"/>
          </w:tcPr>
          <w:p w14:paraId="3BAEED3E"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二</w:t>
            </w:r>
          </w:p>
        </w:tc>
        <w:tc>
          <w:tcPr>
            <w:tcW w:w="8362" w:type="dxa"/>
            <w:gridSpan w:val="4"/>
            <w:vAlign w:val="center"/>
          </w:tcPr>
          <w:p w14:paraId="40D03D5D"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cs="F3" w:hint="eastAsia"/>
                <w:color w:val="auto"/>
                <w:sz w:val="21"/>
                <w:szCs w:val="21"/>
              </w:rPr>
              <w:t>总平面布置</w:t>
            </w:r>
          </w:p>
        </w:tc>
      </w:tr>
      <w:tr w:rsidR="009219A0" w14:paraId="04563365" w14:textId="77777777">
        <w:trPr>
          <w:trHeight w:val="340"/>
          <w:jc w:val="center"/>
        </w:trPr>
        <w:tc>
          <w:tcPr>
            <w:tcW w:w="711" w:type="dxa"/>
            <w:vAlign w:val="center"/>
          </w:tcPr>
          <w:p w14:paraId="100563E6"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1</w:t>
            </w:r>
          </w:p>
        </w:tc>
        <w:tc>
          <w:tcPr>
            <w:tcW w:w="3115" w:type="dxa"/>
            <w:vAlign w:val="center"/>
          </w:tcPr>
          <w:p w14:paraId="39D6166B"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总平面布置应节约集约用地，提高土地利用率。布置时并应符合下列要求：</w:t>
            </w:r>
          </w:p>
          <w:p w14:paraId="6526D29F"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1在符合生产流程、操作要求和使用功能的前提下，建筑物、构筑物等设施，应采用联合、集中、多层布置；</w:t>
            </w:r>
          </w:p>
          <w:p w14:paraId="1D6B101B"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2应按企业规模和功能分区，合理地确定通道宽度；</w:t>
            </w:r>
          </w:p>
          <w:p w14:paraId="2F559654"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3厂区功能分区及建筑物、构筑</w:t>
            </w:r>
            <w:r>
              <w:rPr>
                <w:rFonts w:ascii="宋体" w:hAnsi="宋体" w:hint="eastAsia"/>
                <w:color w:val="auto"/>
                <w:kern w:val="0"/>
                <w:sz w:val="21"/>
                <w:szCs w:val="21"/>
              </w:rPr>
              <w:lastRenderedPageBreak/>
              <w:t>物的外形宜规整；</w:t>
            </w:r>
          </w:p>
          <w:p w14:paraId="0174E90A"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4功能分区内各项设施的布置，应紧凑、合理。</w:t>
            </w:r>
          </w:p>
        </w:tc>
        <w:tc>
          <w:tcPr>
            <w:tcW w:w="1707" w:type="dxa"/>
            <w:vAlign w:val="center"/>
          </w:tcPr>
          <w:p w14:paraId="7D1CD3E9"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lastRenderedPageBreak/>
              <w:t>《工业企业总平面设计规范》</w:t>
            </w:r>
          </w:p>
          <w:p w14:paraId="55FA8316"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GB 50187-2012</w:t>
            </w:r>
          </w:p>
          <w:p w14:paraId="0683C886"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5.1.2</w:t>
            </w:r>
          </w:p>
        </w:tc>
        <w:tc>
          <w:tcPr>
            <w:tcW w:w="2294" w:type="dxa"/>
            <w:vAlign w:val="center"/>
          </w:tcPr>
          <w:p w14:paraId="08B074E1"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项目</w:t>
            </w:r>
            <w:proofErr w:type="gramStart"/>
            <w:r>
              <w:rPr>
                <w:rFonts w:ascii="宋体" w:hAnsi="宋体" w:hint="eastAsia"/>
                <w:color w:val="auto"/>
                <w:sz w:val="21"/>
                <w:szCs w:val="21"/>
              </w:rPr>
              <w:t>利用创源公司</w:t>
            </w:r>
            <w:proofErr w:type="gramEnd"/>
            <w:r>
              <w:rPr>
                <w:rFonts w:ascii="宋体" w:hAnsi="宋体" w:hint="eastAsia"/>
                <w:color w:val="auto"/>
                <w:sz w:val="21"/>
                <w:szCs w:val="21"/>
              </w:rPr>
              <w:t>原有场地进行改造，总平面布置合理，按功能分区设置。</w:t>
            </w:r>
          </w:p>
        </w:tc>
        <w:tc>
          <w:tcPr>
            <w:tcW w:w="1246" w:type="dxa"/>
            <w:vAlign w:val="center"/>
          </w:tcPr>
          <w:p w14:paraId="7480980D"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4839CFAD" w14:textId="77777777">
        <w:trPr>
          <w:trHeight w:val="340"/>
          <w:jc w:val="center"/>
        </w:trPr>
        <w:tc>
          <w:tcPr>
            <w:tcW w:w="711" w:type="dxa"/>
            <w:vAlign w:val="center"/>
          </w:tcPr>
          <w:p w14:paraId="79FE6927"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2</w:t>
            </w:r>
          </w:p>
        </w:tc>
        <w:tc>
          <w:tcPr>
            <w:tcW w:w="3115" w:type="dxa"/>
            <w:vAlign w:val="center"/>
          </w:tcPr>
          <w:p w14:paraId="3014F79A"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厂区的通道宽度，应符合下列要求：</w:t>
            </w:r>
          </w:p>
          <w:p w14:paraId="2F6BA14B"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1 应符合通道两侧建筑物、构筑物及露天设施对防火、安全与卫生间距的要求；</w:t>
            </w:r>
          </w:p>
          <w:p w14:paraId="4F1785A0"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2 应符合铁路、道路与带式输送机通廊等工业运输线路的布置要求；</w:t>
            </w:r>
          </w:p>
          <w:p w14:paraId="546E1A9F"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3 应符合各种工程管线的布置要求；</w:t>
            </w:r>
          </w:p>
          <w:p w14:paraId="1F003B40"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4 应符合绿化布置的要求；</w:t>
            </w:r>
          </w:p>
          <w:p w14:paraId="66EDD8E5"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5 应符合施工、安装与检修的要求；</w:t>
            </w:r>
          </w:p>
          <w:p w14:paraId="4DA6B071"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6 应符合竖向设计的要求；</w:t>
            </w:r>
          </w:p>
          <w:p w14:paraId="0ECBC46F"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7 应符合预留发展用地的要求。</w:t>
            </w:r>
          </w:p>
        </w:tc>
        <w:tc>
          <w:tcPr>
            <w:tcW w:w="1707" w:type="dxa"/>
            <w:vAlign w:val="center"/>
          </w:tcPr>
          <w:p w14:paraId="3A3B8096"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GB 50187-2012</w:t>
            </w:r>
          </w:p>
          <w:p w14:paraId="17C0BF0E" w14:textId="77777777" w:rsidR="009219A0" w:rsidRDefault="00000000">
            <w:pPr>
              <w:tabs>
                <w:tab w:val="left" w:pos="1650"/>
              </w:tabs>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sz w:val="21"/>
                <w:szCs w:val="21"/>
              </w:rPr>
              <w:t>5.1.4</w:t>
            </w:r>
          </w:p>
        </w:tc>
        <w:tc>
          <w:tcPr>
            <w:tcW w:w="2294" w:type="dxa"/>
            <w:vAlign w:val="center"/>
          </w:tcPr>
          <w:p w14:paraId="586E3747"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厂区道路宽度设置合理。</w:t>
            </w:r>
          </w:p>
        </w:tc>
        <w:tc>
          <w:tcPr>
            <w:tcW w:w="1246" w:type="dxa"/>
            <w:vAlign w:val="center"/>
          </w:tcPr>
          <w:p w14:paraId="174B8BAB"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0A0A01B2" w14:textId="77777777">
        <w:trPr>
          <w:trHeight w:val="340"/>
          <w:jc w:val="center"/>
        </w:trPr>
        <w:tc>
          <w:tcPr>
            <w:tcW w:w="711" w:type="dxa"/>
            <w:vAlign w:val="center"/>
          </w:tcPr>
          <w:p w14:paraId="6CE0EE4C"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3</w:t>
            </w:r>
          </w:p>
        </w:tc>
        <w:tc>
          <w:tcPr>
            <w:tcW w:w="3115" w:type="dxa"/>
            <w:vAlign w:val="center"/>
          </w:tcPr>
          <w:p w14:paraId="0C22BA45"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总平面布置应采取防止高温、有害气体、烟、雾、粉尘、强烈振动和高噪声对周围环境和人身安全的危害的安全保障措施，并应符合现行国家有关工业企业卫生设计标准的规定。</w:t>
            </w:r>
          </w:p>
        </w:tc>
        <w:tc>
          <w:tcPr>
            <w:tcW w:w="1707" w:type="dxa"/>
            <w:vAlign w:val="center"/>
          </w:tcPr>
          <w:p w14:paraId="2B50A8D5"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GB 50187-2012</w:t>
            </w:r>
          </w:p>
          <w:p w14:paraId="5069BCF5"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5.1.7</w:t>
            </w:r>
          </w:p>
        </w:tc>
        <w:tc>
          <w:tcPr>
            <w:tcW w:w="2294" w:type="dxa"/>
            <w:vAlign w:val="center"/>
          </w:tcPr>
          <w:p w14:paraId="0382EB15"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snapToGrid w:val="0"/>
                <w:color w:val="auto"/>
                <w:sz w:val="21"/>
                <w:szCs w:val="21"/>
              </w:rPr>
              <w:t>已考虑降噪降尘措施。</w:t>
            </w:r>
          </w:p>
        </w:tc>
        <w:tc>
          <w:tcPr>
            <w:tcW w:w="1246" w:type="dxa"/>
            <w:vAlign w:val="center"/>
          </w:tcPr>
          <w:p w14:paraId="50814391"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38EAD93B" w14:textId="77777777">
        <w:trPr>
          <w:trHeight w:val="340"/>
          <w:jc w:val="center"/>
        </w:trPr>
        <w:tc>
          <w:tcPr>
            <w:tcW w:w="711" w:type="dxa"/>
            <w:vAlign w:val="center"/>
          </w:tcPr>
          <w:p w14:paraId="3CEFD258"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4</w:t>
            </w:r>
          </w:p>
        </w:tc>
        <w:tc>
          <w:tcPr>
            <w:tcW w:w="3115" w:type="dxa"/>
            <w:vAlign w:val="center"/>
          </w:tcPr>
          <w:p w14:paraId="57655B26"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总平面布置，应合理地组织货流和人流，并应符合下列要求：</w:t>
            </w:r>
          </w:p>
          <w:p w14:paraId="6666B132"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1）运输线路的布置，应保证物流顺畅、径路短捷、不折返；</w:t>
            </w:r>
          </w:p>
          <w:p w14:paraId="0CA8B6B1"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2）应避免运输繁忙的铁路与道路平面交叉；</w:t>
            </w:r>
          </w:p>
          <w:p w14:paraId="3F754A84"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3）应使人、货分流，应避免运输繁忙的货流与人流交叉；</w:t>
            </w:r>
          </w:p>
          <w:p w14:paraId="11B875DC"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4）应避免进出厂的主要货流与企业外部交通干线的平面交叉。</w:t>
            </w:r>
          </w:p>
        </w:tc>
        <w:tc>
          <w:tcPr>
            <w:tcW w:w="1707" w:type="dxa"/>
            <w:vAlign w:val="center"/>
          </w:tcPr>
          <w:p w14:paraId="6C8E2C78"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GB 50187-2012</w:t>
            </w:r>
          </w:p>
          <w:p w14:paraId="254CF699"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cs="Tahoma" w:hint="eastAsia"/>
                <w:color w:val="auto"/>
                <w:sz w:val="21"/>
                <w:szCs w:val="21"/>
              </w:rPr>
              <w:t>5.1.8</w:t>
            </w:r>
          </w:p>
        </w:tc>
        <w:tc>
          <w:tcPr>
            <w:tcW w:w="2294" w:type="dxa"/>
            <w:vAlign w:val="center"/>
          </w:tcPr>
          <w:p w14:paraId="149D20EE"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proofErr w:type="gramStart"/>
            <w:r>
              <w:rPr>
                <w:rFonts w:ascii="宋体" w:hAnsi="宋体" w:hint="eastAsia"/>
                <w:color w:val="auto"/>
                <w:kern w:val="0"/>
                <w:sz w:val="21"/>
                <w:szCs w:val="21"/>
              </w:rPr>
              <w:t>总平布置</w:t>
            </w:r>
            <w:proofErr w:type="gramEnd"/>
            <w:r>
              <w:rPr>
                <w:rFonts w:ascii="宋体" w:hAnsi="宋体" w:hint="eastAsia"/>
                <w:color w:val="auto"/>
                <w:kern w:val="0"/>
                <w:sz w:val="21"/>
                <w:szCs w:val="21"/>
              </w:rPr>
              <w:t>设置合理，合理组织货流和人流。</w:t>
            </w:r>
          </w:p>
        </w:tc>
        <w:tc>
          <w:tcPr>
            <w:tcW w:w="1246" w:type="dxa"/>
            <w:vAlign w:val="center"/>
          </w:tcPr>
          <w:p w14:paraId="6B04F9AA"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2D93C86F" w14:textId="77777777">
        <w:trPr>
          <w:trHeight w:val="340"/>
          <w:jc w:val="center"/>
        </w:trPr>
        <w:tc>
          <w:tcPr>
            <w:tcW w:w="711" w:type="dxa"/>
            <w:vAlign w:val="center"/>
          </w:tcPr>
          <w:p w14:paraId="249C8A9F"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5</w:t>
            </w:r>
          </w:p>
        </w:tc>
        <w:tc>
          <w:tcPr>
            <w:tcW w:w="3115" w:type="dxa"/>
            <w:vAlign w:val="center"/>
          </w:tcPr>
          <w:p w14:paraId="247EB59A"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厂区出入口的位置和数量，应根据企业的生产规模、总体规划、厂区用地面积及总平面布置等因素综合确定，并应符合下列要求：</w:t>
            </w:r>
          </w:p>
          <w:p w14:paraId="2C09A57F"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1）出入口的数量不宜少于2个；</w:t>
            </w:r>
          </w:p>
          <w:p w14:paraId="091EB6BB"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2）主要人流出入口宜与主要货流出入口分开设置，并应位于厂区主干道通往居住区或城镇的一侧；主要货流出入口应位于主要货流方向，应靠近运输繁忙的仓库、堆场，并应与外部运输线路连接方便；</w:t>
            </w:r>
          </w:p>
          <w:p w14:paraId="7A54E33F" w14:textId="77777777" w:rsidR="009219A0" w:rsidRDefault="00000000">
            <w:pPr>
              <w:topLinePunct/>
              <w:adjustRightInd/>
              <w:snapToGrid/>
              <w:spacing w:line="240" w:lineRule="auto"/>
              <w:ind w:firstLineChars="0" w:firstLine="0"/>
              <w:contextualSpacing/>
              <w:jc w:val="left"/>
              <w:rPr>
                <w:rFonts w:ascii="宋体" w:hAnsi="宋体" w:cs="Arial Unicode MS" w:hint="eastAsia"/>
                <w:color w:val="auto"/>
                <w:kern w:val="0"/>
                <w:sz w:val="21"/>
                <w:szCs w:val="21"/>
              </w:rPr>
            </w:pPr>
            <w:r>
              <w:rPr>
                <w:rFonts w:ascii="宋体" w:hAnsi="宋体" w:cs="Tahoma" w:hint="eastAsia"/>
                <w:color w:val="auto"/>
                <w:sz w:val="21"/>
                <w:szCs w:val="21"/>
              </w:rPr>
              <w:t>3）铁路出入口，应具备良好的瞭望条件。</w:t>
            </w:r>
          </w:p>
        </w:tc>
        <w:tc>
          <w:tcPr>
            <w:tcW w:w="1707" w:type="dxa"/>
            <w:vAlign w:val="center"/>
          </w:tcPr>
          <w:p w14:paraId="259ED463"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GB 50187-2012</w:t>
            </w:r>
          </w:p>
          <w:p w14:paraId="59468E0A" w14:textId="77777777" w:rsidR="009219A0" w:rsidRDefault="00000000">
            <w:pPr>
              <w:tabs>
                <w:tab w:val="left" w:pos="1650"/>
              </w:tabs>
              <w:topLinePunct/>
              <w:adjustRightInd/>
              <w:snapToGrid/>
              <w:spacing w:line="240" w:lineRule="auto"/>
              <w:ind w:firstLineChars="0" w:firstLine="0"/>
              <w:contextualSpacing/>
              <w:jc w:val="left"/>
              <w:rPr>
                <w:rFonts w:ascii="宋体" w:hAnsi="宋体" w:cs="Arial Unicode MS" w:hint="eastAsia"/>
                <w:color w:val="auto"/>
                <w:kern w:val="0"/>
                <w:sz w:val="21"/>
                <w:szCs w:val="21"/>
              </w:rPr>
            </w:pPr>
            <w:r>
              <w:rPr>
                <w:rFonts w:ascii="宋体" w:hAnsi="宋体" w:cs="Tahoma" w:hint="eastAsia"/>
                <w:color w:val="auto"/>
                <w:sz w:val="21"/>
                <w:szCs w:val="21"/>
              </w:rPr>
              <w:t>5.7.4</w:t>
            </w:r>
          </w:p>
        </w:tc>
        <w:tc>
          <w:tcPr>
            <w:tcW w:w="2294" w:type="dxa"/>
            <w:vAlign w:val="center"/>
          </w:tcPr>
          <w:p w14:paraId="02C3F8B1" w14:textId="77777777" w:rsidR="009219A0" w:rsidRDefault="00000000">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bCs/>
                <w:color w:val="auto"/>
                <w:sz w:val="21"/>
                <w:szCs w:val="21"/>
              </w:rPr>
              <w:t>中试车间、实验室根据实际需要设置1个出入口。</w:t>
            </w:r>
          </w:p>
        </w:tc>
        <w:tc>
          <w:tcPr>
            <w:tcW w:w="1246" w:type="dxa"/>
            <w:vAlign w:val="center"/>
          </w:tcPr>
          <w:p w14:paraId="332856B9" w14:textId="77777777" w:rsidR="009219A0" w:rsidRDefault="00000000">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bCs/>
                <w:color w:val="auto"/>
                <w:sz w:val="21"/>
                <w:szCs w:val="21"/>
              </w:rPr>
              <w:t>符合要求</w:t>
            </w:r>
          </w:p>
        </w:tc>
      </w:tr>
      <w:tr w:rsidR="009219A0" w14:paraId="7557A700" w14:textId="77777777">
        <w:trPr>
          <w:trHeight w:val="340"/>
          <w:jc w:val="center"/>
        </w:trPr>
        <w:tc>
          <w:tcPr>
            <w:tcW w:w="711" w:type="dxa"/>
            <w:vAlign w:val="center"/>
          </w:tcPr>
          <w:p w14:paraId="197D10E9"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lastRenderedPageBreak/>
              <w:t>6</w:t>
            </w:r>
          </w:p>
        </w:tc>
        <w:tc>
          <w:tcPr>
            <w:tcW w:w="3115" w:type="dxa"/>
            <w:vAlign w:val="center"/>
          </w:tcPr>
          <w:p w14:paraId="6DFE722A"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消防车道的布置，应符合下列要求：</w:t>
            </w:r>
          </w:p>
          <w:p w14:paraId="556EA5F3"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1）</w:t>
            </w:r>
            <w:proofErr w:type="gramStart"/>
            <w:r>
              <w:rPr>
                <w:rFonts w:ascii="宋体" w:hAnsi="宋体" w:hint="eastAsia"/>
                <w:color w:val="auto"/>
                <w:kern w:val="0"/>
                <w:sz w:val="21"/>
                <w:szCs w:val="21"/>
              </w:rPr>
              <w:t>道路宜呈环状</w:t>
            </w:r>
            <w:proofErr w:type="gramEnd"/>
            <w:r>
              <w:rPr>
                <w:rFonts w:ascii="宋体" w:hAnsi="宋体" w:hint="eastAsia"/>
                <w:color w:val="auto"/>
                <w:kern w:val="0"/>
                <w:sz w:val="21"/>
                <w:szCs w:val="21"/>
              </w:rPr>
              <w:t>布置；</w:t>
            </w:r>
          </w:p>
          <w:p w14:paraId="10E13C50"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2）车道宽度不应小于4.0m；</w:t>
            </w:r>
          </w:p>
          <w:p w14:paraId="2BD38528"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hint="eastAsia"/>
                <w:color w:val="auto"/>
                <w:kern w:val="0"/>
                <w:sz w:val="21"/>
                <w:szCs w:val="21"/>
              </w:rPr>
              <w:t>3）应避免与铁路平交。必须平交时，</w:t>
            </w:r>
            <w:proofErr w:type="gramStart"/>
            <w:r>
              <w:rPr>
                <w:rFonts w:ascii="宋体" w:hAnsi="宋体" w:hint="eastAsia"/>
                <w:color w:val="auto"/>
                <w:kern w:val="0"/>
                <w:sz w:val="21"/>
                <w:szCs w:val="21"/>
              </w:rPr>
              <w:t>应设备</w:t>
            </w:r>
            <w:proofErr w:type="gramEnd"/>
            <w:r>
              <w:rPr>
                <w:rFonts w:ascii="宋体" w:hAnsi="宋体" w:hint="eastAsia"/>
                <w:color w:val="auto"/>
                <w:kern w:val="0"/>
                <w:sz w:val="21"/>
                <w:szCs w:val="21"/>
              </w:rPr>
              <w:t>用车道，且两车道之间的距离，不应小于进入厂内最长列车的长度。</w:t>
            </w:r>
          </w:p>
        </w:tc>
        <w:tc>
          <w:tcPr>
            <w:tcW w:w="1707" w:type="dxa"/>
            <w:vAlign w:val="center"/>
          </w:tcPr>
          <w:p w14:paraId="6CA81CEE"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GB 50187-2012</w:t>
            </w:r>
          </w:p>
          <w:p w14:paraId="086AC8A8" w14:textId="77777777" w:rsidR="009219A0" w:rsidRDefault="00000000">
            <w:pPr>
              <w:topLinePunct/>
              <w:adjustRightInd/>
              <w:snapToGrid/>
              <w:spacing w:line="240" w:lineRule="auto"/>
              <w:ind w:firstLineChars="0" w:firstLine="0"/>
              <w:contextualSpacing/>
              <w:jc w:val="left"/>
              <w:rPr>
                <w:rFonts w:ascii="宋体" w:hAnsi="宋体" w:cs="Arial Unicode MS" w:hint="eastAsia"/>
                <w:color w:val="auto"/>
                <w:sz w:val="21"/>
                <w:szCs w:val="21"/>
              </w:rPr>
            </w:pPr>
            <w:r>
              <w:rPr>
                <w:rFonts w:ascii="宋体" w:hAnsi="宋体" w:cs="Tahoma" w:hint="eastAsia"/>
                <w:color w:val="auto"/>
                <w:sz w:val="21"/>
                <w:szCs w:val="21"/>
              </w:rPr>
              <w:t>6.4.11</w:t>
            </w:r>
          </w:p>
        </w:tc>
        <w:tc>
          <w:tcPr>
            <w:tcW w:w="2294" w:type="dxa"/>
            <w:vAlign w:val="center"/>
          </w:tcPr>
          <w:p w14:paraId="03A0819E" w14:textId="77777777" w:rsidR="009219A0" w:rsidRDefault="00000000">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bCs/>
                <w:color w:val="auto"/>
                <w:sz w:val="21"/>
                <w:szCs w:val="21"/>
              </w:rPr>
              <w:t>厂区内消防车道宽≥4m，中试车间主要出入口可直接连通消防车道，满足疏散要求。</w:t>
            </w:r>
          </w:p>
        </w:tc>
        <w:tc>
          <w:tcPr>
            <w:tcW w:w="1246" w:type="dxa"/>
            <w:vAlign w:val="center"/>
          </w:tcPr>
          <w:p w14:paraId="3F9940CC" w14:textId="77777777" w:rsidR="009219A0" w:rsidRDefault="00000000">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bCs/>
                <w:color w:val="auto"/>
                <w:sz w:val="21"/>
                <w:szCs w:val="21"/>
              </w:rPr>
              <w:t>符合要求</w:t>
            </w:r>
          </w:p>
        </w:tc>
      </w:tr>
      <w:tr w:rsidR="009219A0" w14:paraId="1FCAB198" w14:textId="77777777">
        <w:trPr>
          <w:trHeight w:val="340"/>
          <w:jc w:val="center"/>
        </w:trPr>
        <w:tc>
          <w:tcPr>
            <w:tcW w:w="711" w:type="dxa"/>
            <w:vAlign w:val="center"/>
          </w:tcPr>
          <w:p w14:paraId="3EAEA37C"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7</w:t>
            </w:r>
          </w:p>
        </w:tc>
        <w:tc>
          <w:tcPr>
            <w:tcW w:w="3115" w:type="dxa"/>
            <w:vAlign w:val="center"/>
          </w:tcPr>
          <w:p w14:paraId="4CC2A8E2"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hint="eastAsia"/>
                <w:color w:val="auto"/>
                <w:sz w:val="21"/>
                <w:szCs w:val="21"/>
              </w:rPr>
              <w:t>员工宿舍严禁设置在厂房内。</w:t>
            </w:r>
          </w:p>
        </w:tc>
        <w:tc>
          <w:tcPr>
            <w:tcW w:w="1707" w:type="dxa"/>
            <w:vAlign w:val="center"/>
          </w:tcPr>
          <w:p w14:paraId="62D5C1F6"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《建筑设计防火规范》</w:t>
            </w:r>
          </w:p>
          <w:p w14:paraId="3D7EEEBB"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GB 50016-2014，2</w:t>
            </w:r>
            <w:r>
              <w:rPr>
                <w:rFonts w:ascii="宋体" w:hAnsi="宋体" w:cs="Tahoma"/>
                <w:color w:val="auto"/>
                <w:sz w:val="21"/>
                <w:szCs w:val="21"/>
              </w:rPr>
              <w:t>018</w:t>
            </w:r>
            <w:r>
              <w:rPr>
                <w:rFonts w:ascii="宋体" w:hAnsi="宋体" w:cs="Tahoma" w:hint="eastAsia"/>
                <w:color w:val="auto"/>
                <w:sz w:val="21"/>
                <w:szCs w:val="21"/>
              </w:rPr>
              <w:t>年版</w:t>
            </w:r>
          </w:p>
          <w:p w14:paraId="49995925"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Arial Unicode MS" w:hint="eastAsia"/>
                <w:color w:val="auto"/>
                <w:sz w:val="21"/>
                <w:szCs w:val="21"/>
              </w:rPr>
              <w:t>3.3.5</w:t>
            </w:r>
          </w:p>
        </w:tc>
        <w:tc>
          <w:tcPr>
            <w:tcW w:w="2294" w:type="dxa"/>
            <w:vAlign w:val="center"/>
          </w:tcPr>
          <w:p w14:paraId="1AFDB8C9" w14:textId="77777777" w:rsidR="009219A0" w:rsidRDefault="00000000">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bCs/>
                <w:color w:val="auto"/>
                <w:sz w:val="21"/>
                <w:szCs w:val="21"/>
              </w:rPr>
              <w:t>员工宿舍未设置在厂房内。</w:t>
            </w:r>
          </w:p>
        </w:tc>
        <w:tc>
          <w:tcPr>
            <w:tcW w:w="1246" w:type="dxa"/>
            <w:vAlign w:val="center"/>
          </w:tcPr>
          <w:p w14:paraId="12A6B06B" w14:textId="77777777" w:rsidR="009219A0" w:rsidRDefault="00000000">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bCs/>
                <w:color w:val="auto"/>
                <w:sz w:val="21"/>
                <w:szCs w:val="21"/>
              </w:rPr>
              <w:t>符合要求</w:t>
            </w:r>
          </w:p>
        </w:tc>
      </w:tr>
      <w:tr w:rsidR="009219A0" w14:paraId="62D25A15" w14:textId="77777777">
        <w:trPr>
          <w:trHeight w:val="340"/>
          <w:jc w:val="center"/>
        </w:trPr>
        <w:tc>
          <w:tcPr>
            <w:tcW w:w="711" w:type="dxa"/>
            <w:vAlign w:val="center"/>
          </w:tcPr>
          <w:p w14:paraId="3E0BDAF4"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8</w:t>
            </w:r>
          </w:p>
        </w:tc>
        <w:tc>
          <w:tcPr>
            <w:tcW w:w="3115" w:type="dxa"/>
            <w:vAlign w:val="center"/>
          </w:tcPr>
          <w:p w14:paraId="67DB8819"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sz w:val="21"/>
                <w:szCs w:val="21"/>
              </w:rPr>
              <w:t>厂房之间及其与乙、丙、丁、</w:t>
            </w:r>
            <w:proofErr w:type="gramStart"/>
            <w:r>
              <w:rPr>
                <w:rFonts w:ascii="宋体" w:hAnsi="宋体" w:hint="eastAsia"/>
                <w:color w:val="auto"/>
                <w:sz w:val="21"/>
                <w:szCs w:val="21"/>
              </w:rPr>
              <w:t>戊类仓库</w:t>
            </w:r>
            <w:proofErr w:type="gramEnd"/>
            <w:r>
              <w:rPr>
                <w:rFonts w:ascii="宋体" w:hAnsi="宋体" w:hint="eastAsia"/>
                <w:color w:val="auto"/>
                <w:sz w:val="21"/>
                <w:szCs w:val="21"/>
              </w:rPr>
              <w:t>、民用建筑等之间的防火间距不应小于表3.4.1 的规定。</w:t>
            </w:r>
          </w:p>
        </w:tc>
        <w:tc>
          <w:tcPr>
            <w:tcW w:w="1707" w:type="dxa"/>
            <w:vAlign w:val="center"/>
          </w:tcPr>
          <w:p w14:paraId="6C010F88"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GB 50016-2014，2</w:t>
            </w:r>
            <w:r>
              <w:rPr>
                <w:rFonts w:ascii="宋体" w:hAnsi="宋体" w:cs="Tahoma"/>
                <w:color w:val="auto"/>
                <w:sz w:val="21"/>
                <w:szCs w:val="21"/>
              </w:rPr>
              <w:t>018</w:t>
            </w:r>
            <w:r>
              <w:rPr>
                <w:rFonts w:ascii="宋体" w:hAnsi="宋体" w:cs="Tahoma" w:hint="eastAsia"/>
                <w:color w:val="auto"/>
                <w:sz w:val="21"/>
                <w:szCs w:val="21"/>
              </w:rPr>
              <w:t>年版</w:t>
            </w:r>
          </w:p>
          <w:p w14:paraId="7FBDB62F" w14:textId="77777777" w:rsidR="009219A0" w:rsidRDefault="00000000">
            <w:pPr>
              <w:topLinePunct/>
              <w:adjustRightInd/>
              <w:snapToGrid/>
              <w:spacing w:line="240" w:lineRule="auto"/>
              <w:ind w:firstLineChars="0" w:firstLine="0"/>
              <w:contextualSpacing/>
              <w:jc w:val="left"/>
              <w:rPr>
                <w:rFonts w:ascii="宋体" w:hAnsi="宋体" w:cs="Arial Unicode MS" w:hint="eastAsia"/>
                <w:color w:val="auto"/>
                <w:sz w:val="21"/>
                <w:szCs w:val="21"/>
              </w:rPr>
            </w:pPr>
            <w:r>
              <w:rPr>
                <w:rFonts w:ascii="宋体" w:hAnsi="宋体" w:cs="Arial Unicode MS" w:hint="eastAsia"/>
                <w:color w:val="auto"/>
                <w:sz w:val="21"/>
                <w:szCs w:val="21"/>
              </w:rPr>
              <w:t>3.4.1</w:t>
            </w:r>
          </w:p>
        </w:tc>
        <w:tc>
          <w:tcPr>
            <w:tcW w:w="2294" w:type="dxa"/>
            <w:vAlign w:val="center"/>
          </w:tcPr>
          <w:p w14:paraId="2C032AED" w14:textId="77777777" w:rsidR="009219A0" w:rsidRDefault="00000000">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bCs/>
                <w:color w:val="auto"/>
                <w:sz w:val="21"/>
                <w:szCs w:val="21"/>
              </w:rPr>
              <w:t>中试车间与其他建筑物之间的防火间距符合建</w:t>
            </w:r>
            <w:proofErr w:type="gramStart"/>
            <w:r>
              <w:rPr>
                <w:rFonts w:ascii="宋体" w:hAnsi="宋体" w:hint="eastAsia"/>
                <w:bCs/>
                <w:color w:val="auto"/>
                <w:sz w:val="21"/>
                <w:szCs w:val="21"/>
              </w:rPr>
              <w:t>规</w:t>
            </w:r>
            <w:proofErr w:type="gramEnd"/>
            <w:r>
              <w:rPr>
                <w:rFonts w:ascii="宋体" w:hAnsi="宋体" w:hint="eastAsia"/>
                <w:bCs/>
                <w:color w:val="auto"/>
                <w:sz w:val="21"/>
                <w:szCs w:val="21"/>
              </w:rPr>
              <w:t>表3.4.1，详见报告附表5.1-2。</w:t>
            </w:r>
          </w:p>
        </w:tc>
        <w:tc>
          <w:tcPr>
            <w:tcW w:w="1246" w:type="dxa"/>
            <w:vAlign w:val="center"/>
          </w:tcPr>
          <w:p w14:paraId="109297B3" w14:textId="77777777" w:rsidR="009219A0" w:rsidRDefault="00000000">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bCs/>
                <w:color w:val="auto"/>
                <w:sz w:val="21"/>
                <w:szCs w:val="21"/>
              </w:rPr>
              <w:t>符合要求</w:t>
            </w:r>
          </w:p>
        </w:tc>
      </w:tr>
      <w:tr w:rsidR="009219A0" w14:paraId="1DD17A76" w14:textId="77777777">
        <w:trPr>
          <w:trHeight w:val="340"/>
          <w:jc w:val="center"/>
        </w:trPr>
        <w:tc>
          <w:tcPr>
            <w:tcW w:w="711" w:type="dxa"/>
            <w:vAlign w:val="center"/>
          </w:tcPr>
          <w:p w14:paraId="3AD6D057"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9</w:t>
            </w:r>
          </w:p>
        </w:tc>
        <w:tc>
          <w:tcPr>
            <w:tcW w:w="3115" w:type="dxa"/>
            <w:vAlign w:val="center"/>
          </w:tcPr>
          <w:p w14:paraId="5E0364FB"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bookmarkStart w:id="335" w:name="_Toc5915987"/>
            <w:bookmarkStart w:id="336" w:name="_Toc528335517"/>
            <w:bookmarkStart w:id="337" w:name="_Toc531615385"/>
            <w:bookmarkStart w:id="338" w:name="_Toc12003994"/>
            <w:bookmarkStart w:id="339" w:name="_Toc528656283"/>
            <w:r>
              <w:rPr>
                <w:rFonts w:ascii="宋体" w:hAnsi="宋体" w:hint="eastAsia"/>
                <w:color w:val="auto"/>
                <w:sz w:val="21"/>
                <w:szCs w:val="21"/>
              </w:rPr>
              <w:t>工业企业</w:t>
            </w:r>
            <w:proofErr w:type="gramStart"/>
            <w:r>
              <w:rPr>
                <w:rFonts w:ascii="宋体" w:hAnsi="宋体" w:hint="eastAsia"/>
                <w:color w:val="auto"/>
                <w:sz w:val="21"/>
                <w:szCs w:val="21"/>
              </w:rPr>
              <w:t>厂区总</w:t>
            </w:r>
            <w:proofErr w:type="gramEnd"/>
            <w:r>
              <w:rPr>
                <w:rFonts w:ascii="宋体" w:hAnsi="宋体" w:hint="eastAsia"/>
                <w:color w:val="auto"/>
                <w:sz w:val="21"/>
                <w:szCs w:val="21"/>
              </w:rPr>
              <w:t>平面布置应明确功能分区，可分为生产区、非生产区、辅助生产区。</w:t>
            </w:r>
            <w:bookmarkEnd w:id="335"/>
            <w:bookmarkEnd w:id="336"/>
            <w:bookmarkEnd w:id="337"/>
            <w:bookmarkEnd w:id="338"/>
            <w:bookmarkEnd w:id="339"/>
          </w:p>
        </w:tc>
        <w:tc>
          <w:tcPr>
            <w:tcW w:w="1707" w:type="dxa"/>
            <w:vAlign w:val="center"/>
          </w:tcPr>
          <w:p w14:paraId="4345E70C"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bCs/>
                <w:color w:val="auto"/>
                <w:sz w:val="21"/>
                <w:szCs w:val="21"/>
              </w:rPr>
              <w:t>《工业企业设计卫生标准》</w:t>
            </w:r>
          </w:p>
          <w:p w14:paraId="6BBD867B" w14:textId="77777777" w:rsidR="009219A0" w:rsidRDefault="00000000">
            <w:pPr>
              <w:topLinePunct/>
              <w:adjustRightInd/>
              <w:snapToGrid/>
              <w:spacing w:line="240" w:lineRule="auto"/>
              <w:ind w:firstLineChars="0" w:firstLine="0"/>
              <w:contextualSpacing/>
              <w:jc w:val="left"/>
              <w:rPr>
                <w:rFonts w:ascii="宋体" w:hAnsi="宋体" w:hint="eastAsia"/>
                <w:color w:val="auto"/>
                <w:kern w:val="0"/>
                <w:sz w:val="21"/>
                <w:szCs w:val="21"/>
              </w:rPr>
            </w:pPr>
            <w:r>
              <w:rPr>
                <w:rFonts w:ascii="宋体" w:hAnsi="宋体" w:hint="eastAsia"/>
                <w:color w:val="auto"/>
                <w:kern w:val="0"/>
                <w:sz w:val="21"/>
                <w:szCs w:val="21"/>
              </w:rPr>
              <w:t>GBZ 1-2010</w:t>
            </w:r>
          </w:p>
          <w:p w14:paraId="60DD15B1" w14:textId="77777777" w:rsidR="009219A0" w:rsidRDefault="00000000">
            <w:pPr>
              <w:topLinePunct/>
              <w:adjustRightInd/>
              <w:snapToGrid/>
              <w:spacing w:line="240" w:lineRule="auto"/>
              <w:ind w:firstLineChars="0" w:firstLine="0"/>
              <w:contextualSpacing/>
              <w:jc w:val="left"/>
              <w:rPr>
                <w:rFonts w:ascii="宋体" w:hAnsi="宋体" w:cs="Arial Unicode MS" w:hint="eastAsia"/>
                <w:color w:val="auto"/>
                <w:sz w:val="21"/>
                <w:szCs w:val="21"/>
              </w:rPr>
            </w:pPr>
            <w:r>
              <w:rPr>
                <w:rFonts w:ascii="宋体" w:hAnsi="宋体" w:hint="eastAsia"/>
                <w:color w:val="auto"/>
                <w:kern w:val="0"/>
                <w:sz w:val="21"/>
                <w:szCs w:val="21"/>
              </w:rPr>
              <w:t>5.2.1.1</w:t>
            </w:r>
          </w:p>
        </w:tc>
        <w:tc>
          <w:tcPr>
            <w:tcW w:w="2294" w:type="dxa"/>
            <w:vAlign w:val="center"/>
          </w:tcPr>
          <w:p w14:paraId="1C960EA1" w14:textId="77777777" w:rsidR="009219A0" w:rsidRDefault="00000000">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color w:val="auto"/>
                <w:sz w:val="21"/>
                <w:szCs w:val="21"/>
              </w:rPr>
              <w:t>项目</w:t>
            </w:r>
            <w:proofErr w:type="gramStart"/>
            <w:r>
              <w:rPr>
                <w:rFonts w:ascii="宋体" w:hAnsi="宋体" w:hint="eastAsia"/>
                <w:color w:val="auto"/>
                <w:sz w:val="21"/>
                <w:szCs w:val="21"/>
              </w:rPr>
              <w:t>利用创源公司</w:t>
            </w:r>
            <w:proofErr w:type="gramEnd"/>
            <w:r>
              <w:rPr>
                <w:rFonts w:ascii="宋体" w:hAnsi="宋体" w:hint="eastAsia"/>
                <w:color w:val="auto"/>
                <w:sz w:val="21"/>
                <w:szCs w:val="21"/>
              </w:rPr>
              <w:t>原有场地进行改造，总平面布置合理，按功能分区设置。</w:t>
            </w:r>
          </w:p>
        </w:tc>
        <w:tc>
          <w:tcPr>
            <w:tcW w:w="1246" w:type="dxa"/>
            <w:vAlign w:val="center"/>
          </w:tcPr>
          <w:p w14:paraId="43BBFC79" w14:textId="77777777" w:rsidR="009219A0" w:rsidRDefault="00000000">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color w:val="auto"/>
                <w:sz w:val="21"/>
                <w:szCs w:val="21"/>
              </w:rPr>
              <w:t>符合要求</w:t>
            </w:r>
          </w:p>
        </w:tc>
      </w:tr>
      <w:tr w:rsidR="009219A0" w14:paraId="562208D4" w14:textId="77777777">
        <w:trPr>
          <w:trHeight w:val="340"/>
          <w:jc w:val="center"/>
        </w:trPr>
        <w:tc>
          <w:tcPr>
            <w:tcW w:w="711" w:type="dxa"/>
            <w:vAlign w:val="center"/>
          </w:tcPr>
          <w:p w14:paraId="0853C5CE"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10</w:t>
            </w:r>
          </w:p>
        </w:tc>
        <w:tc>
          <w:tcPr>
            <w:tcW w:w="3115" w:type="dxa"/>
            <w:vAlign w:val="center"/>
          </w:tcPr>
          <w:p w14:paraId="10D82783"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产生噪声的车间，应在控制噪声发生源的基础上，对厂房的建筑设计采取减轻噪声影响的措施，注意增加隔声、吸声措施。</w:t>
            </w:r>
          </w:p>
        </w:tc>
        <w:tc>
          <w:tcPr>
            <w:tcW w:w="1707" w:type="dxa"/>
            <w:vAlign w:val="center"/>
          </w:tcPr>
          <w:p w14:paraId="4F707E7E"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GBZ 1-2010</w:t>
            </w:r>
          </w:p>
          <w:p w14:paraId="29B18091"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6.3.1.6</w:t>
            </w:r>
          </w:p>
        </w:tc>
        <w:tc>
          <w:tcPr>
            <w:tcW w:w="2294" w:type="dxa"/>
            <w:vAlign w:val="center"/>
          </w:tcPr>
          <w:p w14:paraId="199DF785" w14:textId="77777777" w:rsidR="009219A0" w:rsidRDefault="00000000">
            <w:pPr>
              <w:topLinePunct/>
              <w:adjustRightInd/>
              <w:snapToGrid/>
              <w:spacing w:line="240" w:lineRule="auto"/>
              <w:ind w:firstLineChars="0" w:firstLine="0"/>
              <w:contextualSpacing/>
              <w:jc w:val="left"/>
              <w:rPr>
                <w:rFonts w:ascii="宋体" w:hAnsi="宋体" w:cs="Arial Unicode MS" w:hint="eastAsia"/>
                <w:color w:val="auto"/>
                <w:sz w:val="21"/>
                <w:szCs w:val="21"/>
              </w:rPr>
            </w:pPr>
            <w:r>
              <w:rPr>
                <w:rFonts w:ascii="宋体" w:hAnsi="宋体" w:hint="eastAsia"/>
                <w:color w:val="auto"/>
                <w:sz w:val="21"/>
                <w:szCs w:val="21"/>
              </w:rPr>
              <w:t>中试车间内实验设备噪声相对较小。</w:t>
            </w:r>
          </w:p>
        </w:tc>
        <w:tc>
          <w:tcPr>
            <w:tcW w:w="1246" w:type="dxa"/>
            <w:vAlign w:val="center"/>
          </w:tcPr>
          <w:p w14:paraId="5C2D6FAC"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2EE6BE6B" w14:textId="77777777">
        <w:trPr>
          <w:trHeight w:val="340"/>
          <w:jc w:val="center"/>
        </w:trPr>
        <w:tc>
          <w:tcPr>
            <w:tcW w:w="711" w:type="dxa"/>
            <w:vAlign w:val="center"/>
          </w:tcPr>
          <w:p w14:paraId="72B983B4"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三</w:t>
            </w:r>
          </w:p>
        </w:tc>
        <w:tc>
          <w:tcPr>
            <w:tcW w:w="8362" w:type="dxa"/>
            <w:gridSpan w:val="4"/>
            <w:vAlign w:val="center"/>
          </w:tcPr>
          <w:p w14:paraId="51FE96A9" w14:textId="77777777" w:rsidR="009219A0" w:rsidRDefault="00000000">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color w:val="auto"/>
                <w:kern w:val="0"/>
                <w:sz w:val="21"/>
                <w:szCs w:val="21"/>
              </w:rPr>
              <w:t>建构筑物</w:t>
            </w:r>
          </w:p>
        </w:tc>
      </w:tr>
      <w:tr w:rsidR="009219A0" w14:paraId="12E5B530" w14:textId="77777777">
        <w:trPr>
          <w:trHeight w:val="340"/>
          <w:jc w:val="center"/>
        </w:trPr>
        <w:tc>
          <w:tcPr>
            <w:tcW w:w="711" w:type="dxa"/>
            <w:vAlign w:val="center"/>
          </w:tcPr>
          <w:p w14:paraId="6523CD5C"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1</w:t>
            </w:r>
          </w:p>
        </w:tc>
        <w:tc>
          <w:tcPr>
            <w:tcW w:w="3115" w:type="dxa"/>
            <w:vAlign w:val="center"/>
          </w:tcPr>
          <w:p w14:paraId="298A2EFF"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hint="eastAsia"/>
                <w:color w:val="auto"/>
                <w:sz w:val="21"/>
                <w:szCs w:val="21"/>
              </w:rPr>
              <w:t>厂房内任一点至最近安全出口的直线距离不应大于表3.7.4的规定。</w:t>
            </w:r>
          </w:p>
        </w:tc>
        <w:tc>
          <w:tcPr>
            <w:tcW w:w="1707" w:type="dxa"/>
            <w:vAlign w:val="center"/>
          </w:tcPr>
          <w:p w14:paraId="3539A7AE"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《建筑设计防火规范》</w:t>
            </w:r>
          </w:p>
          <w:p w14:paraId="7FE29D24"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GB 50016-2014，2</w:t>
            </w:r>
            <w:r>
              <w:rPr>
                <w:rFonts w:ascii="宋体" w:hAnsi="宋体" w:cs="Tahoma"/>
                <w:color w:val="auto"/>
                <w:sz w:val="21"/>
                <w:szCs w:val="21"/>
              </w:rPr>
              <w:t>018</w:t>
            </w:r>
            <w:r>
              <w:rPr>
                <w:rFonts w:ascii="宋体" w:hAnsi="宋体" w:cs="Tahoma" w:hint="eastAsia"/>
                <w:color w:val="auto"/>
                <w:sz w:val="21"/>
                <w:szCs w:val="21"/>
              </w:rPr>
              <w:t>年版</w:t>
            </w:r>
          </w:p>
          <w:p w14:paraId="33B3739A"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hint="eastAsia"/>
                <w:color w:val="auto"/>
                <w:sz w:val="21"/>
                <w:szCs w:val="21"/>
              </w:rPr>
              <w:t>3.7.4</w:t>
            </w:r>
          </w:p>
        </w:tc>
        <w:tc>
          <w:tcPr>
            <w:tcW w:w="2294" w:type="dxa"/>
            <w:vAlign w:val="center"/>
          </w:tcPr>
          <w:p w14:paraId="0666A8CD" w14:textId="77777777" w:rsidR="009219A0" w:rsidRDefault="00000000">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bCs/>
                <w:color w:val="auto"/>
                <w:sz w:val="21"/>
                <w:szCs w:val="21"/>
              </w:rPr>
              <w:t>中试车间、实验室内安全出口设置满足要求，具体设置详见附图总平面布置图。</w:t>
            </w:r>
          </w:p>
        </w:tc>
        <w:tc>
          <w:tcPr>
            <w:tcW w:w="1246" w:type="dxa"/>
            <w:vAlign w:val="center"/>
          </w:tcPr>
          <w:p w14:paraId="2B666963" w14:textId="77777777" w:rsidR="009219A0" w:rsidRDefault="00000000">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bCs/>
                <w:color w:val="auto"/>
                <w:sz w:val="21"/>
                <w:szCs w:val="21"/>
              </w:rPr>
              <w:t>符合要求</w:t>
            </w:r>
          </w:p>
        </w:tc>
      </w:tr>
      <w:tr w:rsidR="009219A0" w14:paraId="7C9F26C0" w14:textId="77777777">
        <w:trPr>
          <w:trHeight w:val="340"/>
          <w:jc w:val="center"/>
        </w:trPr>
        <w:tc>
          <w:tcPr>
            <w:tcW w:w="711" w:type="dxa"/>
            <w:vAlign w:val="center"/>
          </w:tcPr>
          <w:p w14:paraId="1164AB16" w14:textId="77777777" w:rsidR="009219A0" w:rsidRDefault="00000000">
            <w:pPr>
              <w:topLinePunct/>
              <w:adjustRightInd/>
              <w:snapToGrid/>
              <w:spacing w:line="240" w:lineRule="auto"/>
              <w:ind w:firstLineChars="0" w:firstLine="0"/>
              <w:contextualSpacing/>
              <w:jc w:val="center"/>
              <w:rPr>
                <w:rFonts w:ascii="宋体" w:hAnsi="宋体" w:hint="eastAsia"/>
                <w:bCs/>
                <w:color w:val="auto"/>
                <w:sz w:val="21"/>
                <w:szCs w:val="21"/>
              </w:rPr>
            </w:pPr>
            <w:r>
              <w:rPr>
                <w:rFonts w:ascii="宋体" w:hAnsi="宋体" w:hint="eastAsia"/>
                <w:bCs/>
                <w:color w:val="auto"/>
                <w:sz w:val="21"/>
                <w:szCs w:val="21"/>
              </w:rPr>
              <w:t>2</w:t>
            </w:r>
          </w:p>
        </w:tc>
        <w:tc>
          <w:tcPr>
            <w:tcW w:w="3115" w:type="dxa"/>
            <w:vAlign w:val="center"/>
          </w:tcPr>
          <w:p w14:paraId="5E042AC1"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cs="Tahoma" w:hint="eastAsia"/>
                <w:color w:val="auto"/>
                <w:sz w:val="21"/>
                <w:szCs w:val="21"/>
              </w:rPr>
              <w:t>厂房内疏散楼梯、走道、门的各自总净宽度，应根据疏散</w:t>
            </w:r>
            <w:proofErr w:type="gramStart"/>
            <w:r>
              <w:rPr>
                <w:rFonts w:ascii="宋体" w:hAnsi="宋体" w:cs="Tahoma" w:hint="eastAsia"/>
                <w:color w:val="auto"/>
                <w:sz w:val="21"/>
                <w:szCs w:val="21"/>
              </w:rPr>
              <w:t>人算按每</w:t>
            </w:r>
            <w:proofErr w:type="gramEnd"/>
            <w:r>
              <w:rPr>
                <w:rFonts w:ascii="宋体" w:hAnsi="宋体" w:cs="Tahoma" w:hint="eastAsia"/>
                <w:color w:val="auto"/>
                <w:sz w:val="21"/>
                <w:szCs w:val="21"/>
              </w:rPr>
              <w:t>100人的最小疏散净宽度不小于表3.7.5条的规定计算。但疏散楼梯的最小净宽度不宜小于1.10m，疏散走道的最小净宽度不宜小于1.40m，门的最小净宽度不宜小于0.90m。当每层疏散人数不相等时，疏散楼梯的总净宽度应分层计算。</w:t>
            </w:r>
          </w:p>
        </w:tc>
        <w:tc>
          <w:tcPr>
            <w:tcW w:w="1707" w:type="dxa"/>
            <w:vAlign w:val="center"/>
          </w:tcPr>
          <w:p w14:paraId="60E91E0E" w14:textId="77777777" w:rsidR="009219A0" w:rsidRDefault="00000000">
            <w:pPr>
              <w:topLinePunct/>
              <w:adjustRightInd/>
              <w:snapToGrid/>
              <w:spacing w:line="240" w:lineRule="auto"/>
              <w:ind w:firstLineChars="0" w:firstLine="0"/>
              <w:contextualSpacing/>
              <w:jc w:val="left"/>
              <w:rPr>
                <w:rFonts w:ascii="宋体" w:hAnsi="宋体" w:cs="Tahoma" w:hint="eastAsia"/>
                <w:color w:val="auto"/>
                <w:sz w:val="21"/>
                <w:szCs w:val="21"/>
              </w:rPr>
            </w:pPr>
            <w:r>
              <w:rPr>
                <w:rFonts w:ascii="宋体" w:hAnsi="宋体" w:cs="Tahoma" w:hint="eastAsia"/>
                <w:color w:val="auto"/>
                <w:sz w:val="21"/>
                <w:szCs w:val="21"/>
              </w:rPr>
              <w:t>GB 50016-2014，2</w:t>
            </w:r>
            <w:r>
              <w:rPr>
                <w:rFonts w:ascii="宋体" w:hAnsi="宋体" w:cs="Tahoma"/>
                <w:color w:val="auto"/>
                <w:sz w:val="21"/>
                <w:szCs w:val="21"/>
              </w:rPr>
              <w:t>018</w:t>
            </w:r>
            <w:r>
              <w:rPr>
                <w:rFonts w:ascii="宋体" w:hAnsi="宋体" w:cs="Tahoma" w:hint="eastAsia"/>
                <w:color w:val="auto"/>
                <w:sz w:val="21"/>
                <w:szCs w:val="21"/>
              </w:rPr>
              <w:t>年版</w:t>
            </w:r>
          </w:p>
          <w:p w14:paraId="6A32E729"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cs="宋体" w:hint="eastAsia"/>
                <w:color w:val="auto"/>
                <w:kern w:val="0"/>
                <w:sz w:val="21"/>
                <w:szCs w:val="21"/>
              </w:rPr>
              <w:t>3.7.5</w:t>
            </w:r>
          </w:p>
        </w:tc>
        <w:tc>
          <w:tcPr>
            <w:tcW w:w="2294" w:type="dxa"/>
            <w:vAlign w:val="center"/>
          </w:tcPr>
          <w:p w14:paraId="3DDAF533" w14:textId="77777777" w:rsidR="009219A0" w:rsidRDefault="00000000">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bCs/>
                <w:color w:val="auto"/>
                <w:sz w:val="21"/>
                <w:szCs w:val="21"/>
              </w:rPr>
              <w:t>中试车间、实验室内疏散走道、门的各自总净宽</w:t>
            </w:r>
            <w:proofErr w:type="gramStart"/>
            <w:r>
              <w:rPr>
                <w:rFonts w:ascii="宋体" w:hAnsi="宋体" w:hint="eastAsia"/>
                <w:bCs/>
                <w:color w:val="auto"/>
                <w:sz w:val="21"/>
                <w:szCs w:val="21"/>
              </w:rPr>
              <w:t>度满足</w:t>
            </w:r>
            <w:proofErr w:type="gramEnd"/>
            <w:r>
              <w:rPr>
                <w:rFonts w:ascii="宋体" w:hAnsi="宋体" w:hint="eastAsia"/>
                <w:bCs/>
                <w:color w:val="auto"/>
                <w:sz w:val="21"/>
                <w:szCs w:val="21"/>
              </w:rPr>
              <w:t>要求。</w:t>
            </w:r>
          </w:p>
        </w:tc>
        <w:tc>
          <w:tcPr>
            <w:tcW w:w="1246" w:type="dxa"/>
            <w:vAlign w:val="center"/>
          </w:tcPr>
          <w:p w14:paraId="13FD6F2F" w14:textId="77777777" w:rsidR="009219A0" w:rsidRDefault="00000000">
            <w:pPr>
              <w:topLinePunct/>
              <w:adjustRightInd/>
              <w:snapToGrid/>
              <w:spacing w:line="240" w:lineRule="auto"/>
              <w:ind w:firstLineChars="0" w:firstLine="0"/>
              <w:contextualSpacing/>
              <w:jc w:val="left"/>
              <w:rPr>
                <w:rFonts w:ascii="宋体" w:hAnsi="宋体" w:hint="eastAsia"/>
                <w:bCs/>
                <w:color w:val="auto"/>
                <w:sz w:val="21"/>
                <w:szCs w:val="21"/>
              </w:rPr>
            </w:pPr>
            <w:r>
              <w:rPr>
                <w:rFonts w:ascii="宋体" w:hAnsi="宋体" w:hint="eastAsia"/>
                <w:bCs/>
                <w:color w:val="auto"/>
                <w:sz w:val="21"/>
                <w:szCs w:val="21"/>
              </w:rPr>
              <w:t>符合要求</w:t>
            </w:r>
          </w:p>
        </w:tc>
      </w:tr>
    </w:tbl>
    <w:p w14:paraId="009E9B4D" w14:textId="77777777" w:rsidR="009219A0" w:rsidRDefault="009219A0">
      <w:pPr>
        <w:ind w:firstLine="560"/>
        <w:rPr>
          <w:color w:val="auto"/>
        </w:rPr>
      </w:pPr>
    </w:p>
    <w:p w14:paraId="5FB87CB6" w14:textId="77777777" w:rsidR="009219A0" w:rsidRDefault="00000000">
      <w:pPr>
        <w:pStyle w:val="3"/>
        <w:rPr>
          <w:rFonts w:hint="eastAsia"/>
        </w:rPr>
      </w:pPr>
      <w:bookmarkStart w:id="340" w:name="_Toc211950522"/>
      <w:r>
        <w:rPr>
          <w:rFonts w:hint="eastAsia"/>
        </w:rPr>
        <w:t>5.1.2 厂内建构筑物与周边建筑物距离检查表</w:t>
      </w:r>
      <w:bookmarkEnd w:id="340"/>
    </w:p>
    <w:p w14:paraId="4395449C" w14:textId="77777777" w:rsidR="009219A0" w:rsidRDefault="00000000">
      <w:pPr>
        <w:ind w:firstLine="560"/>
        <w:rPr>
          <w:color w:val="auto"/>
        </w:rPr>
      </w:pPr>
      <w:r>
        <w:rPr>
          <w:rFonts w:hint="eastAsia"/>
          <w:color w:val="auto"/>
          <w:u w:color="000000"/>
        </w:rPr>
        <w:t>依据</w:t>
      </w:r>
      <w:r>
        <w:rPr>
          <w:rFonts w:hint="eastAsia"/>
          <w:color w:val="auto"/>
        </w:rPr>
        <w:t>《建筑设计防火规范（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w:t>
      </w:r>
      <w:r>
        <w:rPr>
          <w:rFonts w:hint="eastAsia"/>
          <w:color w:val="auto"/>
          <w:u w:color="000000"/>
        </w:rPr>
        <w:t>项目内建构筑物与</w:t>
      </w:r>
      <w:r>
        <w:rPr>
          <w:rFonts w:hint="eastAsia"/>
          <w:color w:val="auto"/>
        </w:rPr>
        <w:t>周边企业、建构筑物</w:t>
      </w:r>
      <w:r>
        <w:rPr>
          <w:rFonts w:hint="eastAsia"/>
          <w:color w:val="auto"/>
          <w:u w:color="000000"/>
        </w:rPr>
        <w:t>安全距离见附表</w:t>
      </w:r>
      <w:r>
        <w:rPr>
          <w:rFonts w:hint="eastAsia"/>
          <w:color w:val="auto"/>
          <w:u w:color="000000"/>
        </w:rPr>
        <w:t>5.1-2</w:t>
      </w:r>
      <w:r>
        <w:rPr>
          <w:rFonts w:hint="eastAsia"/>
          <w:color w:val="auto"/>
          <w:u w:color="000000"/>
        </w:rPr>
        <w:t>：</w:t>
      </w:r>
    </w:p>
    <w:p w14:paraId="5075E897" w14:textId="77777777" w:rsidR="009219A0" w:rsidRDefault="00000000">
      <w:pPr>
        <w:topLinePunct/>
        <w:ind w:firstLineChars="0" w:firstLine="0"/>
        <w:jc w:val="center"/>
        <w:rPr>
          <w:rFonts w:ascii="宋体" w:hAnsi="宋体" w:hint="eastAsia"/>
          <w:color w:val="auto"/>
          <w:sz w:val="21"/>
          <w:szCs w:val="21"/>
        </w:rPr>
      </w:pPr>
      <w:r>
        <w:rPr>
          <w:rFonts w:ascii="宋体" w:hAnsi="宋体" w:hint="eastAsia"/>
          <w:color w:val="auto"/>
          <w:szCs w:val="28"/>
          <w:u w:color="000000"/>
        </w:rPr>
        <w:lastRenderedPageBreak/>
        <w:t>附</w:t>
      </w:r>
      <w:r>
        <w:rPr>
          <w:rFonts w:ascii="宋体" w:hAnsi="宋体"/>
          <w:color w:val="auto"/>
        </w:rPr>
        <w:t>表</w:t>
      </w:r>
      <w:r>
        <w:rPr>
          <w:rFonts w:ascii="宋体" w:hAnsi="宋体" w:hint="eastAsia"/>
          <w:color w:val="auto"/>
        </w:rPr>
        <w:t>5.1-</w:t>
      </w:r>
      <w:r>
        <w:rPr>
          <w:rFonts w:ascii="宋体" w:hAnsi="宋体"/>
          <w:color w:val="auto"/>
        </w:rPr>
        <w:t>2</w:t>
      </w:r>
      <w:r>
        <w:rPr>
          <w:rFonts w:ascii="宋体" w:hAnsi="宋体" w:hint="eastAsia"/>
          <w:color w:val="auto"/>
          <w:szCs w:val="28"/>
          <w:u w:color="000000"/>
        </w:rPr>
        <w:t>项目内建构筑物</w:t>
      </w:r>
      <w:r>
        <w:rPr>
          <w:rFonts w:ascii="宋体" w:hAnsi="宋体" w:hint="eastAsia"/>
          <w:color w:val="auto"/>
        </w:rPr>
        <w:t>与</w:t>
      </w:r>
      <w:proofErr w:type="gramStart"/>
      <w:r>
        <w:rPr>
          <w:rFonts w:ascii="宋体" w:hAnsi="宋体" w:hint="eastAsia"/>
          <w:color w:val="auto"/>
        </w:rPr>
        <w:t>周边建</w:t>
      </w:r>
      <w:proofErr w:type="gramEnd"/>
      <w:r>
        <w:rPr>
          <w:rFonts w:ascii="宋体" w:hAnsi="宋体" w:hint="eastAsia"/>
          <w:color w:val="auto"/>
        </w:rPr>
        <w:t>构筑安全距离表</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0"/>
        <w:gridCol w:w="833"/>
        <w:gridCol w:w="2213"/>
        <w:gridCol w:w="1110"/>
        <w:gridCol w:w="1110"/>
        <w:gridCol w:w="1626"/>
      </w:tblGrid>
      <w:tr w:rsidR="009219A0" w14:paraId="6AE0CE60" w14:textId="77777777">
        <w:trPr>
          <w:trHeight w:val="454"/>
        </w:trPr>
        <w:tc>
          <w:tcPr>
            <w:tcW w:w="2180" w:type="dxa"/>
            <w:vAlign w:val="center"/>
          </w:tcPr>
          <w:p w14:paraId="5668D37A"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建构筑物名称</w:t>
            </w:r>
          </w:p>
        </w:tc>
        <w:tc>
          <w:tcPr>
            <w:tcW w:w="833" w:type="dxa"/>
            <w:vAlign w:val="center"/>
          </w:tcPr>
          <w:p w14:paraId="0E85DB5F"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方位</w:t>
            </w:r>
          </w:p>
        </w:tc>
        <w:tc>
          <w:tcPr>
            <w:tcW w:w="2213" w:type="dxa"/>
            <w:vAlign w:val="center"/>
          </w:tcPr>
          <w:p w14:paraId="403D7C24" w14:textId="77777777" w:rsidR="009219A0" w:rsidRDefault="00000000">
            <w:pPr>
              <w:topLinePunct/>
              <w:spacing w:line="240" w:lineRule="auto"/>
              <w:ind w:firstLineChars="0"/>
              <w:jc w:val="center"/>
              <w:rPr>
                <w:rFonts w:ascii="宋体" w:hAnsi="宋体" w:hint="eastAsia"/>
                <w:b/>
                <w:color w:val="auto"/>
                <w:sz w:val="21"/>
                <w:szCs w:val="21"/>
              </w:rPr>
            </w:pPr>
            <w:r>
              <w:rPr>
                <w:rFonts w:ascii="宋体" w:hAnsi="宋体" w:hint="eastAsia"/>
                <w:b/>
                <w:color w:val="auto"/>
                <w:sz w:val="21"/>
                <w:szCs w:val="21"/>
              </w:rPr>
              <w:t>特定地点名称</w:t>
            </w:r>
          </w:p>
        </w:tc>
        <w:tc>
          <w:tcPr>
            <w:tcW w:w="1110" w:type="dxa"/>
            <w:vAlign w:val="center"/>
          </w:tcPr>
          <w:p w14:paraId="11D04680"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规范距离</w:t>
            </w:r>
          </w:p>
        </w:tc>
        <w:tc>
          <w:tcPr>
            <w:tcW w:w="1110" w:type="dxa"/>
            <w:vAlign w:val="center"/>
          </w:tcPr>
          <w:p w14:paraId="7E2D52AB"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布局距离</w:t>
            </w:r>
          </w:p>
        </w:tc>
        <w:tc>
          <w:tcPr>
            <w:tcW w:w="1626" w:type="dxa"/>
            <w:vAlign w:val="center"/>
          </w:tcPr>
          <w:p w14:paraId="2BC976D7"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符合情况</w:t>
            </w:r>
          </w:p>
        </w:tc>
      </w:tr>
      <w:tr w:rsidR="009219A0" w14:paraId="6713DC69" w14:textId="77777777">
        <w:trPr>
          <w:trHeight w:val="438"/>
        </w:trPr>
        <w:tc>
          <w:tcPr>
            <w:tcW w:w="2180" w:type="dxa"/>
            <w:vMerge w:val="restart"/>
            <w:vAlign w:val="center"/>
          </w:tcPr>
          <w:p w14:paraId="4D5A2286"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中试车间（戊类）</w:t>
            </w:r>
          </w:p>
        </w:tc>
        <w:tc>
          <w:tcPr>
            <w:tcW w:w="833" w:type="dxa"/>
            <w:vAlign w:val="center"/>
          </w:tcPr>
          <w:p w14:paraId="15EB4D04"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南面</w:t>
            </w:r>
          </w:p>
        </w:tc>
        <w:tc>
          <w:tcPr>
            <w:tcW w:w="2213" w:type="dxa"/>
            <w:vAlign w:val="center"/>
          </w:tcPr>
          <w:p w14:paraId="7EF6603A"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污水处理站</w:t>
            </w:r>
          </w:p>
        </w:tc>
        <w:tc>
          <w:tcPr>
            <w:tcW w:w="1110" w:type="dxa"/>
            <w:vAlign w:val="center"/>
          </w:tcPr>
          <w:p w14:paraId="4CD67FBD" w14:textId="77777777" w:rsidR="009219A0" w:rsidRDefault="00000000">
            <w:pPr>
              <w:adjustRightInd/>
              <w:snapToGrid/>
              <w:spacing w:line="240" w:lineRule="auto"/>
              <w:ind w:firstLineChars="0" w:firstLine="0"/>
              <w:jc w:val="center"/>
              <w:rPr>
                <w:rFonts w:ascii="宋体" w:hAnsi="宋体" w:hint="eastAsia"/>
                <w:b/>
                <w:color w:val="auto"/>
                <w:sz w:val="21"/>
              </w:rPr>
            </w:pPr>
            <w:r>
              <w:rPr>
                <w:rFonts w:ascii="宋体" w:hAnsi="宋体" w:hint="eastAsia"/>
                <w:b/>
                <w:color w:val="auto"/>
                <w:sz w:val="21"/>
              </w:rPr>
              <w:t>--</w:t>
            </w:r>
          </w:p>
        </w:tc>
        <w:tc>
          <w:tcPr>
            <w:tcW w:w="1110" w:type="dxa"/>
            <w:vAlign w:val="center"/>
          </w:tcPr>
          <w:p w14:paraId="5BEF5A70" w14:textId="77777777" w:rsidR="009219A0" w:rsidRDefault="00000000">
            <w:pPr>
              <w:adjustRightInd/>
              <w:snapToGrid/>
              <w:spacing w:line="240" w:lineRule="auto"/>
              <w:ind w:firstLineChars="0" w:firstLine="0"/>
              <w:jc w:val="center"/>
              <w:rPr>
                <w:rFonts w:ascii="宋体" w:hAnsi="宋体" w:hint="eastAsia"/>
                <w:color w:val="auto"/>
                <w:sz w:val="21"/>
              </w:rPr>
            </w:pPr>
            <w:r>
              <w:rPr>
                <w:rFonts w:ascii="宋体" w:hAnsi="宋体" w:hint="eastAsia"/>
                <w:color w:val="auto"/>
                <w:sz w:val="21"/>
              </w:rPr>
              <w:t>13.2</w:t>
            </w:r>
          </w:p>
        </w:tc>
        <w:tc>
          <w:tcPr>
            <w:tcW w:w="1626" w:type="dxa"/>
            <w:vAlign w:val="center"/>
          </w:tcPr>
          <w:p w14:paraId="086D604B"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符合</w:t>
            </w:r>
          </w:p>
        </w:tc>
      </w:tr>
      <w:tr w:rsidR="009219A0" w14:paraId="30F3EB29" w14:textId="77777777">
        <w:trPr>
          <w:trHeight w:val="454"/>
        </w:trPr>
        <w:tc>
          <w:tcPr>
            <w:tcW w:w="2180" w:type="dxa"/>
            <w:vMerge/>
            <w:vAlign w:val="center"/>
          </w:tcPr>
          <w:p w14:paraId="7FFB86B3" w14:textId="77777777" w:rsidR="009219A0" w:rsidRDefault="009219A0">
            <w:pPr>
              <w:topLinePunct/>
              <w:spacing w:line="240" w:lineRule="auto"/>
              <w:ind w:firstLineChars="0"/>
              <w:jc w:val="center"/>
              <w:rPr>
                <w:rFonts w:ascii="宋体" w:hAnsi="宋体" w:hint="eastAsia"/>
                <w:color w:val="auto"/>
                <w:sz w:val="21"/>
                <w:szCs w:val="21"/>
              </w:rPr>
            </w:pPr>
          </w:p>
        </w:tc>
        <w:tc>
          <w:tcPr>
            <w:tcW w:w="833" w:type="dxa"/>
            <w:vMerge w:val="restart"/>
            <w:vAlign w:val="center"/>
          </w:tcPr>
          <w:p w14:paraId="6F6B8A12"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西面</w:t>
            </w:r>
          </w:p>
        </w:tc>
        <w:tc>
          <w:tcPr>
            <w:tcW w:w="2213" w:type="dxa"/>
            <w:vAlign w:val="center"/>
          </w:tcPr>
          <w:p w14:paraId="0B9CB6EC" w14:textId="77777777" w:rsidR="009219A0" w:rsidRDefault="00000000">
            <w:pPr>
              <w:adjustRightInd/>
              <w:snapToGrid/>
              <w:spacing w:line="240" w:lineRule="auto"/>
              <w:ind w:firstLineChars="0" w:firstLine="0"/>
              <w:jc w:val="center"/>
              <w:rPr>
                <w:rFonts w:ascii="宋体" w:hAnsi="宋体" w:hint="eastAsia"/>
                <w:color w:val="auto"/>
                <w:sz w:val="21"/>
              </w:rPr>
            </w:pPr>
            <w:r>
              <w:rPr>
                <w:rFonts w:ascii="宋体" w:hAnsi="宋体" w:hint="eastAsia"/>
                <w:color w:val="auto"/>
                <w:sz w:val="21"/>
              </w:rPr>
              <w:t>2#</w:t>
            </w:r>
            <w:r>
              <w:rPr>
                <w:rFonts w:ascii="宋体" w:hAnsi="宋体"/>
                <w:color w:val="auto"/>
                <w:sz w:val="21"/>
              </w:rPr>
              <w:t>配电室</w:t>
            </w:r>
          </w:p>
        </w:tc>
        <w:tc>
          <w:tcPr>
            <w:tcW w:w="1110" w:type="dxa"/>
            <w:vAlign w:val="center"/>
          </w:tcPr>
          <w:p w14:paraId="1622423F" w14:textId="77777777" w:rsidR="009219A0" w:rsidRDefault="00000000">
            <w:pPr>
              <w:adjustRightInd/>
              <w:snapToGrid/>
              <w:spacing w:line="240" w:lineRule="auto"/>
              <w:ind w:firstLineChars="0" w:firstLine="0"/>
              <w:jc w:val="center"/>
              <w:rPr>
                <w:rFonts w:ascii="宋体" w:hAnsi="宋体" w:hint="eastAsia"/>
                <w:b/>
                <w:color w:val="auto"/>
                <w:sz w:val="21"/>
              </w:rPr>
            </w:pPr>
            <w:r>
              <w:rPr>
                <w:rFonts w:ascii="宋体" w:hAnsi="宋体" w:hint="eastAsia"/>
                <w:b/>
                <w:color w:val="auto"/>
                <w:sz w:val="21"/>
              </w:rPr>
              <w:t>10</w:t>
            </w:r>
          </w:p>
        </w:tc>
        <w:tc>
          <w:tcPr>
            <w:tcW w:w="1110" w:type="dxa"/>
            <w:vAlign w:val="center"/>
          </w:tcPr>
          <w:p w14:paraId="3B541B71" w14:textId="77777777" w:rsidR="009219A0" w:rsidRDefault="00000000">
            <w:pPr>
              <w:adjustRightInd/>
              <w:snapToGrid/>
              <w:spacing w:line="240" w:lineRule="auto"/>
              <w:ind w:firstLineChars="0" w:firstLine="0"/>
              <w:jc w:val="center"/>
              <w:rPr>
                <w:rFonts w:ascii="宋体" w:hAnsi="宋体" w:hint="eastAsia"/>
                <w:color w:val="auto"/>
                <w:sz w:val="21"/>
              </w:rPr>
            </w:pPr>
            <w:r>
              <w:rPr>
                <w:rFonts w:ascii="宋体" w:hAnsi="宋体" w:hint="eastAsia"/>
                <w:color w:val="auto"/>
                <w:sz w:val="21"/>
              </w:rPr>
              <w:t>31.6</w:t>
            </w:r>
          </w:p>
        </w:tc>
        <w:tc>
          <w:tcPr>
            <w:tcW w:w="1626" w:type="dxa"/>
            <w:vAlign w:val="center"/>
          </w:tcPr>
          <w:p w14:paraId="24AD8C81"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符合</w:t>
            </w:r>
          </w:p>
        </w:tc>
      </w:tr>
      <w:tr w:rsidR="009219A0" w14:paraId="6A7E196A" w14:textId="77777777">
        <w:trPr>
          <w:trHeight w:val="454"/>
        </w:trPr>
        <w:tc>
          <w:tcPr>
            <w:tcW w:w="2180" w:type="dxa"/>
            <w:vMerge/>
            <w:vAlign w:val="center"/>
          </w:tcPr>
          <w:p w14:paraId="18914383" w14:textId="77777777" w:rsidR="009219A0" w:rsidRDefault="009219A0">
            <w:pPr>
              <w:topLinePunct/>
              <w:spacing w:line="240" w:lineRule="auto"/>
              <w:ind w:firstLineChars="0"/>
              <w:jc w:val="center"/>
              <w:rPr>
                <w:rFonts w:ascii="宋体" w:hAnsi="宋体" w:hint="eastAsia"/>
                <w:color w:val="auto"/>
                <w:sz w:val="21"/>
                <w:szCs w:val="21"/>
              </w:rPr>
            </w:pPr>
          </w:p>
        </w:tc>
        <w:tc>
          <w:tcPr>
            <w:tcW w:w="833" w:type="dxa"/>
            <w:vMerge/>
            <w:vAlign w:val="center"/>
          </w:tcPr>
          <w:p w14:paraId="17D7B43C" w14:textId="77777777" w:rsidR="009219A0" w:rsidRDefault="009219A0">
            <w:pPr>
              <w:topLinePunct/>
              <w:spacing w:line="240" w:lineRule="auto"/>
              <w:ind w:firstLineChars="0" w:firstLine="0"/>
              <w:jc w:val="center"/>
              <w:rPr>
                <w:rFonts w:ascii="宋体" w:hAnsi="宋体" w:hint="eastAsia"/>
                <w:color w:val="auto"/>
                <w:sz w:val="21"/>
                <w:szCs w:val="21"/>
              </w:rPr>
            </w:pPr>
          </w:p>
        </w:tc>
        <w:tc>
          <w:tcPr>
            <w:tcW w:w="2213" w:type="dxa"/>
            <w:vAlign w:val="center"/>
          </w:tcPr>
          <w:p w14:paraId="492A2BC0" w14:textId="77777777" w:rsidR="009219A0" w:rsidRDefault="00000000">
            <w:pPr>
              <w:adjustRightInd/>
              <w:snapToGrid/>
              <w:spacing w:line="240" w:lineRule="auto"/>
              <w:ind w:firstLineChars="0" w:firstLine="0"/>
              <w:jc w:val="center"/>
              <w:rPr>
                <w:rFonts w:ascii="宋体" w:hAnsi="宋体" w:hint="eastAsia"/>
                <w:color w:val="auto"/>
                <w:sz w:val="21"/>
              </w:rPr>
            </w:pPr>
            <w:r>
              <w:rPr>
                <w:rFonts w:ascii="宋体" w:hAnsi="宋体"/>
                <w:color w:val="auto"/>
                <w:sz w:val="21"/>
              </w:rPr>
              <w:t>铁精粉库（戊类）</w:t>
            </w:r>
          </w:p>
        </w:tc>
        <w:tc>
          <w:tcPr>
            <w:tcW w:w="1110" w:type="dxa"/>
            <w:vAlign w:val="center"/>
          </w:tcPr>
          <w:p w14:paraId="71DD494D" w14:textId="77777777" w:rsidR="009219A0" w:rsidRDefault="00000000">
            <w:pPr>
              <w:adjustRightInd/>
              <w:snapToGrid/>
              <w:spacing w:line="240" w:lineRule="auto"/>
              <w:ind w:firstLineChars="0" w:firstLine="0"/>
              <w:jc w:val="center"/>
              <w:rPr>
                <w:rFonts w:ascii="宋体" w:hAnsi="宋体" w:hint="eastAsia"/>
                <w:b/>
                <w:color w:val="auto"/>
                <w:sz w:val="21"/>
              </w:rPr>
            </w:pPr>
            <w:r>
              <w:rPr>
                <w:rFonts w:ascii="宋体" w:hAnsi="宋体" w:hint="eastAsia"/>
                <w:b/>
                <w:color w:val="auto"/>
                <w:sz w:val="21"/>
              </w:rPr>
              <w:t>10</w:t>
            </w:r>
          </w:p>
        </w:tc>
        <w:tc>
          <w:tcPr>
            <w:tcW w:w="1110" w:type="dxa"/>
            <w:vAlign w:val="center"/>
          </w:tcPr>
          <w:p w14:paraId="51520608" w14:textId="77777777" w:rsidR="009219A0" w:rsidRDefault="00000000">
            <w:pPr>
              <w:adjustRightInd/>
              <w:snapToGrid/>
              <w:spacing w:line="240" w:lineRule="auto"/>
              <w:ind w:firstLineChars="0" w:firstLine="0"/>
              <w:jc w:val="center"/>
              <w:rPr>
                <w:rFonts w:ascii="宋体" w:hAnsi="宋体" w:hint="eastAsia"/>
                <w:color w:val="auto"/>
                <w:sz w:val="21"/>
              </w:rPr>
            </w:pPr>
            <w:r>
              <w:rPr>
                <w:rFonts w:ascii="宋体" w:hAnsi="宋体" w:hint="eastAsia"/>
                <w:color w:val="auto"/>
                <w:sz w:val="21"/>
              </w:rPr>
              <w:t>31.6</w:t>
            </w:r>
          </w:p>
        </w:tc>
        <w:tc>
          <w:tcPr>
            <w:tcW w:w="1626" w:type="dxa"/>
            <w:vAlign w:val="center"/>
          </w:tcPr>
          <w:p w14:paraId="52BE52DF"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符合</w:t>
            </w:r>
          </w:p>
        </w:tc>
      </w:tr>
      <w:tr w:rsidR="009219A0" w14:paraId="200317B3" w14:textId="77777777">
        <w:trPr>
          <w:trHeight w:val="454"/>
        </w:trPr>
        <w:tc>
          <w:tcPr>
            <w:tcW w:w="2180" w:type="dxa"/>
            <w:vMerge/>
            <w:vAlign w:val="center"/>
          </w:tcPr>
          <w:p w14:paraId="02A1E0A3" w14:textId="77777777" w:rsidR="009219A0" w:rsidRDefault="009219A0">
            <w:pPr>
              <w:topLinePunct/>
              <w:spacing w:line="240" w:lineRule="auto"/>
              <w:ind w:firstLineChars="0" w:firstLine="0"/>
              <w:jc w:val="center"/>
              <w:rPr>
                <w:rFonts w:ascii="宋体" w:hAnsi="宋体" w:hint="eastAsia"/>
                <w:color w:val="auto"/>
                <w:sz w:val="21"/>
                <w:szCs w:val="21"/>
              </w:rPr>
            </w:pPr>
          </w:p>
        </w:tc>
        <w:tc>
          <w:tcPr>
            <w:tcW w:w="833" w:type="dxa"/>
            <w:vMerge w:val="restart"/>
            <w:vAlign w:val="center"/>
          </w:tcPr>
          <w:p w14:paraId="17337AA0"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东面</w:t>
            </w:r>
          </w:p>
        </w:tc>
        <w:tc>
          <w:tcPr>
            <w:tcW w:w="2213" w:type="dxa"/>
            <w:vAlign w:val="center"/>
          </w:tcPr>
          <w:p w14:paraId="2CF40274"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机修车间（戊类）</w:t>
            </w:r>
          </w:p>
        </w:tc>
        <w:tc>
          <w:tcPr>
            <w:tcW w:w="1110" w:type="dxa"/>
            <w:vAlign w:val="center"/>
          </w:tcPr>
          <w:p w14:paraId="280EDAB5" w14:textId="77777777" w:rsidR="009219A0" w:rsidRDefault="00000000">
            <w:pPr>
              <w:adjustRightInd/>
              <w:snapToGrid/>
              <w:spacing w:line="240" w:lineRule="auto"/>
              <w:ind w:firstLineChars="0" w:firstLine="0"/>
              <w:jc w:val="center"/>
              <w:rPr>
                <w:rFonts w:ascii="宋体" w:hAnsi="宋体" w:hint="eastAsia"/>
                <w:b/>
                <w:color w:val="auto"/>
                <w:sz w:val="21"/>
              </w:rPr>
            </w:pPr>
            <w:r>
              <w:rPr>
                <w:rFonts w:ascii="宋体" w:hAnsi="宋体" w:hint="eastAsia"/>
                <w:b/>
                <w:color w:val="auto"/>
                <w:sz w:val="21"/>
              </w:rPr>
              <w:t>10</w:t>
            </w:r>
          </w:p>
        </w:tc>
        <w:tc>
          <w:tcPr>
            <w:tcW w:w="1110" w:type="dxa"/>
            <w:vAlign w:val="center"/>
          </w:tcPr>
          <w:p w14:paraId="5CE91EEE" w14:textId="77777777" w:rsidR="009219A0" w:rsidRDefault="00000000">
            <w:pPr>
              <w:adjustRightInd/>
              <w:snapToGrid/>
              <w:spacing w:line="240" w:lineRule="auto"/>
              <w:ind w:firstLineChars="0" w:firstLine="0"/>
              <w:jc w:val="center"/>
              <w:rPr>
                <w:rFonts w:ascii="宋体" w:hAnsi="宋体" w:hint="eastAsia"/>
                <w:color w:val="auto"/>
                <w:sz w:val="21"/>
              </w:rPr>
            </w:pPr>
            <w:r>
              <w:rPr>
                <w:rFonts w:ascii="宋体" w:hAnsi="宋体" w:hint="eastAsia"/>
                <w:color w:val="auto"/>
                <w:sz w:val="21"/>
              </w:rPr>
              <w:t>0</w:t>
            </w:r>
          </w:p>
        </w:tc>
        <w:tc>
          <w:tcPr>
            <w:tcW w:w="1626" w:type="dxa"/>
            <w:vAlign w:val="center"/>
          </w:tcPr>
          <w:p w14:paraId="76546DBE"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color w:val="auto"/>
                <w:sz w:val="21"/>
                <w:szCs w:val="21"/>
              </w:rPr>
              <w:t>符合</w:t>
            </w:r>
          </w:p>
        </w:tc>
      </w:tr>
      <w:tr w:rsidR="009219A0" w14:paraId="3B48E18D" w14:textId="77777777">
        <w:trPr>
          <w:trHeight w:val="454"/>
        </w:trPr>
        <w:tc>
          <w:tcPr>
            <w:tcW w:w="2180" w:type="dxa"/>
            <w:vMerge/>
            <w:vAlign w:val="center"/>
          </w:tcPr>
          <w:p w14:paraId="31B0E34D" w14:textId="77777777" w:rsidR="009219A0" w:rsidRDefault="009219A0">
            <w:pPr>
              <w:topLinePunct/>
              <w:spacing w:line="240" w:lineRule="auto"/>
              <w:ind w:firstLineChars="0" w:firstLine="0"/>
              <w:jc w:val="center"/>
              <w:rPr>
                <w:rFonts w:ascii="宋体" w:hAnsi="宋体" w:hint="eastAsia"/>
                <w:color w:val="auto"/>
                <w:sz w:val="21"/>
                <w:szCs w:val="21"/>
              </w:rPr>
            </w:pPr>
          </w:p>
        </w:tc>
        <w:tc>
          <w:tcPr>
            <w:tcW w:w="833" w:type="dxa"/>
            <w:vMerge/>
            <w:vAlign w:val="center"/>
          </w:tcPr>
          <w:p w14:paraId="6A0CE06E" w14:textId="77777777" w:rsidR="009219A0" w:rsidRDefault="009219A0">
            <w:pPr>
              <w:topLinePunct/>
              <w:spacing w:line="240" w:lineRule="auto"/>
              <w:ind w:firstLineChars="0" w:firstLine="0"/>
              <w:jc w:val="center"/>
              <w:rPr>
                <w:rFonts w:ascii="宋体" w:hAnsi="宋体" w:hint="eastAsia"/>
                <w:color w:val="auto"/>
                <w:sz w:val="21"/>
                <w:szCs w:val="21"/>
              </w:rPr>
            </w:pPr>
          </w:p>
        </w:tc>
        <w:tc>
          <w:tcPr>
            <w:tcW w:w="2213" w:type="dxa"/>
            <w:vAlign w:val="center"/>
          </w:tcPr>
          <w:p w14:paraId="0B0AC58A"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研究开发中心（民用建筑）</w:t>
            </w:r>
          </w:p>
        </w:tc>
        <w:tc>
          <w:tcPr>
            <w:tcW w:w="1110" w:type="dxa"/>
            <w:vAlign w:val="center"/>
          </w:tcPr>
          <w:p w14:paraId="3748EFFD" w14:textId="77777777" w:rsidR="009219A0" w:rsidRDefault="00000000">
            <w:pPr>
              <w:adjustRightInd/>
              <w:snapToGrid/>
              <w:spacing w:line="240" w:lineRule="auto"/>
              <w:ind w:firstLineChars="0" w:firstLine="0"/>
              <w:jc w:val="center"/>
              <w:rPr>
                <w:rFonts w:ascii="宋体" w:hAnsi="宋体" w:hint="eastAsia"/>
                <w:b/>
                <w:color w:val="auto"/>
                <w:sz w:val="21"/>
              </w:rPr>
            </w:pPr>
            <w:r>
              <w:rPr>
                <w:rFonts w:ascii="宋体" w:hAnsi="宋体" w:hint="eastAsia"/>
                <w:b/>
                <w:color w:val="auto"/>
                <w:sz w:val="21"/>
              </w:rPr>
              <w:t>10</w:t>
            </w:r>
          </w:p>
        </w:tc>
        <w:tc>
          <w:tcPr>
            <w:tcW w:w="1110" w:type="dxa"/>
            <w:vAlign w:val="center"/>
          </w:tcPr>
          <w:p w14:paraId="042B80E0" w14:textId="77777777" w:rsidR="009219A0" w:rsidRDefault="00000000">
            <w:pPr>
              <w:adjustRightInd/>
              <w:snapToGrid/>
              <w:spacing w:line="240" w:lineRule="auto"/>
              <w:ind w:firstLineChars="0" w:firstLine="0"/>
              <w:jc w:val="center"/>
              <w:rPr>
                <w:rFonts w:ascii="宋体" w:hAnsi="宋体" w:hint="eastAsia"/>
                <w:color w:val="auto"/>
                <w:sz w:val="21"/>
              </w:rPr>
            </w:pPr>
            <w:r>
              <w:rPr>
                <w:rFonts w:ascii="宋体" w:hAnsi="宋体" w:hint="eastAsia"/>
                <w:color w:val="auto"/>
                <w:sz w:val="21"/>
              </w:rPr>
              <w:t>0</w:t>
            </w:r>
          </w:p>
        </w:tc>
        <w:tc>
          <w:tcPr>
            <w:tcW w:w="1626" w:type="dxa"/>
            <w:vAlign w:val="center"/>
          </w:tcPr>
          <w:p w14:paraId="13FBBB30"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符合</w:t>
            </w:r>
          </w:p>
        </w:tc>
      </w:tr>
      <w:tr w:rsidR="009219A0" w14:paraId="03176CDA" w14:textId="77777777">
        <w:trPr>
          <w:trHeight w:val="454"/>
        </w:trPr>
        <w:tc>
          <w:tcPr>
            <w:tcW w:w="2180" w:type="dxa"/>
            <w:vAlign w:val="center"/>
          </w:tcPr>
          <w:p w14:paraId="7601B224"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研究开发中心（民用建筑）</w:t>
            </w:r>
          </w:p>
        </w:tc>
        <w:tc>
          <w:tcPr>
            <w:tcW w:w="833" w:type="dxa"/>
            <w:vAlign w:val="center"/>
          </w:tcPr>
          <w:p w14:paraId="3A1BF9B4"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西面</w:t>
            </w:r>
          </w:p>
        </w:tc>
        <w:tc>
          <w:tcPr>
            <w:tcW w:w="2213" w:type="dxa"/>
            <w:vAlign w:val="center"/>
          </w:tcPr>
          <w:p w14:paraId="5E473426"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机修车间（戊类）</w:t>
            </w:r>
          </w:p>
        </w:tc>
        <w:tc>
          <w:tcPr>
            <w:tcW w:w="1110" w:type="dxa"/>
            <w:vAlign w:val="center"/>
          </w:tcPr>
          <w:p w14:paraId="6CA873C3" w14:textId="77777777" w:rsidR="009219A0" w:rsidRDefault="00000000">
            <w:pPr>
              <w:adjustRightInd/>
              <w:snapToGrid/>
              <w:spacing w:line="240" w:lineRule="auto"/>
              <w:ind w:firstLineChars="0" w:firstLine="0"/>
              <w:jc w:val="center"/>
              <w:rPr>
                <w:rFonts w:ascii="宋体" w:hAnsi="宋体" w:hint="eastAsia"/>
                <w:b/>
                <w:color w:val="auto"/>
                <w:sz w:val="21"/>
              </w:rPr>
            </w:pPr>
            <w:r>
              <w:rPr>
                <w:rFonts w:ascii="宋体" w:hAnsi="宋体" w:hint="eastAsia"/>
                <w:b/>
                <w:color w:val="auto"/>
                <w:sz w:val="21"/>
              </w:rPr>
              <w:t>10</w:t>
            </w:r>
          </w:p>
        </w:tc>
        <w:tc>
          <w:tcPr>
            <w:tcW w:w="1110" w:type="dxa"/>
            <w:vAlign w:val="center"/>
          </w:tcPr>
          <w:p w14:paraId="156DF781" w14:textId="77777777" w:rsidR="009219A0" w:rsidRDefault="00000000">
            <w:pPr>
              <w:adjustRightInd/>
              <w:snapToGrid/>
              <w:spacing w:line="240" w:lineRule="auto"/>
              <w:ind w:firstLineChars="0" w:firstLine="0"/>
              <w:jc w:val="center"/>
              <w:rPr>
                <w:rFonts w:ascii="宋体" w:hAnsi="宋体" w:hint="eastAsia"/>
                <w:color w:val="auto"/>
                <w:sz w:val="21"/>
              </w:rPr>
            </w:pPr>
            <w:r>
              <w:rPr>
                <w:rFonts w:ascii="宋体" w:hAnsi="宋体" w:hint="eastAsia"/>
                <w:color w:val="auto"/>
                <w:sz w:val="21"/>
              </w:rPr>
              <w:t>0</w:t>
            </w:r>
          </w:p>
        </w:tc>
        <w:tc>
          <w:tcPr>
            <w:tcW w:w="1626" w:type="dxa"/>
            <w:vAlign w:val="center"/>
          </w:tcPr>
          <w:p w14:paraId="36BCC67D"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符合</w:t>
            </w:r>
          </w:p>
        </w:tc>
      </w:tr>
      <w:tr w:rsidR="009219A0" w14:paraId="23044EAA" w14:textId="77777777">
        <w:trPr>
          <w:trHeight w:val="454"/>
        </w:trPr>
        <w:tc>
          <w:tcPr>
            <w:tcW w:w="9072" w:type="dxa"/>
            <w:gridSpan w:val="6"/>
            <w:vAlign w:val="center"/>
          </w:tcPr>
          <w:p w14:paraId="34B78697" w14:textId="77777777" w:rsidR="009219A0" w:rsidRDefault="00000000">
            <w:pPr>
              <w:tabs>
                <w:tab w:val="left" w:pos="7668"/>
                <w:tab w:val="left" w:pos="7810"/>
                <w:tab w:val="left" w:pos="7952"/>
                <w:tab w:val="left" w:pos="8094"/>
                <w:tab w:val="left" w:pos="8236"/>
              </w:tabs>
              <w:topLinePunct/>
              <w:spacing w:line="240" w:lineRule="auto"/>
              <w:ind w:firstLineChars="0" w:firstLine="0"/>
              <w:rPr>
                <w:rFonts w:ascii="宋体" w:hAnsi="宋体" w:hint="eastAsia"/>
                <w:color w:val="auto"/>
                <w:spacing w:val="8"/>
                <w:sz w:val="21"/>
                <w:szCs w:val="21"/>
              </w:rPr>
            </w:pPr>
            <w:r>
              <w:rPr>
                <w:rFonts w:ascii="宋体" w:hAnsi="宋体" w:hint="eastAsia"/>
                <w:color w:val="auto"/>
                <w:spacing w:val="8"/>
                <w:sz w:val="21"/>
                <w:szCs w:val="21"/>
              </w:rPr>
              <w:t>备注：</w:t>
            </w:r>
          </w:p>
          <w:p w14:paraId="7FB32CD0" w14:textId="77777777" w:rsidR="009219A0" w:rsidRDefault="00000000">
            <w:pPr>
              <w:tabs>
                <w:tab w:val="left" w:pos="7668"/>
                <w:tab w:val="left" w:pos="7810"/>
                <w:tab w:val="left" w:pos="7952"/>
                <w:tab w:val="left" w:pos="8094"/>
                <w:tab w:val="left" w:pos="8236"/>
              </w:tabs>
              <w:topLinePunct/>
              <w:spacing w:line="240" w:lineRule="auto"/>
              <w:ind w:firstLineChars="0" w:firstLine="0"/>
              <w:rPr>
                <w:rFonts w:ascii="宋体" w:hAnsi="宋体" w:hint="eastAsia"/>
                <w:color w:val="auto"/>
                <w:spacing w:val="8"/>
                <w:sz w:val="21"/>
                <w:szCs w:val="21"/>
              </w:rPr>
            </w:pPr>
            <w:r>
              <w:rPr>
                <w:rFonts w:ascii="宋体" w:hAnsi="宋体" w:hint="eastAsia"/>
                <w:color w:val="auto"/>
                <w:spacing w:val="8"/>
                <w:sz w:val="21"/>
                <w:szCs w:val="21"/>
              </w:rPr>
              <w:t>1.上述黑体字部分是规范要求值，其右侧为实测值；</w:t>
            </w:r>
          </w:p>
          <w:p w14:paraId="17CB363B" w14:textId="77777777" w:rsidR="009219A0" w:rsidRDefault="00000000">
            <w:pPr>
              <w:tabs>
                <w:tab w:val="left" w:pos="7668"/>
                <w:tab w:val="left" w:pos="7810"/>
                <w:tab w:val="left" w:pos="7952"/>
                <w:tab w:val="left" w:pos="8094"/>
                <w:tab w:val="left" w:pos="8236"/>
              </w:tabs>
              <w:topLinePunct/>
              <w:spacing w:line="240" w:lineRule="auto"/>
              <w:ind w:firstLineChars="0" w:firstLine="0"/>
              <w:rPr>
                <w:rFonts w:ascii="宋体" w:hAnsi="宋体" w:hint="eastAsia"/>
                <w:color w:val="auto"/>
                <w:spacing w:val="8"/>
                <w:sz w:val="21"/>
                <w:szCs w:val="21"/>
              </w:rPr>
            </w:pPr>
            <w:r>
              <w:rPr>
                <w:rFonts w:ascii="宋体" w:hAnsi="宋体" w:hint="eastAsia"/>
                <w:color w:val="auto"/>
                <w:spacing w:val="8"/>
                <w:sz w:val="21"/>
                <w:szCs w:val="21"/>
              </w:rPr>
              <w:t>2.规范距离是根据《建筑设计防火规范（2018版）》（GB50016-2014）表3.4.1、第3.4.5条确定。</w:t>
            </w:r>
          </w:p>
          <w:p w14:paraId="69EC22EA" w14:textId="77777777" w:rsidR="009219A0" w:rsidRDefault="00000000">
            <w:pPr>
              <w:pStyle w:val="Default1"/>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3.中试车间（戊类）与机修车间（戊类）设置有防火墙分隔，其距离按照</w:t>
            </w:r>
            <w:r>
              <w:rPr>
                <w:rFonts w:ascii="宋体" w:hAnsi="宋体"/>
                <w:color w:val="auto"/>
                <w:spacing w:val="8"/>
                <w:sz w:val="21"/>
                <w:szCs w:val="21"/>
              </w:rPr>
              <w:t>《建筑设计防火规范（2018版）》（GB50016-2014）</w:t>
            </w:r>
            <w:r>
              <w:rPr>
                <w:rFonts w:asciiTheme="minorEastAsia" w:eastAsiaTheme="minorEastAsia" w:hAnsiTheme="minorEastAsia"/>
                <w:color w:val="auto"/>
                <w:sz w:val="21"/>
                <w:szCs w:val="21"/>
              </w:rPr>
              <w:t>表3.4.1“注2：两座厂房相邻较高一面为防火墙，或相邻两座高度相同的一、二级耐火等级建筑中相邻任一侧外墙为防火墙且屋顶耐火等级不低于1.00h时，其防火间距不限”来进行核实；</w:t>
            </w:r>
            <w:r>
              <w:rPr>
                <w:rFonts w:ascii="宋体" w:hAnsi="宋体"/>
                <w:color w:val="auto"/>
                <w:sz w:val="21"/>
                <w:szCs w:val="21"/>
              </w:rPr>
              <w:t>研究开发中心（民用建筑）与机修车间（戊类）设置有防火墙分隔，其距离按照</w:t>
            </w:r>
            <w:r>
              <w:rPr>
                <w:rFonts w:ascii="宋体" w:hAnsi="宋体"/>
                <w:color w:val="auto"/>
                <w:spacing w:val="8"/>
                <w:sz w:val="21"/>
                <w:szCs w:val="21"/>
              </w:rPr>
              <w:t>《建筑设计防火规范（2018版）》（GB50016-2014）第3.4.5条“丙、丁、戊类厂房与民用建筑的耐火等级均为一、二级时，丙、丁、戊类厂房与民用建筑的间距可适当减小，但应符合下列规定：1、当较高一面外墙为无门、窗、洞口的防火墙，或比相邻较低一座建筑屋面高15m及以下范围内的外墙为无门、窗、洞口的防火墙时，其防火间距不限”来进行核实。</w:t>
            </w:r>
          </w:p>
        </w:tc>
      </w:tr>
    </w:tbl>
    <w:p w14:paraId="774A998F" w14:textId="77777777" w:rsidR="009219A0" w:rsidRDefault="00000000">
      <w:pPr>
        <w:ind w:firstLine="560"/>
        <w:rPr>
          <w:color w:val="auto"/>
        </w:rPr>
      </w:pPr>
      <w:r>
        <w:rPr>
          <w:rFonts w:hint="eastAsia"/>
          <w:bCs/>
          <w:snapToGrid w:val="0"/>
          <w:color w:val="auto"/>
          <w:kern w:val="0"/>
          <w:szCs w:val="28"/>
        </w:rPr>
        <w:t>根据表</w:t>
      </w:r>
      <w:r>
        <w:rPr>
          <w:rFonts w:hint="eastAsia"/>
          <w:bCs/>
          <w:snapToGrid w:val="0"/>
          <w:color w:val="auto"/>
          <w:kern w:val="0"/>
          <w:szCs w:val="28"/>
        </w:rPr>
        <w:t>5.1-2</w:t>
      </w:r>
      <w:r>
        <w:rPr>
          <w:rFonts w:hint="eastAsia"/>
          <w:bCs/>
          <w:snapToGrid w:val="0"/>
          <w:color w:val="auto"/>
          <w:kern w:val="0"/>
          <w:szCs w:val="28"/>
        </w:rPr>
        <w:t>本项目总平面布置满足《建筑设计防火规范（</w:t>
      </w:r>
      <w:r>
        <w:rPr>
          <w:rFonts w:hint="eastAsia"/>
          <w:bCs/>
          <w:snapToGrid w:val="0"/>
          <w:color w:val="auto"/>
          <w:kern w:val="0"/>
          <w:szCs w:val="28"/>
        </w:rPr>
        <w:t>2018</w:t>
      </w:r>
      <w:r>
        <w:rPr>
          <w:rFonts w:hint="eastAsia"/>
          <w:bCs/>
          <w:snapToGrid w:val="0"/>
          <w:color w:val="auto"/>
          <w:kern w:val="0"/>
          <w:szCs w:val="28"/>
        </w:rPr>
        <w:t>年版）》（</w:t>
      </w:r>
      <w:r>
        <w:rPr>
          <w:rFonts w:hint="eastAsia"/>
          <w:bCs/>
          <w:snapToGrid w:val="0"/>
          <w:color w:val="auto"/>
          <w:kern w:val="0"/>
          <w:szCs w:val="28"/>
        </w:rPr>
        <w:t>GB50016-2014</w:t>
      </w:r>
      <w:r>
        <w:rPr>
          <w:rFonts w:hint="eastAsia"/>
          <w:bCs/>
          <w:snapToGrid w:val="0"/>
          <w:color w:val="auto"/>
          <w:kern w:val="0"/>
          <w:szCs w:val="28"/>
        </w:rPr>
        <w:t>）的要求。</w:t>
      </w:r>
    </w:p>
    <w:p w14:paraId="03F1FFEF" w14:textId="77777777" w:rsidR="009219A0" w:rsidRDefault="00000000">
      <w:pPr>
        <w:pStyle w:val="3"/>
        <w:rPr>
          <w:rFonts w:hint="eastAsia"/>
        </w:rPr>
      </w:pPr>
      <w:bookmarkStart w:id="341" w:name="_Toc211950523"/>
      <w:r>
        <w:rPr>
          <w:rFonts w:hint="eastAsia"/>
        </w:rPr>
        <w:t>5.1.3 项目所在地的自然条件对项目生产的影响分析评价</w:t>
      </w:r>
      <w:bookmarkEnd w:id="341"/>
    </w:p>
    <w:p w14:paraId="75F42666" w14:textId="77777777" w:rsidR="009219A0" w:rsidRDefault="00000000">
      <w:pPr>
        <w:ind w:firstLine="560"/>
        <w:rPr>
          <w:color w:val="auto"/>
        </w:rPr>
      </w:pPr>
      <w:r>
        <w:rPr>
          <w:rFonts w:hint="eastAsia"/>
          <w:color w:val="auto"/>
        </w:rPr>
        <w:t>（</w:t>
      </w:r>
      <w:r>
        <w:rPr>
          <w:rFonts w:hint="eastAsia"/>
          <w:color w:val="auto"/>
        </w:rPr>
        <w:t>1</w:t>
      </w:r>
      <w:r>
        <w:rPr>
          <w:rFonts w:hint="eastAsia"/>
          <w:color w:val="auto"/>
        </w:rPr>
        <w:t>）气象条件</w:t>
      </w:r>
    </w:p>
    <w:p w14:paraId="32720833" w14:textId="77777777" w:rsidR="009219A0" w:rsidRDefault="00000000">
      <w:pPr>
        <w:ind w:firstLine="560"/>
        <w:rPr>
          <w:color w:val="auto"/>
          <w:u w:color="000000"/>
        </w:rPr>
      </w:pPr>
      <w:r>
        <w:rPr>
          <w:rFonts w:hint="eastAsia"/>
          <w:color w:val="auto"/>
          <w:u w:color="000000"/>
        </w:rPr>
        <w:t>1</w:t>
      </w:r>
      <w:r>
        <w:rPr>
          <w:rFonts w:hint="eastAsia"/>
          <w:color w:val="auto"/>
          <w:u w:color="000000"/>
        </w:rPr>
        <w:t>）气温</w:t>
      </w:r>
    </w:p>
    <w:p w14:paraId="5BB14ACB" w14:textId="77777777" w:rsidR="009219A0" w:rsidRDefault="00000000">
      <w:pPr>
        <w:ind w:firstLine="560"/>
        <w:rPr>
          <w:color w:val="auto"/>
          <w:u w:color="000000"/>
        </w:rPr>
      </w:pPr>
      <w:r>
        <w:rPr>
          <w:rFonts w:hint="eastAsia"/>
          <w:color w:val="auto"/>
          <w:u w:color="000000"/>
        </w:rPr>
        <w:t>高温天气对现场作业人员可能构成危害，高温对人体健康的主要影响是产生中暑以及诱发心、脑血管疾病导致死亡。从气象资料看，本项目所处地域年平均气温</w:t>
      </w:r>
      <w:r>
        <w:rPr>
          <w:rFonts w:hint="eastAsia"/>
          <w:color w:val="auto"/>
          <w:u w:color="000000"/>
        </w:rPr>
        <w:t>15.8</w:t>
      </w:r>
      <w:r>
        <w:rPr>
          <w:rFonts w:hint="eastAsia"/>
          <w:color w:val="auto"/>
          <w:u w:color="000000"/>
        </w:rPr>
        <w:t>～</w:t>
      </w:r>
      <w:r>
        <w:rPr>
          <w:rFonts w:hint="eastAsia"/>
          <w:color w:val="auto"/>
          <w:u w:color="000000"/>
        </w:rPr>
        <w:t>18.5</w:t>
      </w:r>
      <w:r>
        <w:rPr>
          <w:rFonts w:hint="eastAsia"/>
          <w:color w:val="auto"/>
          <w:u w:color="000000"/>
        </w:rPr>
        <w:t>℃，极端最高气温</w:t>
      </w:r>
      <w:r>
        <w:rPr>
          <w:rFonts w:hint="eastAsia"/>
          <w:color w:val="auto"/>
          <w:u w:color="000000"/>
        </w:rPr>
        <w:t>32</w:t>
      </w:r>
      <w:r>
        <w:rPr>
          <w:rFonts w:hint="eastAsia"/>
          <w:color w:val="auto"/>
          <w:u w:color="000000"/>
        </w:rPr>
        <w:t>℃，极端最低气温</w:t>
      </w:r>
      <w:r>
        <w:rPr>
          <w:rFonts w:hint="eastAsia"/>
          <w:color w:val="auto"/>
          <w:u w:color="000000"/>
        </w:rPr>
        <w:t>-4.7</w:t>
      </w:r>
      <w:r>
        <w:rPr>
          <w:rFonts w:hint="eastAsia"/>
          <w:color w:val="auto"/>
          <w:u w:color="000000"/>
        </w:rPr>
        <w:t>℃。因此在夏季高温对现场作业人员有一定的影响，尤其是长时间曝露在高温天气下的室外作业人员，有发生中暑的危险。</w:t>
      </w:r>
    </w:p>
    <w:p w14:paraId="3B8F256A" w14:textId="77777777" w:rsidR="009219A0" w:rsidRDefault="00000000">
      <w:pPr>
        <w:ind w:firstLine="560"/>
        <w:rPr>
          <w:color w:val="auto"/>
          <w:u w:color="000000"/>
        </w:rPr>
      </w:pPr>
      <w:r>
        <w:rPr>
          <w:rFonts w:hint="eastAsia"/>
          <w:color w:val="auto"/>
          <w:u w:color="000000"/>
        </w:rPr>
        <w:t>项目所在地如出现极端低温天气，且持续时间较长、无防护措施、设</w:t>
      </w:r>
      <w:r>
        <w:rPr>
          <w:rFonts w:hint="eastAsia"/>
          <w:color w:val="auto"/>
          <w:u w:color="000000"/>
        </w:rPr>
        <w:lastRenderedPageBreak/>
        <w:t>计及施工过程中未考虑抗冰冻措施等可能会引发水管、设备等功能异常、毁坏危险；低温天气还可能造成路面结冰，引发车辆伤害事故等。</w:t>
      </w:r>
    </w:p>
    <w:p w14:paraId="7D9B1AE9" w14:textId="77777777" w:rsidR="009219A0" w:rsidRDefault="00000000">
      <w:pPr>
        <w:ind w:firstLine="560"/>
        <w:rPr>
          <w:color w:val="auto"/>
          <w:u w:color="000000"/>
        </w:rPr>
      </w:pPr>
      <w:r>
        <w:rPr>
          <w:rFonts w:hint="eastAsia"/>
          <w:color w:val="auto"/>
          <w:u w:color="000000"/>
        </w:rPr>
        <w:t>2</w:t>
      </w:r>
      <w:r>
        <w:rPr>
          <w:rFonts w:hint="eastAsia"/>
          <w:color w:val="auto"/>
          <w:u w:color="000000"/>
        </w:rPr>
        <w:t>）大风</w:t>
      </w:r>
    </w:p>
    <w:p w14:paraId="426460D1" w14:textId="77777777" w:rsidR="009219A0" w:rsidRDefault="00000000">
      <w:pPr>
        <w:ind w:firstLine="560"/>
        <w:rPr>
          <w:color w:val="auto"/>
          <w:u w:color="000000"/>
        </w:rPr>
      </w:pPr>
      <w:r>
        <w:rPr>
          <w:rFonts w:hint="eastAsia"/>
          <w:color w:val="auto"/>
          <w:u w:color="000000"/>
        </w:rPr>
        <w:t>项目所在地常年主导风向为南风，最大风速</w:t>
      </w:r>
      <w:r>
        <w:rPr>
          <w:rFonts w:hint="eastAsia"/>
          <w:color w:val="auto"/>
          <w:u w:color="000000"/>
        </w:rPr>
        <w:t>3.7m/s</w:t>
      </w:r>
      <w:r>
        <w:rPr>
          <w:rFonts w:hint="eastAsia"/>
          <w:color w:val="auto"/>
          <w:u w:color="000000"/>
        </w:rPr>
        <w:t>，年平均气压</w:t>
      </w:r>
      <w:r>
        <w:rPr>
          <w:rFonts w:hint="eastAsia"/>
          <w:color w:val="auto"/>
          <w:u w:color="000000"/>
        </w:rPr>
        <w:t>87.8KPa</w:t>
      </w:r>
      <w:r>
        <w:rPr>
          <w:rFonts w:hint="eastAsia"/>
          <w:color w:val="auto"/>
          <w:u w:color="000000"/>
        </w:rPr>
        <w:t>。</w:t>
      </w:r>
    </w:p>
    <w:p w14:paraId="1FE31BA7" w14:textId="77777777" w:rsidR="009219A0" w:rsidRDefault="00000000">
      <w:pPr>
        <w:ind w:firstLine="560"/>
        <w:rPr>
          <w:color w:val="auto"/>
          <w:u w:color="000000"/>
        </w:rPr>
      </w:pPr>
      <w:r>
        <w:rPr>
          <w:rFonts w:hint="eastAsia"/>
          <w:color w:val="auto"/>
          <w:u w:color="000000"/>
        </w:rPr>
        <w:t>大风对本项目运行过程中安全性的影响，主要表现在可能导致扬尘，造成现场扬尘弥漫，视线不清，从而引发车辆伤害等事故的发生。</w:t>
      </w:r>
    </w:p>
    <w:p w14:paraId="66A89475" w14:textId="77777777" w:rsidR="009219A0" w:rsidRDefault="00000000">
      <w:pPr>
        <w:ind w:firstLine="560"/>
        <w:rPr>
          <w:color w:val="auto"/>
          <w:u w:color="000000"/>
        </w:rPr>
      </w:pPr>
      <w:r>
        <w:rPr>
          <w:rFonts w:hint="eastAsia"/>
          <w:color w:val="auto"/>
          <w:u w:color="000000"/>
        </w:rPr>
        <w:t>3</w:t>
      </w:r>
      <w:r>
        <w:rPr>
          <w:rFonts w:hint="eastAsia"/>
          <w:color w:val="auto"/>
          <w:u w:color="000000"/>
        </w:rPr>
        <w:t>）雷击</w:t>
      </w:r>
    </w:p>
    <w:p w14:paraId="6C542E95" w14:textId="77777777" w:rsidR="009219A0" w:rsidRDefault="00000000">
      <w:pPr>
        <w:ind w:firstLine="560"/>
        <w:rPr>
          <w:color w:val="auto"/>
          <w:u w:color="000000"/>
        </w:rPr>
      </w:pPr>
      <w:r>
        <w:rPr>
          <w:rFonts w:hint="eastAsia"/>
          <w:color w:val="auto"/>
          <w:u w:color="000000"/>
        </w:rPr>
        <w:t>雷电是常见的自然现象，雷击电压可高达几十万伏至数百万伏，瞬时电流可高达数十万安培，放电时温度可高达</w:t>
      </w:r>
      <w:r>
        <w:rPr>
          <w:rFonts w:hint="eastAsia"/>
          <w:color w:val="auto"/>
          <w:u w:color="000000"/>
        </w:rPr>
        <w:t>30000</w:t>
      </w:r>
      <w:r>
        <w:rPr>
          <w:rFonts w:hint="eastAsia"/>
          <w:color w:val="auto"/>
          <w:u w:color="000000"/>
        </w:rPr>
        <w:t>℃。雷电的破坏作用主要是雷电流引起的，根据雷电产生的危害特点，雷电以三种形式出现，即直接雷击、感应雷击和雷电波，其危害分析如下：</w:t>
      </w:r>
    </w:p>
    <w:p w14:paraId="748C0169" w14:textId="77777777" w:rsidR="009219A0" w:rsidRDefault="00000000">
      <w:pPr>
        <w:ind w:firstLine="560"/>
        <w:rPr>
          <w:color w:val="auto"/>
          <w:u w:color="000000"/>
        </w:rPr>
      </w:pPr>
      <w:r>
        <w:rPr>
          <w:rFonts w:hint="eastAsia"/>
          <w:color w:val="auto"/>
          <w:u w:color="000000"/>
        </w:rPr>
        <w:t>①雷击是由直接雷击造成的，由于它瞬间放出的电流相当大，产生的高温高压引起爆炸、火灾和建筑物倒塌，造成人员伤亡事故。</w:t>
      </w:r>
    </w:p>
    <w:p w14:paraId="3A1F1FF1" w14:textId="77777777" w:rsidR="009219A0" w:rsidRDefault="00000000">
      <w:pPr>
        <w:ind w:firstLine="560"/>
        <w:rPr>
          <w:color w:val="auto"/>
          <w:u w:color="000000"/>
        </w:rPr>
      </w:pPr>
      <w:r>
        <w:rPr>
          <w:rFonts w:hint="eastAsia"/>
          <w:color w:val="auto"/>
          <w:u w:color="000000"/>
        </w:rPr>
        <w:t>②感应雷的主要危害是由电流沿着金属导线或导体形成雷电冲击波，并进入建筑物内造成仪器设备的损坏，在一定的条件下还会造成人员伤亡和火灾等重大雷击事故。在雷击事故中</w:t>
      </w:r>
      <w:r>
        <w:rPr>
          <w:rFonts w:hint="eastAsia"/>
          <w:color w:val="auto"/>
          <w:u w:color="000000"/>
        </w:rPr>
        <w:t>90%</w:t>
      </w:r>
      <w:r>
        <w:rPr>
          <w:rFonts w:hint="eastAsia"/>
          <w:color w:val="auto"/>
          <w:u w:color="000000"/>
        </w:rPr>
        <w:t>是感应</w:t>
      </w:r>
      <w:proofErr w:type="gramStart"/>
      <w:r>
        <w:rPr>
          <w:rFonts w:hint="eastAsia"/>
          <w:color w:val="auto"/>
          <w:u w:color="000000"/>
        </w:rPr>
        <w:t>雷造成</w:t>
      </w:r>
      <w:proofErr w:type="gramEnd"/>
      <w:r>
        <w:rPr>
          <w:rFonts w:hint="eastAsia"/>
          <w:color w:val="auto"/>
          <w:u w:color="000000"/>
        </w:rPr>
        <w:t>的。</w:t>
      </w:r>
    </w:p>
    <w:p w14:paraId="571931B2" w14:textId="77777777" w:rsidR="009219A0" w:rsidRDefault="00000000">
      <w:pPr>
        <w:ind w:firstLine="560"/>
        <w:rPr>
          <w:color w:val="auto"/>
          <w:u w:color="000000"/>
        </w:rPr>
      </w:pPr>
      <w:r>
        <w:rPr>
          <w:rFonts w:hint="eastAsia"/>
          <w:color w:val="auto"/>
          <w:u w:color="000000"/>
        </w:rPr>
        <w:t>③雷电波是由于雷击而在架空线路或空中金属管道上产生冲击电压，沿线路或管道的两个方面迅速传播，其传播速度为</w:t>
      </w:r>
      <w:r>
        <w:rPr>
          <w:rFonts w:hint="eastAsia"/>
          <w:color w:val="auto"/>
          <w:u w:color="000000"/>
        </w:rPr>
        <w:t>300m/</w:t>
      </w:r>
      <w:r>
        <w:rPr>
          <w:rFonts w:hint="eastAsia"/>
          <w:color w:val="auto"/>
          <w:u w:color="000000"/>
        </w:rPr>
        <w:t>μ</w:t>
      </w:r>
      <w:r>
        <w:rPr>
          <w:rFonts w:hint="eastAsia"/>
          <w:color w:val="auto"/>
          <w:u w:color="000000"/>
        </w:rPr>
        <w:t>s</w:t>
      </w:r>
      <w:r>
        <w:rPr>
          <w:rFonts w:hint="eastAsia"/>
          <w:color w:val="auto"/>
          <w:u w:color="000000"/>
        </w:rPr>
        <w:t>（在电缆中为</w:t>
      </w:r>
      <w:r>
        <w:rPr>
          <w:rFonts w:hint="eastAsia"/>
          <w:color w:val="auto"/>
          <w:u w:color="000000"/>
        </w:rPr>
        <w:t>150m/</w:t>
      </w:r>
      <w:r>
        <w:rPr>
          <w:rFonts w:hint="eastAsia"/>
          <w:color w:val="auto"/>
          <w:u w:color="000000"/>
        </w:rPr>
        <w:t>μ</w:t>
      </w:r>
      <w:r>
        <w:rPr>
          <w:rFonts w:hint="eastAsia"/>
          <w:color w:val="auto"/>
          <w:u w:color="000000"/>
        </w:rPr>
        <w:t>s</w:t>
      </w:r>
      <w:r>
        <w:rPr>
          <w:rFonts w:hint="eastAsia"/>
          <w:color w:val="auto"/>
          <w:u w:color="000000"/>
        </w:rPr>
        <w:t>），若侵入建筑内可造成配电装置和电气线路绝缘层击穿产生短路或使建筑物的易燃易爆物品燃烧和爆炸。</w:t>
      </w:r>
    </w:p>
    <w:p w14:paraId="7C946F00" w14:textId="77777777" w:rsidR="009219A0" w:rsidRDefault="00000000">
      <w:pPr>
        <w:ind w:firstLine="560"/>
        <w:rPr>
          <w:color w:val="auto"/>
          <w:u w:color="000000"/>
        </w:rPr>
      </w:pPr>
      <w:r>
        <w:rPr>
          <w:rFonts w:hint="eastAsia"/>
          <w:color w:val="auto"/>
          <w:u w:color="000000"/>
        </w:rPr>
        <w:t>④雷击破坏性极大，可能造成厂房和电气设备的破坏；如果建构筑物未安装防雷设施或防雷设施性能降低或失效，如接地装置养护不良而致腐蚀断开，或接地电阻太大等，可能引起雷击事故。</w:t>
      </w:r>
    </w:p>
    <w:p w14:paraId="65733E12" w14:textId="77777777" w:rsidR="009219A0" w:rsidRDefault="00000000">
      <w:pPr>
        <w:ind w:firstLine="560"/>
        <w:rPr>
          <w:color w:val="auto"/>
          <w:u w:color="000000"/>
        </w:rPr>
      </w:pPr>
      <w:r>
        <w:rPr>
          <w:rFonts w:hint="eastAsia"/>
          <w:color w:val="auto"/>
          <w:u w:color="000000"/>
        </w:rPr>
        <w:t>4</w:t>
      </w:r>
      <w:r>
        <w:rPr>
          <w:rFonts w:hint="eastAsia"/>
          <w:color w:val="auto"/>
          <w:u w:color="000000"/>
        </w:rPr>
        <w:t>）降雨</w:t>
      </w:r>
    </w:p>
    <w:p w14:paraId="1121281C" w14:textId="77777777" w:rsidR="009219A0" w:rsidRDefault="00000000">
      <w:pPr>
        <w:ind w:firstLine="560"/>
        <w:rPr>
          <w:color w:val="auto"/>
          <w:u w:color="000000"/>
        </w:rPr>
      </w:pPr>
      <w:r>
        <w:rPr>
          <w:rFonts w:hint="eastAsia"/>
          <w:color w:val="auto"/>
          <w:u w:color="000000"/>
        </w:rPr>
        <w:lastRenderedPageBreak/>
        <w:t>长时间的暴雨容易产生积水或径流淹没低洼地段，造成洪涝灾害。项目设备可能受潮、屋顶漏雨，地面积水导致电气设备、线路、开关装置短路，发生漏电伤人事故。</w:t>
      </w:r>
    </w:p>
    <w:p w14:paraId="400C7F68" w14:textId="77777777" w:rsidR="009219A0" w:rsidRDefault="00000000">
      <w:pPr>
        <w:ind w:firstLine="560"/>
        <w:rPr>
          <w:color w:val="auto"/>
        </w:rPr>
      </w:pPr>
      <w:r>
        <w:rPr>
          <w:rFonts w:hint="eastAsia"/>
          <w:color w:val="auto"/>
        </w:rPr>
        <w:t>正常情况下，在一定范围内气候对本项目影响较小。</w:t>
      </w:r>
    </w:p>
    <w:p w14:paraId="3A808C54" w14:textId="77777777" w:rsidR="009219A0" w:rsidRDefault="00000000">
      <w:pPr>
        <w:ind w:firstLine="560"/>
        <w:rPr>
          <w:color w:val="auto"/>
        </w:rPr>
      </w:pPr>
      <w:r>
        <w:rPr>
          <w:rFonts w:hint="eastAsia"/>
          <w:color w:val="auto"/>
        </w:rPr>
        <w:t>（</w:t>
      </w:r>
      <w:r>
        <w:rPr>
          <w:rFonts w:hint="eastAsia"/>
          <w:color w:val="auto"/>
        </w:rPr>
        <w:t>2</w:t>
      </w:r>
      <w:r>
        <w:rPr>
          <w:rFonts w:hint="eastAsia"/>
          <w:color w:val="auto"/>
        </w:rPr>
        <w:t>）地质条件</w:t>
      </w:r>
    </w:p>
    <w:p w14:paraId="70943A4B" w14:textId="77777777" w:rsidR="009219A0" w:rsidRDefault="00000000">
      <w:pPr>
        <w:ind w:firstLine="560"/>
        <w:rPr>
          <w:color w:val="auto"/>
        </w:rPr>
      </w:pPr>
      <w:r>
        <w:rPr>
          <w:rFonts w:hint="eastAsia"/>
          <w:color w:val="auto"/>
        </w:rPr>
        <w:t>项目利用个旧</w:t>
      </w:r>
      <w:proofErr w:type="gramStart"/>
      <w:r>
        <w:rPr>
          <w:rFonts w:hint="eastAsia"/>
          <w:color w:val="auto"/>
        </w:rPr>
        <w:t>市创源科技</w:t>
      </w:r>
      <w:proofErr w:type="gramEnd"/>
      <w:r>
        <w:rPr>
          <w:rFonts w:hint="eastAsia"/>
          <w:color w:val="auto"/>
        </w:rPr>
        <w:t>有限公司原有场地进行建设，根据业主方提供的</w:t>
      </w:r>
      <w:r>
        <w:rPr>
          <w:rFonts w:hint="eastAsia"/>
          <w:color w:val="auto"/>
        </w:rPr>
        <w:t>2012</w:t>
      </w:r>
      <w:r>
        <w:rPr>
          <w:rFonts w:hint="eastAsia"/>
          <w:color w:val="auto"/>
        </w:rPr>
        <w:t>年</w:t>
      </w:r>
      <w:r>
        <w:rPr>
          <w:rFonts w:hint="eastAsia"/>
          <w:color w:val="auto"/>
        </w:rPr>
        <w:t>3</w:t>
      </w:r>
      <w:r>
        <w:rPr>
          <w:rFonts w:hint="eastAsia"/>
          <w:color w:val="auto"/>
        </w:rPr>
        <w:t>月</w:t>
      </w:r>
      <w:r>
        <w:rPr>
          <w:rFonts w:hint="eastAsia"/>
          <w:color w:val="auto"/>
        </w:rPr>
        <w:t>22</w:t>
      </w:r>
      <w:r>
        <w:rPr>
          <w:rFonts w:hint="eastAsia"/>
          <w:color w:val="auto"/>
        </w:rPr>
        <w:t>日《云锡集团创源实业有限公司硫酸生产线余热发电技改工程场地岩土工程详细勘察报告》可知：建筑场地及其附近无影响工程建设的不良地质作用存在，场地基本稳定。建筑场地内分布的第四系人工堆积①</w:t>
      </w:r>
      <w:proofErr w:type="gramStart"/>
      <w:r>
        <w:rPr>
          <w:rFonts w:hint="eastAsia"/>
          <w:color w:val="auto"/>
        </w:rPr>
        <w:t>素填土层</w:t>
      </w:r>
      <w:proofErr w:type="gramEnd"/>
      <w:r>
        <w:rPr>
          <w:rFonts w:hint="eastAsia"/>
          <w:color w:val="auto"/>
        </w:rPr>
        <w:t>多呈薄层状，土体结构松散，均匀性及密实性差，不能作为建</w:t>
      </w:r>
      <w:proofErr w:type="gramStart"/>
      <w:r>
        <w:rPr>
          <w:rFonts w:hint="eastAsia"/>
          <w:color w:val="auto"/>
        </w:rPr>
        <w:t>建</w:t>
      </w:r>
      <w:proofErr w:type="gramEnd"/>
      <w:r>
        <w:rPr>
          <w:rFonts w:hint="eastAsia"/>
          <w:color w:val="auto"/>
        </w:rPr>
        <w:t>（构）筑物的天然地基使用。场地土受环境类型影响或受地层渗透性影响，对混凝土结构及钢筋混凝土结构中的钢筋均具有微腐蚀性。建筑场地内无特殊性岩土分布。建筑场地划分为对建筑抗震的有利地段，场地土的类型综合评定为中硬土，属均匀地基，建筑场地类别划分为</w:t>
      </w:r>
      <w:r>
        <w:rPr>
          <w:rFonts w:hint="eastAsia"/>
          <w:color w:val="auto"/>
        </w:rPr>
        <w:t>II</w:t>
      </w:r>
      <w:r>
        <w:rPr>
          <w:rFonts w:hint="eastAsia"/>
          <w:color w:val="auto"/>
        </w:rPr>
        <w:t>类。故建设项目场地地质条件较好。</w:t>
      </w:r>
    </w:p>
    <w:p w14:paraId="018D4FE7" w14:textId="77777777" w:rsidR="009219A0" w:rsidRDefault="00000000">
      <w:pPr>
        <w:pStyle w:val="3"/>
        <w:rPr>
          <w:rFonts w:hint="eastAsia"/>
        </w:rPr>
      </w:pPr>
      <w:bookmarkStart w:id="342" w:name="_Toc211950524"/>
      <w:r>
        <w:rPr>
          <w:rFonts w:hint="eastAsia"/>
        </w:rPr>
        <w:t>5.1.4 单元小结</w:t>
      </w:r>
      <w:bookmarkEnd w:id="342"/>
    </w:p>
    <w:p w14:paraId="253EFFC0" w14:textId="77777777" w:rsidR="009219A0" w:rsidRDefault="00000000">
      <w:pPr>
        <w:ind w:firstLine="560"/>
        <w:rPr>
          <w:color w:val="auto"/>
          <w:lang w:val="zh-CN"/>
        </w:rPr>
      </w:pPr>
      <w:r>
        <w:rPr>
          <w:rFonts w:hint="eastAsia"/>
          <w:color w:val="auto"/>
          <w:lang w:val="zh-CN"/>
        </w:rPr>
        <w:t>项目区域周边范围内无重点文物保护单位，不属于风景名胜区、水源保护区、自然保护区，无需要特殊保护的动、植物资源。</w:t>
      </w:r>
      <w:r>
        <w:rPr>
          <w:color w:val="auto"/>
          <w:lang w:val="zh-CN"/>
        </w:rPr>
        <w:t>项目与周边</w:t>
      </w:r>
      <w:r>
        <w:rPr>
          <w:rFonts w:hint="eastAsia"/>
          <w:color w:val="auto"/>
          <w:lang w:val="zh-CN"/>
        </w:rPr>
        <w:t>建筑</w:t>
      </w:r>
      <w:r>
        <w:rPr>
          <w:color w:val="auto"/>
          <w:lang w:val="zh-CN"/>
        </w:rPr>
        <w:t>或设施的</w:t>
      </w:r>
      <w:r>
        <w:rPr>
          <w:rFonts w:hint="eastAsia"/>
          <w:color w:val="auto"/>
          <w:lang w:val="zh-CN"/>
        </w:rPr>
        <w:t>防火</w:t>
      </w:r>
      <w:r>
        <w:rPr>
          <w:color w:val="auto"/>
          <w:lang w:val="zh-CN"/>
        </w:rPr>
        <w:t>距离</w:t>
      </w:r>
      <w:r>
        <w:rPr>
          <w:rFonts w:hint="eastAsia"/>
          <w:color w:val="auto"/>
          <w:lang w:val="zh-CN"/>
        </w:rPr>
        <w:t>符合规范和标准要求；</w:t>
      </w:r>
      <w:r>
        <w:rPr>
          <w:rFonts w:ascii="宋体" w:cs="宋体"/>
          <w:color w:val="auto"/>
          <w:szCs w:val="28"/>
        </w:rPr>
        <w:t>设有通道</w:t>
      </w:r>
      <w:r>
        <w:rPr>
          <w:rFonts w:ascii="宋体" w:cs="宋体" w:hint="eastAsia"/>
          <w:color w:val="auto"/>
          <w:szCs w:val="28"/>
        </w:rPr>
        <w:t>，</w:t>
      </w:r>
      <w:r>
        <w:rPr>
          <w:rFonts w:ascii="宋体" w:cs="宋体"/>
          <w:color w:val="auto"/>
          <w:szCs w:val="28"/>
        </w:rPr>
        <w:t>能保证</w:t>
      </w:r>
      <w:r>
        <w:rPr>
          <w:rFonts w:ascii="宋体" w:cs="宋体" w:hint="eastAsia"/>
          <w:color w:val="auto"/>
          <w:szCs w:val="28"/>
        </w:rPr>
        <w:t>物资运输、</w:t>
      </w:r>
      <w:r>
        <w:rPr>
          <w:rFonts w:ascii="宋体" w:cs="宋体"/>
          <w:color w:val="auto"/>
          <w:szCs w:val="28"/>
        </w:rPr>
        <w:t>安全操作及疏散方便。项目</w:t>
      </w:r>
      <w:r>
        <w:rPr>
          <w:rFonts w:hint="eastAsia"/>
          <w:bCs/>
          <w:snapToGrid w:val="0"/>
          <w:color w:val="auto"/>
          <w:kern w:val="0"/>
          <w:szCs w:val="28"/>
        </w:rPr>
        <w:t>总平面布置满足《建筑设计防火规范（</w:t>
      </w:r>
      <w:r>
        <w:rPr>
          <w:rFonts w:hint="eastAsia"/>
          <w:bCs/>
          <w:snapToGrid w:val="0"/>
          <w:color w:val="auto"/>
          <w:kern w:val="0"/>
          <w:szCs w:val="28"/>
        </w:rPr>
        <w:t>2018</w:t>
      </w:r>
      <w:r>
        <w:rPr>
          <w:rFonts w:hint="eastAsia"/>
          <w:bCs/>
          <w:snapToGrid w:val="0"/>
          <w:color w:val="auto"/>
          <w:kern w:val="0"/>
          <w:szCs w:val="28"/>
        </w:rPr>
        <w:t>年版）》（</w:t>
      </w:r>
      <w:r>
        <w:rPr>
          <w:rFonts w:hint="eastAsia"/>
          <w:bCs/>
          <w:snapToGrid w:val="0"/>
          <w:color w:val="auto"/>
          <w:kern w:val="0"/>
          <w:szCs w:val="28"/>
        </w:rPr>
        <w:t>GB50016-2014</w:t>
      </w:r>
      <w:r>
        <w:rPr>
          <w:rFonts w:hint="eastAsia"/>
          <w:bCs/>
          <w:snapToGrid w:val="0"/>
          <w:color w:val="auto"/>
          <w:kern w:val="0"/>
          <w:szCs w:val="28"/>
        </w:rPr>
        <w:t>）等规范的要求。</w:t>
      </w:r>
      <w:r>
        <w:rPr>
          <w:rFonts w:hint="eastAsia"/>
          <w:color w:val="auto"/>
          <w:lang w:val="zh-CN"/>
        </w:rPr>
        <w:t>当厂内发生事故时，对厂外周边建筑不会产生影响。厂区外部的正常生产生活不会对本项目产生影响。</w:t>
      </w:r>
    </w:p>
    <w:p w14:paraId="7CE63061" w14:textId="77777777" w:rsidR="009219A0" w:rsidRDefault="00000000">
      <w:pPr>
        <w:ind w:firstLine="560"/>
        <w:rPr>
          <w:color w:val="auto"/>
        </w:rPr>
      </w:pPr>
      <w:r>
        <w:rPr>
          <w:color w:val="auto"/>
          <w:lang w:val="zh-CN"/>
        </w:rPr>
        <w:t>项目所在地的自然条件对</w:t>
      </w:r>
      <w:r>
        <w:rPr>
          <w:rFonts w:hint="eastAsia"/>
          <w:color w:val="auto"/>
          <w:lang w:val="zh-CN"/>
        </w:rPr>
        <w:t>本</w:t>
      </w:r>
      <w:r>
        <w:rPr>
          <w:color w:val="auto"/>
          <w:lang w:val="zh-CN"/>
        </w:rPr>
        <w:t>项目的影响在可接受和</w:t>
      </w:r>
      <w:proofErr w:type="gramStart"/>
      <w:r>
        <w:rPr>
          <w:color w:val="auto"/>
          <w:lang w:val="zh-CN"/>
        </w:rPr>
        <w:t>可</w:t>
      </w:r>
      <w:proofErr w:type="gramEnd"/>
      <w:r>
        <w:rPr>
          <w:color w:val="auto"/>
          <w:lang w:val="zh-CN"/>
        </w:rPr>
        <w:t>控制的范围内，没有发现重大不利安全影响。</w:t>
      </w:r>
    </w:p>
    <w:p w14:paraId="25DAF775" w14:textId="77777777" w:rsidR="009219A0" w:rsidRDefault="00000000">
      <w:pPr>
        <w:pStyle w:val="2"/>
        <w:rPr>
          <w:rFonts w:hint="eastAsia"/>
        </w:rPr>
      </w:pPr>
      <w:bookmarkStart w:id="343" w:name="_Toc211950525"/>
      <w:bookmarkStart w:id="344" w:name="_Toc165281490"/>
      <w:r>
        <w:rPr>
          <w:rFonts w:hint="eastAsia"/>
        </w:rPr>
        <w:lastRenderedPageBreak/>
        <w:t>5.2 生产工艺及设备设施单元评价</w:t>
      </w:r>
      <w:bookmarkEnd w:id="343"/>
      <w:bookmarkEnd w:id="344"/>
    </w:p>
    <w:p w14:paraId="5C540943" w14:textId="77777777" w:rsidR="009219A0" w:rsidRDefault="00000000">
      <w:pPr>
        <w:pStyle w:val="3"/>
        <w:rPr>
          <w:rFonts w:hint="eastAsia"/>
        </w:rPr>
      </w:pPr>
      <w:bookmarkStart w:id="345" w:name="_Toc211950526"/>
      <w:r>
        <w:rPr>
          <w:rFonts w:hint="eastAsia"/>
        </w:rPr>
        <w:t>5.2.1 生产工艺及设备设施安全检查表评价</w:t>
      </w:r>
      <w:bookmarkEnd w:id="345"/>
    </w:p>
    <w:p w14:paraId="1EF42D4D" w14:textId="77777777" w:rsidR="009219A0" w:rsidRDefault="00000000">
      <w:pPr>
        <w:ind w:firstLine="560"/>
        <w:rPr>
          <w:color w:val="auto"/>
          <w:lang w:val="zh-CN"/>
        </w:rPr>
      </w:pPr>
      <w:r>
        <w:rPr>
          <w:rFonts w:hint="eastAsia"/>
          <w:color w:val="auto"/>
          <w:lang w:val="zh-CN"/>
        </w:rPr>
        <w:t>本节根据《生产过程安全卫生要求总则》（</w:t>
      </w:r>
      <w:r>
        <w:rPr>
          <w:rFonts w:hint="eastAsia"/>
          <w:color w:val="auto"/>
          <w:lang w:val="zh-CN"/>
        </w:rPr>
        <w:t>GB/T12801-2008</w:t>
      </w:r>
      <w:r>
        <w:rPr>
          <w:rFonts w:hint="eastAsia"/>
          <w:color w:val="auto"/>
          <w:lang w:val="zh-CN"/>
        </w:rPr>
        <w:t>）、《生产设备安全卫生设计总则》（</w:t>
      </w:r>
      <w:r>
        <w:rPr>
          <w:rFonts w:hint="eastAsia"/>
          <w:color w:val="auto"/>
          <w:lang w:val="zh-CN"/>
        </w:rPr>
        <w:t>GB5083-2023</w:t>
      </w:r>
      <w:r>
        <w:rPr>
          <w:rFonts w:hint="eastAsia"/>
          <w:color w:val="auto"/>
          <w:lang w:val="zh-CN"/>
        </w:rPr>
        <w:t>）、《化学化工实验室安全管理规范》（</w:t>
      </w:r>
      <w:r>
        <w:rPr>
          <w:rFonts w:hint="eastAsia"/>
          <w:color w:val="auto"/>
          <w:lang w:val="zh-CN"/>
        </w:rPr>
        <w:t>T/CCSAS 005-2019</w:t>
      </w:r>
      <w:r>
        <w:rPr>
          <w:rFonts w:hint="eastAsia"/>
          <w:color w:val="auto"/>
          <w:lang w:val="zh-CN"/>
        </w:rPr>
        <w:t>）等标准、规范，对中试车间及实验室工艺及设备进行安全检查，具体检查情况见附表</w:t>
      </w:r>
      <w:r>
        <w:rPr>
          <w:rFonts w:hint="eastAsia"/>
          <w:color w:val="auto"/>
          <w:lang w:val="zh-CN"/>
        </w:rPr>
        <w:t>5.2-1</w:t>
      </w:r>
      <w:r>
        <w:rPr>
          <w:rFonts w:hint="eastAsia"/>
          <w:color w:val="auto"/>
          <w:lang w:val="zh-CN"/>
        </w:rPr>
        <w:t>。</w:t>
      </w:r>
    </w:p>
    <w:p w14:paraId="187AB446" w14:textId="77777777" w:rsidR="009219A0" w:rsidRDefault="00000000">
      <w:pPr>
        <w:pStyle w:val="ac"/>
        <w:widowControl w:val="0"/>
        <w:ind w:leftChars="0" w:left="0" w:firstLineChars="0" w:firstLine="0"/>
        <w:jc w:val="center"/>
        <w:rPr>
          <w:rFonts w:ascii="宋体" w:hAnsi="宋体" w:hint="eastAsia"/>
          <w:color w:val="auto"/>
          <w:sz w:val="28"/>
          <w:szCs w:val="28"/>
          <w:lang w:val="zh-CN"/>
        </w:rPr>
      </w:pPr>
      <w:r>
        <w:rPr>
          <w:rFonts w:ascii="宋体" w:hAnsi="宋体" w:hint="eastAsia"/>
          <w:color w:val="auto"/>
          <w:sz w:val="28"/>
          <w:szCs w:val="28"/>
          <w:lang w:val="zh-CN"/>
        </w:rPr>
        <w:t>附表5.2-1 工艺及设备安全检查表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354"/>
        <w:gridCol w:w="1814"/>
        <w:gridCol w:w="2503"/>
        <w:gridCol w:w="707"/>
      </w:tblGrid>
      <w:tr w:rsidR="009219A0" w14:paraId="2E97BABC" w14:textId="77777777">
        <w:trPr>
          <w:trHeight w:val="454"/>
          <w:tblHeader/>
          <w:jc w:val="center"/>
        </w:trPr>
        <w:tc>
          <w:tcPr>
            <w:tcW w:w="694" w:type="dxa"/>
            <w:vAlign w:val="center"/>
          </w:tcPr>
          <w:p w14:paraId="366297FA" w14:textId="77777777" w:rsidR="009219A0" w:rsidRDefault="00000000">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序号</w:t>
            </w:r>
          </w:p>
        </w:tc>
        <w:tc>
          <w:tcPr>
            <w:tcW w:w="3354" w:type="dxa"/>
            <w:vAlign w:val="center"/>
          </w:tcPr>
          <w:p w14:paraId="7F6D34A6" w14:textId="77777777" w:rsidR="009219A0" w:rsidRDefault="00000000">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检查项目及内容</w:t>
            </w:r>
          </w:p>
        </w:tc>
        <w:tc>
          <w:tcPr>
            <w:tcW w:w="1814" w:type="dxa"/>
            <w:vAlign w:val="center"/>
          </w:tcPr>
          <w:p w14:paraId="1B89B48D" w14:textId="77777777" w:rsidR="009219A0" w:rsidRDefault="00000000">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检查依据</w:t>
            </w:r>
          </w:p>
        </w:tc>
        <w:tc>
          <w:tcPr>
            <w:tcW w:w="2503" w:type="dxa"/>
            <w:vAlign w:val="center"/>
          </w:tcPr>
          <w:p w14:paraId="0CE03C99" w14:textId="77777777" w:rsidR="009219A0" w:rsidRDefault="00000000">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检查记录</w:t>
            </w:r>
          </w:p>
        </w:tc>
        <w:tc>
          <w:tcPr>
            <w:tcW w:w="707" w:type="dxa"/>
            <w:vAlign w:val="center"/>
          </w:tcPr>
          <w:p w14:paraId="118175FA" w14:textId="77777777" w:rsidR="009219A0" w:rsidRDefault="00000000">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检查结果</w:t>
            </w:r>
          </w:p>
        </w:tc>
      </w:tr>
      <w:tr w:rsidR="009219A0" w14:paraId="1F8B68B2" w14:textId="77777777">
        <w:trPr>
          <w:trHeight w:val="454"/>
          <w:tblHeader/>
          <w:jc w:val="center"/>
        </w:trPr>
        <w:tc>
          <w:tcPr>
            <w:tcW w:w="694" w:type="dxa"/>
            <w:vAlign w:val="center"/>
          </w:tcPr>
          <w:p w14:paraId="0DE379A5" w14:textId="77777777" w:rsidR="009219A0" w:rsidRDefault="009219A0">
            <w:pPr>
              <w:pStyle w:val="aff4"/>
              <w:numPr>
                <w:ilvl w:val="0"/>
                <w:numId w:val="20"/>
              </w:numPr>
              <w:topLinePunct/>
              <w:spacing w:line="240" w:lineRule="auto"/>
              <w:ind w:left="0" w:firstLineChars="0" w:firstLine="0"/>
              <w:jc w:val="center"/>
              <w:rPr>
                <w:rFonts w:ascii="宋体" w:hAnsi="宋体" w:hint="eastAsia"/>
                <w:bCs/>
                <w:color w:val="auto"/>
                <w:sz w:val="21"/>
                <w:szCs w:val="21"/>
              </w:rPr>
            </w:pPr>
          </w:p>
        </w:tc>
        <w:tc>
          <w:tcPr>
            <w:tcW w:w="3354" w:type="dxa"/>
            <w:vAlign w:val="center"/>
          </w:tcPr>
          <w:p w14:paraId="6ABE5D05"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设计、组织和实施的原则：</w:t>
            </w:r>
          </w:p>
          <w:p w14:paraId="24037DDB"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a）应防止工作人员直接接触具有或能产生危险和有害因素的设备、设施、生产物料、产品和剩余物料；</w:t>
            </w:r>
          </w:p>
          <w:p w14:paraId="350009C2"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b）应优先采用没有危害或危害较小的新工艺、新技术、新设备、新材料；</w:t>
            </w:r>
          </w:p>
          <w:p w14:paraId="5D833117"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c）对具有危险和有害因素的生产过程应合理地采用机械化、自动化和计算机技术，实现遥控或隔离操作；</w:t>
            </w:r>
          </w:p>
          <w:p w14:paraId="0CFF227D"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d）对产生危险和有害因素的过程，应配置监控检测仪器、仪表，必要时配置自动</w:t>
            </w:r>
            <w:proofErr w:type="gramStart"/>
            <w:r>
              <w:rPr>
                <w:rFonts w:ascii="宋体" w:hAnsi="宋体" w:hint="eastAsia"/>
                <w:bCs/>
                <w:color w:val="auto"/>
                <w:sz w:val="21"/>
                <w:szCs w:val="21"/>
              </w:rPr>
              <w:t>联锁</w:t>
            </w:r>
            <w:proofErr w:type="gramEnd"/>
            <w:r>
              <w:rPr>
                <w:rFonts w:ascii="宋体" w:hAnsi="宋体" w:hint="eastAsia"/>
                <w:bCs/>
                <w:color w:val="auto"/>
                <w:sz w:val="21"/>
                <w:szCs w:val="21"/>
              </w:rPr>
              <w:t>、自动报警装置；</w:t>
            </w:r>
          </w:p>
          <w:p w14:paraId="32DAD4CD"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f）危险性较大的生产装置或系统，应设置能保证人员安全、设备紧急停止运行的安全监控系统。</w:t>
            </w:r>
          </w:p>
        </w:tc>
        <w:tc>
          <w:tcPr>
            <w:tcW w:w="1814" w:type="dxa"/>
            <w:vAlign w:val="center"/>
          </w:tcPr>
          <w:p w14:paraId="10228994"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《生产过程安全卫生要求总则》（GB/T12801-2008）5.3.1</w:t>
            </w:r>
          </w:p>
        </w:tc>
        <w:tc>
          <w:tcPr>
            <w:tcW w:w="2503" w:type="dxa"/>
            <w:vAlign w:val="center"/>
          </w:tcPr>
          <w:p w14:paraId="1804A2B9"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项目未采用工作人员未直接接触产生危险的设备、设施；对产生危险和有害因素的过程，配置监控检测仪器、仪表，配置必要能保证人员安全及设备紧急停止运行的安全监控系统。</w:t>
            </w:r>
          </w:p>
        </w:tc>
        <w:tc>
          <w:tcPr>
            <w:tcW w:w="707" w:type="dxa"/>
            <w:vAlign w:val="center"/>
          </w:tcPr>
          <w:p w14:paraId="04E35047"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符合要求</w:t>
            </w:r>
          </w:p>
        </w:tc>
      </w:tr>
      <w:tr w:rsidR="009219A0" w14:paraId="49C130BC" w14:textId="77777777">
        <w:trPr>
          <w:trHeight w:val="454"/>
          <w:tblHeader/>
          <w:jc w:val="center"/>
        </w:trPr>
        <w:tc>
          <w:tcPr>
            <w:tcW w:w="694" w:type="dxa"/>
            <w:vAlign w:val="center"/>
          </w:tcPr>
          <w:p w14:paraId="423C3148" w14:textId="77777777" w:rsidR="009219A0" w:rsidRDefault="009219A0">
            <w:pPr>
              <w:pStyle w:val="aff4"/>
              <w:numPr>
                <w:ilvl w:val="0"/>
                <w:numId w:val="20"/>
              </w:numPr>
              <w:topLinePunct/>
              <w:spacing w:line="240" w:lineRule="auto"/>
              <w:ind w:left="0" w:firstLineChars="0" w:firstLine="0"/>
              <w:jc w:val="center"/>
              <w:rPr>
                <w:rFonts w:ascii="宋体" w:hAnsi="宋体" w:hint="eastAsia"/>
                <w:bCs/>
                <w:color w:val="auto"/>
                <w:sz w:val="21"/>
                <w:szCs w:val="21"/>
              </w:rPr>
            </w:pPr>
          </w:p>
        </w:tc>
        <w:tc>
          <w:tcPr>
            <w:tcW w:w="3354" w:type="dxa"/>
            <w:vAlign w:val="center"/>
          </w:tcPr>
          <w:p w14:paraId="1A3B6EFA" w14:textId="77777777" w:rsidR="009219A0" w:rsidRDefault="00000000">
            <w:pPr>
              <w:topLinePunct/>
              <w:spacing w:line="240" w:lineRule="auto"/>
              <w:ind w:firstLineChars="0" w:firstLine="0"/>
              <w:rPr>
                <w:rFonts w:ascii="宋体" w:hAnsi="宋体" w:hint="eastAsia"/>
                <w:b/>
                <w:bCs/>
                <w:color w:val="auto"/>
                <w:sz w:val="21"/>
                <w:szCs w:val="21"/>
              </w:rPr>
            </w:pPr>
            <w:r>
              <w:rPr>
                <w:rFonts w:ascii="宋体" w:hAnsi="宋体" w:hint="eastAsia"/>
                <w:bCs/>
                <w:color w:val="auto"/>
                <w:sz w:val="21"/>
                <w:szCs w:val="21"/>
              </w:rPr>
              <w:t>应尽量选用自动化程度高的设备。危险性较大的、重要的关键性生产设备，应由具备有效资质的单位进行设计、制造和检验。</w:t>
            </w:r>
          </w:p>
        </w:tc>
        <w:tc>
          <w:tcPr>
            <w:tcW w:w="1814" w:type="dxa"/>
            <w:vAlign w:val="center"/>
          </w:tcPr>
          <w:p w14:paraId="751D1BCC"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5.6.1</w:t>
            </w:r>
          </w:p>
        </w:tc>
        <w:tc>
          <w:tcPr>
            <w:tcW w:w="2503" w:type="dxa"/>
            <w:vAlign w:val="center"/>
          </w:tcPr>
          <w:p w14:paraId="78C05D0A"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采用有效资质的单位进行设计、制造和检验。</w:t>
            </w:r>
          </w:p>
        </w:tc>
        <w:tc>
          <w:tcPr>
            <w:tcW w:w="707" w:type="dxa"/>
            <w:vAlign w:val="center"/>
          </w:tcPr>
          <w:p w14:paraId="06BE3342"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符合要求</w:t>
            </w:r>
          </w:p>
        </w:tc>
      </w:tr>
      <w:tr w:rsidR="009219A0" w14:paraId="5A786743" w14:textId="77777777">
        <w:trPr>
          <w:trHeight w:val="454"/>
          <w:tblHeader/>
          <w:jc w:val="center"/>
        </w:trPr>
        <w:tc>
          <w:tcPr>
            <w:tcW w:w="694" w:type="dxa"/>
            <w:vAlign w:val="center"/>
          </w:tcPr>
          <w:p w14:paraId="13777A43" w14:textId="77777777" w:rsidR="009219A0" w:rsidRDefault="009219A0">
            <w:pPr>
              <w:pStyle w:val="aff4"/>
              <w:numPr>
                <w:ilvl w:val="0"/>
                <w:numId w:val="20"/>
              </w:numPr>
              <w:topLinePunct/>
              <w:spacing w:line="240" w:lineRule="auto"/>
              <w:ind w:left="0" w:firstLineChars="0" w:firstLine="0"/>
              <w:jc w:val="center"/>
              <w:rPr>
                <w:rFonts w:ascii="宋体" w:hAnsi="宋体" w:hint="eastAsia"/>
                <w:bCs/>
                <w:color w:val="auto"/>
                <w:sz w:val="21"/>
                <w:szCs w:val="21"/>
              </w:rPr>
            </w:pPr>
          </w:p>
        </w:tc>
        <w:tc>
          <w:tcPr>
            <w:tcW w:w="3354" w:type="dxa"/>
            <w:vAlign w:val="center"/>
          </w:tcPr>
          <w:p w14:paraId="699A0746" w14:textId="77777777" w:rsidR="009219A0" w:rsidRDefault="00000000">
            <w:pPr>
              <w:topLinePunct/>
              <w:spacing w:line="240" w:lineRule="auto"/>
              <w:ind w:firstLineChars="0" w:firstLine="0"/>
              <w:rPr>
                <w:rFonts w:ascii="宋体" w:hAnsi="宋体" w:hint="eastAsia"/>
                <w:b/>
                <w:bCs/>
                <w:color w:val="auto"/>
                <w:sz w:val="21"/>
                <w:szCs w:val="21"/>
              </w:rPr>
            </w:pPr>
            <w:r>
              <w:rPr>
                <w:rFonts w:ascii="宋体" w:hAnsi="宋体" w:hint="eastAsia"/>
                <w:bCs/>
                <w:color w:val="auto"/>
                <w:sz w:val="21"/>
                <w:szCs w:val="21"/>
              </w:rPr>
              <w:t>生产设备（包括零部件）应有符合产品安全性能的力学特性、稳定性和可靠性。在按规定条件制造、运输、储存、安装、使用和拆除时，不得对人员造成危害。</w:t>
            </w:r>
          </w:p>
        </w:tc>
        <w:tc>
          <w:tcPr>
            <w:tcW w:w="1814" w:type="dxa"/>
            <w:vAlign w:val="center"/>
          </w:tcPr>
          <w:p w14:paraId="5515E557"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《生产设备安全卫生设计总则》（GB5083-2023）4.2</w:t>
            </w:r>
          </w:p>
        </w:tc>
        <w:tc>
          <w:tcPr>
            <w:tcW w:w="2503" w:type="dxa"/>
            <w:vAlign w:val="center"/>
          </w:tcPr>
          <w:p w14:paraId="440C1D70"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项目生产设备设施选择有资质单位生产的合格产品。</w:t>
            </w:r>
          </w:p>
        </w:tc>
        <w:tc>
          <w:tcPr>
            <w:tcW w:w="707" w:type="dxa"/>
            <w:vAlign w:val="center"/>
          </w:tcPr>
          <w:p w14:paraId="1FD21B92"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符合要求</w:t>
            </w:r>
          </w:p>
        </w:tc>
      </w:tr>
      <w:tr w:rsidR="009219A0" w14:paraId="40119EDD" w14:textId="77777777">
        <w:trPr>
          <w:trHeight w:val="454"/>
          <w:tblHeader/>
          <w:jc w:val="center"/>
        </w:trPr>
        <w:tc>
          <w:tcPr>
            <w:tcW w:w="694" w:type="dxa"/>
            <w:vAlign w:val="center"/>
          </w:tcPr>
          <w:p w14:paraId="581E4A28" w14:textId="77777777" w:rsidR="009219A0" w:rsidRDefault="009219A0">
            <w:pPr>
              <w:pStyle w:val="aff4"/>
              <w:numPr>
                <w:ilvl w:val="0"/>
                <w:numId w:val="20"/>
              </w:numPr>
              <w:topLinePunct/>
              <w:spacing w:line="240" w:lineRule="auto"/>
              <w:ind w:left="0" w:firstLineChars="0" w:firstLine="0"/>
              <w:jc w:val="center"/>
              <w:rPr>
                <w:rFonts w:ascii="宋体" w:hAnsi="宋体" w:hint="eastAsia"/>
                <w:bCs/>
                <w:color w:val="auto"/>
                <w:sz w:val="21"/>
                <w:szCs w:val="21"/>
              </w:rPr>
            </w:pPr>
          </w:p>
        </w:tc>
        <w:tc>
          <w:tcPr>
            <w:tcW w:w="3354" w:type="dxa"/>
            <w:vAlign w:val="center"/>
          </w:tcPr>
          <w:p w14:paraId="1D0FD20D" w14:textId="77777777" w:rsidR="009219A0" w:rsidRDefault="00000000">
            <w:pPr>
              <w:topLinePunct/>
              <w:spacing w:line="240" w:lineRule="auto"/>
              <w:ind w:firstLineChars="0" w:firstLine="0"/>
              <w:rPr>
                <w:rFonts w:ascii="宋体" w:hAnsi="宋体" w:hint="eastAsia"/>
                <w:b/>
                <w:bCs/>
                <w:color w:val="auto"/>
                <w:sz w:val="21"/>
                <w:szCs w:val="21"/>
              </w:rPr>
            </w:pPr>
            <w:r>
              <w:rPr>
                <w:rFonts w:ascii="宋体" w:hAnsi="宋体" w:hint="eastAsia"/>
                <w:bCs/>
                <w:color w:val="auto"/>
                <w:sz w:val="21"/>
                <w:szCs w:val="21"/>
              </w:rPr>
              <w:t>生产设备正常运行过程中，不应向工作场所、大气、水体和土壤排放超过国家标准限值的化学毒物，粉尘等有毒、有害物质，不应排放和产生超过国家标准限值的噪声、振动、电离辐射、非电离辐射和其他污染。</w:t>
            </w:r>
          </w:p>
        </w:tc>
        <w:tc>
          <w:tcPr>
            <w:tcW w:w="1814" w:type="dxa"/>
            <w:vAlign w:val="center"/>
          </w:tcPr>
          <w:p w14:paraId="02F9F752"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4.3</w:t>
            </w:r>
          </w:p>
        </w:tc>
        <w:tc>
          <w:tcPr>
            <w:tcW w:w="2503" w:type="dxa"/>
            <w:vAlign w:val="center"/>
          </w:tcPr>
          <w:p w14:paraId="4A91B9EA"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项目采用降噪降尘设施，正常生产过程中，不向工作场所和大气排放有害物质。</w:t>
            </w:r>
          </w:p>
        </w:tc>
        <w:tc>
          <w:tcPr>
            <w:tcW w:w="707" w:type="dxa"/>
            <w:vAlign w:val="center"/>
          </w:tcPr>
          <w:p w14:paraId="53961788"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符合要求</w:t>
            </w:r>
          </w:p>
        </w:tc>
      </w:tr>
      <w:tr w:rsidR="009219A0" w14:paraId="32F1A00D" w14:textId="77777777">
        <w:trPr>
          <w:trHeight w:val="454"/>
          <w:tblHeader/>
          <w:jc w:val="center"/>
        </w:trPr>
        <w:tc>
          <w:tcPr>
            <w:tcW w:w="694" w:type="dxa"/>
            <w:vAlign w:val="center"/>
          </w:tcPr>
          <w:p w14:paraId="7F0851AF" w14:textId="77777777" w:rsidR="009219A0" w:rsidRDefault="009219A0">
            <w:pPr>
              <w:pStyle w:val="aff4"/>
              <w:numPr>
                <w:ilvl w:val="0"/>
                <w:numId w:val="20"/>
              </w:numPr>
              <w:topLinePunct/>
              <w:spacing w:line="240" w:lineRule="auto"/>
              <w:ind w:left="0" w:firstLineChars="0" w:firstLine="0"/>
              <w:jc w:val="center"/>
              <w:rPr>
                <w:rFonts w:ascii="宋体" w:hAnsi="宋体" w:hint="eastAsia"/>
                <w:bCs/>
                <w:color w:val="auto"/>
                <w:sz w:val="21"/>
                <w:szCs w:val="21"/>
              </w:rPr>
            </w:pPr>
          </w:p>
        </w:tc>
        <w:tc>
          <w:tcPr>
            <w:tcW w:w="3354" w:type="dxa"/>
            <w:vAlign w:val="center"/>
          </w:tcPr>
          <w:p w14:paraId="7D3298C3" w14:textId="77777777" w:rsidR="009219A0" w:rsidRDefault="00000000">
            <w:pPr>
              <w:topLinePunct/>
              <w:spacing w:line="240" w:lineRule="auto"/>
              <w:ind w:firstLineChars="0" w:firstLine="0"/>
              <w:rPr>
                <w:rFonts w:ascii="宋体" w:hAnsi="宋体" w:hint="eastAsia"/>
                <w:b/>
                <w:bCs/>
                <w:color w:val="auto"/>
                <w:sz w:val="21"/>
                <w:szCs w:val="21"/>
              </w:rPr>
            </w:pPr>
            <w:r>
              <w:rPr>
                <w:rFonts w:ascii="宋体" w:hAnsi="宋体" w:hint="eastAsia"/>
                <w:bCs/>
                <w:color w:val="auto"/>
                <w:sz w:val="21"/>
                <w:szCs w:val="21"/>
              </w:rPr>
              <w:t>设备的设计应符合人类工效学原则，以保护作业人员生理和心理健康。</w:t>
            </w:r>
          </w:p>
        </w:tc>
        <w:tc>
          <w:tcPr>
            <w:tcW w:w="1814" w:type="dxa"/>
            <w:vAlign w:val="center"/>
          </w:tcPr>
          <w:p w14:paraId="191B6A27"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4.4</w:t>
            </w:r>
          </w:p>
        </w:tc>
        <w:tc>
          <w:tcPr>
            <w:tcW w:w="2503" w:type="dxa"/>
            <w:vAlign w:val="center"/>
          </w:tcPr>
          <w:p w14:paraId="4BC410A4"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项目生产设备具有一定自动化程度，能减轻操作人员的体力、脑力消耗。</w:t>
            </w:r>
          </w:p>
        </w:tc>
        <w:tc>
          <w:tcPr>
            <w:tcW w:w="707" w:type="dxa"/>
            <w:vAlign w:val="center"/>
          </w:tcPr>
          <w:p w14:paraId="3BBF3F71"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符合要求</w:t>
            </w:r>
          </w:p>
        </w:tc>
      </w:tr>
      <w:tr w:rsidR="009219A0" w14:paraId="0B0D890E" w14:textId="77777777">
        <w:trPr>
          <w:trHeight w:val="454"/>
          <w:tblHeader/>
          <w:jc w:val="center"/>
        </w:trPr>
        <w:tc>
          <w:tcPr>
            <w:tcW w:w="694" w:type="dxa"/>
            <w:vAlign w:val="center"/>
          </w:tcPr>
          <w:p w14:paraId="7A95EFEE" w14:textId="77777777" w:rsidR="009219A0" w:rsidRDefault="009219A0">
            <w:pPr>
              <w:pStyle w:val="aff4"/>
              <w:numPr>
                <w:ilvl w:val="0"/>
                <w:numId w:val="20"/>
              </w:numPr>
              <w:topLinePunct/>
              <w:spacing w:line="240" w:lineRule="auto"/>
              <w:ind w:left="0" w:firstLineChars="0" w:firstLine="0"/>
              <w:jc w:val="center"/>
              <w:rPr>
                <w:rFonts w:ascii="宋体" w:hAnsi="宋体" w:hint="eastAsia"/>
                <w:bCs/>
                <w:color w:val="auto"/>
                <w:sz w:val="21"/>
                <w:szCs w:val="21"/>
              </w:rPr>
            </w:pPr>
          </w:p>
        </w:tc>
        <w:tc>
          <w:tcPr>
            <w:tcW w:w="3354" w:type="dxa"/>
            <w:vAlign w:val="center"/>
          </w:tcPr>
          <w:p w14:paraId="65227C2A" w14:textId="77777777" w:rsidR="009219A0" w:rsidRDefault="00000000">
            <w:pPr>
              <w:topLinePunct/>
              <w:spacing w:line="240" w:lineRule="auto"/>
              <w:ind w:firstLineChars="0" w:firstLine="0"/>
              <w:rPr>
                <w:rFonts w:ascii="宋体" w:hAnsi="宋体" w:hint="eastAsia"/>
                <w:b/>
                <w:bCs/>
                <w:color w:val="auto"/>
                <w:sz w:val="21"/>
                <w:szCs w:val="21"/>
              </w:rPr>
            </w:pPr>
            <w:r>
              <w:rPr>
                <w:rFonts w:ascii="宋体" w:hAnsi="宋体" w:hint="eastAsia"/>
                <w:bCs/>
                <w:color w:val="auto"/>
                <w:sz w:val="21"/>
                <w:szCs w:val="21"/>
              </w:rPr>
              <w:t>在正常使用环境下，不应使用国家明令禁止使用的材料制造生产设备。</w:t>
            </w:r>
          </w:p>
        </w:tc>
        <w:tc>
          <w:tcPr>
            <w:tcW w:w="1814" w:type="dxa"/>
            <w:vAlign w:val="center"/>
          </w:tcPr>
          <w:p w14:paraId="77023717"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5.2.2</w:t>
            </w:r>
          </w:p>
        </w:tc>
        <w:tc>
          <w:tcPr>
            <w:tcW w:w="2503" w:type="dxa"/>
            <w:vAlign w:val="center"/>
          </w:tcPr>
          <w:p w14:paraId="2B085369"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项目不使用对人体有危害的材料制造的生产设备。</w:t>
            </w:r>
          </w:p>
        </w:tc>
        <w:tc>
          <w:tcPr>
            <w:tcW w:w="707" w:type="dxa"/>
            <w:vAlign w:val="center"/>
          </w:tcPr>
          <w:p w14:paraId="7974A5E7"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符合要求</w:t>
            </w:r>
          </w:p>
        </w:tc>
      </w:tr>
      <w:tr w:rsidR="009219A0" w14:paraId="72C5EB92" w14:textId="77777777">
        <w:trPr>
          <w:trHeight w:val="454"/>
          <w:tblHeader/>
          <w:jc w:val="center"/>
        </w:trPr>
        <w:tc>
          <w:tcPr>
            <w:tcW w:w="694" w:type="dxa"/>
            <w:vAlign w:val="center"/>
          </w:tcPr>
          <w:p w14:paraId="214F9490" w14:textId="77777777" w:rsidR="009219A0" w:rsidRDefault="009219A0">
            <w:pPr>
              <w:pStyle w:val="aff4"/>
              <w:numPr>
                <w:ilvl w:val="0"/>
                <w:numId w:val="20"/>
              </w:numPr>
              <w:topLinePunct/>
              <w:spacing w:line="240" w:lineRule="auto"/>
              <w:ind w:left="0" w:firstLineChars="0" w:firstLine="0"/>
              <w:jc w:val="center"/>
              <w:rPr>
                <w:rFonts w:ascii="宋体" w:hAnsi="宋体" w:hint="eastAsia"/>
                <w:bCs/>
                <w:color w:val="auto"/>
                <w:sz w:val="21"/>
                <w:szCs w:val="21"/>
              </w:rPr>
            </w:pPr>
          </w:p>
        </w:tc>
        <w:tc>
          <w:tcPr>
            <w:tcW w:w="3354" w:type="dxa"/>
            <w:vAlign w:val="center"/>
          </w:tcPr>
          <w:p w14:paraId="05030DD1" w14:textId="77777777" w:rsidR="009219A0" w:rsidRDefault="00000000">
            <w:pPr>
              <w:topLinePunct/>
              <w:spacing w:line="240" w:lineRule="auto"/>
              <w:ind w:firstLineChars="0" w:firstLine="0"/>
              <w:rPr>
                <w:rFonts w:ascii="宋体" w:hAnsi="宋体" w:hint="eastAsia"/>
                <w:b/>
                <w:bCs/>
                <w:color w:val="auto"/>
                <w:sz w:val="21"/>
                <w:szCs w:val="21"/>
              </w:rPr>
            </w:pPr>
            <w:r>
              <w:rPr>
                <w:rFonts w:ascii="宋体" w:hAnsi="宋体" w:hint="eastAsia"/>
                <w:bCs/>
                <w:color w:val="auto"/>
                <w:sz w:val="21"/>
                <w:szCs w:val="21"/>
              </w:rPr>
              <w:t>不应使用能与工作介质发生反应而造成危害（火灾、爆炸危险或生成有毒、有害物质等）的材料。</w:t>
            </w:r>
          </w:p>
        </w:tc>
        <w:tc>
          <w:tcPr>
            <w:tcW w:w="1814" w:type="dxa"/>
            <w:vAlign w:val="center"/>
          </w:tcPr>
          <w:p w14:paraId="6135B290"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5.2.5</w:t>
            </w:r>
          </w:p>
        </w:tc>
        <w:tc>
          <w:tcPr>
            <w:tcW w:w="2503" w:type="dxa"/>
            <w:vAlign w:val="center"/>
          </w:tcPr>
          <w:p w14:paraId="64101B85"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项目未使用能与工作介质发生反应造成危害的材料。</w:t>
            </w:r>
          </w:p>
        </w:tc>
        <w:tc>
          <w:tcPr>
            <w:tcW w:w="707" w:type="dxa"/>
            <w:vAlign w:val="center"/>
          </w:tcPr>
          <w:p w14:paraId="58FCBC05"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符合要求</w:t>
            </w:r>
          </w:p>
        </w:tc>
      </w:tr>
      <w:tr w:rsidR="009219A0" w14:paraId="5E0F1939" w14:textId="77777777">
        <w:trPr>
          <w:trHeight w:val="454"/>
          <w:tblHeader/>
          <w:jc w:val="center"/>
        </w:trPr>
        <w:tc>
          <w:tcPr>
            <w:tcW w:w="694" w:type="dxa"/>
            <w:vAlign w:val="center"/>
          </w:tcPr>
          <w:p w14:paraId="2DEB457D" w14:textId="77777777" w:rsidR="009219A0" w:rsidRDefault="009219A0">
            <w:pPr>
              <w:pStyle w:val="aff4"/>
              <w:numPr>
                <w:ilvl w:val="0"/>
                <w:numId w:val="20"/>
              </w:numPr>
              <w:topLinePunct/>
              <w:spacing w:line="240" w:lineRule="auto"/>
              <w:ind w:left="0" w:firstLineChars="0" w:firstLine="0"/>
              <w:jc w:val="center"/>
              <w:rPr>
                <w:rFonts w:ascii="宋体" w:hAnsi="宋体" w:hint="eastAsia"/>
                <w:bCs/>
                <w:color w:val="auto"/>
                <w:sz w:val="21"/>
                <w:szCs w:val="21"/>
              </w:rPr>
            </w:pPr>
          </w:p>
        </w:tc>
        <w:tc>
          <w:tcPr>
            <w:tcW w:w="3354" w:type="dxa"/>
            <w:vAlign w:val="center"/>
          </w:tcPr>
          <w:p w14:paraId="35D59338"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实验室所有仪器/设备应按其使用物品的火灾危险性，在符合要求的建筑或房间内安装运行；建筑或房间内不得超消防批复范围存储物品。</w:t>
            </w:r>
          </w:p>
        </w:tc>
        <w:tc>
          <w:tcPr>
            <w:tcW w:w="1814" w:type="dxa"/>
            <w:vAlign w:val="center"/>
          </w:tcPr>
          <w:p w14:paraId="5D7D97C5"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《化学化工实验室安全管理规范》（T/CCSAS 005-2019）8.1</w:t>
            </w:r>
          </w:p>
        </w:tc>
        <w:tc>
          <w:tcPr>
            <w:tcW w:w="2503" w:type="dxa"/>
            <w:vAlign w:val="center"/>
          </w:tcPr>
          <w:p w14:paraId="363444E5" w14:textId="77777777" w:rsidR="009219A0" w:rsidRDefault="00000000">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实验室所有仪器、设备按其使用物品的火灾危险性在符合要求的房间内安装运行。</w:t>
            </w:r>
          </w:p>
        </w:tc>
        <w:tc>
          <w:tcPr>
            <w:tcW w:w="707" w:type="dxa"/>
            <w:vAlign w:val="center"/>
          </w:tcPr>
          <w:p w14:paraId="0E43E75A"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符合要求</w:t>
            </w:r>
          </w:p>
        </w:tc>
      </w:tr>
      <w:tr w:rsidR="009219A0" w14:paraId="4F20EB87" w14:textId="77777777">
        <w:trPr>
          <w:trHeight w:val="454"/>
          <w:tblHeader/>
          <w:jc w:val="center"/>
        </w:trPr>
        <w:tc>
          <w:tcPr>
            <w:tcW w:w="694" w:type="dxa"/>
            <w:vAlign w:val="center"/>
          </w:tcPr>
          <w:p w14:paraId="04477C06" w14:textId="77777777" w:rsidR="009219A0" w:rsidRDefault="009219A0">
            <w:pPr>
              <w:pStyle w:val="aff4"/>
              <w:numPr>
                <w:ilvl w:val="0"/>
                <w:numId w:val="20"/>
              </w:numPr>
              <w:topLinePunct/>
              <w:spacing w:line="240" w:lineRule="auto"/>
              <w:ind w:left="0" w:firstLineChars="0" w:firstLine="0"/>
              <w:jc w:val="center"/>
              <w:rPr>
                <w:rFonts w:ascii="宋体" w:hAnsi="宋体" w:hint="eastAsia"/>
                <w:bCs/>
                <w:color w:val="auto"/>
                <w:sz w:val="21"/>
                <w:szCs w:val="21"/>
              </w:rPr>
            </w:pPr>
          </w:p>
        </w:tc>
        <w:tc>
          <w:tcPr>
            <w:tcW w:w="3354" w:type="dxa"/>
            <w:vAlign w:val="center"/>
          </w:tcPr>
          <w:p w14:paraId="456D9D43"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所有仪器/设备尤其是高温、高速、强磁、低温等仪器/设备附近应有安全操作规程或作业指导书。</w:t>
            </w:r>
          </w:p>
        </w:tc>
        <w:tc>
          <w:tcPr>
            <w:tcW w:w="1814" w:type="dxa"/>
            <w:vAlign w:val="center"/>
          </w:tcPr>
          <w:p w14:paraId="1936FE31"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8.3</w:t>
            </w:r>
          </w:p>
        </w:tc>
        <w:tc>
          <w:tcPr>
            <w:tcW w:w="2503" w:type="dxa"/>
            <w:vAlign w:val="center"/>
          </w:tcPr>
          <w:p w14:paraId="6DC25206" w14:textId="77777777" w:rsidR="009219A0" w:rsidRDefault="00000000">
            <w:pPr>
              <w:topLinePunct/>
              <w:spacing w:line="240" w:lineRule="auto"/>
              <w:ind w:firstLineChars="0" w:firstLine="0"/>
              <w:rPr>
                <w:rFonts w:ascii="宋体" w:hAnsi="宋体" w:hint="eastAsia"/>
                <w:color w:val="auto"/>
                <w:sz w:val="21"/>
                <w:szCs w:val="21"/>
              </w:rPr>
            </w:pPr>
            <w:r>
              <w:rPr>
                <w:rFonts w:ascii="宋体" w:hAnsi="宋体" w:hint="eastAsia"/>
                <w:color w:val="auto"/>
                <w:kern w:val="0"/>
                <w:sz w:val="21"/>
                <w:szCs w:val="21"/>
              </w:rPr>
              <w:t>高温、高速等仪器、设备附近有作业指导书。</w:t>
            </w:r>
          </w:p>
        </w:tc>
        <w:tc>
          <w:tcPr>
            <w:tcW w:w="707" w:type="dxa"/>
            <w:vAlign w:val="center"/>
          </w:tcPr>
          <w:p w14:paraId="52D1A12C"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符合要求</w:t>
            </w:r>
          </w:p>
        </w:tc>
      </w:tr>
      <w:tr w:rsidR="009219A0" w14:paraId="3823C40E" w14:textId="77777777">
        <w:trPr>
          <w:trHeight w:val="454"/>
          <w:tblHeader/>
          <w:jc w:val="center"/>
        </w:trPr>
        <w:tc>
          <w:tcPr>
            <w:tcW w:w="694" w:type="dxa"/>
            <w:vAlign w:val="center"/>
          </w:tcPr>
          <w:p w14:paraId="3CF86C04" w14:textId="77777777" w:rsidR="009219A0" w:rsidRDefault="009219A0">
            <w:pPr>
              <w:pStyle w:val="aff4"/>
              <w:numPr>
                <w:ilvl w:val="0"/>
                <w:numId w:val="20"/>
              </w:numPr>
              <w:topLinePunct/>
              <w:spacing w:line="240" w:lineRule="auto"/>
              <w:ind w:left="0" w:firstLineChars="0" w:firstLine="0"/>
              <w:jc w:val="center"/>
              <w:rPr>
                <w:rFonts w:ascii="宋体" w:hAnsi="宋体" w:hint="eastAsia"/>
                <w:bCs/>
                <w:color w:val="auto"/>
                <w:sz w:val="21"/>
                <w:szCs w:val="21"/>
              </w:rPr>
            </w:pPr>
          </w:p>
        </w:tc>
        <w:tc>
          <w:tcPr>
            <w:tcW w:w="3354" w:type="dxa"/>
            <w:vAlign w:val="center"/>
          </w:tcPr>
          <w:p w14:paraId="2154A45B"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实验室应建立仪器/设备管理台账。</w:t>
            </w:r>
          </w:p>
        </w:tc>
        <w:tc>
          <w:tcPr>
            <w:tcW w:w="1814" w:type="dxa"/>
            <w:vAlign w:val="center"/>
          </w:tcPr>
          <w:p w14:paraId="4731F4CD"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8.4.1</w:t>
            </w:r>
          </w:p>
        </w:tc>
        <w:tc>
          <w:tcPr>
            <w:tcW w:w="2503" w:type="dxa"/>
            <w:vAlign w:val="center"/>
          </w:tcPr>
          <w:p w14:paraId="628929B9" w14:textId="77777777" w:rsidR="009219A0" w:rsidRDefault="00000000">
            <w:pPr>
              <w:topLinePunct/>
              <w:spacing w:line="240" w:lineRule="auto"/>
              <w:ind w:firstLineChars="0" w:firstLine="0"/>
              <w:rPr>
                <w:rFonts w:ascii="宋体" w:hAnsi="宋体" w:hint="eastAsia"/>
                <w:color w:val="auto"/>
                <w:sz w:val="21"/>
                <w:szCs w:val="21"/>
              </w:rPr>
            </w:pPr>
            <w:r>
              <w:rPr>
                <w:rFonts w:ascii="宋体" w:hAnsi="宋体" w:hint="eastAsia"/>
                <w:color w:val="auto"/>
                <w:kern w:val="0"/>
                <w:sz w:val="21"/>
                <w:szCs w:val="21"/>
              </w:rPr>
              <w:t>实验室已建立仪器、设备管理台账。</w:t>
            </w:r>
          </w:p>
        </w:tc>
        <w:tc>
          <w:tcPr>
            <w:tcW w:w="707" w:type="dxa"/>
            <w:vAlign w:val="center"/>
          </w:tcPr>
          <w:p w14:paraId="43128276"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bCs/>
                <w:color w:val="auto"/>
                <w:sz w:val="21"/>
                <w:szCs w:val="21"/>
              </w:rPr>
              <w:t>符合要求</w:t>
            </w:r>
          </w:p>
        </w:tc>
      </w:tr>
      <w:tr w:rsidR="009219A0" w14:paraId="41029EB4" w14:textId="77777777">
        <w:trPr>
          <w:trHeight w:val="454"/>
          <w:tblHeader/>
          <w:jc w:val="center"/>
        </w:trPr>
        <w:tc>
          <w:tcPr>
            <w:tcW w:w="694" w:type="dxa"/>
            <w:vAlign w:val="center"/>
          </w:tcPr>
          <w:p w14:paraId="4F252919" w14:textId="77777777" w:rsidR="009219A0" w:rsidRDefault="009219A0">
            <w:pPr>
              <w:pStyle w:val="aff4"/>
              <w:numPr>
                <w:ilvl w:val="0"/>
                <w:numId w:val="20"/>
              </w:numPr>
              <w:topLinePunct/>
              <w:spacing w:line="240" w:lineRule="auto"/>
              <w:ind w:left="0" w:firstLineChars="0" w:firstLine="0"/>
              <w:jc w:val="center"/>
              <w:rPr>
                <w:rFonts w:ascii="宋体" w:hAnsi="宋体" w:hint="eastAsia"/>
                <w:bCs/>
                <w:color w:val="auto"/>
                <w:sz w:val="21"/>
                <w:szCs w:val="21"/>
              </w:rPr>
            </w:pPr>
          </w:p>
        </w:tc>
        <w:tc>
          <w:tcPr>
            <w:tcW w:w="3354" w:type="dxa"/>
            <w:vAlign w:val="center"/>
          </w:tcPr>
          <w:p w14:paraId="5FA68004"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实验室仪器/设备使用、维修、维护保养时应填写相应记录。</w:t>
            </w:r>
          </w:p>
        </w:tc>
        <w:tc>
          <w:tcPr>
            <w:tcW w:w="1814" w:type="dxa"/>
            <w:vAlign w:val="center"/>
          </w:tcPr>
          <w:p w14:paraId="118A14CA"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8.4.4</w:t>
            </w:r>
          </w:p>
        </w:tc>
        <w:tc>
          <w:tcPr>
            <w:tcW w:w="2503" w:type="dxa"/>
            <w:vAlign w:val="center"/>
          </w:tcPr>
          <w:p w14:paraId="794C3C1B"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实验室仪器、设备使用、维修、维护保养时已填写相应记录。</w:t>
            </w:r>
          </w:p>
        </w:tc>
        <w:tc>
          <w:tcPr>
            <w:tcW w:w="707" w:type="dxa"/>
            <w:vAlign w:val="center"/>
          </w:tcPr>
          <w:p w14:paraId="7CAAD6E2"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bCs/>
                <w:color w:val="auto"/>
                <w:sz w:val="21"/>
                <w:szCs w:val="21"/>
              </w:rPr>
              <w:t>符合要求</w:t>
            </w:r>
          </w:p>
        </w:tc>
      </w:tr>
      <w:tr w:rsidR="009219A0" w14:paraId="2B97F3B7" w14:textId="77777777">
        <w:trPr>
          <w:trHeight w:val="454"/>
          <w:tblHeader/>
          <w:jc w:val="center"/>
        </w:trPr>
        <w:tc>
          <w:tcPr>
            <w:tcW w:w="694" w:type="dxa"/>
            <w:vAlign w:val="center"/>
          </w:tcPr>
          <w:p w14:paraId="1C8F29F2" w14:textId="77777777" w:rsidR="009219A0" w:rsidRDefault="009219A0">
            <w:pPr>
              <w:pStyle w:val="aff4"/>
              <w:numPr>
                <w:ilvl w:val="0"/>
                <w:numId w:val="20"/>
              </w:numPr>
              <w:topLinePunct/>
              <w:spacing w:line="240" w:lineRule="auto"/>
              <w:ind w:left="0" w:firstLineChars="0" w:firstLine="0"/>
              <w:jc w:val="center"/>
              <w:rPr>
                <w:rFonts w:ascii="宋体" w:hAnsi="宋体" w:hint="eastAsia"/>
                <w:bCs/>
                <w:color w:val="auto"/>
                <w:sz w:val="21"/>
                <w:szCs w:val="21"/>
              </w:rPr>
            </w:pPr>
          </w:p>
        </w:tc>
        <w:tc>
          <w:tcPr>
            <w:tcW w:w="3354" w:type="dxa"/>
            <w:vAlign w:val="center"/>
          </w:tcPr>
          <w:p w14:paraId="3B48F87D"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实验室应配备必要的安全报警系统，如火灾报警器、可燃气体报警器、有毒、有害气体报警器等。</w:t>
            </w:r>
          </w:p>
        </w:tc>
        <w:tc>
          <w:tcPr>
            <w:tcW w:w="1814" w:type="dxa"/>
            <w:vAlign w:val="center"/>
          </w:tcPr>
          <w:p w14:paraId="7971A980"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9.1.1</w:t>
            </w:r>
          </w:p>
        </w:tc>
        <w:tc>
          <w:tcPr>
            <w:tcW w:w="2503" w:type="dxa"/>
            <w:vAlign w:val="center"/>
          </w:tcPr>
          <w:p w14:paraId="18808864" w14:textId="77777777" w:rsidR="009219A0" w:rsidRDefault="00000000">
            <w:pPr>
              <w:topLinePunct/>
              <w:spacing w:line="240" w:lineRule="auto"/>
              <w:ind w:firstLineChars="0" w:firstLine="0"/>
              <w:rPr>
                <w:rFonts w:ascii="宋体" w:hAnsi="宋体" w:hint="eastAsia"/>
                <w:color w:val="auto"/>
                <w:sz w:val="21"/>
                <w:szCs w:val="21"/>
              </w:rPr>
            </w:pPr>
            <w:r>
              <w:rPr>
                <w:rFonts w:ascii="宋体" w:hAnsi="宋体" w:hint="eastAsia"/>
                <w:color w:val="auto"/>
                <w:kern w:val="0"/>
                <w:sz w:val="21"/>
                <w:szCs w:val="21"/>
              </w:rPr>
              <w:t>实验室配备必要的安全报警系统，如有毒、有害气体报警器等。</w:t>
            </w:r>
          </w:p>
        </w:tc>
        <w:tc>
          <w:tcPr>
            <w:tcW w:w="707" w:type="dxa"/>
            <w:vAlign w:val="center"/>
          </w:tcPr>
          <w:p w14:paraId="15FD2598"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bCs/>
                <w:color w:val="auto"/>
                <w:sz w:val="21"/>
                <w:szCs w:val="21"/>
              </w:rPr>
              <w:t>符合要求</w:t>
            </w:r>
          </w:p>
        </w:tc>
      </w:tr>
      <w:tr w:rsidR="009219A0" w14:paraId="1A4FFD28" w14:textId="77777777">
        <w:trPr>
          <w:trHeight w:val="454"/>
          <w:tblHeader/>
          <w:jc w:val="center"/>
        </w:trPr>
        <w:tc>
          <w:tcPr>
            <w:tcW w:w="694" w:type="dxa"/>
            <w:vAlign w:val="center"/>
          </w:tcPr>
          <w:p w14:paraId="7F6D6F7F" w14:textId="77777777" w:rsidR="009219A0" w:rsidRDefault="009219A0">
            <w:pPr>
              <w:pStyle w:val="aff4"/>
              <w:numPr>
                <w:ilvl w:val="0"/>
                <w:numId w:val="20"/>
              </w:numPr>
              <w:topLinePunct/>
              <w:spacing w:line="240" w:lineRule="auto"/>
              <w:ind w:left="0" w:firstLineChars="0" w:firstLine="0"/>
              <w:jc w:val="center"/>
              <w:rPr>
                <w:rFonts w:ascii="宋体" w:hAnsi="宋体" w:hint="eastAsia"/>
                <w:bCs/>
                <w:color w:val="auto"/>
                <w:sz w:val="21"/>
                <w:szCs w:val="21"/>
              </w:rPr>
            </w:pPr>
          </w:p>
        </w:tc>
        <w:tc>
          <w:tcPr>
            <w:tcW w:w="3354" w:type="dxa"/>
            <w:vAlign w:val="center"/>
          </w:tcPr>
          <w:p w14:paraId="245B47EF"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不得使用国家明令淘汰、禁止使用的危及生产安全的设备。</w:t>
            </w:r>
          </w:p>
        </w:tc>
        <w:tc>
          <w:tcPr>
            <w:tcW w:w="1814" w:type="dxa"/>
            <w:vAlign w:val="center"/>
          </w:tcPr>
          <w:p w14:paraId="5CE36BC5"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《关于印发淘汰落后安全技术工艺、设备目录（2016年）的通知》（安监总局〔2016〕137号）</w:t>
            </w:r>
          </w:p>
        </w:tc>
        <w:tc>
          <w:tcPr>
            <w:tcW w:w="2503" w:type="dxa"/>
            <w:vAlign w:val="center"/>
          </w:tcPr>
          <w:p w14:paraId="1BAA5D81"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bCs/>
                <w:color w:val="auto"/>
                <w:sz w:val="21"/>
                <w:szCs w:val="21"/>
              </w:rPr>
              <w:t>各检测工艺及设备</w:t>
            </w:r>
            <w:r>
              <w:rPr>
                <w:rFonts w:ascii="宋体" w:hAnsi="宋体" w:hint="eastAsia"/>
                <w:bCs/>
                <w:color w:val="auto"/>
                <w:sz w:val="21"/>
                <w:szCs w:val="21"/>
              </w:rPr>
              <w:t>不属于</w:t>
            </w:r>
            <w:r>
              <w:rPr>
                <w:rFonts w:ascii="宋体" w:hAnsi="宋体"/>
                <w:bCs/>
                <w:color w:val="auto"/>
                <w:sz w:val="21"/>
                <w:szCs w:val="21"/>
              </w:rPr>
              <w:t>国家</w:t>
            </w:r>
            <w:r>
              <w:rPr>
                <w:rFonts w:ascii="宋体" w:hAnsi="宋体" w:hint="eastAsia"/>
                <w:bCs/>
                <w:color w:val="auto"/>
                <w:sz w:val="21"/>
                <w:szCs w:val="21"/>
              </w:rPr>
              <w:t>明令禁止使用或淘汰的。</w:t>
            </w:r>
          </w:p>
        </w:tc>
        <w:tc>
          <w:tcPr>
            <w:tcW w:w="707" w:type="dxa"/>
            <w:vAlign w:val="center"/>
          </w:tcPr>
          <w:p w14:paraId="71D1D7C8"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符合要求</w:t>
            </w:r>
          </w:p>
        </w:tc>
      </w:tr>
    </w:tbl>
    <w:p w14:paraId="09AFB7C8" w14:textId="77777777" w:rsidR="009219A0" w:rsidRDefault="00000000">
      <w:pPr>
        <w:ind w:firstLine="560"/>
        <w:rPr>
          <w:color w:val="auto"/>
        </w:rPr>
      </w:pPr>
      <w:r>
        <w:rPr>
          <w:rFonts w:hint="eastAsia"/>
          <w:color w:val="auto"/>
        </w:rPr>
        <w:t>通过对项目工艺及设备进行检查，共检查</w:t>
      </w:r>
      <w:r>
        <w:rPr>
          <w:rFonts w:hint="eastAsia"/>
          <w:color w:val="auto"/>
        </w:rPr>
        <w:t>13</w:t>
      </w:r>
      <w:r>
        <w:rPr>
          <w:rFonts w:hint="eastAsia"/>
          <w:color w:val="auto"/>
        </w:rPr>
        <w:t>项，全部符合要求。</w:t>
      </w:r>
    </w:p>
    <w:p w14:paraId="352A3BBD" w14:textId="77777777" w:rsidR="009219A0" w:rsidRDefault="00000000">
      <w:pPr>
        <w:pStyle w:val="3"/>
        <w:rPr>
          <w:rFonts w:hint="eastAsia"/>
        </w:rPr>
      </w:pPr>
      <w:bookmarkStart w:id="346" w:name="_Toc211950527"/>
      <w:r>
        <w:rPr>
          <w:rFonts w:hint="eastAsia"/>
        </w:rPr>
        <w:t>5.2.2 单元小结</w:t>
      </w:r>
      <w:bookmarkEnd w:id="346"/>
    </w:p>
    <w:p w14:paraId="30429176" w14:textId="77777777" w:rsidR="009219A0" w:rsidRDefault="00000000">
      <w:pPr>
        <w:ind w:firstLine="560"/>
        <w:rPr>
          <w:color w:val="auto"/>
        </w:rPr>
      </w:pPr>
      <w:r>
        <w:rPr>
          <w:rFonts w:hint="eastAsia"/>
          <w:color w:val="auto"/>
        </w:rPr>
        <w:t>本项目工艺、设备为国内成熟工艺、设备生产，不属于国家明令禁止使用或淘汰的。生产设备为正规厂家生产，生产设施、设备安全维护符合相关要求，生产工艺过程及作业场所符合相关安全规范。</w:t>
      </w:r>
    </w:p>
    <w:p w14:paraId="04D32081" w14:textId="77777777" w:rsidR="009219A0" w:rsidRDefault="00000000">
      <w:pPr>
        <w:pStyle w:val="2"/>
        <w:rPr>
          <w:rFonts w:hint="eastAsia"/>
        </w:rPr>
      </w:pPr>
      <w:bookmarkStart w:id="347" w:name="_Toc165281491"/>
      <w:bookmarkStart w:id="348" w:name="_Toc211950528"/>
      <w:r>
        <w:rPr>
          <w:rFonts w:hint="eastAsia"/>
        </w:rPr>
        <w:t>5.3 公用工程及辅助设施单元评价</w:t>
      </w:r>
      <w:bookmarkEnd w:id="347"/>
      <w:bookmarkEnd w:id="348"/>
    </w:p>
    <w:p w14:paraId="3292B707" w14:textId="77777777" w:rsidR="009219A0" w:rsidRDefault="00000000">
      <w:pPr>
        <w:pStyle w:val="3"/>
        <w:rPr>
          <w:rFonts w:hint="eastAsia"/>
        </w:rPr>
      </w:pPr>
      <w:bookmarkStart w:id="349" w:name="_Toc211950529"/>
      <w:r>
        <w:rPr>
          <w:rFonts w:hint="eastAsia"/>
        </w:rPr>
        <w:t>5.3.1 供配电系统安全评价</w:t>
      </w:r>
      <w:bookmarkEnd w:id="349"/>
    </w:p>
    <w:p w14:paraId="418449EE" w14:textId="77777777" w:rsidR="009219A0" w:rsidRDefault="00000000">
      <w:pPr>
        <w:ind w:firstLine="560"/>
        <w:rPr>
          <w:color w:val="auto"/>
        </w:rPr>
      </w:pPr>
      <w:r>
        <w:rPr>
          <w:rFonts w:hint="eastAsia"/>
          <w:color w:val="auto"/>
        </w:rPr>
        <w:t>本节根据《低压配电设计规范》（</w:t>
      </w:r>
      <w:r>
        <w:rPr>
          <w:rFonts w:hint="eastAsia"/>
          <w:color w:val="auto"/>
        </w:rPr>
        <w:t>GB 50054-2011</w:t>
      </w:r>
      <w:r>
        <w:rPr>
          <w:rFonts w:hint="eastAsia"/>
          <w:color w:val="auto"/>
        </w:rPr>
        <w:t>）、《供配电系统设计规范》（</w:t>
      </w:r>
      <w:r>
        <w:rPr>
          <w:rFonts w:hint="eastAsia"/>
          <w:color w:val="auto"/>
        </w:rPr>
        <w:t>GB 50052-2009</w:t>
      </w:r>
      <w:r>
        <w:rPr>
          <w:rFonts w:hint="eastAsia"/>
          <w:color w:val="auto"/>
        </w:rPr>
        <w:t>）、《化学化工实验室安全管理规范》（</w:t>
      </w:r>
      <w:r>
        <w:rPr>
          <w:rFonts w:hint="eastAsia"/>
          <w:color w:val="auto"/>
        </w:rPr>
        <w:t>T/CCSAS 005-2019</w:t>
      </w:r>
      <w:r>
        <w:rPr>
          <w:rFonts w:hint="eastAsia"/>
          <w:color w:val="auto"/>
        </w:rPr>
        <w:t>）等标准、规范的要求，对中试车间及实验室配电系统进行安全检</w:t>
      </w:r>
      <w:r>
        <w:rPr>
          <w:rFonts w:hint="eastAsia"/>
          <w:color w:val="auto"/>
        </w:rPr>
        <w:lastRenderedPageBreak/>
        <w:t>查，具体检查情况见附表</w:t>
      </w:r>
      <w:r>
        <w:rPr>
          <w:rFonts w:hint="eastAsia"/>
          <w:color w:val="auto"/>
        </w:rPr>
        <w:t>5.3-1</w:t>
      </w:r>
      <w:r>
        <w:rPr>
          <w:rFonts w:hint="eastAsia"/>
          <w:color w:val="auto"/>
        </w:rPr>
        <w:t>。</w:t>
      </w:r>
    </w:p>
    <w:p w14:paraId="0B1506C2" w14:textId="77777777" w:rsidR="009219A0" w:rsidRDefault="00000000">
      <w:pPr>
        <w:widowControl/>
        <w:adjustRightInd/>
        <w:snapToGrid/>
        <w:spacing w:line="240" w:lineRule="auto"/>
        <w:ind w:firstLineChars="0" w:firstLine="0"/>
        <w:jc w:val="center"/>
        <w:rPr>
          <w:rFonts w:ascii="宋体" w:hAnsi="宋体" w:hint="eastAsia"/>
          <w:color w:val="auto"/>
          <w:szCs w:val="21"/>
        </w:rPr>
      </w:pPr>
      <w:r>
        <w:rPr>
          <w:rFonts w:ascii="宋体" w:hAnsi="宋体" w:hint="eastAsia"/>
          <w:color w:val="auto"/>
          <w:szCs w:val="21"/>
        </w:rPr>
        <w:t>附表5.3-1  供配电系统安全检查表</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1"/>
        <w:gridCol w:w="4168"/>
        <w:gridCol w:w="1701"/>
        <w:gridCol w:w="1549"/>
        <w:gridCol w:w="1143"/>
      </w:tblGrid>
      <w:tr w:rsidR="009219A0" w14:paraId="30AEFB84" w14:textId="77777777">
        <w:trPr>
          <w:trHeight w:val="340"/>
          <w:tblHeader/>
          <w:jc w:val="center"/>
        </w:trPr>
        <w:tc>
          <w:tcPr>
            <w:tcW w:w="511" w:type="dxa"/>
            <w:vAlign w:val="center"/>
          </w:tcPr>
          <w:p w14:paraId="40B0E50B"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序号</w:t>
            </w:r>
          </w:p>
        </w:tc>
        <w:tc>
          <w:tcPr>
            <w:tcW w:w="4168" w:type="dxa"/>
            <w:vAlign w:val="center"/>
          </w:tcPr>
          <w:p w14:paraId="5D4FA30C" w14:textId="77777777" w:rsidR="009219A0" w:rsidRDefault="00000000">
            <w:pPr>
              <w:topLinePunct/>
              <w:spacing w:line="240" w:lineRule="auto"/>
              <w:ind w:firstLineChars="0" w:firstLine="0"/>
              <w:jc w:val="center"/>
              <w:rPr>
                <w:rFonts w:ascii="宋体" w:hAnsi="宋体" w:cs="Arial Unicode MS" w:hint="eastAsia"/>
                <w:b/>
                <w:color w:val="auto"/>
                <w:sz w:val="21"/>
                <w:szCs w:val="21"/>
              </w:rPr>
            </w:pPr>
            <w:r>
              <w:rPr>
                <w:rFonts w:ascii="宋体" w:hAnsi="宋体" w:hint="eastAsia"/>
                <w:b/>
                <w:color w:val="auto"/>
                <w:sz w:val="21"/>
                <w:szCs w:val="21"/>
              </w:rPr>
              <w:t>检查项目及内容</w:t>
            </w:r>
          </w:p>
        </w:tc>
        <w:tc>
          <w:tcPr>
            <w:tcW w:w="1701" w:type="dxa"/>
            <w:vAlign w:val="center"/>
          </w:tcPr>
          <w:p w14:paraId="532EEB36" w14:textId="77777777" w:rsidR="009219A0" w:rsidRDefault="00000000">
            <w:pPr>
              <w:topLinePunct/>
              <w:spacing w:line="240" w:lineRule="auto"/>
              <w:ind w:firstLineChars="0" w:firstLine="0"/>
              <w:jc w:val="center"/>
              <w:rPr>
                <w:rFonts w:ascii="宋体" w:hAnsi="宋体" w:cs="Arial Unicode MS" w:hint="eastAsia"/>
                <w:b/>
                <w:color w:val="auto"/>
                <w:sz w:val="21"/>
                <w:szCs w:val="21"/>
              </w:rPr>
            </w:pPr>
            <w:r>
              <w:rPr>
                <w:rFonts w:ascii="宋体" w:hAnsi="宋体" w:hint="eastAsia"/>
                <w:b/>
                <w:color w:val="auto"/>
                <w:sz w:val="21"/>
                <w:szCs w:val="21"/>
              </w:rPr>
              <w:t>检查依据</w:t>
            </w:r>
          </w:p>
        </w:tc>
        <w:tc>
          <w:tcPr>
            <w:tcW w:w="1549" w:type="dxa"/>
            <w:vAlign w:val="center"/>
          </w:tcPr>
          <w:p w14:paraId="4A024704" w14:textId="77777777" w:rsidR="009219A0" w:rsidRDefault="00000000">
            <w:pPr>
              <w:topLinePunct/>
              <w:spacing w:line="240" w:lineRule="auto"/>
              <w:ind w:firstLineChars="0" w:firstLine="0"/>
              <w:jc w:val="center"/>
              <w:rPr>
                <w:rFonts w:ascii="宋体" w:hAnsi="宋体" w:cs="Arial Unicode MS" w:hint="eastAsia"/>
                <w:b/>
                <w:color w:val="auto"/>
                <w:sz w:val="21"/>
                <w:szCs w:val="21"/>
              </w:rPr>
            </w:pPr>
            <w:r>
              <w:rPr>
                <w:rFonts w:ascii="宋体" w:hAnsi="宋体" w:hint="eastAsia"/>
                <w:b/>
                <w:color w:val="auto"/>
                <w:sz w:val="21"/>
                <w:szCs w:val="21"/>
              </w:rPr>
              <w:t>检查情况</w:t>
            </w:r>
          </w:p>
        </w:tc>
        <w:tc>
          <w:tcPr>
            <w:tcW w:w="1143" w:type="dxa"/>
            <w:vAlign w:val="center"/>
          </w:tcPr>
          <w:p w14:paraId="546B3A78" w14:textId="77777777" w:rsidR="009219A0" w:rsidRDefault="00000000">
            <w:pPr>
              <w:topLinePunct/>
              <w:spacing w:line="240" w:lineRule="auto"/>
              <w:ind w:firstLineChars="0" w:firstLine="0"/>
              <w:jc w:val="center"/>
              <w:rPr>
                <w:rFonts w:ascii="宋体" w:hAnsi="宋体" w:hint="eastAsia"/>
                <w:b/>
                <w:color w:val="auto"/>
                <w:sz w:val="21"/>
                <w:szCs w:val="21"/>
              </w:rPr>
            </w:pPr>
            <w:r>
              <w:rPr>
                <w:rFonts w:ascii="宋体" w:hAnsi="宋体" w:hint="eastAsia"/>
                <w:b/>
                <w:color w:val="auto"/>
                <w:sz w:val="21"/>
                <w:szCs w:val="21"/>
              </w:rPr>
              <w:t>检查结果</w:t>
            </w:r>
          </w:p>
        </w:tc>
      </w:tr>
      <w:tr w:rsidR="009219A0" w14:paraId="729AB46B" w14:textId="77777777">
        <w:trPr>
          <w:trHeight w:val="340"/>
          <w:tblHeader/>
          <w:jc w:val="center"/>
        </w:trPr>
        <w:tc>
          <w:tcPr>
            <w:tcW w:w="511" w:type="dxa"/>
            <w:vAlign w:val="center"/>
          </w:tcPr>
          <w:p w14:paraId="43F3BC56"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4168" w:type="dxa"/>
            <w:vAlign w:val="center"/>
          </w:tcPr>
          <w:p w14:paraId="788D10B9"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电力负荷应根据对供电可靠性的要求及中断供电在政治、经济上所造成损失或影响的程度进行分级，并应符合下列规定：</w:t>
            </w:r>
          </w:p>
          <w:p w14:paraId="56C76F1C"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1、符合下列情况之一时，应视为二级负荷：</w:t>
            </w:r>
          </w:p>
          <w:p w14:paraId="3BFE6036"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1)中断供电将在经济上造成较大损失时；</w:t>
            </w:r>
          </w:p>
          <w:p w14:paraId="28BDC5B2"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2)中断供电将影响较重要用电单位的正常工作；</w:t>
            </w:r>
          </w:p>
          <w:p w14:paraId="1355FB7C"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2、不属于一级和二级负荷者应为三级负荷。</w:t>
            </w:r>
          </w:p>
        </w:tc>
        <w:tc>
          <w:tcPr>
            <w:tcW w:w="1701" w:type="dxa"/>
            <w:vAlign w:val="center"/>
          </w:tcPr>
          <w:p w14:paraId="649D71E7"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供配电系统设计规范</w:t>
            </w:r>
            <w:proofErr w:type="gramStart"/>
            <w:r>
              <w:rPr>
                <w:rFonts w:ascii="宋体" w:hAnsi="宋体" w:hint="eastAsia"/>
                <w:color w:val="auto"/>
                <w:sz w:val="21"/>
                <w:szCs w:val="21"/>
              </w:rPr>
              <w:t>》</w:t>
            </w:r>
            <w:proofErr w:type="gramEnd"/>
            <w:r>
              <w:rPr>
                <w:rFonts w:ascii="宋体" w:hAnsi="宋体" w:hint="eastAsia"/>
                <w:color w:val="auto"/>
                <w:sz w:val="21"/>
                <w:szCs w:val="21"/>
              </w:rPr>
              <w:t>GB 50052-2009</w:t>
            </w:r>
          </w:p>
          <w:p w14:paraId="07278B0E"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3.0.1</w:t>
            </w:r>
          </w:p>
        </w:tc>
        <w:tc>
          <w:tcPr>
            <w:tcW w:w="1549" w:type="dxa"/>
            <w:vAlign w:val="center"/>
          </w:tcPr>
          <w:p w14:paraId="130E4D4A" w14:textId="77777777" w:rsidR="009219A0" w:rsidRDefault="00000000">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本项目生产用电负荷为三级，消防用电负荷为二级。</w:t>
            </w:r>
          </w:p>
        </w:tc>
        <w:tc>
          <w:tcPr>
            <w:tcW w:w="1143" w:type="dxa"/>
            <w:vAlign w:val="center"/>
          </w:tcPr>
          <w:p w14:paraId="26B7C203"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9219A0" w14:paraId="6392C5B8" w14:textId="77777777">
        <w:trPr>
          <w:trHeight w:val="340"/>
          <w:tblHeader/>
          <w:jc w:val="center"/>
        </w:trPr>
        <w:tc>
          <w:tcPr>
            <w:tcW w:w="511" w:type="dxa"/>
            <w:vAlign w:val="center"/>
          </w:tcPr>
          <w:p w14:paraId="34086A14"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w:t>
            </w:r>
          </w:p>
        </w:tc>
        <w:tc>
          <w:tcPr>
            <w:tcW w:w="4168" w:type="dxa"/>
            <w:vAlign w:val="center"/>
          </w:tcPr>
          <w:p w14:paraId="41DA48D3"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带电导体系统的型式，宜采用单相二线制、两相三线制、三相三线制和三线四线制。低压配电系统接地型式，可采用TN系统、TT系统和IT系统</w:t>
            </w:r>
          </w:p>
        </w:tc>
        <w:tc>
          <w:tcPr>
            <w:tcW w:w="1701" w:type="dxa"/>
            <w:vAlign w:val="center"/>
          </w:tcPr>
          <w:p w14:paraId="6E288C09"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GB 50052-2009</w:t>
            </w:r>
          </w:p>
          <w:p w14:paraId="249116C1" w14:textId="77777777" w:rsidR="009219A0" w:rsidRDefault="00000000">
            <w:pPr>
              <w:topLinePunct/>
              <w:spacing w:line="240" w:lineRule="auto"/>
              <w:ind w:firstLineChars="0" w:firstLine="0"/>
              <w:jc w:val="left"/>
              <w:rPr>
                <w:rFonts w:ascii="宋体" w:hAnsi="宋体" w:hint="eastAsia"/>
                <w:color w:val="auto"/>
                <w:sz w:val="21"/>
                <w:szCs w:val="21"/>
              </w:rPr>
            </w:pPr>
            <w:bookmarkStart w:id="350" w:name="_Toc528335529"/>
            <w:bookmarkStart w:id="351" w:name="_Toc528656295"/>
            <w:bookmarkStart w:id="352" w:name="_Toc12003998"/>
            <w:bookmarkStart w:id="353" w:name="_Toc5915990"/>
            <w:bookmarkStart w:id="354" w:name="_Toc531615486"/>
            <w:r>
              <w:rPr>
                <w:rFonts w:ascii="宋体" w:hAnsi="宋体" w:hint="eastAsia"/>
                <w:color w:val="auto"/>
                <w:sz w:val="21"/>
                <w:szCs w:val="21"/>
              </w:rPr>
              <w:t>7.0.1</w:t>
            </w:r>
            <w:bookmarkEnd w:id="350"/>
            <w:bookmarkEnd w:id="351"/>
            <w:bookmarkEnd w:id="352"/>
            <w:bookmarkEnd w:id="353"/>
            <w:bookmarkEnd w:id="354"/>
          </w:p>
        </w:tc>
        <w:tc>
          <w:tcPr>
            <w:tcW w:w="1549" w:type="dxa"/>
            <w:vAlign w:val="center"/>
          </w:tcPr>
          <w:p w14:paraId="6D22A9BA"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采用TN-S系统。</w:t>
            </w:r>
          </w:p>
        </w:tc>
        <w:tc>
          <w:tcPr>
            <w:tcW w:w="1143" w:type="dxa"/>
            <w:vAlign w:val="center"/>
          </w:tcPr>
          <w:p w14:paraId="65D62693"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9219A0" w14:paraId="4C6B547F" w14:textId="77777777">
        <w:trPr>
          <w:trHeight w:val="340"/>
          <w:tblHeader/>
          <w:jc w:val="center"/>
        </w:trPr>
        <w:tc>
          <w:tcPr>
            <w:tcW w:w="511" w:type="dxa"/>
            <w:vAlign w:val="center"/>
          </w:tcPr>
          <w:p w14:paraId="10B80867"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3</w:t>
            </w:r>
          </w:p>
        </w:tc>
        <w:tc>
          <w:tcPr>
            <w:tcW w:w="4168" w:type="dxa"/>
            <w:vAlign w:val="center"/>
          </w:tcPr>
          <w:p w14:paraId="7F2701C0"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一般条件下，用电产品的周围应留有足够的安全通道及工作空间，且不应堆放易燃、易爆和腐蚀性物品。</w:t>
            </w:r>
          </w:p>
        </w:tc>
        <w:tc>
          <w:tcPr>
            <w:tcW w:w="1701" w:type="dxa"/>
            <w:vAlign w:val="center"/>
          </w:tcPr>
          <w:p w14:paraId="167B14A5" w14:textId="77777777" w:rsidR="009219A0" w:rsidRDefault="00000000">
            <w:pPr>
              <w:topLinePunct/>
              <w:spacing w:line="240" w:lineRule="auto"/>
              <w:ind w:firstLineChars="0" w:firstLine="0"/>
              <w:jc w:val="left"/>
              <w:rPr>
                <w:rFonts w:ascii="宋体" w:hAnsi="宋体" w:cs="Tahoma" w:hint="eastAsia"/>
                <w:color w:val="auto"/>
                <w:sz w:val="21"/>
                <w:szCs w:val="21"/>
              </w:rPr>
            </w:pPr>
            <w:r>
              <w:rPr>
                <w:rFonts w:ascii="宋体" w:hAnsi="宋体" w:cs="Tahoma" w:hint="eastAsia"/>
                <w:color w:val="auto"/>
                <w:sz w:val="21"/>
                <w:szCs w:val="21"/>
              </w:rPr>
              <w:t>《用电安全导则》GB/T 13869-2017</w:t>
            </w:r>
          </w:p>
          <w:p w14:paraId="0AD3B504" w14:textId="77777777" w:rsidR="009219A0" w:rsidRDefault="00000000">
            <w:pPr>
              <w:topLinePunct/>
              <w:spacing w:line="240" w:lineRule="auto"/>
              <w:ind w:firstLineChars="0" w:firstLine="0"/>
              <w:jc w:val="left"/>
              <w:rPr>
                <w:rFonts w:ascii="宋体" w:hAnsi="宋体" w:cs="Tahoma" w:hint="eastAsia"/>
                <w:color w:val="auto"/>
                <w:sz w:val="21"/>
                <w:szCs w:val="21"/>
              </w:rPr>
            </w:pPr>
            <w:r>
              <w:rPr>
                <w:rFonts w:ascii="宋体" w:hAnsi="宋体" w:cs="Tahoma" w:hint="eastAsia"/>
                <w:color w:val="auto"/>
                <w:sz w:val="21"/>
                <w:szCs w:val="21"/>
              </w:rPr>
              <w:t>5.1.1</w:t>
            </w:r>
          </w:p>
        </w:tc>
        <w:tc>
          <w:tcPr>
            <w:tcW w:w="1549" w:type="dxa"/>
            <w:vAlign w:val="center"/>
          </w:tcPr>
          <w:p w14:paraId="76D42155"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用电设备周围未堆放易燃、易爆物料。</w:t>
            </w:r>
          </w:p>
        </w:tc>
        <w:tc>
          <w:tcPr>
            <w:tcW w:w="1143" w:type="dxa"/>
            <w:vAlign w:val="center"/>
          </w:tcPr>
          <w:p w14:paraId="430FB3A3"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9219A0" w14:paraId="4BF45CF1" w14:textId="77777777">
        <w:trPr>
          <w:trHeight w:val="340"/>
          <w:tblHeader/>
          <w:jc w:val="center"/>
        </w:trPr>
        <w:tc>
          <w:tcPr>
            <w:tcW w:w="511" w:type="dxa"/>
            <w:vAlign w:val="center"/>
          </w:tcPr>
          <w:p w14:paraId="4C9575A3"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4</w:t>
            </w:r>
          </w:p>
        </w:tc>
        <w:tc>
          <w:tcPr>
            <w:tcW w:w="4168" w:type="dxa"/>
            <w:vAlign w:val="center"/>
          </w:tcPr>
          <w:p w14:paraId="1CCEBE77"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在爆炸性环境内，电气设备应根据下列因素进行选择：</w:t>
            </w:r>
          </w:p>
          <w:p w14:paraId="426DA350"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1 爆炸危险区域的分区；</w:t>
            </w:r>
          </w:p>
          <w:p w14:paraId="031F03DD"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2 可燃性物质和可燃性粉尘的分级；</w:t>
            </w:r>
          </w:p>
          <w:p w14:paraId="57E3F9EB"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3 可燃性物质的引燃温度；</w:t>
            </w:r>
          </w:p>
          <w:p w14:paraId="5FF794E6"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4 可燃性粉尘云、可燃性粉尘层的最低引燃温度。</w:t>
            </w:r>
          </w:p>
        </w:tc>
        <w:tc>
          <w:tcPr>
            <w:tcW w:w="1701" w:type="dxa"/>
            <w:vAlign w:val="center"/>
          </w:tcPr>
          <w:p w14:paraId="381814F2"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《爆炸危险环境电力装置设计规范》GB50058-2014</w:t>
            </w:r>
          </w:p>
          <w:p w14:paraId="0EE85624"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color w:val="auto"/>
                <w:sz w:val="21"/>
                <w:szCs w:val="21"/>
              </w:rPr>
              <w:t>5.2.1</w:t>
            </w:r>
          </w:p>
        </w:tc>
        <w:tc>
          <w:tcPr>
            <w:tcW w:w="1549" w:type="dxa"/>
            <w:vAlign w:val="center"/>
          </w:tcPr>
          <w:p w14:paraId="023D6ED6"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项目不涉及爆炸性环境。</w:t>
            </w:r>
          </w:p>
        </w:tc>
        <w:tc>
          <w:tcPr>
            <w:tcW w:w="1143" w:type="dxa"/>
            <w:vAlign w:val="center"/>
          </w:tcPr>
          <w:p w14:paraId="09D1AD5C"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9219A0" w14:paraId="37F419D7" w14:textId="77777777">
        <w:trPr>
          <w:trHeight w:val="340"/>
          <w:tblHeader/>
          <w:jc w:val="center"/>
        </w:trPr>
        <w:tc>
          <w:tcPr>
            <w:tcW w:w="511" w:type="dxa"/>
            <w:vAlign w:val="center"/>
          </w:tcPr>
          <w:p w14:paraId="789E750F"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5</w:t>
            </w:r>
          </w:p>
        </w:tc>
        <w:tc>
          <w:tcPr>
            <w:tcW w:w="4168" w:type="dxa"/>
            <w:vAlign w:val="center"/>
          </w:tcPr>
          <w:p w14:paraId="71FDCA77"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爆炸危险环境内采用的低压电缆和绝缘导线，其额定电压必须高于线路的工作电压，且不得低于5</w:t>
            </w:r>
            <w:r>
              <w:rPr>
                <w:rFonts w:ascii="宋体" w:hAnsi="宋体"/>
                <w:color w:val="auto"/>
                <w:sz w:val="21"/>
                <w:szCs w:val="21"/>
              </w:rPr>
              <w:t>00V</w:t>
            </w:r>
            <w:r>
              <w:rPr>
                <w:rFonts w:ascii="宋体" w:hAnsi="宋体" w:hint="eastAsia"/>
                <w:color w:val="auto"/>
                <w:sz w:val="21"/>
                <w:szCs w:val="21"/>
              </w:rPr>
              <w:t>，绝缘导线必须敷设于钢管内。</w:t>
            </w:r>
          </w:p>
        </w:tc>
        <w:tc>
          <w:tcPr>
            <w:tcW w:w="1701" w:type="dxa"/>
            <w:vAlign w:val="center"/>
          </w:tcPr>
          <w:p w14:paraId="304D278D"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《电气装置安装工程 爆炸和火灾危险环境电气装置施工及验收规范》</w:t>
            </w:r>
          </w:p>
          <w:p w14:paraId="1AF30A7E"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GB 50257-2014</w:t>
            </w:r>
          </w:p>
          <w:p w14:paraId="78E63513"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color w:val="auto"/>
                <w:sz w:val="21"/>
                <w:szCs w:val="21"/>
              </w:rPr>
              <w:t>5.1.3</w:t>
            </w:r>
          </w:p>
        </w:tc>
        <w:tc>
          <w:tcPr>
            <w:tcW w:w="1549" w:type="dxa"/>
            <w:vAlign w:val="center"/>
          </w:tcPr>
          <w:p w14:paraId="328F07AC"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项目电源线路穿套管敷设。</w:t>
            </w:r>
          </w:p>
        </w:tc>
        <w:tc>
          <w:tcPr>
            <w:tcW w:w="1143" w:type="dxa"/>
            <w:vAlign w:val="center"/>
          </w:tcPr>
          <w:p w14:paraId="34262F5F"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9219A0" w14:paraId="3259D4E9" w14:textId="77777777">
        <w:trPr>
          <w:trHeight w:val="340"/>
          <w:tblHeader/>
          <w:jc w:val="center"/>
        </w:trPr>
        <w:tc>
          <w:tcPr>
            <w:tcW w:w="511" w:type="dxa"/>
            <w:vAlign w:val="center"/>
          </w:tcPr>
          <w:p w14:paraId="2A902E24"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6</w:t>
            </w:r>
          </w:p>
        </w:tc>
        <w:tc>
          <w:tcPr>
            <w:tcW w:w="4168" w:type="dxa"/>
            <w:vAlign w:val="center"/>
          </w:tcPr>
          <w:p w14:paraId="7846D72B" w14:textId="77777777" w:rsidR="009219A0" w:rsidRDefault="00000000">
            <w:pPr>
              <w:topLinePunct/>
              <w:spacing w:line="240" w:lineRule="auto"/>
              <w:ind w:firstLineChars="0" w:firstLine="0"/>
              <w:jc w:val="left"/>
              <w:rPr>
                <w:rFonts w:ascii="宋体" w:hAnsi="宋体" w:hint="eastAsia"/>
                <w:color w:val="auto"/>
                <w:sz w:val="21"/>
                <w:szCs w:val="21"/>
              </w:rPr>
            </w:pPr>
            <w:proofErr w:type="gramStart"/>
            <w:r>
              <w:rPr>
                <w:rFonts w:ascii="宋体" w:hAnsi="宋体" w:hint="eastAsia"/>
                <w:color w:val="auto"/>
                <w:sz w:val="21"/>
                <w:szCs w:val="21"/>
              </w:rPr>
              <w:t>无铠装</w:t>
            </w:r>
            <w:proofErr w:type="gramEnd"/>
            <w:r>
              <w:rPr>
                <w:rFonts w:ascii="宋体" w:hAnsi="宋体" w:hint="eastAsia"/>
                <w:color w:val="auto"/>
                <w:sz w:val="21"/>
                <w:szCs w:val="21"/>
              </w:rPr>
              <w:t>的电缆在屋内明敷，除明敷在电气专用房间外，水平敷设时，与地面的距离不应小于2.5m；垂直敷设时，与地面的距离不应小于1.8m；当不能满足上述要求时，应采取防止电缆机械损伤的措施。</w:t>
            </w:r>
          </w:p>
        </w:tc>
        <w:tc>
          <w:tcPr>
            <w:tcW w:w="1701" w:type="dxa"/>
            <w:vAlign w:val="center"/>
          </w:tcPr>
          <w:p w14:paraId="50B98062"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GB 50054-2011</w:t>
            </w:r>
          </w:p>
          <w:p w14:paraId="777F21DD"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7.6.8</w:t>
            </w:r>
          </w:p>
        </w:tc>
        <w:tc>
          <w:tcPr>
            <w:tcW w:w="1549" w:type="dxa"/>
            <w:vAlign w:val="center"/>
          </w:tcPr>
          <w:p w14:paraId="63431B90"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电缆穿管进行保护。</w:t>
            </w:r>
          </w:p>
        </w:tc>
        <w:tc>
          <w:tcPr>
            <w:tcW w:w="1143" w:type="dxa"/>
            <w:vAlign w:val="center"/>
          </w:tcPr>
          <w:p w14:paraId="20853BF4"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9219A0" w14:paraId="44426BD6" w14:textId="77777777">
        <w:trPr>
          <w:trHeight w:val="340"/>
          <w:tblHeader/>
          <w:jc w:val="center"/>
        </w:trPr>
        <w:tc>
          <w:tcPr>
            <w:tcW w:w="511" w:type="dxa"/>
            <w:vAlign w:val="center"/>
          </w:tcPr>
          <w:p w14:paraId="3B49BD3F"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7</w:t>
            </w:r>
          </w:p>
        </w:tc>
        <w:tc>
          <w:tcPr>
            <w:tcW w:w="4168" w:type="dxa"/>
            <w:vAlign w:val="center"/>
          </w:tcPr>
          <w:p w14:paraId="16EDE21F"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配电室的门、窗关闭应密合；与室外相通的洞、通风孔应</w:t>
            </w:r>
            <w:proofErr w:type="gramStart"/>
            <w:r>
              <w:rPr>
                <w:rFonts w:ascii="宋体" w:hAnsi="宋体" w:hint="eastAsia"/>
                <w:color w:val="auto"/>
                <w:kern w:val="0"/>
                <w:sz w:val="21"/>
                <w:szCs w:val="21"/>
              </w:rPr>
              <w:t>设防止</w:t>
            </w:r>
            <w:proofErr w:type="gramEnd"/>
            <w:r>
              <w:rPr>
                <w:rFonts w:ascii="宋体" w:hAnsi="宋体" w:hint="eastAsia"/>
                <w:color w:val="auto"/>
                <w:kern w:val="0"/>
                <w:sz w:val="21"/>
                <w:szCs w:val="21"/>
              </w:rPr>
              <w:t>鼠、蛇类小动物进入网罩，其防护等级不宜低于现行国家标准《外壳防护等级》GB4208规定的IP3X级。</w:t>
            </w:r>
          </w:p>
        </w:tc>
        <w:tc>
          <w:tcPr>
            <w:tcW w:w="1701" w:type="dxa"/>
            <w:vAlign w:val="center"/>
          </w:tcPr>
          <w:p w14:paraId="3F0876A2"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《低压配电设计规范》 GB 50054-2011 4.3.7</w:t>
            </w:r>
          </w:p>
        </w:tc>
        <w:tc>
          <w:tcPr>
            <w:tcW w:w="1549" w:type="dxa"/>
            <w:vAlign w:val="center"/>
          </w:tcPr>
          <w:p w14:paraId="42BC079B"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本项目配电室门、窗密合。</w:t>
            </w:r>
          </w:p>
        </w:tc>
        <w:tc>
          <w:tcPr>
            <w:tcW w:w="1143" w:type="dxa"/>
            <w:vAlign w:val="center"/>
          </w:tcPr>
          <w:p w14:paraId="427CAE95"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9219A0" w14:paraId="52E31BAE" w14:textId="77777777">
        <w:trPr>
          <w:trHeight w:val="340"/>
          <w:tblHeader/>
          <w:jc w:val="center"/>
        </w:trPr>
        <w:tc>
          <w:tcPr>
            <w:tcW w:w="511" w:type="dxa"/>
            <w:vAlign w:val="center"/>
          </w:tcPr>
          <w:p w14:paraId="432FC530"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8</w:t>
            </w:r>
          </w:p>
        </w:tc>
        <w:tc>
          <w:tcPr>
            <w:tcW w:w="4168" w:type="dxa"/>
            <w:vAlign w:val="center"/>
          </w:tcPr>
          <w:p w14:paraId="1AAC911D"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实验室应有电源总闸，停止工作时，应关闭总闸门。以楼层为控制单元的，在电源总闸上应明示控制开关的区域。</w:t>
            </w:r>
          </w:p>
        </w:tc>
        <w:tc>
          <w:tcPr>
            <w:tcW w:w="1701" w:type="dxa"/>
            <w:vAlign w:val="center"/>
          </w:tcPr>
          <w:p w14:paraId="6947D4BB"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《化学化工实验室安全管理规范》（T/CCSAS 005-2019）9.7.1</w:t>
            </w:r>
          </w:p>
        </w:tc>
        <w:tc>
          <w:tcPr>
            <w:tcW w:w="1549" w:type="dxa"/>
            <w:vAlign w:val="center"/>
          </w:tcPr>
          <w:p w14:paraId="03B909EA"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kern w:val="0"/>
                <w:sz w:val="21"/>
                <w:szCs w:val="21"/>
              </w:rPr>
              <w:t>实验室设有电源总闸，停止工作时，可关闭总闸门。</w:t>
            </w:r>
          </w:p>
        </w:tc>
        <w:tc>
          <w:tcPr>
            <w:tcW w:w="1143" w:type="dxa"/>
            <w:vAlign w:val="center"/>
          </w:tcPr>
          <w:p w14:paraId="6CBE12C6"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color w:val="auto"/>
                <w:sz w:val="21"/>
                <w:szCs w:val="21"/>
              </w:rPr>
              <w:t>符合要求</w:t>
            </w:r>
          </w:p>
        </w:tc>
      </w:tr>
      <w:tr w:rsidR="009219A0" w14:paraId="7776E100" w14:textId="77777777">
        <w:trPr>
          <w:trHeight w:val="340"/>
          <w:tblHeader/>
          <w:jc w:val="center"/>
        </w:trPr>
        <w:tc>
          <w:tcPr>
            <w:tcW w:w="511" w:type="dxa"/>
            <w:vAlign w:val="center"/>
          </w:tcPr>
          <w:p w14:paraId="6DA9D5D3"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9</w:t>
            </w:r>
          </w:p>
        </w:tc>
        <w:tc>
          <w:tcPr>
            <w:tcW w:w="4168" w:type="dxa"/>
            <w:vAlign w:val="center"/>
          </w:tcPr>
          <w:p w14:paraId="277CE3E9"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禁止电线横穿地板。</w:t>
            </w:r>
          </w:p>
        </w:tc>
        <w:tc>
          <w:tcPr>
            <w:tcW w:w="1701" w:type="dxa"/>
            <w:vAlign w:val="center"/>
          </w:tcPr>
          <w:p w14:paraId="7D40169E"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9.7.4</w:t>
            </w:r>
          </w:p>
        </w:tc>
        <w:tc>
          <w:tcPr>
            <w:tcW w:w="1549" w:type="dxa"/>
            <w:vAlign w:val="center"/>
          </w:tcPr>
          <w:p w14:paraId="1EB09559"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kern w:val="0"/>
                <w:sz w:val="21"/>
                <w:szCs w:val="21"/>
              </w:rPr>
              <w:t>实验室电线未横穿地板。</w:t>
            </w:r>
          </w:p>
        </w:tc>
        <w:tc>
          <w:tcPr>
            <w:tcW w:w="1143" w:type="dxa"/>
            <w:vAlign w:val="center"/>
          </w:tcPr>
          <w:p w14:paraId="775E4B2C"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color w:val="auto"/>
                <w:sz w:val="21"/>
                <w:szCs w:val="21"/>
              </w:rPr>
              <w:t>符合要求</w:t>
            </w:r>
          </w:p>
        </w:tc>
      </w:tr>
      <w:tr w:rsidR="009219A0" w14:paraId="0440BD5A" w14:textId="77777777">
        <w:trPr>
          <w:trHeight w:val="340"/>
          <w:tblHeader/>
          <w:jc w:val="center"/>
        </w:trPr>
        <w:tc>
          <w:tcPr>
            <w:tcW w:w="511" w:type="dxa"/>
            <w:vAlign w:val="center"/>
          </w:tcPr>
          <w:p w14:paraId="26A2AD52"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lastRenderedPageBreak/>
              <w:t>10</w:t>
            </w:r>
          </w:p>
        </w:tc>
        <w:tc>
          <w:tcPr>
            <w:tcW w:w="4168" w:type="dxa"/>
            <w:vAlign w:val="center"/>
          </w:tcPr>
          <w:p w14:paraId="49DFE10E"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高温电器如高温马弗炉、电热烘箱等不得放置在木质或合成材料桌面上，并在电器明显处应有“高温”、“防烫”、“触电危险”等标识牌。</w:t>
            </w:r>
          </w:p>
        </w:tc>
        <w:tc>
          <w:tcPr>
            <w:tcW w:w="1701" w:type="dxa"/>
            <w:vAlign w:val="center"/>
          </w:tcPr>
          <w:p w14:paraId="2CC9ADC1"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9.7.7</w:t>
            </w:r>
          </w:p>
        </w:tc>
        <w:tc>
          <w:tcPr>
            <w:tcW w:w="1549" w:type="dxa"/>
            <w:vAlign w:val="center"/>
          </w:tcPr>
          <w:p w14:paraId="501B8C85"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color w:val="auto"/>
                <w:sz w:val="21"/>
                <w:szCs w:val="21"/>
              </w:rPr>
              <w:t>现场高温设备周围设置有</w:t>
            </w:r>
            <w:r>
              <w:rPr>
                <w:rFonts w:ascii="宋体" w:hAnsi="宋体" w:hint="eastAsia"/>
                <w:color w:val="auto"/>
                <w:kern w:val="0"/>
                <w:sz w:val="21"/>
                <w:szCs w:val="21"/>
              </w:rPr>
              <w:t>“高温”、“防烫”、“触电危险”等标识牌。</w:t>
            </w:r>
          </w:p>
        </w:tc>
        <w:tc>
          <w:tcPr>
            <w:tcW w:w="1143" w:type="dxa"/>
            <w:vAlign w:val="center"/>
          </w:tcPr>
          <w:p w14:paraId="4BEAA820"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color w:val="auto"/>
                <w:sz w:val="21"/>
                <w:szCs w:val="21"/>
              </w:rPr>
              <w:t>符合要求</w:t>
            </w:r>
          </w:p>
        </w:tc>
      </w:tr>
      <w:tr w:rsidR="009219A0" w14:paraId="0316C99E" w14:textId="77777777">
        <w:trPr>
          <w:trHeight w:val="340"/>
          <w:tblHeader/>
          <w:jc w:val="center"/>
        </w:trPr>
        <w:tc>
          <w:tcPr>
            <w:tcW w:w="511" w:type="dxa"/>
            <w:vAlign w:val="center"/>
          </w:tcPr>
          <w:p w14:paraId="42ACE47C"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11</w:t>
            </w:r>
          </w:p>
        </w:tc>
        <w:tc>
          <w:tcPr>
            <w:tcW w:w="4168" w:type="dxa"/>
            <w:vAlign w:val="center"/>
          </w:tcPr>
          <w:p w14:paraId="7DC64B20"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加热电器的接线端子等应处于封闭状态，不能裸露。</w:t>
            </w:r>
          </w:p>
        </w:tc>
        <w:tc>
          <w:tcPr>
            <w:tcW w:w="1701" w:type="dxa"/>
            <w:vAlign w:val="center"/>
          </w:tcPr>
          <w:p w14:paraId="3B3D01E9"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9.7.8</w:t>
            </w:r>
          </w:p>
        </w:tc>
        <w:tc>
          <w:tcPr>
            <w:tcW w:w="1549" w:type="dxa"/>
            <w:vAlign w:val="center"/>
          </w:tcPr>
          <w:p w14:paraId="2E7F2814"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kern w:val="0"/>
                <w:sz w:val="21"/>
                <w:szCs w:val="21"/>
              </w:rPr>
              <w:t>加热电器的接线端子等处于封闭状态，未裸露。</w:t>
            </w:r>
          </w:p>
        </w:tc>
        <w:tc>
          <w:tcPr>
            <w:tcW w:w="1143" w:type="dxa"/>
            <w:vAlign w:val="center"/>
          </w:tcPr>
          <w:p w14:paraId="5F315856"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color w:val="auto"/>
                <w:sz w:val="21"/>
                <w:szCs w:val="21"/>
              </w:rPr>
              <w:t>符合要求</w:t>
            </w:r>
          </w:p>
        </w:tc>
      </w:tr>
      <w:tr w:rsidR="009219A0" w14:paraId="6CCE9FDD" w14:textId="77777777">
        <w:trPr>
          <w:trHeight w:val="340"/>
          <w:tblHeader/>
          <w:jc w:val="center"/>
        </w:trPr>
        <w:tc>
          <w:tcPr>
            <w:tcW w:w="511" w:type="dxa"/>
            <w:vAlign w:val="center"/>
          </w:tcPr>
          <w:p w14:paraId="1C4154DE"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12</w:t>
            </w:r>
          </w:p>
        </w:tc>
        <w:tc>
          <w:tcPr>
            <w:tcW w:w="4168" w:type="dxa"/>
            <w:vAlign w:val="center"/>
          </w:tcPr>
          <w:p w14:paraId="11619169"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实验室电容量与用电设备功率需匹配，电源插座须固定。</w:t>
            </w:r>
          </w:p>
        </w:tc>
        <w:tc>
          <w:tcPr>
            <w:tcW w:w="1701" w:type="dxa"/>
            <w:vAlign w:val="center"/>
          </w:tcPr>
          <w:p w14:paraId="67141B92"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9.7.12</w:t>
            </w:r>
          </w:p>
        </w:tc>
        <w:tc>
          <w:tcPr>
            <w:tcW w:w="1549" w:type="dxa"/>
            <w:vAlign w:val="center"/>
          </w:tcPr>
          <w:p w14:paraId="0972933F"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kern w:val="0"/>
                <w:sz w:val="21"/>
                <w:szCs w:val="21"/>
              </w:rPr>
              <w:t>实验室电容量与用电设备功率匹配，电源插座已固定。</w:t>
            </w:r>
          </w:p>
        </w:tc>
        <w:tc>
          <w:tcPr>
            <w:tcW w:w="1143" w:type="dxa"/>
            <w:vAlign w:val="center"/>
          </w:tcPr>
          <w:p w14:paraId="0B879E3F"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color w:val="auto"/>
                <w:sz w:val="21"/>
                <w:szCs w:val="21"/>
              </w:rPr>
              <w:t>符合要求</w:t>
            </w:r>
          </w:p>
        </w:tc>
      </w:tr>
      <w:tr w:rsidR="009219A0" w14:paraId="1DA23EE6" w14:textId="77777777">
        <w:trPr>
          <w:trHeight w:val="340"/>
          <w:tblHeader/>
          <w:jc w:val="center"/>
        </w:trPr>
        <w:tc>
          <w:tcPr>
            <w:tcW w:w="511" w:type="dxa"/>
            <w:vAlign w:val="center"/>
          </w:tcPr>
          <w:p w14:paraId="4DD7DE57"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13</w:t>
            </w:r>
          </w:p>
        </w:tc>
        <w:tc>
          <w:tcPr>
            <w:tcW w:w="4168" w:type="dxa"/>
            <w:vAlign w:val="center"/>
          </w:tcPr>
          <w:p w14:paraId="6D798F96"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插座、插头、接线板符合国家质量认证的合格产品。</w:t>
            </w:r>
          </w:p>
        </w:tc>
        <w:tc>
          <w:tcPr>
            <w:tcW w:w="1701" w:type="dxa"/>
            <w:vAlign w:val="center"/>
          </w:tcPr>
          <w:p w14:paraId="6B86617B"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9.7.13</w:t>
            </w:r>
          </w:p>
        </w:tc>
        <w:tc>
          <w:tcPr>
            <w:tcW w:w="1549" w:type="dxa"/>
            <w:vAlign w:val="center"/>
          </w:tcPr>
          <w:p w14:paraId="1D568C6B"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kern w:val="0"/>
                <w:sz w:val="21"/>
                <w:szCs w:val="21"/>
              </w:rPr>
              <w:t>插座、插头、接线板属于符合国家质量认证的合格产品。</w:t>
            </w:r>
          </w:p>
        </w:tc>
        <w:tc>
          <w:tcPr>
            <w:tcW w:w="1143" w:type="dxa"/>
            <w:vAlign w:val="center"/>
          </w:tcPr>
          <w:p w14:paraId="1C55AB88"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color w:val="auto"/>
                <w:sz w:val="21"/>
                <w:szCs w:val="21"/>
              </w:rPr>
              <w:t>符合要求</w:t>
            </w:r>
          </w:p>
        </w:tc>
      </w:tr>
      <w:tr w:rsidR="009219A0" w14:paraId="14261007" w14:textId="77777777">
        <w:trPr>
          <w:trHeight w:val="340"/>
          <w:tblHeader/>
          <w:jc w:val="center"/>
        </w:trPr>
        <w:tc>
          <w:tcPr>
            <w:tcW w:w="511" w:type="dxa"/>
            <w:vAlign w:val="center"/>
          </w:tcPr>
          <w:p w14:paraId="7453C3C2"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14</w:t>
            </w:r>
          </w:p>
        </w:tc>
        <w:tc>
          <w:tcPr>
            <w:tcW w:w="4168" w:type="dxa"/>
            <w:vAlign w:val="center"/>
          </w:tcPr>
          <w:p w14:paraId="4C89F13F"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不得乱拉临时电线，套接接线板。固定电源插座应保持完整无损坏，避免多台设备使用共同的电源插座。接线板和插座的配制应满足所用电气设备的负荷。</w:t>
            </w:r>
          </w:p>
        </w:tc>
        <w:tc>
          <w:tcPr>
            <w:tcW w:w="1701" w:type="dxa"/>
            <w:vAlign w:val="center"/>
          </w:tcPr>
          <w:p w14:paraId="62F8DCD2"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9.7.14</w:t>
            </w:r>
          </w:p>
        </w:tc>
        <w:tc>
          <w:tcPr>
            <w:tcW w:w="1549" w:type="dxa"/>
            <w:vAlign w:val="center"/>
          </w:tcPr>
          <w:p w14:paraId="003C4374"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kern w:val="0"/>
                <w:sz w:val="21"/>
                <w:szCs w:val="21"/>
              </w:rPr>
              <w:t>现场无临时电线、套接接线板。固定电源插座完整无损坏，接线板和插座的配制满足所用电气设备的负荷。</w:t>
            </w:r>
          </w:p>
        </w:tc>
        <w:tc>
          <w:tcPr>
            <w:tcW w:w="1143" w:type="dxa"/>
            <w:vAlign w:val="center"/>
          </w:tcPr>
          <w:p w14:paraId="22F4607B"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color w:val="auto"/>
                <w:sz w:val="21"/>
                <w:szCs w:val="21"/>
              </w:rPr>
              <w:t>符合要求</w:t>
            </w:r>
          </w:p>
        </w:tc>
      </w:tr>
      <w:tr w:rsidR="009219A0" w14:paraId="0F4898DD" w14:textId="77777777">
        <w:trPr>
          <w:trHeight w:val="340"/>
          <w:tblHeader/>
          <w:jc w:val="center"/>
        </w:trPr>
        <w:tc>
          <w:tcPr>
            <w:tcW w:w="511" w:type="dxa"/>
            <w:vAlign w:val="center"/>
          </w:tcPr>
          <w:p w14:paraId="13418708"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15</w:t>
            </w:r>
          </w:p>
        </w:tc>
        <w:tc>
          <w:tcPr>
            <w:tcW w:w="4168" w:type="dxa"/>
            <w:vAlign w:val="center"/>
          </w:tcPr>
          <w:p w14:paraId="53E5F102"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配电柜、接线盒等过载保护器后引出的电线，应用硬线管保护。</w:t>
            </w:r>
          </w:p>
        </w:tc>
        <w:tc>
          <w:tcPr>
            <w:tcW w:w="1701" w:type="dxa"/>
            <w:vAlign w:val="center"/>
          </w:tcPr>
          <w:p w14:paraId="375BAEEC"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9.7.15</w:t>
            </w:r>
          </w:p>
        </w:tc>
        <w:tc>
          <w:tcPr>
            <w:tcW w:w="1549" w:type="dxa"/>
            <w:vAlign w:val="center"/>
          </w:tcPr>
          <w:p w14:paraId="53525B5D"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kern w:val="0"/>
                <w:sz w:val="21"/>
                <w:szCs w:val="21"/>
              </w:rPr>
              <w:t>配电柜、接线盒等过载保护器后引出的电线，使用硬线管保护。</w:t>
            </w:r>
          </w:p>
        </w:tc>
        <w:tc>
          <w:tcPr>
            <w:tcW w:w="1143" w:type="dxa"/>
            <w:vAlign w:val="center"/>
          </w:tcPr>
          <w:p w14:paraId="1987F181"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color w:val="auto"/>
                <w:sz w:val="21"/>
                <w:szCs w:val="21"/>
              </w:rPr>
              <w:t>符合要求</w:t>
            </w:r>
          </w:p>
        </w:tc>
      </w:tr>
      <w:tr w:rsidR="009219A0" w14:paraId="26429501" w14:textId="77777777">
        <w:trPr>
          <w:trHeight w:val="340"/>
          <w:tblHeader/>
          <w:jc w:val="center"/>
        </w:trPr>
        <w:tc>
          <w:tcPr>
            <w:tcW w:w="511" w:type="dxa"/>
            <w:vAlign w:val="center"/>
          </w:tcPr>
          <w:p w14:paraId="6F1D1632"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16</w:t>
            </w:r>
          </w:p>
        </w:tc>
        <w:tc>
          <w:tcPr>
            <w:tcW w:w="4168" w:type="dxa"/>
            <w:vAlign w:val="center"/>
          </w:tcPr>
          <w:p w14:paraId="49E97A0B"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电线宜布置在线廊、塑料管或蛇皮管内。</w:t>
            </w:r>
          </w:p>
        </w:tc>
        <w:tc>
          <w:tcPr>
            <w:tcW w:w="1701" w:type="dxa"/>
            <w:vAlign w:val="center"/>
          </w:tcPr>
          <w:p w14:paraId="1CFBD7D5"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9.7.16</w:t>
            </w:r>
          </w:p>
        </w:tc>
        <w:tc>
          <w:tcPr>
            <w:tcW w:w="1549" w:type="dxa"/>
            <w:vAlign w:val="center"/>
          </w:tcPr>
          <w:p w14:paraId="0493C612"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kern w:val="0"/>
                <w:sz w:val="21"/>
                <w:szCs w:val="21"/>
              </w:rPr>
              <w:t>电线布置在塑料管内。</w:t>
            </w:r>
          </w:p>
        </w:tc>
        <w:tc>
          <w:tcPr>
            <w:tcW w:w="1143" w:type="dxa"/>
            <w:vAlign w:val="center"/>
          </w:tcPr>
          <w:p w14:paraId="34226327"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color w:val="auto"/>
                <w:sz w:val="21"/>
                <w:szCs w:val="21"/>
              </w:rPr>
              <w:t>符合要求</w:t>
            </w:r>
          </w:p>
        </w:tc>
      </w:tr>
      <w:tr w:rsidR="009219A0" w14:paraId="190CC034" w14:textId="77777777">
        <w:trPr>
          <w:trHeight w:val="340"/>
          <w:tblHeader/>
          <w:jc w:val="center"/>
        </w:trPr>
        <w:tc>
          <w:tcPr>
            <w:tcW w:w="511" w:type="dxa"/>
            <w:vAlign w:val="center"/>
          </w:tcPr>
          <w:p w14:paraId="635B05ED"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17</w:t>
            </w:r>
          </w:p>
        </w:tc>
        <w:tc>
          <w:tcPr>
            <w:tcW w:w="4168" w:type="dxa"/>
            <w:vAlign w:val="center"/>
          </w:tcPr>
          <w:p w14:paraId="35FF48A3"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无防护管保护的电线，应用软管保护。</w:t>
            </w:r>
          </w:p>
        </w:tc>
        <w:tc>
          <w:tcPr>
            <w:tcW w:w="1701" w:type="dxa"/>
            <w:vAlign w:val="center"/>
          </w:tcPr>
          <w:p w14:paraId="1D927281"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9.7.17</w:t>
            </w:r>
          </w:p>
        </w:tc>
        <w:tc>
          <w:tcPr>
            <w:tcW w:w="1549" w:type="dxa"/>
            <w:vAlign w:val="center"/>
          </w:tcPr>
          <w:p w14:paraId="163F77D0"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kern w:val="0"/>
                <w:sz w:val="21"/>
                <w:szCs w:val="21"/>
              </w:rPr>
              <w:t>现场电线均穿管保护。</w:t>
            </w:r>
          </w:p>
        </w:tc>
        <w:tc>
          <w:tcPr>
            <w:tcW w:w="1143" w:type="dxa"/>
            <w:vAlign w:val="center"/>
          </w:tcPr>
          <w:p w14:paraId="1BE41BD7"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color w:val="auto"/>
                <w:sz w:val="21"/>
                <w:szCs w:val="21"/>
              </w:rPr>
              <w:t>符合要求</w:t>
            </w:r>
          </w:p>
        </w:tc>
      </w:tr>
    </w:tbl>
    <w:p w14:paraId="19364E1B" w14:textId="77777777" w:rsidR="009219A0" w:rsidRDefault="00000000">
      <w:pPr>
        <w:pStyle w:val="3"/>
        <w:rPr>
          <w:rFonts w:hint="eastAsia"/>
        </w:rPr>
      </w:pPr>
      <w:bookmarkStart w:id="355" w:name="_Toc211950530"/>
      <w:r>
        <w:rPr>
          <w:rFonts w:hint="eastAsia"/>
        </w:rPr>
        <w:t>5.3.2 消防系统安全评价</w:t>
      </w:r>
      <w:bookmarkEnd w:id="355"/>
    </w:p>
    <w:p w14:paraId="535F12A9" w14:textId="77777777" w:rsidR="009219A0" w:rsidRDefault="00000000">
      <w:pPr>
        <w:ind w:firstLine="560"/>
        <w:rPr>
          <w:color w:val="auto"/>
        </w:rPr>
      </w:pPr>
      <w:r>
        <w:rPr>
          <w:rFonts w:hint="eastAsia"/>
          <w:color w:val="auto"/>
        </w:rPr>
        <w:t>本节根据《中华人民共和国消防法》（中华人民共和国主席令第</w:t>
      </w:r>
      <w:r>
        <w:rPr>
          <w:rFonts w:hint="eastAsia"/>
          <w:color w:val="auto"/>
        </w:rPr>
        <w:t>6</w:t>
      </w:r>
      <w:r>
        <w:rPr>
          <w:rFonts w:hint="eastAsia"/>
          <w:color w:val="auto"/>
        </w:rPr>
        <w:t>号，第</w:t>
      </w:r>
      <w:r>
        <w:rPr>
          <w:rFonts w:hint="eastAsia"/>
          <w:color w:val="auto"/>
        </w:rPr>
        <w:t>29</w:t>
      </w:r>
      <w:r>
        <w:rPr>
          <w:rFonts w:hint="eastAsia"/>
          <w:color w:val="auto"/>
        </w:rPr>
        <w:t>号修订，</w:t>
      </w:r>
      <w:r>
        <w:rPr>
          <w:rFonts w:hint="eastAsia"/>
          <w:color w:val="auto"/>
        </w:rPr>
        <w:t>2019</w:t>
      </w:r>
      <w:r>
        <w:rPr>
          <w:rFonts w:hint="eastAsia"/>
          <w:color w:val="auto"/>
        </w:rPr>
        <w:t>年</w:t>
      </w:r>
      <w:r>
        <w:rPr>
          <w:rFonts w:hint="eastAsia"/>
          <w:color w:val="auto"/>
        </w:rPr>
        <w:t>11</w:t>
      </w:r>
      <w:r>
        <w:rPr>
          <w:rFonts w:hint="eastAsia"/>
          <w:color w:val="auto"/>
        </w:rPr>
        <w:t>月</w:t>
      </w:r>
      <w:r>
        <w:rPr>
          <w:rFonts w:hint="eastAsia"/>
          <w:color w:val="auto"/>
        </w:rPr>
        <w:t>1</w:t>
      </w:r>
      <w:r>
        <w:rPr>
          <w:rFonts w:hint="eastAsia"/>
          <w:color w:val="auto"/>
        </w:rPr>
        <w:t>日起施行）、《建筑灭火器设计配置规范》（</w:t>
      </w:r>
      <w:r>
        <w:rPr>
          <w:rFonts w:hint="eastAsia"/>
          <w:color w:val="auto"/>
        </w:rPr>
        <w:t>GB 50140-2005</w:t>
      </w:r>
      <w:r>
        <w:rPr>
          <w:rFonts w:hint="eastAsia"/>
          <w:color w:val="auto"/>
        </w:rPr>
        <w:t>）、《建筑设计防火规范（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）等标准、规范的要求，对中试车间及实验室的消防系统进行安全检查，具体检查情况见附表</w:t>
      </w:r>
      <w:r>
        <w:rPr>
          <w:rFonts w:hint="eastAsia"/>
          <w:color w:val="auto"/>
        </w:rPr>
        <w:t>5.3-2</w:t>
      </w:r>
      <w:r>
        <w:rPr>
          <w:rFonts w:hint="eastAsia"/>
          <w:color w:val="auto"/>
        </w:rPr>
        <w:t>。</w:t>
      </w:r>
    </w:p>
    <w:p w14:paraId="015BC7B9" w14:textId="77777777" w:rsidR="009219A0" w:rsidRDefault="00000000">
      <w:pPr>
        <w:widowControl/>
        <w:adjustRightInd/>
        <w:snapToGrid/>
        <w:spacing w:line="240" w:lineRule="auto"/>
        <w:ind w:firstLineChars="0" w:firstLine="0"/>
        <w:jc w:val="left"/>
        <w:rPr>
          <w:rFonts w:ascii="宋体" w:hAnsi="宋体" w:hint="eastAsia"/>
          <w:color w:val="auto"/>
          <w:szCs w:val="21"/>
        </w:rPr>
      </w:pPr>
      <w:r>
        <w:rPr>
          <w:rFonts w:ascii="宋体" w:hAnsi="宋体" w:hint="eastAsia"/>
          <w:color w:val="auto"/>
          <w:szCs w:val="21"/>
        </w:rPr>
        <w:br w:type="page"/>
      </w:r>
    </w:p>
    <w:p w14:paraId="3909AE05" w14:textId="77777777" w:rsidR="009219A0" w:rsidRDefault="00000000">
      <w:pPr>
        <w:widowControl/>
        <w:adjustRightInd/>
        <w:snapToGrid/>
        <w:spacing w:line="240" w:lineRule="auto"/>
        <w:ind w:firstLineChars="0" w:firstLine="0"/>
        <w:jc w:val="center"/>
        <w:rPr>
          <w:rFonts w:ascii="宋体" w:hAnsi="宋体" w:hint="eastAsia"/>
          <w:color w:val="auto"/>
          <w:szCs w:val="21"/>
        </w:rPr>
      </w:pPr>
      <w:r>
        <w:rPr>
          <w:rFonts w:ascii="宋体" w:hAnsi="宋体" w:hint="eastAsia"/>
          <w:color w:val="auto"/>
          <w:szCs w:val="21"/>
        </w:rPr>
        <w:lastRenderedPageBreak/>
        <w:t>附5.3-2 消防系统安全检查表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3410"/>
        <w:gridCol w:w="1991"/>
        <w:gridCol w:w="1695"/>
        <w:gridCol w:w="1280"/>
      </w:tblGrid>
      <w:tr w:rsidR="009219A0" w14:paraId="759DEBBC" w14:textId="77777777">
        <w:trPr>
          <w:trHeight w:val="340"/>
          <w:tblHeader/>
          <w:jc w:val="center"/>
        </w:trPr>
        <w:tc>
          <w:tcPr>
            <w:tcW w:w="696" w:type="dxa"/>
            <w:vAlign w:val="center"/>
          </w:tcPr>
          <w:p w14:paraId="4365B6EE" w14:textId="77777777" w:rsidR="009219A0" w:rsidRDefault="00000000">
            <w:pPr>
              <w:topLinePunct/>
              <w:adjustRightInd/>
              <w:snapToGrid/>
              <w:spacing w:line="240" w:lineRule="auto"/>
              <w:ind w:firstLineChars="0" w:firstLine="0"/>
              <w:contextualSpacing/>
              <w:jc w:val="center"/>
              <w:rPr>
                <w:rFonts w:ascii="宋体" w:hAnsi="宋体" w:hint="eastAsia"/>
                <w:b/>
                <w:color w:val="auto"/>
                <w:sz w:val="21"/>
                <w:szCs w:val="21"/>
              </w:rPr>
            </w:pPr>
            <w:r>
              <w:rPr>
                <w:rFonts w:ascii="宋体" w:hAnsi="宋体"/>
                <w:b/>
                <w:color w:val="auto"/>
                <w:sz w:val="21"/>
                <w:szCs w:val="21"/>
              </w:rPr>
              <w:t>序号</w:t>
            </w:r>
          </w:p>
        </w:tc>
        <w:tc>
          <w:tcPr>
            <w:tcW w:w="3410" w:type="dxa"/>
            <w:vAlign w:val="center"/>
          </w:tcPr>
          <w:p w14:paraId="3027A7D9" w14:textId="77777777" w:rsidR="009219A0" w:rsidRDefault="00000000">
            <w:pPr>
              <w:topLinePunct/>
              <w:adjustRightInd/>
              <w:snapToGrid/>
              <w:spacing w:line="240" w:lineRule="auto"/>
              <w:ind w:firstLineChars="0" w:firstLine="0"/>
              <w:contextualSpacing/>
              <w:jc w:val="center"/>
              <w:rPr>
                <w:rFonts w:ascii="宋体" w:hAnsi="宋体" w:hint="eastAsia"/>
                <w:b/>
                <w:color w:val="auto"/>
                <w:sz w:val="21"/>
                <w:szCs w:val="21"/>
              </w:rPr>
            </w:pPr>
            <w:r>
              <w:rPr>
                <w:rFonts w:ascii="宋体" w:hAnsi="宋体"/>
                <w:b/>
                <w:color w:val="auto"/>
                <w:sz w:val="21"/>
                <w:szCs w:val="21"/>
              </w:rPr>
              <w:t>评价内容</w:t>
            </w:r>
          </w:p>
        </w:tc>
        <w:tc>
          <w:tcPr>
            <w:tcW w:w="1991" w:type="dxa"/>
            <w:vAlign w:val="center"/>
          </w:tcPr>
          <w:p w14:paraId="7C5EEC12" w14:textId="77777777" w:rsidR="009219A0" w:rsidRDefault="00000000">
            <w:pPr>
              <w:topLinePunct/>
              <w:adjustRightInd/>
              <w:snapToGrid/>
              <w:spacing w:line="240" w:lineRule="auto"/>
              <w:ind w:firstLineChars="0" w:firstLine="0"/>
              <w:contextualSpacing/>
              <w:jc w:val="center"/>
              <w:rPr>
                <w:rFonts w:ascii="宋体" w:hAnsi="宋体" w:hint="eastAsia"/>
                <w:b/>
                <w:color w:val="auto"/>
                <w:sz w:val="21"/>
                <w:szCs w:val="21"/>
              </w:rPr>
            </w:pPr>
            <w:r>
              <w:rPr>
                <w:rFonts w:ascii="宋体" w:hAnsi="宋体"/>
                <w:b/>
                <w:color w:val="auto"/>
                <w:sz w:val="21"/>
                <w:szCs w:val="21"/>
              </w:rPr>
              <w:t>评价依据</w:t>
            </w:r>
          </w:p>
        </w:tc>
        <w:tc>
          <w:tcPr>
            <w:tcW w:w="1695" w:type="dxa"/>
            <w:vAlign w:val="center"/>
          </w:tcPr>
          <w:p w14:paraId="6093703D" w14:textId="77777777" w:rsidR="009219A0" w:rsidRDefault="00000000">
            <w:pPr>
              <w:topLinePunct/>
              <w:adjustRightInd/>
              <w:snapToGrid/>
              <w:spacing w:line="240" w:lineRule="auto"/>
              <w:ind w:firstLineChars="0" w:firstLine="0"/>
              <w:contextualSpacing/>
              <w:jc w:val="center"/>
              <w:rPr>
                <w:rFonts w:ascii="宋体" w:hAnsi="宋体" w:hint="eastAsia"/>
                <w:b/>
                <w:color w:val="auto"/>
                <w:sz w:val="21"/>
                <w:szCs w:val="21"/>
              </w:rPr>
            </w:pPr>
            <w:r>
              <w:rPr>
                <w:rFonts w:ascii="宋体" w:hAnsi="宋体"/>
                <w:b/>
                <w:color w:val="auto"/>
                <w:sz w:val="21"/>
                <w:szCs w:val="21"/>
              </w:rPr>
              <w:t>评价记录</w:t>
            </w:r>
          </w:p>
        </w:tc>
        <w:tc>
          <w:tcPr>
            <w:tcW w:w="1280" w:type="dxa"/>
            <w:vAlign w:val="center"/>
          </w:tcPr>
          <w:p w14:paraId="1345BE30" w14:textId="77777777" w:rsidR="009219A0" w:rsidRDefault="00000000">
            <w:pPr>
              <w:topLinePunct/>
              <w:adjustRightInd/>
              <w:snapToGrid/>
              <w:spacing w:line="240" w:lineRule="auto"/>
              <w:ind w:firstLineChars="0" w:firstLine="0"/>
              <w:contextualSpacing/>
              <w:jc w:val="center"/>
              <w:rPr>
                <w:rFonts w:ascii="宋体" w:hAnsi="宋体" w:hint="eastAsia"/>
                <w:b/>
                <w:color w:val="auto"/>
                <w:sz w:val="21"/>
                <w:szCs w:val="21"/>
              </w:rPr>
            </w:pPr>
            <w:r>
              <w:rPr>
                <w:rFonts w:ascii="宋体" w:hAnsi="宋体"/>
                <w:b/>
                <w:color w:val="auto"/>
                <w:sz w:val="21"/>
                <w:szCs w:val="21"/>
              </w:rPr>
              <w:t>评价结果</w:t>
            </w:r>
          </w:p>
        </w:tc>
      </w:tr>
      <w:tr w:rsidR="009219A0" w14:paraId="2C7559BD" w14:textId="77777777">
        <w:trPr>
          <w:trHeight w:val="340"/>
          <w:tblHeader/>
          <w:jc w:val="center"/>
        </w:trPr>
        <w:tc>
          <w:tcPr>
            <w:tcW w:w="696" w:type="dxa"/>
            <w:vAlign w:val="center"/>
          </w:tcPr>
          <w:p w14:paraId="46698342"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color w:val="auto"/>
                <w:sz w:val="21"/>
                <w:szCs w:val="21"/>
              </w:rPr>
              <w:t>1</w:t>
            </w:r>
          </w:p>
        </w:tc>
        <w:tc>
          <w:tcPr>
            <w:tcW w:w="3410" w:type="dxa"/>
            <w:vAlign w:val="center"/>
          </w:tcPr>
          <w:p w14:paraId="58DD4D79"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按照国家标准、行业标准配置消防设施、器材，设置消防安全标志，并定期组织检验、维修，确保完好有效；</w:t>
            </w:r>
          </w:p>
        </w:tc>
        <w:tc>
          <w:tcPr>
            <w:tcW w:w="1991" w:type="dxa"/>
            <w:vMerge w:val="restart"/>
            <w:vAlign w:val="center"/>
          </w:tcPr>
          <w:p w14:paraId="3CF1F446"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《中华人民共和国消防法》</w:t>
            </w:r>
          </w:p>
          <w:p w14:paraId="2934E8B0"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第十六条</w:t>
            </w:r>
          </w:p>
        </w:tc>
        <w:tc>
          <w:tcPr>
            <w:tcW w:w="1695" w:type="dxa"/>
            <w:vAlign w:val="center"/>
          </w:tcPr>
          <w:p w14:paraId="6DCF77CF"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消防设施、器材配置符合要求，并设有消防安全标志。消防设施、器材完好有效。</w:t>
            </w:r>
          </w:p>
        </w:tc>
        <w:tc>
          <w:tcPr>
            <w:tcW w:w="1280" w:type="dxa"/>
            <w:vAlign w:val="center"/>
          </w:tcPr>
          <w:p w14:paraId="4B34322A"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1D0BA79F" w14:textId="77777777">
        <w:trPr>
          <w:trHeight w:val="340"/>
          <w:tblHeader/>
          <w:jc w:val="center"/>
        </w:trPr>
        <w:tc>
          <w:tcPr>
            <w:tcW w:w="696" w:type="dxa"/>
            <w:vAlign w:val="center"/>
          </w:tcPr>
          <w:p w14:paraId="2D007164"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color w:val="auto"/>
                <w:sz w:val="21"/>
                <w:szCs w:val="21"/>
              </w:rPr>
              <w:t>2</w:t>
            </w:r>
          </w:p>
        </w:tc>
        <w:tc>
          <w:tcPr>
            <w:tcW w:w="3410" w:type="dxa"/>
            <w:vAlign w:val="center"/>
          </w:tcPr>
          <w:p w14:paraId="050AD8FB"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保障疏散通道、安全出口、消防车通道畅通，保证防火防烟分区、防火间距符合消防技术标准；</w:t>
            </w:r>
          </w:p>
        </w:tc>
        <w:tc>
          <w:tcPr>
            <w:tcW w:w="1991" w:type="dxa"/>
            <w:vMerge/>
            <w:vAlign w:val="center"/>
          </w:tcPr>
          <w:p w14:paraId="0C32CBE2" w14:textId="77777777" w:rsidR="009219A0" w:rsidRDefault="009219A0">
            <w:pPr>
              <w:topLinePunct/>
              <w:adjustRightInd/>
              <w:snapToGrid/>
              <w:spacing w:line="240" w:lineRule="auto"/>
              <w:ind w:firstLineChars="0" w:firstLine="0"/>
              <w:contextualSpacing/>
              <w:jc w:val="left"/>
              <w:rPr>
                <w:rFonts w:ascii="宋体" w:hAnsi="宋体" w:hint="eastAsia"/>
                <w:color w:val="auto"/>
                <w:sz w:val="21"/>
                <w:szCs w:val="21"/>
              </w:rPr>
            </w:pPr>
          </w:p>
        </w:tc>
        <w:tc>
          <w:tcPr>
            <w:tcW w:w="1695" w:type="dxa"/>
            <w:vAlign w:val="center"/>
          </w:tcPr>
          <w:p w14:paraId="13C46782"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项目疏散通道、安全出口、消防车通道畅通，防火间距符合消防技术标准。</w:t>
            </w:r>
          </w:p>
        </w:tc>
        <w:tc>
          <w:tcPr>
            <w:tcW w:w="1280" w:type="dxa"/>
            <w:vAlign w:val="center"/>
          </w:tcPr>
          <w:p w14:paraId="70C3A7DC"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5763428B" w14:textId="77777777">
        <w:trPr>
          <w:trHeight w:val="340"/>
          <w:tblHeader/>
          <w:jc w:val="center"/>
        </w:trPr>
        <w:tc>
          <w:tcPr>
            <w:tcW w:w="696" w:type="dxa"/>
            <w:vAlign w:val="center"/>
          </w:tcPr>
          <w:p w14:paraId="632A4C9C"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color w:val="auto"/>
                <w:sz w:val="21"/>
                <w:szCs w:val="21"/>
              </w:rPr>
              <w:t>3</w:t>
            </w:r>
          </w:p>
        </w:tc>
        <w:tc>
          <w:tcPr>
            <w:tcW w:w="3410" w:type="dxa"/>
            <w:vAlign w:val="center"/>
          </w:tcPr>
          <w:p w14:paraId="68C9F24F"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消防产品必须符合国家标准；没有国家标准的，必须符合行业标准。禁止生产、销售或者使用不合格的消防产品以及国家明令淘汰的消防产品。</w:t>
            </w:r>
          </w:p>
        </w:tc>
        <w:tc>
          <w:tcPr>
            <w:tcW w:w="1991" w:type="dxa"/>
            <w:vAlign w:val="center"/>
          </w:tcPr>
          <w:p w14:paraId="2661A149"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第二十四条</w:t>
            </w:r>
          </w:p>
        </w:tc>
        <w:tc>
          <w:tcPr>
            <w:tcW w:w="1695" w:type="dxa"/>
            <w:vAlign w:val="center"/>
          </w:tcPr>
          <w:p w14:paraId="0A75262B"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未使用不符合标准的灭火器。</w:t>
            </w:r>
          </w:p>
        </w:tc>
        <w:tc>
          <w:tcPr>
            <w:tcW w:w="1280" w:type="dxa"/>
            <w:vAlign w:val="center"/>
          </w:tcPr>
          <w:p w14:paraId="4B45FF62"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403C9CD9" w14:textId="77777777">
        <w:trPr>
          <w:trHeight w:val="340"/>
          <w:tblHeader/>
          <w:jc w:val="center"/>
        </w:trPr>
        <w:tc>
          <w:tcPr>
            <w:tcW w:w="696" w:type="dxa"/>
            <w:vAlign w:val="center"/>
          </w:tcPr>
          <w:p w14:paraId="15FCB693"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color w:val="auto"/>
                <w:sz w:val="21"/>
                <w:szCs w:val="21"/>
              </w:rPr>
              <w:t>4</w:t>
            </w:r>
          </w:p>
        </w:tc>
        <w:tc>
          <w:tcPr>
            <w:tcW w:w="3410" w:type="dxa"/>
            <w:vAlign w:val="center"/>
          </w:tcPr>
          <w:p w14:paraId="1AF4E458"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工厂、仓库区内应设置消防车道。高层厂房，占地面积大于3000m</w:t>
            </w:r>
            <w:r>
              <w:rPr>
                <w:rFonts w:ascii="宋体" w:hAnsi="宋体" w:hint="eastAsia"/>
                <w:color w:val="auto"/>
                <w:sz w:val="21"/>
                <w:szCs w:val="21"/>
                <w:vertAlign w:val="superscript"/>
              </w:rPr>
              <w:t>2</w:t>
            </w:r>
            <w:r>
              <w:rPr>
                <w:rFonts w:ascii="宋体" w:hAnsi="宋体" w:hint="eastAsia"/>
                <w:color w:val="auto"/>
                <w:sz w:val="21"/>
                <w:szCs w:val="21"/>
              </w:rPr>
              <w:t>的甲、乙、丙类厂房或占地面积大于1500m</w:t>
            </w:r>
            <w:r>
              <w:rPr>
                <w:rFonts w:ascii="宋体" w:hAnsi="宋体" w:hint="eastAsia"/>
                <w:color w:val="auto"/>
                <w:sz w:val="21"/>
                <w:szCs w:val="21"/>
                <w:vertAlign w:val="superscript"/>
              </w:rPr>
              <w:t>2</w:t>
            </w:r>
            <w:r>
              <w:rPr>
                <w:rFonts w:ascii="宋体" w:hAnsi="宋体" w:hint="eastAsia"/>
                <w:color w:val="auto"/>
                <w:sz w:val="21"/>
                <w:szCs w:val="21"/>
              </w:rPr>
              <w:t>的乙、丙类仓库，应设置</w:t>
            </w:r>
            <w:proofErr w:type="gramStart"/>
            <w:r>
              <w:rPr>
                <w:rFonts w:ascii="宋体" w:hAnsi="宋体" w:hint="eastAsia"/>
                <w:color w:val="auto"/>
                <w:sz w:val="21"/>
                <w:szCs w:val="21"/>
              </w:rPr>
              <w:t>环形消防</w:t>
            </w:r>
            <w:proofErr w:type="gramEnd"/>
            <w:r>
              <w:rPr>
                <w:rFonts w:ascii="宋体" w:hAnsi="宋体" w:hint="eastAsia"/>
                <w:color w:val="auto"/>
                <w:sz w:val="21"/>
                <w:szCs w:val="21"/>
              </w:rPr>
              <w:t>车道，确有困难时，应沿建筑物的两个长边设置消防车道。</w:t>
            </w:r>
          </w:p>
        </w:tc>
        <w:tc>
          <w:tcPr>
            <w:tcW w:w="1991" w:type="dxa"/>
            <w:vAlign w:val="center"/>
          </w:tcPr>
          <w:p w14:paraId="3FE8CDA0"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《建筑设计防火规范（2018年版）》（GB50016-2014）7.1.3</w:t>
            </w:r>
          </w:p>
        </w:tc>
        <w:tc>
          <w:tcPr>
            <w:tcW w:w="1695" w:type="dxa"/>
            <w:vAlign w:val="center"/>
          </w:tcPr>
          <w:p w14:paraId="61253BCE"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厂区设置有消防通道。</w:t>
            </w:r>
          </w:p>
        </w:tc>
        <w:tc>
          <w:tcPr>
            <w:tcW w:w="1280" w:type="dxa"/>
            <w:vAlign w:val="center"/>
          </w:tcPr>
          <w:p w14:paraId="6C742F04"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58BC0971" w14:textId="77777777">
        <w:trPr>
          <w:trHeight w:val="340"/>
          <w:tblHeader/>
          <w:jc w:val="center"/>
        </w:trPr>
        <w:tc>
          <w:tcPr>
            <w:tcW w:w="696" w:type="dxa"/>
            <w:vAlign w:val="center"/>
          </w:tcPr>
          <w:p w14:paraId="7059F5FD"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color w:val="auto"/>
                <w:sz w:val="21"/>
                <w:szCs w:val="21"/>
              </w:rPr>
              <w:t>5</w:t>
            </w:r>
          </w:p>
        </w:tc>
        <w:tc>
          <w:tcPr>
            <w:tcW w:w="3410" w:type="dxa"/>
            <w:vAlign w:val="center"/>
          </w:tcPr>
          <w:p w14:paraId="463EDDDA"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消防车道应符合下列要求：</w:t>
            </w:r>
          </w:p>
          <w:p w14:paraId="74D1C03F"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1车道的净宽度和净空高度均不应小于4.0m；</w:t>
            </w:r>
          </w:p>
          <w:p w14:paraId="2DC918BD"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2转弯半径应满足消防车转弯的要求</w:t>
            </w:r>
          </w:p>
          <w:p w14:paraId="16C6DB36"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3消防车道与建筑之间不应设置妨碍消防车操作的树木、架空管线等障碍物</w:t>
            </w:r>
          </w:p>
        </w:tc>
        <w:tc>
          <w:tcPr>
            <w:tcW w:w="1991" w:type="dxa"/>
            <w:vAlign w:val="center"/>
          </w:tcPr>
          <w:p w14:paraId="65D46435"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第7.1.8条</w:t>
            </w:r>
          </w:p>
        </w:tc>
        <w:tc>
          <w:tcPr>
            <w:tcW w:w="1695" w:type="dxa"/>
            <w:vAlign w:val="center"/>
          </w:tcPr>
          <w:p w14:paraId="20152AEF"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消防车道按要求设置。</w:t>
            </w:r>
          </w:p>
        </w:tc>
        <w:tc>
          <w:tcPr>
            <w:tcW w:w="1280" w:type="dxa"/>
            <w:vAlign w:val="center"/>
          </w:tcPr>
          <w:p w14:paraId="671CD8F4"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2E404672" w14:textId="77777777">
        <w:trPr>
          <w:trHeight w:val="340"/>
          <w:tblHeader/>
          <w:jc w:val="center"/>
        </w:trPr>
        <w:tc>
          <w:tcPr>
            <w:tcW w:w="696" w:type="dxa"/>
            <w:vAlign w:val="center"/>
          </w:tcPr>
          <w:p w14:paraId="40C3171B"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color w:val="auto"/>
                <w:sz w:val="21"/>
                <w:szCs w:val="21"/>
              </w:rPr>
              <w:t>6</w:t>
            </w:r>
          </w:p>
        </w:tc>
        <w:tc>
          <w:tcPr>
            <w:tcW w:w="3410" w:type="dxa"/>
          </w:tcPr>
          <w:p w14:paraId="175A4598"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proofErr w:type="gramStart"/>
            <w:r>
              <w:rPr>
                <w:rFonts w:ascii="宋体" w:hAnsi="宋体" w:hint="eastAsia"/>
                <w:color w:val="auto"/>
                <w:sz w:val="21"/>
                <w:szCs w:val="21"/>
              </w:rPr>
              <w:t>环形消防</w:t>
            </w:r>
            <w:proofErr w:type="gramEnd"/>
            <w:r>
              <w:rPr>
                <w:rFonts w:ascii="宋体" w:hAnsi="宋体" w:hint="eastAsia"/>
                <w:color w:val="auto"/>
                <w:sz w:val="21"/>
                <w:szCs w:val="21"/>
              </w:rPr>
              <w:t>车道至少应有两处与其它车道连通。</w:t>
            </w:r>
            <w:proofErr w:type="gramStart"/>
            <w:r>
              <w:rPr>
                <w:rFonts w:ascii="宋体" w:hAnsi="宋体" w:hint="eastAsia"/>
                <w:color w:val="auto"/>
                <w:sz w:val="21"/>
                <w:szCs w:val="21"/>
              </w:rPr>
              <w:t>尽头式</w:t>
            </w:r>
            <w:proofErr w:type="gramEnd"/>
            <w:r>
              <w:rPr>
                <w:rFonts w:ascii="宋体" w:hAnsi="宋体" w:hint="eastAsia"/>
                <w:color w:val="auto"/>
                <w:sz w:val="21"/>
                <w:szCs w:val="21"/>
              </w:rPr>
              <w:t>消防车道应设置回车道或回车场，回车场的面积不应小于12.0m×12.0m；供重型消防车使用时，不宜小于18.0m×18.0m。</w:t>
            </w:r>
          </w:p>
        </w:tc>
        <w:tc>
          <w:tcPr>
            <w:tcW w:w="1991" w:type="dxa"/>
            <w:vAlign w:val="center"/>
          </w:tcPr>
          <w:p w14:paraId="7D2CA970"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第7.1.9条</w:t>
            </w:r>
          </w:p>
        </w:tc>
        <w:tc>
          <w:tcPr>
            <w:tcW w:w="1695" w:type="dxa"/>
            <w:vAlign w:val="center"/>
          </w:tcPr>
          <w:p w14:paraId="356D29FF"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消防车道按要求设置。</w:t>
            </w:r>
          </w:p>
        </w:tc>
        <w:tc>
          <w:tcPr>
            <w:tcW w:w="1280" w:type="dxa"/>
            <w:vAlign w:val="center"/>
          </w:tcPr>
          <w:p w14:paraId="37F0DC4D"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51C84182" w14:textId="77777777">
        <w:trPr>
          <w:trHeight w:val="340"/>
          <w:tblHeader/>
          <w:jc w:val="center"/>
        </w:trPr>
        <w:tc>
          <w:tcPr>
            <w:tcW w:w="696" w:type="dxa"/>
            <w:vAlign w:val="center"/>
          </w:tcPr>
          <w:p w14:paraId="72DB6066"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color w:val="auto"/>
                <w:sz w:val="21"/>
                <w:szCs w:val="21"/>
              </w:rPr>
              <w:t>7</w:t>
            </w:r>
          </w:p>
        </w:tc>
        <w:tc>
          <w:tcPr>
            <w:tcW w:w="3410" w:type="dxa"/>
            <w:vAlign w:val="center"/>
          </w:tcPr>
          <w:p w14:paraId="650E12DA"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在同一灭火器配置场所，当选用两种或两种以上类型灭火器时，应采用灭火剂相容的灭火器。</w:t>
            </w:r>
          </w:p>
        </w:tc>
        <w:tc>
          <w:tcPr>
            <w:tcW w:w="1991" w:type="dxa"/>
            <w:vAlign w:val="center"/>
          </w:tcPr>
          <w:p w14:paraId="67F62151"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《建筑灭火器配置设计规范》</w:t>
            </w:r>
          </w:p>
          <w:p w14:paraId="6868FE62"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color w:val="auto"/>
                <w:sz w:val="21"/>
                <w:szCs w:val="21"/>
              </w:rPr>
              <w:t>GB 50140-2005</w:t>
            </w:r>
          </w:p>
          <w:p w14:paraId="1EF3ED44"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color w:val="auto"/>
                <w:sz w:val="21"/>
                <w:szCs w:val="21"/>
              </w:rPr>
              <w:t>4.1.3</w:t>
            </w:r>
          </w:p>
        </w:tc>
        <w:tc>
          <w:tcPr>
            <w:tcW w:w="1695" w:type="dxa"/>
            <w:vAlign w:val="center"/>
          </w:tcPr>
          <w:p w14:paraId="0EE20041"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灭火器选用满足要求。</w:t>
            </w:r>
          </w:p>
        </w:tc>
        <w:tc>
          <w:tcPr>
            <w:tcW w:w="1280" w:type="dxa"/>
            <w:vAlign w:val="center"/>
          </w:tcPr>
          <w:p w14:paraId="0F307A15"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75AE5BCE" w14:textId="77777777">
        <w:trPr>
          <w:trHeight w:val="340"/>
          <w:tblHeader/>
          <w:jc w:val="center"/>
        </w:trPr>
        <w:tc>
          <w:tcPr>
            <w:tcW w:w="696" w:type="dxa"/>
            <w:vAlign w:val="center"/>
          </w:tcPr>
          <w:p w14:paraId="0A85F5D1"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color w:val="auto"/>
                <w:sz w:val="21"/>
                <w:szCs w:val="21"/>
              </w:rPr>
              <w:t>8</w:t>
            </w:r>
          </w:p>
        </w:tc>
        <w:tc>
          <w:tcPr>
            <w:tcW w:w="3410" w:type="dxa"/>
            <w:vAlign w:val="center"/>
          </w:tcPr>
          <w:p w14:paraId="50340161"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灭火器应设置在位置明显和便于取用的地点</w:t>
            </w:r>
            <w:r>
              <w:rPr>
                <w:rFonts w:ascii="宋体" w:hAnsi="宋体"/>
                <w:color w:val="auto"/>
                <w:sz w:val="21"/>
                <w:szCs w:val="21"/>
              </w:rPr>
              <w:t>,</w:t>
            </w:r>
            <w:r>
              <w:rPr>
                <w:rFonts w:ascii="宋体" w:hAnsi="宋体" w:hint="eastAsia"/>
                <w:color w:val="auto"/>
                <w:sz w:val="21"/>
                <w:szCs w:val="21"/>
              </w:rPr>
              <w:t>且不得影响安全疏散。</w:t>
            </w:r>
          </w:p>
        </w:tc>
        <w:tc>
          <w:tcPr>
            <w:tcW w:w="1991" w:type="dxa"/>
            <w:vAlign w:val="center"/>
          </w:tcPr>
          <w:p w14:paraId="7625D7C0"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color w:val="auto"/>
                <w:sz w:val="21"/>
                <w:szCs w:val="21"/>
              </w:rPr>
              <w:t>5.1.1</w:t>
            </w:r>
          </w:p>
        </w:tc>
        <w:tc>
          <w:tcPr>
            <w:tcW w:w="1695" w:type="dxa"/>
            <w:vAlign w:val="center"/>
          </w:tcPr>
          <w:p w14:paraId="24D2E813"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灭火器设置明显和便于取用的地点。</w:t>
            </w:r>
          </w:p>
        </w:tc>
        <w:tc>
          <w:tcPr>
            <w:tcW w:w="1280" w:type="dxa"/>
            <w:vAlign w:val="center"/>
          </w:tcPr>
          <w:p w14:paraId="4A1DD62D"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6C8595E2" w14:textId="77777777">
        <w:trPr>
          <w:trHeight w:val="340"/>
          <w:tblHeader/>
          <w:jc w:val="center"/>
        </w:trPr>
        <w:tc>
          <w:tcPr>
            <w:tcW w:w="696" w:type="dxa"/>
            <w:vAlign w:val="center"/>
          </w:tcPr>
          <w:p w14:paraId="3D04D769"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color w:val="auto"/>
                <w:sz w:val="21"/>
                <w:szCs w:val="21"/>
              </w:rPr>
              <w:t>9</w:t>
            </w:r>
          </w:p>
        </w:tc>
        <w:tc>
          <w:tcPr>
            <w:tcW w:w="3410" w:type="dxa"/>
            <w:vAlign w:val="center"/>
          </w:tcPr>
          <w:p w14:paraId="7DC8AE6F"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color w:val="auto"/>
                <w:sz w:val="21"/>
                <w:szCs w:val="21"/>
              </w:rPr>
              <w:t>灭火器不得设置在超出其使用温度范围的地点。</w:t>
            </w:r>
          </w:p>
        </w:tc>
        <w:tc>
          <w:tcPr>
            <w:tcW w:w="1991" w:type="dxa"/>
            <w:vAlign w:val="center"/>
          </w:tcPr>
          <w:p w14:paraId="16D8C99E"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bCs/>
                <w:color w:val="auto"/>
                <w:sz w:val="21"/>
                <w:szCs w:val="21"/>
              </w:rPr>
              <w:t>5.1.5</w:t>
            </w:r>
          </w:p>
        </w:tc>
        <w:tc>
          <w:tcPr>
            <w:tcW w:w="1695" w:type="dxa"/>
            <w:vAlign w:val="center"/>
          </w:tcPr>
          <w:p w14:paraId="15BB7E74"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灭火器设置地点合理。</w:t>
            </w:r>
          </w:p>
        </w:tc>
        <w:tc>
          <w:tcPr>
            <w:tcW w:w="1280" w:type="dxa"/>
            <w:vAlign w:val="center"/>
          </w:tcPr>
          <w:p w14:paraId="54EEE9A1"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5550F7A3" w14:textId="77777777">
        <w:trPr>
          <w:trHeight w:val="340"/>
          <w:tblHeader/>
          <w:jc w:val="center"/>
        </w:trPr>
        <w:tc>
          <w:tcPr>
            <w:tcW w:w="696" w:type="dxa"/>
            <w:vAlign w:val="center"/>
          </w:tcPr>
          <w:p w14:paraId="5BD3FB7B"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color w:val="auto"/>
                <w:sz w:val="21"/>
                <w:szCs w:val="21"/>
              </w:rPr>
              <w:t>10</w:t>
            </w:r>
          </w:p>
        </w:tc>
        <w:tc>
          <w:tcPr>
            <w:tcW w:w="3410" w:type="dxa"/>
            <w:vAlign w:val="center"/>
          </w:tcPr>
          <w:p w14:paraId="6E638B9A"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设置在火灾场所的灭火器，其最大保护距离应符合</w:t>
            </w:r>
            <w:r>
              <w:rPr>
                <w:rFonts w:ascii="宋体" w:hAnsi="宋体"/>
                <w:color w:val="auto"/>
                <w:sz w:val="21"/>
                <w:szCs w:val="21"/>
              </w:rPr>
              <w:t>GB50140</w:t>
            </w:r>
            <w:r>
              <w:rPr>
                <w:rFonts w:ascii="宋体" w:hAnsi="宋体" w:hint="eastAsia"/>
                <w:color w:val="auto"/>
                <w:sz w:val="21"/>
                <w:szCs w:val="21"/>
              </w:rPr>
              <w:t>－</w:t>
            </w:r>
            <w:r>
              <w:rPr>
                <w:rFonts w:ascii="宋体" w:hAnsi="宋体"/>
                <w:color w:val="auto"/>
                <w:sz w:val="21"/>
                <w:szCs w:val="21"/>
              </w:rPr>
              <w:t>2005</w:t>
            </w:r>
            <w:r>
              <w:rPr>
                <w:rFonts w:ascii="宋体" w:hAnsi="宋体" w:hint="eastAsia"/>
                <w:color w:val="auto"/>
                <w:sz w:val="21"/>
                <w:szCs w:val="21"/>
              </w:rPr>
              <w:t>表</w:t>
            </w:r>
            <w:r>
              <w:rPr>
                <w:rFonts w:ascii="宋体" w:hAnsi="宋体"/>
                <w:color w:val="auto"/>
                <w:sz w:val="21"/>
                <w:szCs w:val="21"/>
              </w:rPr>
              <w:t>5.2.1</w:t>
            </w:r>
            <w:r>
              <w:rPr>
                <w:rFonts w:ascii="宋体" w:hAnsi="宋体" w:hint="eastAsia"/>
                <w:color w:val="auto"/>
                <w:sz w:val="21"/>
                <w:szCs w:val="21"/>
              </w:rPr>
              <w:t>、5.2.2的规定。</w:t>
            </w:r>
          </w:p>
        </w:tc>
        <w:tc>
          <w:tcPr>
            <w:tcW w:w="1991" w:type="dxa"/>
            <w:vAlign w:val="center"/>
          </w:tcPr>
          <w:p w14:paraId="7BEF7EB0"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color w:val="auto"/>
                <w:sz w:val="21"/>
                <w:szCs w:val="21"/>
              </w:rPr>
              <w:t>5.2</w:t>
            </w:r>
          </w:p>
        </w:tc>
        <w:tc>
          <w:tcPr>
            <w:tcW w:w="1695" w:type="dxa"/>
            <w:vAlign w:val="center"/>
          </w:tcPr>
          <w:p w14:paraId="2DDC2DEF"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灭火器最大保护距离符合规定。</w:t>
            </w:r>
          </w:p>
        </w:tc>
        <w:tc>
          <w:tcPr>
            <w:tcW w:w="1280" w:type="dxa"/>
            <w:vAlign w:val="center"/>
          </w:tcPr>
          <w:p w14:paraId="72DAF75F"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65CAAEC6" w14:textId="77777777">
        <w:trPr>
          <w:trHeight w:val="340"/>
          <w:tblHeader/>
          <w:jc w:val="center"/>
        </w:trPr>
        <w:tc>
          <w:tcPr>
            <w:tcW w:w="696" w:type="dxa"/>
            <w:vAlign w:val="center"/>
          </w:tcPr>
          <w:p w14:paraId="1E39196F"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color w:val="auto"/>
                <w:sz w:val="21"/>
                <w:szCs w:val="21"/>
              </w:rPr>
              <w:lastRenderedPageBreak/>
              <w:t>11</w:t>
            </w:r>
          </w:p>
        </w:tc>
        <w:tc>
          <w:tcPr>
            <w:tcW w:w="3410" w:type="dxa"/>
            <w:vAlign w:val="center"/>
          </w:tcPr>
          <w:p w14:paraId="0F917C69"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一个计算单元内配置的灭火器数量不得少于</w:t>
            </w:r>
            <w:r>
              <w:rPr>
                <w:rFonts w:ascii="宋体" w:hAnsi="宋体"/>
                <w:color w:val="auto"/>
                <w:sz w:val="21"/>
                <w:szCs w:val="21"/>
              </w:rPr>
              <w:t>2</w:t>
            </w:r>
            <w:r>
              <w:rPr>
                <w:rFonts w:ascii="宋体" w:hAnsi="宋体" w:hint="eastAsia"/>
                <w:color w:val="auto"/>
                <w:sz w:val="21"/>
                <w:szCs w:val="21"/>
              </w:rPr>
              <w:t>具。每个设置点的灭火器数量不宜多于</w:t>
            </w:r>
            <w:r>
              <w:rPr>
                <w:rFonts w:ascii="宋体" w:hAnsi="宋体"/>
                <w:color w:val="auto"/>
                <w:sz w:val="21"/>
                <w:szCs w:val="21"/>
              </w:rPr>
              <w:t>5</w:t>
            </w:r>
            <w:r>
              <w:rPr>
                <w:rFonts w:ascii="宋体" w:hAnsi="宋体" w:hint="eastAsia"/>
                <w:color w:val="auto"/>
                <w:sz w:val="21"/>
                <w:szCs w:val="21"/>
              </w:rPr>
              <w:t>具。</w:t>
            </w:r>
          </w:p>
        </w:tc>
        <w:tc>
          <w:tcPr>
            <w:tcW w:w="1991" w:type="dxa"/>
            <w:vAlign w:val="center"/>
          </w:tcPr>
          <w:p w14:paraId="5B5E8DC0"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color w:val="auto"/>
                <w:sz w:val="21"/>
                <w:szCs w:val="21"/>
              </w:rPr>
              <w:t>6.1.1</w:t>
            </w:r>
            <w:r>
              <w:rPr>
                <w:rFonts w:ascii="宋体" w:hAnsi="宋体" w:hint="eastAsia"/>
                <w:color w:val="auto"/>
                <w:sz w:val="21"/>
                <w:szCs w:val="21"/>
              </w:rPr>
              <w:t>、</w:t>
            </w:r>
            <w:r>
              <w:rPr>
                <w:rFonts w:ascii="宋体" w:hAnsi="宋体"/>
                <w:color w:val="auto"/>
                <w:sz w:val="21"/>
                <w:szCs w:val="21"/>
              </w:rPr>
              <w:t>6.1.2</w:t>
            </w:r>
          </w:p>
        </w:tc>
        <w:tc>
          <w:tcPr>
            <w:tcW w:w="1695" w:type="dxa"/>
            <w:vAlign w:val="center"/>
          </w:tcPr>
          <w:p w14:paraId="5570F523"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灭火器数量基本满足要求。</w:t>
            </w:r>
          </w:p>
        </w:tc>
        <w:tc>
          <w:tcPr>
            <w:tcW w:w="1280" w:type="dxa"/>
            <w:vAlign w:val="center"/>
          </w:tcPr>
          <w:p w14:paraId="69791940"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3883645D" w14:textId="77777777">
        <w:trPr>
          <w:trHeight w:val="340"/>
          <w:tblHeader/>
          <w:jc w:val="center"/>
        </w:trPr>
        <w:tc>
          <w:tcPr>
            <w:tcW w:w="696" w:type="dxa"/>
            <w:vAlign w:val="center"/>
          </w:tcPr>
          <w:p w14:paraId="2B9FCBCE"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hint="eastAsia"/>
                <w:color w:val="auto"/>
                <w:sz w:val="21"/>
                <w:szCs w:val="21"/>
              </w:rPr>
              <w:t>12</w:t>
            </w:r>
          </w:p>
        </w:tc>
        <w:tc>
          <w:tcPr>
            <w:tcW w:w="3410" w:type="dxa"/>
            <w:vAlign w:val="center"/>
          </w:tcPr>
          <w:p w14:paraId="2C5A6A90"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实验室应按照GB50974-2014的要求保证消防给水及配备消火栓系统；实验室所在建筑的防烟排烟系统应符合GB51251-2017的要求。</w:t>
            </w:r>
          </w:p>
        </w:tc>
        <w:tc>
          <w:tcPr>
            <w:tcW w:w="1991" w:type="dxa"/>
            <w:vAlign w:val="center"/>
          </w:tcPr>
          <w:p w14:paraId="23B6F027"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《化学化工实验室安全管理规范》（T/CCSAS 005-2019）9.6.3</w:t>
            </w:r>
          </w:p>
        </w:tc>
        <w:tc>
          <w:tcPr>
            <w:tcW w:w="1695" w:type="dxa"/>
            <w:vAlign w:val="center"/>
          </w:tcPr>
          <w:p w14:paraId="3C27D9D7"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实验室已按照GB50974-2014的要求配备室内消火栓系统；实验室所在建筑的防烟排烟系统符合相关要求。</w:t>
            </w:r>
          </w:p>
        </w:tc>
        <w:tc>
          <w:tcPr>
            <w:tcW w:w="1280" w:type="dxa"/>
            <w:vAlign w:val="center"/>
          </w:tcPr>
          <w:p w14:paraId="5FDCE67E"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5AF5BFB8" w14:textId="77777777">
        <w:trPr>
          <w:trHeight w:val="340"/>
          <w:tblHeader/>
          <w:jc w:val="center"/>
        </w:trPr>
        <w:tc>
          <w:tcPr>
            <w:tcW w:w="696" w:type="dxa"/>
            <w:vAlign w:val="center"/>
          </w:tcPr>
          <w:p w14:paraId="23AE0F8A"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hint="eastAsia"/>
                <w:color w:val="auto"/>
                <w:sz w:val="21"/>
                <w:szCs w:val="21"/>
              </w:rPr>
              <w:t>13</w:t>
            </w:r>
          </w:p>
        </w:tc>
        <w:tc>
          <w:tcPr>
            <w:tcW w:w="3410" w:type="dxa"/>
            <w:vAlign w:val="center"/>
          </w:tcPr>
          <w:p w14:paraId="6796ED1C"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实验室所在楼或楼层的消防应急照明和疏散指示系统应符合GB50016-2014和GB17945-2010的相关规定。</w:t>
            </w:r>
          </w:p>
        </w:tc>
        <w:tc>
          <w:tcPr>
            <w:tcW w:w="1991" w:type="dxa"/>
            <w:vAlign w:val="center"/>
          </w:tcPr>
          <w:p w14:paraId="24132C0E"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9.6.4</w:t>
            </w:r>
          </w:p>
        </w:tc>
        <w:tc>
          <w:tcPr>
            <w:tcW w:w="1695" w:type="dxa"/>
            <w:vAlign w:val="center"/>
          </w:tcPr>
          <w:p w14:paraId="0E8DE99C"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实验室消防应急照明和疏散指示系统符合相关规定。</w:t>
            </w:r>
          </w:p>
        </w:tc>
        <w:tc>
          <w:tcPr>
            <w:tcW w:w="1280" w:type="dxa"/>
            <w:vAlign w:val="center"/>
          </w:tcPr>
          <w:p w14:paraId="7547B4F3"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6953C9A4" w14:textId="77777777">
        <w:trPr>
          <w:trHeight w:val="340"/>
          <w:tblHeader/>
          <w:jc w:val="center"/>
        </w:trPr>
        <w:tc>
          <w:tcPr>
            <w:tcW w:w="696" w:type="dxa"/>
            <w:vAlign w:val="center"/>
          </w:tcPr>
          <w:p w14:paraId="20C8CFFC"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hint="eastAsia"/>
                <w:color w:val="auto"/>
                <w:sz w:val="21"/>
                <w:szCs w:val="21"/>
              </w:rPr>
              <w:t>14</w:t>
            </w:r>
          </w:p>
        </w:tc>
        <w:tc>
          <w:tcPr>
            <w:tcW w:w="3410" w:type="dxa"/>
            <w:vAlign w:val="center"/>
          </w:tcPr>
          <w:p w14:paraId="52DFBDBA"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实验室应配备充足有效的消防设施，定期检查有效期并及时更换。</w:t>
            </w:r>
          </w:p>
        </w:tc>
        <w:tc>
          <w:tcPr>
            <w:tcW w:w="1991" w:type="dxa"/>
            <w:vAlign w:val="center"/>
          </w:tcPr>
          <w:p w14:paraId="6C7E77D6"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9.6.5</w:t>
            </w:r>
          </w:p>
        </w:tc>
        <w:tc>
          <w:tcPr>
            <w:tcW w:w="1695" w:type="dxa"/>
            <w:vAlign w:val="center"/>
          </w:tcPr>
          <w:p w14:paraId="4AC842D4"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实验室配备充足有效的消防设施，并定期检查有效期。</w:t>
            </w:r>
          </w:p>
        </w:tc>
        <w:tc>
          <w:tcPr>
            <w:tcW w:w="1280" w:type="dxa"/>
            <w:vAlign w:val="center"/>
          </w:tcPr>
          <w:p w14:paraId="7FB8A30B"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3CE0AFBA" w14:textId="77777777">
        <w:trPr>
          <w:trHeight w:val="340"/>
          <w:tblHeader/>
          <w:jc w:val="center"/>
        </w:trPr>
        <w:tc>
          <w:tcPr>
            <w:tcW w:w="696" w:type="dxa"/>
            <w:vAlign w:val="center"/>
          </w:tcPr>
          <w:p w14:paraId="4E6B811A"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hint="eastAsia"/>
                <w:color w:val="auto"/>
                <w:sz w:val="21"/>
                <w:szCs w:val="21"/>
              </w:rPr>
              <w:t>15</w:t>
            </w:r>
          </w:p>
        </w:tc>
        <w:tc>
          <w:tcPr>
            <w:tcW w:w="3410" w:type="dxa"/>
            <w:vAlign w:val="center"/>
          </w:tcPr>
          <w:p w14:paraId="0D44AB33"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实验室应</w:t>
            </w:r>
            <w:proofErr w:type="gramStart"/>
            <w:r>
              <w:rPr>
                <w:rFonts w:ascii="宋体" w:hAnsi="宋体" w:hint="eastAsia"/>
                <w:color w:val="auto"/>
                <w:sz w:val="21"/>
                <w:szCs w:val="21"/>
              </w:rPr>
              <w:t>按可能</w:t>
            </w:r>
            <w:proofErr w:type="gramEnd"/>
            <w:r>
              <w:rPr>
                <w:rFonts w:ascii="宋体" w:hAnsi="宋体" w:hint="eastAsia"/>
                <w:color w:val="auto"/>
                <w:sz w:val="21"/>
                <w:szCs w:val="21"/>
              </w:rPr>
              <w:t>出现的火灾类型和危险等级配备灭火器，且灭火器的配置类型、规格、数量及其设置位置应符合GB50140-2005的相关要求。</w:t>
            </w:r>
          </w:p>
        </w:tc>
        <w:tc>
          <w:tcPr>
            <w:tcW w:w="1991" w:type="dxa"/>
            <w:vAlign w:val="center"/>
          </w:tcPr>
          <w:p w14:paraId="1E687475"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9.6.6</w:t>
            </w:r>
          </w:p>
        </w:tc>
        <w:tc>
          <w:tcPr>
            <w:tcW w:w="1695" w:type="dxa"/>
            <w:vAlign w:val="center"/>
          </w:tcPr>
          <w:p w14:paraId="2848776F"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实验室</w:t>
            </w:r>
            <w:proofErr w:type="gramStart"/>
            <w:r>
              <w:rPr>
                <w:rFonts w:ascii="宋体" w:hAnsi="宋体" w:hint="eastAsia"/>
                <w:color w:val="auto"/>
                <w:sz w:val="21"/>
                <w:szCs w:val="21"/>
              </w:rPr>
              <w:t>按可能</w:t>
            </w:r>
            <w:proofErr w:type="gramEnd"/>
            <w:r>
              <w:rPr>
                <w:rFonts w:ascii="宋体" w:hAnsi="宋体" w:hint="eastAsia"/>
                <w:color w:val="auto"/>
                <w:sz w:val="21"/>
                <w:szCs w:val="21"/>
              </w:rPr>
              <w:t>出现的火灾类型和危险等级配备灭火器，且灭火器的配置类型、规格、数量及其设置位置符合相关要求。</w:t>
            </w:r>
          </w:p>
        </w:tc>
        <w:tc>
          <w:tcPr>
            <w:tcW w:w="1280" w:type="dxa"/>
            <w:vAlign w:val="center"/>
          </w:tcPr>
          <w:p w14:paraId="7F1AA95F"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722F65CF" w14:textId="77777777">
        <w:trPr>
          <w:trHeight w:val="340"/>
          <w:tblHeader/>
          <w:jc w:val="center"/>
        </w:trPr>
        <w:tc>
          <w:tcPr>
            <w:tcW w:w="696" w:type="dxa"/>
            <w:vAlign w:val="center"/>
          </w:tcPr>
          <w:p w14:paraId="12C2431F"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hint="eastAsia"/>
                <w:color w:val="auto"/>
                <w:sz w:val="21"/>
                <w:szCs w:val="21"/>
              </w:rPr>
              <w:t>16</w:t>
            </w:r>
          </w:p>
        </w:tc>
        <w:tc>
          <w:tcPr>
            <w:tcW w:w="3410" w:type="dxa"/>
            <w:vAlign w:val="center"/>
          </w:tcPr>
          <w:p w14:paraId="4195B9DA"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实验室应定期组织员工进行消防演练或培训，并保存消防演练或培训记录。</w:t>
            </w:r>
          </w:p>
        </w:tc>
        <w:tc>
          <w:tcPr>
            <w:tcW w:w="1991" w:type="dxa"/>
            <w:vAlign w:val="center"/>
          </w:tcPr>
          <w:p w14:paraId="2807C5E0"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9.6.10</w:t>
            </w:r>
          </w:p>
        </w:tc>
        <w:tc>
          <w:tcPr>
            <w:tcW w:w="1695" w:type="dxa"/>
            <w:vAlign w:val="center"/>
          </w:tcPr>
          <w:p w14:paraId="4D3EE882"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实验室有定期消防演练和培训计划，并保存消防演练或培训记录。</w:t>
            </w:r>
          </w:p>
        </w:tc>
        <w:tc>
          <w:tcPr>
            <w:tcW w:w="1280" w:type="dxa"/>
            <w:vAlign w:val="center"/>
          </w:tcPr>
          <w:p w14:paraId="016A9DAB"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r w:rsidR="009219A0" w14:paraId="7B871C60" w14:textId="77777777">
        <w:trPr>
          <w:trHeight w:val="340"/>
          <w:tblHeader/>
          <w:jc w:val="center"/>
        </w:trPr>
        <w:tc>
          <w:tcPr>
            <w:tcW w:w="696" w:type="dxa"/>
            <w:vAlign w:val="center"/>
          </w:tcPr>
          <w:p w14:paraId="1F61BB5A" w14:textId="77777777" w:rsidR="009219A0" w:rsidRDefault="00000000">
            <w:pPr>
              <w:topLinePunct/>
              <w:adjustRightInd/>
              <w:snapToGrid/>
              <w:spacing w:line="240" w:lineRule="auto"/>
              <w:ind w:firstLineChars="0" w:firstLine="0"/>
              <w:contextualSpacing/>
              <w:jc w:val="center"/>
              <w:rPr>
                <w:rFonts w:ascii="宋体" w:hAnsi="宋体" w:hint="eastAsia"/>
                <w:color w:val="auto"/>
                <w:sz w:val="21"/>
                <w:szCs w:val="21"/>
              </w:rPr>
            </w:pPr>
            <w:r>
              <w:rPr>
                <w:rFonts w:ascii="宋体" w:hAnsi="宋体" w:hint="eastAsia"/>
                <w:color w:val="auto"/>
                <w:sz w:val="21"/>
                <w:szCs w:val="21"/>
              </w:rPr>
              <w:t>17</w:t>
            </w:r>
          </w:p>
        </w:tc>
        <w:tc>
          <w:tcPr>
            <w:tcW w:w="3410" w:type="dxa"/>
            <w:vAlign w:val="center"/>
          </w:tcPr>
          <w:p w14:paraId="035D222C"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实验室应按照GB25201-2010的要求对建筑消防设施进行维护和管理。</w:t>
            </w:r>
          </w:p>
        </w:tc>
        <w:tc>
          <w:tcPr>
            <w:tcW w:w="1991" w:type="dxa"/>
            <w:vAlign w:val="center"/>
          </w:tcPr>
          <w:p w14:paraId="26F4A77C"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9.6.11</w:t>
            </w:r>
          </w:p>
        </w:tc>
        <w:tc>
          <w:tcPr>
            <w:tcW w:w="1695" w:type="dxa"/>
            <w:vAlign w:val="center"/>
          </w:tcPr>
          <w:p w14:paraId="12CA0E0D" w14:textId="77777777" w:rsidR="009219A0" w:rsidRDefault="00000000">
            <w:pPr>
              <w:topLinePunct/>
              <w:adjustRightInd/>
              <w:snapToGrid/>
              <w:spacing w:line="240" w:lineRule="auto"/>
              <w:ind w:firstLineChars="0" w:firstLine="0"/>
              <w:contextualSpacing/>
              <w:rPr>
                <w:rFonts w:ascii="宋体" w:hAnsi="宋体" w:hint="eastAsia"/>
                <w:color w:val="auto"/>
                <w:sz w:val="21"/>
                <w:szCs w:val="21"/>
              </w:rPr>
            </w:pPr>
            <w:r>
              <w:rPr>
                <w:rFonts w:ascii="宋体" w:hAnsi="宋体" w:hint="eastAsia"/>
                <w:color w:val="auto"/>
                <w:sz w:val="21"/>
                <w:szCs w:val="21"/>
              </w:rPr>
              <w:t>实验室按照相关要求对建筑消防设施进行维护和管理。</w:t>
            </w:r>
          </w:p>
        </w:tc>
        <w:tc>
          <w:tcPr>
            <w:tcW w:w="1280" w:type="dxa"/>
            <w:vAlign w:val="center"/>
          </w:tcPr>
          <w:p w14:paraId="6C89BF91" w14:textId="77777777" w:rsidR="009219A0" w:rsidRDefault="00000000">
            <w:pPr>
              <w:topLinePunct/>
              <w:adjustRightInd/>
              <w:snapToGrid/>
              <w:spacing w:line="240" w:lineRule="auto"/>
              <w:ind w:firstLineChars="0" w:firstLine="0"/>
              <w:contextualSpacing/>
              <w:jc w:val="left"/>
              <w:rPr>
                <w:rFonts w:ascii="宋体" w:hAnsi="宋体" w:hint="eastAsia"/>
                <w:color w:val="auto"/>
                <w:sz w:val="21"/>
                <w:szCs w:val="21"/>
              </w:rPr>
            </w:pPr>
            <w:r>
              <w:rPr>
                <w:rFonts w:ascii="宋体" w:hAnsi="宋体" w:hint="eastAsia"/>
                <w:color w:val="auto"/>
                <w:sz w:val="21"/>
                <w:szCs w:val="21"/>
              </w:rPr>
              <w:t>符合要求</w:t>
            </w:r>
          </w:p>
        </w:tc>
      </w:tr>
    </w:tbl>
    <w:p w14:paraId="09589513" w14:textId="77777777" w:rsidR="009219A0" w:rsidRDefault="00000000">
      <w:pPr>
        <w:pStyle w:val="3"/>
        <w:rPr>
          <w:rFonts w:hint="eastAsia"/>
        </w:rPr>
      </w:pPr>
      <w:bookmarkStart w:id="356" w:name="_Toc211950531"/>
      <w:r>
        <w:rPr>
          <w:rFonts w:hint="eastAsia"/>
        </w:rPr>
        <w:t>5.3.3 单元小结</w:t>
      </w:r>
      <w:bookmarkEnd w:id="356"/>
    </w:p>
    <w:p w14:paraId="265BB9AB" w14:textId="77777777" w:rsidR="009219A0" w:rsidRDefault="00000000">
      <w:pPr>
        <w:ind w:firstLine="560"/>
        <w:rPr>
          <w:color w:val="auto"/>
        </w:rPr>
      </w:pPr>
      <w:r>
        <w:rPr>
          <w:rFonts w:hint="eastAsia"/>
          <w:color w:val="auto"/>
        </w:rPr>
        <w:t>本节通过采用安全检查表评价，对供配电系统、</w:t>
      </w:r>
      <w:r>
        <w:rPr>
          <w:rFonts w:hint="eastAsia"/>
          <w:color w:val="auto"/>
          <w:szCs w:val="28"/>
        </w:rPr>
        <w:t>消防系统</w:t>
      </w:r>
      <w:r>
        <w:rPr>
          <w:rFonts w:hint="eastAsia"/>
          <w:color w:val="auto"/>
        </w:rPr>
        <w:t>进行安全检查评价。项目供电有保障、用电装置配置符合要求，项目消防设施设置符合国家标准和规范要求。</w:t>
      </w:r>
    </w:p>
    <w:p w14:paraId="27EE9EB4" w14:textId="77777777" w:rsidR="009219A0" w:rsidRDefault="00000000">
      <w:pPr>
        <w:pStyle w:val="2"/>
        <w:rPr>
          <w:rFonts w:hint="eastAsia"/>
        </w:rPr>
      </w:pPr>
      <w:bookmarkStart w:id="357" w:name="_Toc62219379"/>
      <w:bookmarkStart w:id="358" w:name="_Toc165281492"/>
      <w:bookmarkStart w:id="359" w:name="_Toc211950532"/>
      <w:r>
        <w:rPr>
          <w:rFonts w:hint="eastAsia"/>
          <w:bCs w:val="0"/>
        </w:rPr>
        <w:t xml:space="preserve">5.4 </w:t>
      </w:r>
      <w:r>
        <w:rPr>
          <w:rFonts w:hint="eastAsia"/>
        </w:rPr>
        <w:t>安全管理及应急救援单元评价</w:t>
      </w:r>
      <w:bookmarkEnd w:id="357"/>
      <w:bookmarkEnd w:id="358"/>
      <w:bookmarkEnd w:id="359"/>
    </w:p>
    <w:p w14:paraId="084B211B" w14:textId="77777777" w:rsidR="009219A0" w:rsidRDefault="00000000">
      <w:pPr>
        <w:pStyle w:val="3"/>
        <w:rPr>
          <w:rFonts w:hint="eastAsia"/>
        </w:rPr>
      </w:pPr>
      <w:bookmarkStart w:id="360" w:name="_Toc211950533"/>
      <w:r>
        <w:rPr>
          <w:rFonts w:hint="eastAsia"/>
        </w:rPr>
        <w:t>5.4.1 安全管理安全评价</w:t>
      </w:r>
      <w:bookmarkEnd w:id="360"/>
    </w:p>
    <w:p w14:paraId="4541C7C0" w14:textId="77777777" w:rsidR="009219A0" w:rsidRDefault="00000000">
      <w:pPr>
        <w:ind w:firstLine="560"/>
        <w:rPr>
          <w:color w:val="auto"/>
        </w:rPr>
      </w:pPr>
      <w:r>
        <w:rPr>
          <w:rFonts w:hint="eastAsia"/>
          <w:color w:val="auto"/>
        </w:rPr>
        <w:t>（</w:t>
      </w:r>
      <w:r>
        <w:rPr>
          <w:rFonts w:hint="eastAsia"/>
          <w:color w:val="auto"/>
        </w:rPr>
        <w:t>1</w:t>
      </w:r>
      <w:r>
        <w:rPr>
          <w:rFonts w:hint="eastAsia"/>
          <w:color w:val="auto"/>
        </w:rPr>
        <w:t>）安全管理安全检查表</w:t>
      </w:r>
    </w:p>
    <w:p w14:paraId="0798DA69" w14:textId="77777777" w:rsidR="009219A0" w:rsidRDefault="00000000">
      <w:pPr>
        <w:ind w:firstLine="560"/>
        <w:rPr>
          <w:color w:val="auto"/>
        </w:rPr>
      </w:pPr>
      <w:r>
        <w:rPr>
          <w:rFonts w:hint="eastAsia"/>
          <w:color w:val="auto"/>
        </w:rPr>
        <w:t>本节根据《中华人民共和国安全生产法》、《生产经营单位安全培训</w:t>
      </w:r>
      <w:r>
        <w:rPr>
          <w:rFonts w:hint="eastAsia"/>
          <w:color w:val="auto"/>
        </w:rPr>
        <w:lastRenderedPageBreak/>
        <w:t>规定》、《用人单位劳动防护用品管理规范》等法律、法规的要求，对该项目安全管理现状进行检查评价，具体检查情况见附表</w:t>
      </w:r>
      <w:r>
        <w:rPr>
          <w:rFonts w:hint="eastAsia"/>
          <w:color w:val="auto"/>
        </w:rPr>
        <w:t>5.4-1</w:t>
      </w:r>
      <w:r>
        <w:rPr>
          <w:rFonts w:hint="eastAsia"/>
          <w:color w:val="auto"/>
        </w:rPr>
        <w:t>。</w:t>
      </w:r>
    </w:p>
    <w:p w14:paraId="0DFF9077" w14:textId="77777777" w:rsidR="009219A0" w:rsidRDefault="00000000">
      <w:pPr>
        <w:ind w:firstLineChars="0" w:firstLine="0"/>
        <w:jc w:val="center"/>
        <w:rPr>
          <w:rFonts w:ascii="宋体" w:hAnsi="宋体" w:hint="eastAsia"/>
          <w:color w:val="auto"/>
          <w:kern w:val="0"/>
          <w:szCs w:val="28"/>
          <w:lang w:val="zh-CN"/>
        </w:rPr>
      </w:pPr>
      <w:r>
        <w:rPr>
          <w:rFonts w:ascii="宋体" w:hAnsi="宋体" w:hint="eastAsia"/>
          <w:color w:val="auto"/>
          <w:kern w:val="0"/>
          <w:szCs w:val="28"/>
          <w:lang w:val="zh-CN"/>
        </w:rPr>
        <w:t>附表5.4-</w:t>
      </w:r>
      <w:r>
        <w:rPr>
          <w:rFonts w:ascii="宋体" w:hAnsi="宋体" w:hint="eastAsia"/>
          <w:color w:val="auto"/>
          <w:kern w:val="0"/>
          <w:szCs w:val="28"/>
        </w:rPr>
        <w:t>1安全管理</w:t>
      </w:r>
      <w:r>
        <w:rPr>
          <w:rFonts w:ascii="宋体" w:hAnsi="宋体" w:hint="eastAsia"/>
          <w:color w:val="auto"/>
          <w:kern w:val="0"/>
          <w:szCs w:val="28"/>
          <w:lang w:val="zh-CN"/>
        </w:rPr>
        <w:t>安全检查表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3807"/>
        <w:gridCol w:w="1695"/>
        <w:gridCol w:w="1689"/>
        <w:gridCol w:w="1151"/>
      </w:tblGrid>
      <w:tr w:rsidR="009219A0" w14:paraId="4F261D67" w14:textId="77777777">
        <w:trPr>
          <w:trHeight w:val="454"/>
          <w:tblHeader/>
          <w:jc w:val="center"/>
        </w:trPr>
        <w:tc>
          <w:tcPr>
            <w:tcW w:w="730" w:type="dxa"/>
            <w:vAlign w:val="center"/>
          </w:tcPr>
          <w:p w14:paraId="2055E00D" w14:textId="77777777" w:rsidR="009219A0" w:rsidRDefault="00000000">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序号</w:t>
            </w:r>
          </w:p>
        </w:tc>
        <w:tc>
          <w:tcPr>
            <w:tcW w:w="3807" w:type="dxa"/>
            <w:vAlign w:val="center"/>
          </w:tcPr>
          <w:p w14:paraId="19811CC1" w14:textId="77777777" w:rsidR="009219A0" w:rsidRDefault="00000000">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评价内容</w:t>
            </w:r>
          </w:p>
        </w:tc>
        <w:tc>
          <w:tcPr>
            <w:tcW w:w="1695" w:type="dxa"/>
            <w:vAlign w:val="center"/>
          </w:tcPr>
          <w:p w14:paraId="0938DD47" w14:textId="77777777" w:rsidR="009219A0" w:rsidRDefault="00000000">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评价依据</w:t>
            </w:r>
          </w:p>
        </w:tc>
        <w:tc>
          <w:tcPr>
            <w:tcW w:w="1689" w:type="dxa"/>
            <w:vAlign w:val="center"/>
          </w:tcPr>
          <w:p w14:paraId="658D9301" w14:textId="77777777" w:rsidR="009219A0" w:rsidRDefault="00000000">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评价记录</w:t>
            </w:r>
          </w:p>
        </w:tc>
        <w:tc>
          <w:tcPr>
            <w:tcW w:w="1151" w:type="dxa"/>
            <w:vAlign w:val="center"/>
          </w:tcPr>
          <w:p w14:paraId="034D7FA2" w14:textId="77777777" w:rsidR="009219A0" w:rsidRDefault="00000000">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评价结果</w:t>
            </w:r>
          </w:p>
        </w:tc>
      </w:tr>
      <w:tr w:rsidR="009219A0" w14:paraId="78FB2BE2" w14:textId="77777777">
        <w:trPr>
          <w:trHeight w:val="454"/>
          <w:jc w:val="center"/>
        </w:trPr>
        <w:tc>
          <w:tcPr>
            <w:tcW w:w="730" w:type="dxa"/>
            <w:vAlign w:val="center"/>
          </w:tcPr>
          <w:p w14:paraId="0442D110" w14:textId="77777777" w:rsidR="009219A0" w:rsidRDefault="00000000">
            <w:pPr>
              <w:topLinePunct/>
              <w:spacing w:line="240" w:lineRule="auto"/>
              <w:ind w:firstLineChars="0" w:firstLine="0"/>
              <w:jc w:val="center"/>
              <w:rPr>
                <w:rFonts w:ascii="宋体" w:hAnsi="宋体" w:hint="eastAsia"/>
                <w:bCs/>
                <w:color w:val="auto"/>
                <w:sz w:val="21"/>
                <w:szCs w:val="21"/>
              </w:rPr>
            </w:pPr>
            <w:bookmarkStart w:id="361" w:name="_Hlk5910964"/>
            <w:r>
              <w:rPr>
                <w:rFonts w:ascii="宋体" w:hAnsi="宋体" w:hint="eastAsia"/>
                <w:bCs/>
                <w:color w:val="auto"/>
                <w:sz w:val="21"/>
                <w:szCs w:val="21"/>
              </w:rPr>
              <w:t>1</w:t>
            </w:r>
          </w:p>
        </w:tc>
        <w:tc>
          <w:tcPr>
            <w:tcW w:w="3807" w:type="dxa"/>
            <w:vAlign w:val="center"/>
          </w:tcPr>
          <w:p w14:paraId="125B18B9"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生产经营单位主要负责人和安全生产管理人员初次安全培训时间不得少于32学时。每年再培训时间不得少于12学时。</w:t>
            </w:r>
          </w:p>
        </w:tc>
        <w:tc>
          <w:tcPr>
            <w:tcW w:w="1695" w:type="dxa"/>
            <w:vAlign w:val="center"/>
          </w:tcPr>
          <w:p w14:paraId="4BD036BD"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《生产经营单位安全培训规定》第九条</w:t>
            </w:r>
          </w:p>
        </w:tc>
        <w:tc>
          <w:tcPr>
            <w:tcW w:w="1689" w:type="dxa"/>
            <w:vAlign w:val="center"/>
          </w:tcPr>
          <w:p w14:paraId="0DD0E015"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项目</w:t>
            </w:r>
            <w:proofErr w:type="gramStart"/>
            <w:r>
              <w:rPr>
                <w:rFonts w:ascii="宋体" w:hAnsi="宋体" w:hint="eastAsia"/>
                <w:bCs/>
                <w:color w:val="auto"/>
                <w:sz w:val="21"/>
                <w:szCs w:val="21"/>
              </w:rPr>
              <w:t>依托创源公司</w:t>
            </w:r>
            <w:proofErr w:type="gramEnd"/>
            <w:r>
              <w:rPr>
                <w:rFonts w:ascii="宋体" w:hAnsi="宋体" w:hint="eastAsia"/>
                <w:bCs/>
                <w:color w:val="auto"/>
                <w:sz w:val="21"/>
                <w:szCs w:val="21"/>
              </w:rPr>
              <w:t>原有安全管理机构及人员进行安全管理，</w:t>
            </w:r>
            <w:proofErr w:type="gramStart"/>
            <w:r>
              <w:rPr>
                <w:rFonts w:ascii="宋体" w:hAnsi="宋体" w:hint="eastAsia"/>
                <w:bCs/>
                <w:color w:val="auto"/>
                <w:sz w:val="21"/>
                <w:szCs w:val="21"/>
              </w:rPr>
              <w:t>创源公司</w:t>
            </w:r>
            <w:proofErr w:type="gramEnd"/>
            <w:r>
              <w:rPr>
                <w:rFonts w:ascii="宋体" w:hAnsi="宋体" w:hint="eastAsia"/>
                <w:bCs/>
                <w:color w:val="auto"/>
                <w:sz w:val="21"/>
                <w:szCs w:val="21"/>
              </w:rPr>
              <w:t>主要负责人、安全管理人员经过培训并持证上岗。</w:t>
            </w:r>
          </w:p>
        </w:tc>
        <w:tc>
          <w:tcPr>
            <w:tcW w:w="1151" w:type="dxa"/>
            <w:vAlign w:val="center"/>
          </w:tcPr>
          <w:p w14:paraId="21313CEE"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bookmarkEnd w:id="361"/>
      <w:tr w:rsidR="009219A0" w14:paraId="56ABDE80" w14:textId="77777777">
        <w:trPr>
          <w:trHeight w:val="454"/>
          <w:jc w:val="center"/>
        </w:trPr>
        <w:tc>
          <w:tcPr>
            <w:tcW w:w="730" w:type="dxa"/>
            <w:vAlign w:val="center"/>
          </w:tcPr>
          <w:p w14:paraId="56CF6A7F"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2</w:t>
            </w:r>
          </w:p>
        </w:tc>
        <w:tc>
          <w:tcPr>
            <w:tcW w:w="3807" w:type="dxa"/>
            <w:vAlign w:val="center"/>
          </w:tcPr>
          <w:p w14:paraId="6E356B77"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生产经营单位的特种作业人员必须按照国家有关规定经专门的安全作业培训，取得相应资格，方可上岗作业。</w:t>
            </w:r>
          </w:p>
        </w:tc>
        <w:tc>
          <w:tcPr>
            <w:tcW w:w="1695" w:type="dxa"/>
            <w:vAlign w:val="center"/>
          </w:tcPr>
          <w:p w14:paraId="1268B290"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《中华人民共和国安全生产法》</w:t>
            </w:r>
          </w:p>
          <w:p w14:paraId="5596FB61"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第三十条</w:t>
            </w:r>
          </w:p>
        </w:tc>
        <w:tc>
          <w:tcPr>
            <w:tcW w:w="1689" w:type="dxa"/>
            <w:vAlign w:val="center"/>
          </w:tcPr>
          <w:p w14:paraId="1C369381"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项目不涉及特种作业操作工。</w:t>
            </w:r>
          </w:p>
        </w:tc>
        <w:tc>
          <w:tcPr>
            <w:tcW w:w="1151" w:type="dxa"/>
            <w:vAlign w:val="center"/>
          </w:tcPr>
          <w:p w14:paraId="74C5787A"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符合要求</w:t>
            </w:r>
          </w:p>
        </w:tc>
      </w:tr>
      <w:tr w:rsidR="009219A0" w14:paraId="2C5DCC28" w14:textId="77777777">
        <w:trPr>
          <w:trHeight w:val="454"/>
          <w:jc w:val="center"/>
        </w:trPr>
        <w:tc>
          <w:tcPr>
            <w:tcW w:w="730" w:type="dxa"/>
            <w:vAlign w:val="center"/>
          </w:tcPr>
          <w:p w14:paraId="1A83A9D9"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3</w:t>
            </w:r>
          </w:p>
        </w:tc>
        <w:tc>
          <w:tcPr>
            <w:tcW w:w="3807" w:type="dxa"/>
            <w:vAlign w:val="center"/>
          </w:tcPr>
          <w:p w14:paraId="48179909"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生产经营单位对重大危险</w:t>
            </w:r>
            <w:proofErr w:type="gramStart"/>
            <w:r>
              <w:rPr>
                <w:rFonts w:ascii="宋体" w:hAnsi="宋体" w:hint="eastAsia"/>
                <w:color w:val="auto"/>
                <w:kern w:val="0"/>
                <w:sz w:val="21"/>
                <w:szCs w:val="21"/>
              </w:rPr>
              <w:t>源应当</w:t>
            </w:r>
            <w:proofErr w:type="gramEnd"/>
            <w:r>
              <w:rPr>
                <w:rFonts w:ascii="宋体" w:hAnsi="宋体" w:hint="eastAsia"/>
                <w:color w:val="auto"/>
                <w:kern w:val="0"/>
                <w:sz w:val="21"/>
                <w:szCs w:val="21"/>
              </w:rPr>
              <w:t>登记建档，进行定期检测、评估、监控，并制定应急预案，告知从业人员和相关人员在紧急情况下应当采取的应急措施。</w:t>
            </w:r>
          </w:p>
          <w:p w14:paraId="4C56D8BE"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生产经营单位应当按照国家有关规定将本单位重大危险源及有关安全措施、应急措施报有关地方人民政府安全生产监督管理部门和有关部门备案。</w:t>
            </w:r>
          </w:p>
        </w:tc>
        <w:tc>
          <w:tcPr>
            <w:tcW w:w="1695" w:type="dxa"/>
            <w:vAlign w:val="center"/>
          </w:tcPr>
          <w:p w14:paraId="3AC5CF22"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《中华人民共和国安全生产法》</w:t>
            </w:r>
          </w:p>
          <w:p w14:paraId="51A82A96"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第四十条</w:t>
            </w:r>
          </w:p>
        </w:tc>
        <w:tc>
          <w:tcPr>
            <w:tcW w:w="1689" w:type="dxa"/>
            <w:vAlign w:val="center"/>
          </w:tcPr>
          <w:p w14:paraId="3B769129"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项目</w:t>
            </w:r>
            <w:proofErr w:type="gramStart"/>
            <w:r>
              <w:rPr>
                <w:rFonts w:ascii="宋体" w:hAnsi="宋体" w:hint="eastAsia"/>
                <w:bCs/>
                <w:color w:val="auto"/>
                <w:sz w:val="21"/>
                <w:szCs w:val="21"/>
              </w:rPr>
              <w:t>不构危险化学品成重大</w:t>
            </w:r>
            <w:proofErr w:type="gramEnd"/>
            <w:r>
              <w:rPr>
                <w:rFonts w:ascii="宋体" w:hAnsi="宋体" w:hint="eastAsia"/>
                <w:bCs/>
                <w:color w:val="auto"/>
                <w:sz w:val="21"/>
                <w:szCs w:val="21"/>
              </w:rPr>
              <w:t>危险源。</w:t>
            </w:r>
          </w:p>
        </w:tc>
        <w:tc>
          <w:tcPr>
            <w:tcW w:w="1151" w:type="dxa"/>
            <w:vAlign w:val="center"/>
          </w:tcPr>
          <w:p w14:paraId="4EABB579"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9219A0" w14:paraId="33E10F2B" w14:textId="77777777">
        <w:trPr>
          <w:trHeight w:val="454"/>
          <w:jc w:val="center"/>
        </w:trPr>
        <w:tc>
          <w:tcPr>
            <w:tcW w:w="730" w:type="dxa"/>
            <w:vAlign w:val="center"/>
          </w:tcPr>
          <w:p w14:paraId="256DF545"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4</w:t>
            </w:r>
          </w:p>
        </w:tc>
        <w:tc>
          <w:tcPr>
            <w:tcW w:w="3807" w:type="dxa"/>
            <w:vAlign w:val="center"/>
          </w:tcPr>
          <w:p w14:paraId="066730A3"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生产经营单位应当建立安全风险分级管控制度，按照安全风险分级采取相应的管控措施。生产经营单位应当建立健全生产安全事故隐患排查治理制度，采取技术、管理措施，及时发现并消除事故隐患。事故隐患排查治理情况应当如实记录，并向从业人员通报。</w:t>
            </w:r>
          </w:p>
          <w:p w14:paraId="3FC18527"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县级以上地方各级人民政府负有安全生产监督管理职责的部门应当建立健全重大事故隐患治理督办制度，督促生产经营单位消除重大事故隐患。</w:t>
            </w:r>
          </w:p>
        </w:tc>
        <w:tc>
          <w:tcPr>
            <w:tcW w:w="1695" w:type="dxa"/>
            <w:vAlign w:val="center"/>
          </w:tcPr>
          <w:p w14:paraId="7E1DFBE3"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《中华人民共和国安全生产法》</w:t>
            </w:r>
          </w:p>
          <w:p w14:paraId="5F5521AF"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第四十一条</w:t>
            </w:r>
          </w:p>
        </w:tc>
        <w:tc>
          <w:tcPr>
            <w:tcW w:w="1689" w:type="dxa"/>
            <w:vAlign w:val="center"/>
          </w:tcPr>
          <w:p w14:paraId="5FFA17E8"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有隐患排查和隐患整改方面的安全管理制度。</w:t>
            </w:r>
          </w:p>
        </w:tc>
        <w:tc>
          <w:tcPr>
            <w:tcW w:w="1151" w:type="dxa"/>
            <w:vAlign w:val="center"/>
          </w:tcPr>
          <w:p w14:paraId="1873F740"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bCs/>
                <w:color w:val="auto"/>
                <w:sz w:val="21"/>
                <w:szCs w:val="21"/>
              </w:rPr>
              <w:t>符合要求</w:t>
            </w:r>
          </w:p>
        </w:tc>
      </w:tr>
      <w:tr w:rsidR="009219A0" w14:paraId="24E127FA" w14:textId="77777777">
        <w:trPr>
          <w:trHeight w:val="454"/>
          <w:jc w:val="center"/>
        </w:trPr>
        <w:tc>
          <w:tcPr>
            <w:tcW w:w="730" w:type="dxa"/>
            <w:vAlign w:val="center"/>
          </w:tcPr>
          <w:p w14:paraId="5C0FB1F2"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5</w:t>
            </w:r>
          </w:p>
        </w:tc>
        <w:tc>
          <w:tcPr>
            <w:tcW w:w="3807" w:type="dxa"/>
          </w:tcPr>
          <w:p w14:paraId="612A7C22"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生产经营单位应当教育和督促从业人员严格执行本单位的安全生产规章制度和安全操作规程；并向从业人员如实告知作业场所和工作岗位存在的危险因素、防范措施以及事故应急措施。</w:t>
            </w:r>
          </w:p>
        </w:tc>
        <w:tc>
          <w:tcPr>
            <w:tcW w:w="1695" w:type="dxa"/>
            <w:vAlign w:val="center"/>
          </w:tcPr>
          <w:p w14:paraId="35E921C8"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《中华人民共和国安全生产法》</w:t>
            </w:r>
          </w:p>
          <w:p w14:paraId="4BC1D20B"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第四十四条</w:t>
            </w:r>
          </w:p>
        </w:tc>
        <w:tc>
          <w:tcPr>
            <w:tcW w:w="1689" w:type="dxa"/>
            <w:vAlign w:val="center"/>
          </w:tcPr>
          <w:p w14:paraId="65A3C869"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建立有相关制度，各作业场所有管理人员监督制度、规程的执行。</w:t>
            </w:r>
          </w:p>
        </w:tc>
        <w:tc>
          <w:tcPr>
            <w:tcW w:w="1151" w:type="dxa"/>
            <w:vAlign w:val="center"/>
          </w:tcPr>
          <w:p w14:paraId="574C4ADF"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bCs/>
                <w:color w:val="auto"/>
                <w:sz w:val="21"/>
                <w:szCs w:val="21"/>
              </w:rPr>
              <w:t>符合要求</w:t>
            </w:r>
          </w:p>
        </w:tc>
      </w:tr>
      <w:tr w:rsidR="009219A0" w14:paraId="5BEE0462" w14:textId="77777777">
        <w:trPr>
          <w:trHeight w:val="454"/>
          <w:jc w:val="center"/>
        </w:trPr>
        <w:tc>
          <w:tcPr>
            <w:tcW w:w="730" w:type="dxa"/>
            <w:vAlign w:val="center"/>
          </w:tcPr>
          <w:p w14:paraId="6CC768ED" w14:textId="77777777" w:rsidR="009219A0" w:rsidRDefault="00000000">
            <w:pPr>
              <w:topLinePunct/>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6</w:t>
            </w:r>
          </w:p>
        </w:tc>
        <w:tc>
          <w:tcPr>
            <w:tcW w:w="3807" w:type="dxa"/>
            <w:vAlign w:val="center"/>
          </w:tcPr>
          <w:p w14:paraId="39113466"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14:paraId="641400E6"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lastRenderedPageBreak/>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tc>
        <w:tc>
          <w:tcPr>
            <w:tcW w:w="1695" w:type="dxa"/>
            <w:vAlign w:val="center"/>
          </w:tcPr>
          <w:p w14:paraId="6E735B35"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lastRenderedPageBreak/>
              <w:t>《中华人民共和国安全生产法》</w:t>
            </w:r>
          </w:p>
          <w:p w14:paraId="5A7EF06C"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第四十六条</w:t>
            </w:r>
          </w:p>
        </w:tc>
        <w:tc>
          <w:tcPr>
            <w:tcW w:w="1689" w:type="dxa"/>
            <w:vAlign w:val="center"/>
          </w:tcPr>
          <w:p w14:paraId="52DA35ED"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制定有安全检查制度，并定期进行安全检查。</w:t>
            </w:r>
          </w:p>
        </w:tc>
        <w:tc>
          <w:tcPr>
            <w:tcW w:w="1151" w:type="dxa"/>
            <w:vAlign w:val="center"/>
          </w:tcPr>
          <w:p w14:paraId="1853A502"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bCs/>
                <w:color w:val="auto"/>
                <w:sz w:val="21"/>
                <w:szCs w:val="21"/>
              </w:rPr>
              <w:t>符合要求</w:t>
            </w:r>
          </w:p>
        </w:tc>
      </w:tr>
      <w:tr w:rsidR="009219A0" w14:paraId="062D2260" w14:textId="77777777">
        <w:trPr>
          <w:trHeight w:val="454"/>
          <w:jc w:val="center"/>
        </w:trPr>
        <w:tc>
          <w:tcPr>
            <w:tcW w:w="730" w:type="dxa"/>
            <w:vAlign w:val="center"/>
          </w:tcPr>
          <w:p w14:paraId="552B0874"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7</w:t>
            </w:r>
          </w:p>
        </w:tc>
        <w:tc>
          <w:tcPr>
            <w:tcW w:w="3807" w:type="dxa"/>
            <w:vAlign w:val="center"/>
          </w:tcPr>
          <w:p w14:paraId="6EF036B6" w14:textId="77777777" w:rsidR="009219A0" w:rsidRDefault="00000000">
            <w:pPr>
              <w:topLinePunct/>
              <w:spacing w:line="240" w:lineRule="auto"/>
              <w:ind w:firstLineChars="0" w:firstLine="0"/>
              <w:jc w:val="left"/>
              <w:rPr>
                <w:rFonts w:ascii="宋体" w:hAnsi="宋体" w:hint="eastAsia"/>
                <w:color w:val="auto"/>
                <w:kern w:val="0"/>
                <w:sz w:val="21"/>
                <w:szCs w:val="21"/>
              </w:rPr>
            </w:pPr>
            <w:r>
              <w:rPr>
                <w:rFonts w:ascii="宋体" w:hAnsi="宋体" w:hint="eastAsia"/>
                <w:color w:val="auto"/>
                <w:kern w:val="0"/>
                <w:sz w:val="21"/>
                <w:szCs w:val="21"/>
              </w:rPr>
              <w:t>生产经营单位必须依法参加工伤保险，为从业人员缴纳保险费。</w:t>
            </w:r>
          </w:p>
          <w:p w14:paraId="106FC587"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kern w:val="0"/>
                <w:sz w:val="21"/>
                <w:szCs w:val="21"/>
              </w:rPr>
              <w:t>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w:t>
            </w:r>
          </w:p>
        </w:tc>
        <w:tc>
          <w:tcPr>
            <w:tcW w:w="1695" w:type="dxa"/>
            <w:vAlign w:val="center"/>
          </w:tcPr>
          <w:p w14:paraId="2AF9849E"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《中华人民共和国安全生产法》</w:t>
            </w:r>
          </w:p>
          <w:p w14:paraId="41615A32"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第五十一条</w:t>
            </w:r>
          </w:p>
        </w:tc>
        <w:tc>
          <w:tcPr>
            <w:tcW w:w="1689" w:type="dxa"/>
            <w:vAlign w:val="center"/>
          </w:tcPr>
          <w:p w14:paraId="4ECDFDDD" w14:textId="77777777" w:rsidR="009219A0" w:rsidRDefault="00000000">
            <w:pPr>
              <w:topLinePunct/>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依法为员工购买了工伤保险，详见附件7.11。</w:t>
            </w:r>
          </w:p>
        </w:tc>
        <w:tc>
          <w:tcPr>
            <w:tcW w:w="1151" w:type="dxa"/>
            <w:vAlign w:val="center"/>
          </w:tcPr>
          <w:p w14:paraId="4F90EEFC"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bCs/>
                <w:color w:val="auto"/>
                <w:sz w:val="21"/>
                <w:szCs w:val="21"/>
              </w:rPr>
              <w:t>符合要求</w:t>
            </w:r>
          </w:p>
        </w:tc>
      </w:tr>
      <w:tr w:rsidR="009219A0" w14:paraId="049F7BCF" w14:textId="77777777">
        <w:trPr>
          <w:trHeight w:val="454"/>
          <w:jc w:val="center"/>
        </w:trPr>
        <w:tc>
          <w:tcPr>
            <w:tcW w:w="730" w:type="dxa"/>
            <w:vAlign w:val="center"/>
          </w:tcPr>
          <w:p w14:paraId="0C8C74C6"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8</w:t>
            </w:r>
          </w:p>
        </w:tc>
        <w:tc>
          <w:tcPr>
            <w:tcW w:w="3807" w:type="dxa"/>
            <w:vAlign w:val="center"/>
          </w:tcPr>
          <w:p w14:paraId="036896BE" w14:textId="77777777" w:rsidR="009219A0" w:rsidRDefault="00000000">
            <w:pPr>
              <w:topLinePunct/>
              <w:spacing w:line="240" w:lineRule="auto"/>
              <w:ind w:firstLineChars="0" w:firstLine="0"/>
              <w:jc w:val="left"/>
              <w:rPr>
                <w:rFonts w:ascii="宋体" w:hAnsi="宋体" w:cs="仿宋_GB2312" w:hint="eastAsia"/>
                <w:color w:val="auto"/>
                <w:sz w:val="21"/>
                <w:szCs w:val="21"/>
              </w:rPr>
            </w:pPr>
            <w:r>
              <w:rPr>
                <w:rFonts w:ascii="宋体" w:hAnsi="宋体" w:cs="仿宋_GB2312" w:hint="eastAsia"/>
                <w:color w:val="auto"/>
                <w:sz w:val="21"/>
                <w:szCs w:val="21"/>
              </w:rPr>
              <w:t>用人单位应当为劳动者提供符合国家标准或者行业标准的劳动防护用品。使用进口的劳动防护用品，其防护性能不得低于我国相关标准。</w:t>
            </w:r>
          </w:p>
        </w:tc>
        <w:tc>
          <w:tcPr>
            <w:tcW w:w="1695" w:type="dxa"/>
            <w:vAlign w:val="center"/>
          </w:tcPr>
          <w:p w14:paraId="5E6B9D16"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《用人单位劳动防护用品管理规范》第七条</w:t>
            </w:r>
          </w:p>
        </w:tc>
        <w:tc>
          <w:tcPr>
            <w:tcW w:w="1689" w:type="dxa"/>
            <w:vAlign w:val="center"/>
          </w:tcPr>
          <w:p w14:paraId="61763952" w14:textId="77777777" w:rsidR="009219A0" w:rsidRDefault="00000000">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公司为从业人员配备有劳动防护用品，发放记录详见附件7.12。</w:t>
            </w:r>
          </w:p>
        </w:tc>
        <w:tc>
          <w:tcPr>
            <w:tcW w:w="1151" w:type="dxa"/>
            <w:vAlign w:val="center"/>
          </w:tcPr>
          <w:p w14:paraId="0F81E0F3"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bCs/>
                <w:color w:val="auto"/>
                <w:sz w:val="21"/>
                <w:szCs w:val="21"/>
              </w:rPr>
              <w:t>符合要求</w:t>
            </w:r>
          </w:p>
        </w:tc>
      </w:tr>
      <w:tr w:rsidR="009219A0" w14:paraId="5A08EC47" w14:textId="77777777">
        <w:trPr>
          <w:trHeight w:val="454"/>
          <w:jc w:val="center"/>
        </w:trPr>
        <w:tc>
          <w:tcPr>
            <w:tcW w:w="730" w:type="dxa"/>
            <w:vAlign w:val="center"/>
          </w:tcPr>
          <w:p w14:paraId="755D6A25" w14:textId="77777777" w:rsidR="009219A0" w:rsidRDefault="00000000">
            <w:pPr>
              <w:topLinePunct/>
              <w:spacing w:line="240" w:lineRule="auto"/>
              <w:ind w:firstLineChars="0" w:firstLine="0"/>
              <w:jc w:val="center"/>
              <w:rPr>
                <w:rFonts w:ascii="宋体" w:hAnsi="宋体" w:hint="eastAsia"/>
                <w:bCs/>
                <w:color w:val="auto"/>
                <w:sz w:val="21"/>
                <w:szCs w:val="21"/>
              </w:rPr>
            </w:pPr>
            <w:r>
              <w:rPr>
                <w:rFonts w:ascii="宋体" w:hAnsi="宋体" w:hint="eastAsia"/>
                <w:bCs/>
                <w:color w:val="auto"/>
                <w:sz w:val="21"/>
                <w:szCs w:val="21"/>
              </w:rPr>
              <w:t>9</w:t>
            </w:r>
          </w:p>
        </w:tc>
        <w:tc>
          <w:tcPr>
            <w:tcW w:w="3807" w:type="dxa"/>
            <w:vAlign w:val="center"/>
          </w:tcPr>
          <w:p w14:paraId="1BBE0541" w14:textId="77777777" w:rsidR="009219A0" w:rsidRDefault="00000000">
            <w:pPr>
              <w:topLinePunct/>
              <w:spacing w:line="240" w:lineRule="auto"/>
              <w:ind w:firstLineChars="0" w:firstLine="0"/>
              <w:jc w:val="left"/>
              <w:rPr>
                <w:rFonts w:ascii="宋体" w:hAnsi="宋体" w:cs="仿宋_GB2312" w:hint="eastAsia"/>
                <w:color w:val="auto"/>
                <w:sz w:val="21"/>
                <w:szCs w:val="21"/>
              </w:rPr>
            </w:pPr>
            <w:r>
              <w:rPr>
                <w:rFonts w:ascii="宋体" w:hAnsi="宋体" w:cs="仿宋_GB2312" w:hint="eastAsia"/>
                <w:color w:val="auto"/>
                <w:sz w:val="21"/>
                <w:szCs w:val="21"/>
              </w:rPr>
              <w:t>企业应当建立健全内部安全费用管理制度，明确安全费用提取和使用的程序、职责及权限，落实责任，确保按规定提取和使用企业安全生产费用。</w:t>
            </w:r>
          </w:p>
        </w:tc>
        <w:tc>
          <w:tcPr>
            <w:tcW w:w="1695" w:type="dxa"/>
            <w:vAlign w:val="center"/>
          </w:tcPr>
          <w:p w14:paraId="63DC532C"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《企业安全生产费用提取和使用管理办法》（财资[2022]136号 第四十五条</w:t>
            </w:r>
          </w:p>
        </w:tc>
        <w:tc>
          <w:tcPr>
            <w:tcW w:w="1689" w:type="dxa"/>
            <w:vAlign w:val="center"/>
          </w:tcPr>
          <w:p w14:paraId="166FA08B" w14:textId="77777777" w:rsidR="009219A0" w:rsidRDefault="00000000">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企业建立了安全管理投入制度。</w:t>
            </w:r>
          </w:p>
        </w:tc>
        <w:tc>
          <w:tcPr>
            <w:tcW w:w="1151" w:type="dxa"/>
            <w:vAlign w:val="center"/>
          </w:tcPr>
          <w:p w14:paraId="536EBB01"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符合要求</w:t>
            </w:r>
          </w:p>
        </w:tc>
      </w:tr>
    </w:tbl>
    <w:p w14:paraId="235D549C" w14:textId="77777777" w:rsidR="009219A0" w:rsidRDefault="009219A0">
      <w:pPr>
        <w:ind w:firstLine="560"/>
        <w:rPr>
          <w:color w:val="auto"/>
        </w:rPr>
      </w:pPr>
    </w:p>
    <w:p w14:paraId="4E839EF7" w14:textId="77777777" w:rsidR="009219A0" w:rsidRDefault="00000000">
      <w:pPr>
        <w:pStyle w:val="3"/>
        <w:rPr>
          <w:rFonts w:hint="eastAsia"/>
        </w:rPr>
      </w:pPr>
      <w:bookmarkStart w:id="362" w:name="_Toc62219380"/>
      <w:bookmarkStart w:id="363" w:name="_Toc211950534"/>
      <w:r>
        <w:rPr>
          <w:rFonts w:hint="eastAsia"/>
        </w:rPr>
        <w:t>5.4.2 应急救援预案安全评价</w:t>
      </w:r>
      <w:bookmarkEnd w:id="362"/>
      <w:bookmarkEnd w:id="363"/>
    </w:p>
    <w:p w14:paraId="2A764FB6" w14:textId="77777777" w:rsidR="009219A0" w:rsidRDefault="00000000">
      <w:pPr>
        <w:ind w:firstLine="560"/>
        <w:rPr>
          <w:color w:val="auto"/>
          <w:lang w:val="zh-CN"/>
        </w:rPr>
      </w:pPr>
      <w:r>
        <w:rPr>
          <w:rFonts w:hint="eastAsia"/>
          <w:color w:val="auto"/>
          <w:lang w:val="zh-CN"/>
        </w:rPr>
        <w:t>（</w:t>
      </w:r>
      <w:r>
        <w:rPr>
          <w:rFonts w:hint="eastAsia"/>
          <w:color w:val="auto"/>
          <w:lang w:val="zh-CN"/>
        </w:rPr>
        <w:t>1</w:t>
      </w:r>
      <w:r>
        <w:rPr>
          <w:rFonts w:hint="eastAsia"/>
          <w:color w:val="auto"/>
          <w:lang w:val="zh-CN"/>
        </w:rPr>
        <w:t>）应急救援单元安全检查表</w:t>
      </w:r>
    </w:p>
    <w:p w14:paraId="17DCB4C3" w14:textId="77777777" w:rsidR="009219A0" w:rsidRDefault="00000000">
      <w:pPr>
        <w:ind w:firstLine="560"/>
        <w:rPr>
          <w:color w:val="auto"/>
          <w:lang w:val="zh-CN"/>
        </w:rPr>
      </w:pPr>
      <w:r>
        <w:rPr>
          <w:rFonts w:hint="eastAsia"/>
          <w:color w:val="auto"/>
          <w:lang w:val="zh-CN"/>
        </w:rPr>
        <w:t>本节根据《生产安全事故应急条例》（国务院令第</w:t>
      </w:r>
      <w:r>
        <w:rPr>
          <w:rFonts w:hint="eastAsia"/>
          <w:color w:val="auto"/>
          <w:lang w:val="zh-CN"/>
        </w:rPr>
        <w:t>708</w:t>
      </w:r>
      <w:r>
        <w:rPr>
          <w:rFonts w:hint="eastAsia"/>
          <w:color w:val="auto"/>
          <w:lang w:val="zh-CN"/>
        </w:rPr>
        <w:t>号）、《生产安全事故应急预案管理办法》（</w:t>
      </w:r>
      <w:r>
        <w:rPr>
          <w:rFonts w:hint="eastAsia"/>
          <w:color w:val="auto"/>
          <w:lang w:val="zh-CN"/>
        </w:rPr>
        <w:t>2019</w:t>
      </w:r>
      <w:r>
        <w:rPr>
          <w:rFonts w:hint="eastAsia"/>
          <w:color w:val="auto"/>
          <w:lang w:val="zh-CN"/>
        </w:rPr>
        <w:t>年</w:t>
      </w:r>
      <w:r>
        <w:rPr>
          <w:rFonts w:hint="eastAsia"/>
          <w:color w:val="auto"/>
          <w:lang w:val="zh-CN"/>
        </w:rPr>
        <w:t>7</w:t>
      </w:r>
      <w:r>
        <w:rPr>
          <w:rFonts w:hint="eastAsia"/>
          <w:color w:val="auto"/>
          <w:lang w:val="zh-CN"/>
        </w:rPr>
        <w:t>月</w:t>
      </w:r>
      <w:r>
        <w:rPr>
          <w:rFonts w:hint="eastAsia"/>
          <w:color w:val="auto"/>
          <w:lang w:val="zh-CN"/>
        </w:rPr>
        <w:t>11</w:t>
      </w:r>
      <w:r>
        <w:rPr>
          <w:rFonts w:hint="eastAsia"/>
          <w:color w:val="auto"/>
          <w:lang w:val="zh-CN"/>
        </w:rPr>
        <w:t>日应急管理部令第</w:t>
      </w:r>
      <w:r>
        <w:rPr>
          <w:rFonts w:hint="eastAsia"/>
          <w:color w:val="auto"/>
          <w:lang w:val="zh-CN"/>
        </w:rPr>
        <w:t>2</w:t>
      </w:r>
      <w:r>
        <w:rPr>
          <w:rFonts w:hint="eastAsia"/>
          <w:color w:val="auto"/>
          <w:lang w:val="zh-CN"/>
        </w:rPr>
        <w:t>号令修订）、《生产经营单位生产安全事故应急预案编制导则》（</w:t>
      </w:r>
      <w:r>
        <w:rPr>
          <w:rFonts w:hint="eastAsia"/>
          <w:color w:val="auto"/>
          <w:lang w:val="zh-CN"/>
        </w:rPr>
        <w:t>GB/T29639-</w:t>
      </w:r>
      <w:r>
        <w:rPr>
          <w:color w:val="auto"/>
          <w:lang w:val="zh-CN"/>
        </w:rPr>
        <w:t>2020</w:t>
      </w:r>
      <w:r>
        <w:rPr>
          <w:rFonts w:hint="eastAsia"/>
          <w:color w:val="auto"/>
          <w:lang w:val="zh-CN"/>
        </w:rPr>
        <w:t>）等有关要求，对该项目的应急救援进行检查评价，具体检查情况见</w:t>
      </w:r>
      <w:r>
        <w:rPr>
          <w:snapToGrid w:val="0"/>
          <w:color w:val="auto"/>
        </w:rPr>
        <w:t>附</w:t>
      </w:r>
      <w:r>
        <w:rPr>
          <w:rFonts w:hint="eastAsia"/>
          <w:color w:val="auto"/>
          <w:lang w:val="zh-CN"/>
        </w:rPr>
        <w:t>表</w:t>
      </w:r>
      <w:r>
        <w:rPr>
          <w:rFonts w:hint="eastAsia"/>
          <w:color w:val="auto"/>
          <w:lang w:val="zh-CN"/>
        </w:rPr>
        <w:t>5.4-2</w:t>
      </w:r>
      <w:r>
        <w:rPr>
          <w:rFonts w:hint="eastAsia"/>
          <w:color w:val="auto"/>
          <w:lang w:val="zh-CN"/>
        </w:rPr>
        <w:t>。</w:t>
      </w:r>
    </w:p>
    <w:p w14:paraId="090F66CC" w14:textId="77777777" w:rsidR="009219A0" w:rsidRDefault="00000000">
      <w:pPr>
        <w:widowControl/>
        <w:adjustRightInd/>
        <w:snapToGrid/>
        <w:spacing w:line="240" w:lineRule="auto"/>
        <w:ind w:firstLineChars="0" w:firstLine="0"/>
        <w:jc w:val="center"/>
        <w:rPr>
          <w:rFonts w:ascii="宋体" w:hAnsi="宋体" w:hint="eastAsia"/>
          <w:color w:val="auto"/>
          <w:kern w:val="0"/>
          <w:szCs w:val="28"/>
          <w:lang w:val="zh-CN"/>
        </w:rPr>
      </w:pPr>
      <w:r>
        <w:rPr>
          <w:snapToGrid w:val="0"/>
          <w:color w:val="auto"/>
          <w:kern w:val="0"/>
          <w:szCs w:val="28"/>
        </w:rPr>
        <w:t>附</w:t>
      </w:r>
      <w:r>
        <w:rPr>
          <w:rFonts w:ascii="宋体" w:hAnsi="宋体" w:hint="eastAsia"/>
          <w:color w:val="auto"/>
          <w:kern w:val="0"/>
          <w:szCs w:val="28"/>
          <w:lang w:val="zh-CN"/>
        </w:rPr>
        <w:t xml:space="preserve">表5.4-2 </w:t>
      </w:r>
      <w:r>
        <w:rPr>
          <w:rFonts w:ascii="宋体" w:hAnsi="宋体" w:hint="eastAsia"/>
          <w:color w:val="auto"/>
          <w:kern w:val="0"/>
          <w:szCs w:val="28"/>
        </w:rPr>
        <w:t>事故应急救援</w:t>
      </w:r>
      <w:r>
        <w:rPr>
          <w:rFonts w:ascii="宋体" w:hAnsi="宋体" w:hint="eastAsia"/>
          <w:color w:val="auto"/>
          <w:kern w:val="0"/>
          <w:szCs w:val="28"/>
          <w:lang w:val="zh-CN"/>
        </w:rPr>
        <w:t>安全检查表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3839"/>
        <w:gridCol w:w="1950"/>
        <w:gridCol w:w="1343"/>
        <w:gridCol w:w="1210"/>
      </w:tblGrid>
      <w:tr w:rsidR="009219A0" w14:paraId="01F9DE7F" w14:textId="77777777">
        <w:trPr>
          <w:trHeight w:val="397"/>
          <w:tblHeader/>
          <w:jc w:val="center"/>
        </w:trPr>
        <w:tc>
          <w:tcPr>
            <w:tcW w:w="730" w:type="dxa"/>
            <w:vAlign w:val="center"/>
          </w:tcPr>
          <w:p w14:paraId="2EE75E4D" w14:textId="77777777" w:rsidR="009219A0" w:rsidRDefault="00000000">
            <w:pPr>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序号</w:t>
            </w:r>
          </w:p>
        </w:tc>
        <w:tc>
          <w:tcPr>
            <w:tcW w:w="3839" w:type="dxa"/>
            <w:vAlign w:val="center"/>
          </w:tcPr>
          <w:p w14:paraId="7D1980AB" w14:textId="77777777" w:rsidR="009219A0" w:rsidRDefault="00000000">
            <w:pPr>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评价内容</w:t>
            </w:r>
          </w:p>
        </w:tc>
        <w:tc>
          <w:tcPr>
            <w:tcW w:w="1950" w:type="dxa"/>
            <w:vAlign w:val="center"/>
          </w:tcPr>
          <w:p w14:paraId="566A1203" w14:textId="77777777" w:rsidR="009219A0" w:rsidRDefault="00000000">
            <w:pPr>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评价依据</w:t>
            </w:r>
          </w:p>
        </w:tc>
        <w:tc>
          <w:tcPr>
            <w:tcW w:w="1343" w:type="dxa"/>
            <w:vAlign w:val="center"/>
          </w:tcPr>
          <w:p w14:paraId="3E41DA87" w14:textId="77777777" w:rsidR="009219A0" w:rsidRDefault="00000000">
            <w:pPr>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评价记录</w:t>
            </w:r>
          </w:p>
        </w:tc>
        <w:tc>
          <w:tcPr>
            <w:tcW w:w="1210" w:type="dxa"/>
            <w:vAlign w:val="center"/>
          </w:tcPr>
          <w:p w14:paraId="7F6933EC" w14:textId="77777777" w:rsidR="009219A0" w:rsidRDefault="00000000">
            <w:pPr>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评价结果</w:t>
            </w:r>
          </w:p>
        </w:tc>
      </w:tr>
      <w:tr w:rsidR="009219A0" w14:paraId="7BDF478D" w14:textId="77777777">
        <w:trPr>
          <w:trHeight w:val="397"/>
          <w:jc w:val="center"/>
        </w:trPr>
        <w:tc>
          <w:tcPr>
            <w:tcW w:w="730" w:type="dxa"/>
            <w:vAlign w:val="center"/>
          </w:tcPr>
          <w:p w14:paraId="69D9680E" w14:textId="77777777" w:rsidR="009219A0" w:rsidRDefault="00000000">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w:t>
            </w:r>
          </w:p>
        </w:tc>
        <w:tc>
          <w:tcPr>
            <w:tcW w:w="3839" w:type="dxa"/>
            <w:vAlign w:val="center"/>
          </w:tcPr>
          <w:p w14:paraId="5479CA96" w14:textId="77777777" w:rsidR="009219A0" w:rsidRDefault="00000000">
            <w:pPr>
              <w:spacing w:before="148" w:line="240" w:lineRule="auto"/>
              <w:ind w:firstLineChars="0" w:firstLine="0"/>
              <w:jc w:val="left"/>
              <w:rPr>
                <w:rFonts w:ascii="宋体" w:hAnsi="宋体" w:hint="eastAsia"/>
                <w:color w:val="auto"/>
                <w:sz w:val="21"/>
                <w:szCs w:val="21"/>
              </w:rPr>
            </w:pPr>
            <w:r>
              <w:rPr>
                <w:rFonts w:ascii="宋体" w:hAnsi="宋体" w:hint="eastAsia"/>
                <w:color w:val="auto"/>
                <w:kern w:val="0"/>
                <w:sz w:val="21"/>
                <w:szCs w:val="21"/>
              </w:rPr>
              <w:t>生产经营单位的应急预案体系主要有综合应急预案、专项应急预案和现场处置方案构成。生产经营单位应根据本单位组织管理体系、生产规模、危险源的性质以及可能发生的事故类型确定应急预案体系，并可根据本单位的实际情况，</w:t>
            </w:r>
            <w:r>
              <w:rPr>
                <w:rFonts w:ascii="宋体" w:hAnsi="宋体" w:hint="eastAsia"/>
                <w:color w:val="auto"/>
                <w:kern w:val="0"/>
                <w:sz w:val="21"/>
                <w:szCs w:val="21"/>
              </w:rPr>
              <w:lastRenderedPageBreak/>
              <w:t>确定是否编制专项应急救援预案。风险因素单一的小型生产经营单位可只编写现场处置方案。</w:t>
            </w:r>
          </w:p>
        </w:tc>
        <w:tc>
          <w:tcPr>
            <w:tcW w:w="1950" w:type="dxa"/>
            <w:vAlign w:val="center"/>
          </w:tcPr>
          <w:p w14:paraId="5F5DC3BE" w14:textId="77777777" w:rsidR="009219A0" w:rsidRDefault="00000000">
            <w:pPr>
              <w:spacing w:line="240" w:lineRule="auto"/>
              <w:ind w:firstLineChars="0" w:firstLine="0"/>
              <w:jc w:val="left"/>
              <w:rPr>
                <w:rFonts w:ascii="宋体" w:hAnsi="宋体" w:hint="eastAsia"/>
                <w:color w:val="auto"/>
                <w:sz w:val="21"/>
                <w:szCs w:val="21"/>
              </w:rPr>
            </w:pPr>
            <w:bookmarkStart w:id="364" w:name="_Hlk5911307"/>
            <w:r>
              <w:rPr>
                <w:rFonts w:ascii="宋体" w:hAnsi="宋体" w:hint="eastAsia"/>
                <w:color w:val="auto"/>
                <w:sz w:val="21"/>
                <w:szCs w:val="21"/>
              </w:rPr>
              <w:lastRenderedPageBreak/>
              <w:t>《生产经营单位生产安全事故应急预案编制导则》GB/T29639-</w:t>
            </w:r>
            <w:bookmarkEnd w:id="364"/>
            <w:r>
              <w:rPr>
                <w:rFonts w:ascii="宋体" w:hAnsi="宋体"/>
                <w:color w:val="auto"/>
                <w:sz w:val="21"/>
                <w:szCs w:val="21"/>
              </w:rPr>
              <w:t>2020</w:t>
            </w:r>
          </w:p>
        </w:tc>
        <w:tc>
          <w:tcPr>
            <w:tcW w:w="1343" w:type="dxa"/>
            <w:vAlign w:val="center"/>
          </w:tcPr>
          <w:p w14:paraId="2B2B3567" w14:textId="77777777" w:rsidR="009219A0" w:rsidRDefault="00000000">
            <w:pPr>
              <w:spacing w:line="240" w:lineRule="auto"/>
              <w:ind w:firstLineChars="0" w:firstLine="0"/>
              <w:rPr>
                <w:rFonts w:ascii="宋体" w:hAnsi="宋体" w:hint="eastAsia"/>
                <w:color w:val="auto"/>
                <w:sz w:val="21"/>
                <w:szCs w:val="21"/>
              </w:rPr>
            </w:pPr>
            <w:r>
              <w:rPr>
                <w:rFonts w:ascii="宋体" w:hAnsi="宋体" w:hint="eastAsia"/>
                <w:color w:val="auto"/>
                <w:sz w:val="21"/>
                <w:szCs w:val="21"/>
              </w:rPr>
              <w:t>已按照要求编制应急预案并到应急管理局备案，详见附件7.18。</w:t>
            </w:r>
          </w:p>
        </w:tc>
        <w:tc>
          <w:tcPr>
            <w:tcW w:w="1210" w:type="dxa"/>
            <w:vAlign w:val="center"/>
          </w:tcPr>
          <w:p w14:paraId="33AC810B"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bCs/>
                <w:color w:val="auto"/>
                <w:sz w:val="21"/>
                <w:szCs w:val="21"/>
              </w:rPr>
              <w:t>符合要求</w:t>
            </w:r>
          </w:p>
        </w:tc>
      </w:tr>
      <w:tr w:rsidR="009219A0" w14:paraId="057B7C05" w14:textId="77777777">
        <w:trPr>
          <w:trHeight w:val="397"/>
          <w:jc w:val="center"/>
        </w:trPr>
        <w:tc>
          <w:tcPr>
            <w:tcW w:w="730" w:type="dxa"/>
            <w:vAlign w:val="center"/>
          </w:tcPr>
          <w:p w14:paraId="3FC8F425" w14:textId="77777777" w:rsidR="009219A0" w:rsidRDefault="00000000">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2</w:t>
            </w:r>
          </w:p>
        </w:tc>
        <w:tc>
          <w:tcPr>
            <w:tcW w:w="3839" w:type="dxa"/>
            <w:vAlign w:val="center"/>
          </w:tcPr>
          <w:p w14:paraId="1B4AF61A" w14:textId="77777777" w:rsidR="009219A0" w:rsidRDefault="00000000">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生产经营单位主要负责人负责组织编制和实施本单位的应急预案，并对应急预案的真实性和实用性负责；各分管负责人应当按照职责分工落实应急预案规定的职责。</w:t>
            </w:r>
          </w:p>
        </w:tc>
        <w:tc>
          <w:tcPr>
            <w:tcW w:w="1950" w:type="dxa"/>
            <w:vAlign w:val="center"/>
          </w:tcPr>
          <w:p w14:paraId="25D001F0"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《生产安全事故应急预案管理办法》第五条</w:t>
            </w:r>
          </w:p>
        </w:tc>
        <w:tc>
          <w:tcPr>
            <w:tcW w:w="1343" w:type="dxa"/>
            <w:vAlign w:val="center"/>
          </w:tcPr>
          <w:p w14:paraId="37E71A65" w14:textId="77777777" w:rsidR="009219A0" w:rsidRDefault="00000000">
            <w:pPr>
              <w:spacing w:line="240" w:lineRule="auto"/>
              <w:ind w:firstLineChars="0" w:firstLine="0"/>
              <w:rPr>
                <w:rFonts w:ascii="宋体" w:hAnsi="宋体" w:hint="eastAsia"/>
                <w:color w:val="auto"/>
                <w:sz w:val="21"/>
                <w:szCs w:val="21"/>
              </w:rPr>
            </w:pPr>
            <w:r>
              <w:rPr>
                <w:rFonts w:ascii="宋体" w:hAnsi="宋体" w:hint="eastAsia"/>
                <w:color w:val="auto"/>
                <w:sz w:val="21"/>
                <w:szCs w:val="21"/>
              </w:rPr>
              <w:t>编制了应急预案并到应急管理局备案，详见附件7.18。</w:t>
            </w:r>
          </w:p>
        </w:tc>
        <w:tc>
          <w:tcPr>
            <w:tcW w:w="1210" w:type="dxa"/>
            <w:vAlign w:val="center"/>
          </w:tcPr>
          <w:p w14:paraId="37EC7619"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9219A0" w14:paraId="22DAD91C" w14:textId="77777777">
        <w:trPr>
          <w:trHeight w:val="397"/>
          <w:jc w:val="center"/>
        </w:trPr>
        <w:tc>
          <w:tcPr>
            <w:tcW w:w="730" w:type="dxa"/>
            <w:vAlign w:val="center"/>
          </w:tcPr>
          <w:p w14:paraId="6D51849C" w14:textId="77777777" w:rsidR="009219A0" w:rsidRDefault="00000000">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3</w:t>
            </w:r>
          </w:p>
        </w:tc>
        <w:tc>
          <w:tcPr>
            <w:tcW w:w="3839" w:type="dxa"/>
            <w:vAlign w:val="center"/>
          </w:tcPr>
          <w:p w14:paraId="6B5948BC" w14:textId="77777777" w:rsidR="009219A0" w:rsidRDefault="00000000">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生产经营单位应急预案分为综合应急预案、专项应急预案和现场处置方案。</w:t>
            </w:r>
          </w:p>
        </w:tc>
        <w:tc>
          <w:tcPr>
            <w:tcW w:w="1950" w:type="dxa"/>
            <w:vAlign w:val="center"/>
          </w:tcPr>
          <w:p w14:paraId="5B483C12"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《生产安全事故应急预案管理办法》</w:t>
            </w:r>
          </w:p>
          <w:p w14:paraId="7D356E67"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第六条</w:t>
            </w:r>
          </w:p>
        </w:tc>
        <w:tc>
          <w:tcPr>
            <w:tcW w:w="1343" w:type="dxa"/>
            <w:vAlign w:val="center"/>
          </w:tcPr>
          <w:p w14:paraId="05D96CE4" w14:textId="77777777" w:rsidR="009219A0" w:rsidRDefault="00000000">
            <w:pPr>
              <w:spacing w:line="240" w:lineRule="auto"/>
              <w:ind w:firstLineChars="0" w:firstLine="0"/>
              <w:rPr>
                <w:rFonts w:ascii="宋体" w:hAnsi="宋体" w:hint="eastAsia"/>
                <w:color w:val="auto"/>
                <w:sz w:val="21"/>
                <w:szCs w:val="21"/>
              </w:rPr>
            </w:pPr>
            <w:r>
              <w:rPr>
                <w:rFonts w:ascii="宋体" w:hAnsi="宋体" w:hint="eastAsia"/>
                <w:color w:val="auto"/>
                <w:sz w:val="21"/>
                <w:szCs w:val="21"/>
              </w:rPr>
              <w:t>有相关内容。</w:t>
            </w:r>
          </w:p>
        </w:tc>
        <w:tc>
          <w:tcPr>
            <w:tcW w:w="1210" w:type="dxa"/>
            <w:vAlign w:val="center"/>
          </w:tcPr>
          <w:p w14:paraId="013329E5"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9219A0" w14:paraId="15F987E2" w14:textId="77777777">
        <w:trPr>
          <w:trHeight w:val="397"/>
          <w:jc w:val="center"/>
        </w:trPr>
        <w:tc>
          <w:tcPr>
            <w:tcW w:w="730" w:type="dxa"/>
            <w:vAlign w:val="center"/>
          </w:tcPr>
          <w:p w14:paraId="40C7D360" w14:textId="77777777" w:rsidR="009219A0" w:rsidRDefault="00000000">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4</w:t>
            </w:r>
          </w:p>
        </w:tc>
        <w:tc>
          <w:tcPr>
            <w:tcW w:w="3839" w:type="dxa"/>
            <w:vAlign w:val="center"/>
          </w:tcPr>
          <w:p w14:paraId="4D04E4CD" w14:textId="77777777" w:rsidR="009219A0" w:rsidRDefault="00000000">
            <w:pPr>
              <w:spacing w:line="240" w:lineRule="auto"/>
              <w:ind w:firstLineChars="0" w:firstLine="0"/>
              <w:jc w:val="left"/>
              <w:rPr>
                <w:rFonts w:ascii="宋体" w:hAnsi="宋体" w:hint="eastAsia"/>
                <w:bCs/>
                <w:color w:val="auto"/>
                <w:sz w:val="21"/>
                <w:szCs w:val="21"/>
              </w:rPr>
            </w:pPr>
            <w:bookmarkStart w:id="365" w:name="_Toc5915999"/>
            <w:bookmarkStart w:id="366" w:name="_Toc531615501"/>
            <w:bookmarkStart w:id="367" w:name="_Toc528656310"/>
            <w:bookmarkStart w:id="368" w:name="_Toc12004005"/>
            <w:bookmarkStart w:id="369" w:name="_Toc528335548"/>
            <w:r>
              <w:rPr>
                <w:rFonts w:ascii="宋体" w:hAnsi="宋体" w:hint="eastAsia"/>
                <w:bCs/>
                <w:color w:val="auto"/>
                <w:sz w:val="21"/>
                <w:szCs w:val="21"/>
              </w:rPr>
              <w:t>编制应急预案前，编制单位应当进行事故风险评估和应急资源调查</w:t>
            </w:r>
            <w:bookmarkEnd w:id="365"/>
            <w:bookmarkEnd w:id="366"/>
            <w:bookmarkEnd w:id="367"/>
            <w:bookmarkEnd w:id="368"/>
            <w:bookmarkEnd w:id="369"/>
            <w:r>
              <w:rPr>
                <w:rFonts w:ascii="宋体" w:hAnsi="宋体" w:hint="eastAsia"/>
                <w:bCs/>
                <w:color w:val="auto"/>
                <w:sz w:val="21"/>
                <w:szCs w:val="21"/>
              </w:rPr>
              <w:t>。</w:t>
            </w:r>
          </w:p>
        </w:tc>
        <w:tc>
          <w:tcPr>
            <w:tcW w:w="1950" w:type="dxa"/>
            <w:vAlign w:val="center"/>
          </w:tcPr>
          <w:p w14:paraId="4FCA633D"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《生产安全事故应急预案管理办法》</w:t>
            </w:r>
          </w:p>
          <w:p w14:paraId="224E020A"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第十条</w:t>
            </w:r>
          </w:p>
        </w:tc>
        <w:tc>
          <w:tcPr>
            <w:tcW w:w="1343" w:type="dxa"/>
            <w:vAlign w:val="center"/>
          </w:tcPr>
          <w:p w14:paraId="25B0FC2C" w14:textId="77777777" w:rsidR="009219A0" w:rsidRDefault="00000000">
            <w:pPr>
              <w:spacing w:line="240" w:lineRule="auto"/>
              <w:ind w:firstLineChars="0" w:firstLine="0"/>
              <w:rPr>
                <w:rFonts w:ascii="宋体" w:hAnsi="宋体" w:hint="eastAsia"/>
                <w:color w:val="auto"/>
                <w:sz w:val="21"/>
                <w:szCs w:val="21"/>
              </w:rPr>
            </w:pPr>
            <w:r>
              <w:rPr>
                <w:rFonts w:ascii="宋体" w:hAnsi="宋体" w:hint="eastAsia"/>
                <w:color w:val="auto"/>
                <w:sz w:val="21"/>
                <w:szCs w:val="21"/>
              </w:rPr>
              <w:t>有相关内容。</w:t>
            </w:r>
          </w:p>
        </w:tc>
        <w:tc>
          <w:tcPr>
            <w:tcW w:w="1210" w:type="dxa"/>
            <w:vAlign w:val="center"/>
          </w:tcPr>
          <w:p w14:paraId="11C6E2DA"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9219A0" w14:paraId="0B1246E9" w14:textId="77777777">
        <w:trPr>
          <w:trHeight w:val="397"/>
          <w:jc w:val="center"/>
        </w:trPr>
        <w:tc>
          <w:tcPr>
            <w:tcW w:w="730" w:type="dxa"/>
            <w:vAlign w:val="center"/>
          </w:tcPr>
          <w:p w14:paraId="20DEB5E8" w14:textId="77777777" w:rsidR="009219A0" w:rsidRDefault="00000000">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5</w:t>
            </w:r>
          </w:p>
        </w:tc>
        <w:tc>
          <w:tcPr>
            <w:tcW w:w="3839" w:type="dxa"/>
            <w:vAlign w:val="center"/>
          </w:tcPr>
          <w:p w14:paraId="1AF53FBA" w14:textId="77777777" w:rsidR="009219A0" w:rsidRDefault="00000000">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生产经营单位应当在编制应急预案的基础上，针对工作场所、岗位的特点，编制简明、实用、有效的应急处置卡。</w:t>
            </w:r>
          </w:p>
        </w:tc>
        <w:tc>
          <w:tcPr>
            <w:tcW w:w="1950" w:type="dxa"/>
            <w:vAlign w:val="center"/>
          </w:tcPr>
          <w:p w14:paraId="4D9A901F"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《生产安全事故应急预案管理办法》</w:t>
            </w:r>
          </w:p>
          <w:p w14:paraId="3D97CF07"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第十九条</w:t>
            </w:r>
          </w:p>
        </w:tc>
        <w:tc>
          <w:tcPr>
            <w:tcW w:w="1343" w:type="dxa"/>
            <w:vAlign w:val="center"/>
          </w:tcPr>
          <w:p w14:paraId="03EE0A40" w14:textId="77777777" w:rsidR="009219A0" w:rsidRDefault="00000000">
            <w:pPr>
              <w:spacing w:line="240" w:lineRule="auto"/>
              <w:ind w:firstLineChars="0" w:firstLine="0"/>
              <w:rPr>
                <w:rFonts w:ascii="宋体" w:hAnsi="宋体" w:hint="eastAsia"/>
                <w:color w:val="auto"/>
                <w:sz w:val="21"/>
                <w:szCs w:val="21"/>
              </w:rPr>
            </w:pPr>
            <w:r>
              <w:rPr>
                <w:rFonts w:ascii="宋体" w:hAnsi="宋体" w:hint="eastAsia"/>
                <w:color w:val="auto"/>
                <w:sz w:val="21"/>
                <w:szCs w:val="21"/>
              </w:rPr>
              <w:t>公司已按相关要求执行。</w:t>
            </w:r>
          </w:p>
        </w:tc>
        <w:tc>
          <w:tcPr>
            <w:tcW w:w="1210" w:type="dxa"/>
            <w:vAlign w:val="center"/>
          </w:tcPr>
          <w:p w14:paraId="5E0BF065"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9219A0" w14:paraId="1FB9917F" w14:textId="77777777">
        <w:trPr>
          <w:trHeight w:val="397"/>
          <w:jc w:val="center"/>
        </w:trPr>
        <w:tc>
          <w:tcPr>
            <w:tcW w:w="730" w:type="dxa"/>
            <w:vAlign w:val="center"/>
          </w:tcPr>
          <w:p w14:paraId="5737018E" w14:textId="77777777" w:rsidR="009219A0" w:rsidRDefault="00000000">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6</w:t>
            </w:r>
          </w:p>
        </w:tc>
        <w:tc>
          <w:tcPr>
            <w:tcW w:w="3839" w:type="dxa"/>
            <w:vAlign w:val="center"/>
          </w:tcPr>
          <w:p w14:paraId="7443852A" w14:textId="77777777" w:rsidR="009219A0" w:rsidRDefault="00000000">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生产经营单位应当制定本单位的应急预案演练计划，根据本单位的事故风险特点，每年至少组织一次综合应急预案演练或者专项应急预案演练，每半年至少组织一次现场处置方案演练</w:t>
            </w:r>
          </w:p>
        </w:tc>
        <w:tc>
          <w:tcPr>
            <w:tcW w:w="1950" w:type="dxa"/>
            <w:vAlign w:val="center"/>
          </w:tcPr>
          <w:p w14:paraId="5D58A1A1"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《生产安全事故应急预案管理办法》</w:t>
            </w:r>
          </w:p>
          <w:p w14:paraId="2C3D839E"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第三十三条</w:t>
            </w:r>
          </w:p>
        </w:tc>
        <w:tc>
          <w:tcPr>
            <w:tcW w:w="1343" w:type="dxa"/>
            <w:vAlign w:val="center"/>
          </w:tcPr>
          <w:p w14:paraId="4EEF0DFA" w14:textId="77777777" w:rsidR="009219A0" w:rsidRDefault="00000000">
            <w:pPr>
              <w:spacing w:line="240" w:lineRule="auto"/>
              <w:ind w:firstLineChars="0" w:firstLine="0"/>
              <w:rPr>
                <w:rFonts w:ascii="宋体" w:hAnsi="宋体" w:hint="eastAsia"/>
                <w:color w:val="auto"/>
                <w:sz w:val="21"/>
                <w:szCs w:val="21"/>
              </w:rPr>
            </w:pPr>
            <w:r>
              <w:rPr>
                <w:rFonts w:ascii="宋体" w:hAnsi="宋体" w:hint="eastAsia"/>
                <w:color w:val="auto"/>
                <w:sz w:val="21"/>
                <w:szCs w:val="21"/>
              </w:rPr>
              <w:t>公司已按相关要求执行。</w:t>
            </w:r>
          </w:p>
        </w:tc>
        <w:tc>
          <w:tcPr>
            <w:tcW w:w="1210" w:type="dxa"/>
            <w:vAlign w:val="center"/>
          </w:tcPr>
          <w:p w14:paraId="43F817E5"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9219A0" w14:paraId="5CE2FD4C" w14:textId="77777777">
        <w:trPr>
          <w:trHeight w:val="397"/>
          <w:jc w:val="center"/>
        </w:trPr>
        <w:tc>
          <w:tcPr>
            <w:tcW w:w="730" w:type="dxa"/>
            <w:vAlign w:val="center"/>
          </w:tcPr>
          <w:p w14:paraId="2D0F7ECB" w14:textId="77777777" w:rsidR="009219A0" w:rsidRDefault="00000000">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7</w:t>
            </w:r>
          </w:p>
        </w:tc>
        <w:tc>
          <w:tcPr>
            <w:tcW w:w="3839" w:type="dxa"/>
            <w:vAlign w:val="center"/>
          </w:tcPr>
          <w:p w14:paraId="467FFA6D" w14:textId="77777777" w:rsidR="009219A0" w:rsidRDefault="00000000">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应急预案演练结束后，应急预案演练组织单位应当对应急预案演练效果进行评估，撰写应急预案演练评估报告，分析存在的问题，并对应急预案提出修订意见。</w:t>
            </w:r>
          </w:p>
        </w:tc>
        <w:tc>
          <w:tcPr>
            <w:tcW w:w="1950" w:type="dxa"/>
            <w:vAlign w:val="center"/>
          </w:tcPr>
          <w:p w14:paraId="36B708C8"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《生产安全事故应急预案管理办法》</w:t>
            </w:r>
          </w:p>
          <w:p w14:paraId="26D8AAB0"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第三十四条</w:t>
            </w:r>
          </w:p>
        </w:tc>
        <w:tc>
          <w:tcPr>
            <w:tcW w:w="1343" w:type="dxa"/>
            <w:vAlign w:val="center"/>
          </w:tcPr>
          <w:p w14:paraId="6118E718" w14:textId="77777777" w:rsidR="009219A0" w:rsidRDefault="00000000">
            <w:pPr>
              <w:spacing w:line="240" w:lineRule="auto"/>
              <w:ind w:firstLineChars="0" w:firstLine="0"/>
              <w:rPr>
                <w:rFonts w:ascii="宋体" w:hAnsi="宋体" w:hint="eastAsia"/>
                <w:color w:val="auto"/>
                <w:sz w:val="21"/>
                <w:szCs w:val="21"/>
              </w:rPr>
            </w:pPr>
            <w:r>
              <w:rPr>
                <w:rFonts w:ascii="宋体" w:hAnsi="宋体" w:hint="eastAsia"/>
                <w:color w:val="auto"/>
                <w:sz w:val="21"/>
                <w:szCs w:val="21"/>
              </w:rPr>
              <w:t>公司按相关要求执行。</w:t>
            </w:r>
          </w:p>
        </w:tc>
        <w:tc>
          <w:tcPr>
            <w:tcW w:w="1210" w:type="dxa"/>
            <w:vAlign w:val="center"/>
          </w:tcPr>
          <w:p w14:paraId="136676A9"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9219A0" w14:paraId="39A3F9A2" w14:textId="77777777">
        <w:trPr>
          <w:trHeight w:val="397"/>
          <w:jc w:val="center"/>
        </w:trPr>
        <w:tc>
          <w:tcPr>
            <w:tcW w:w="730" w:type="dxa"/>
            <w:vAlign w:val="center"/>
          </w:tcPr>
          <w:p w14:paraId="0B1C2687" w14:textId="77777777" w:rsidR="009219A0" w:rsidRDefault="00000000">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8</w:t>
            </w:r>
          </w:p>
        </w:tc>
        <w:tc>
          <w:tcPr>
            <w:tcW w:w="3839" w:type="dxa"/>
            <w:vAlign w:val="center"/>
          </w:tcPr>
          <w:p w14:paraId="51FEBB52" w14:textId="77777777" w:rsidR="009219A0" w:rsidRDefault="00000000">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生产经营单位应当按照应急预案的规定，落实应急指挥体系、应急救援队伍、应急物资及装备，建立应急物资、装备配备及其使用档案，并对应急物资、装备进行定期检测和维护，使其处于适用状态。</w:t>
            </w:r>
          </w:p>
        </w:tc>
        <w:tc>
          <w:tcPr>
            <w:tcW w:w="1950" w:type="dxa"/>
            <w:vAlign w:val="center"/>
          </w:tcPr>
          <w:p w14:paraId="34650E0F"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《生产安全事故应急预案管理办法》</w:t>
            </w:r>
          </w:p>
          <w:p w14:paraId="23D9240D"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第三十八条</w:t>
            </w:r>
          </w:p>
        </w:tc>
        <w:tc>
          <w:tcPr>
            <w:tcW w:w="1343" w:type="dxa"/>
            <w:vAlign w:val="center"/>
          </w:tcPr>
          <w:p w14:paraId="5C48CEF4" w14:textId="77777777" w:rsidR="009219A0" w:rsidRDefault="00000000">
            <w:pPr>
              <w:spacing w:line="240" w:lineRule="auto"/>
              <w:ind w:firstLineChars="0" w:firstLine="0"/>
              <w:rPr>
                <w:rFonts w:ascii="宋体" w:hAnsi="宋体" w:hint="eastAsia"/>
                <w:color w:val="auto"/>
                <w:sz w:val="21"/>
                <w:szCs w:val="21"/>
              </w:rPr>
            </w:pPr>
            <w:r>
              <w:rPr>
                <w:rFonts w:ascii="宋体" w:hAnsi="宋体" w:hint="eastAsia"/>
                <w:color w:val="auto"/>
                <w:sz w:val="21"/>
                <w:szCs w:val="21"/>
              </w:rPr>
              <w:t>公司按相关要求执行。</w:t>
            </w:r>
          </w:p>
        </w:tc>
        <w:tc>
          <w:tcPr>
            <w:tcW w:w="1210" w:type="dxa"/>
            <w:vAlign w:val="center"/>
          </w:tcPr>
          <w:p w14:paraId="70384460"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符合要求</w:t>
            </w:r>
          </w:p>
        </w:tc>
      </w:tr>
      <w:tr w:rsidR="009219A0" w14:paraId="309E4794" w14:textId="77777777">
        <w:trPr>
          <w:trHeight w:val="397"/>
          <w:jc w:val="center"/>
        </w:trPr>
        <w:tc>
          <w:tcPr>
            <w:tcW w:w="730" w:type="dxa"/>
            <w:vAlign w:val="center"/>
          </w:tcPr>
          <w:p w14:paraId="62AC7EE9" w14:textId="77777777" w:rsidR="009219A0" w:rsidRDefault="00000000">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9</w:t>
            </w:r>
          </w:p>
        </w:tc>
        <w:tc>
          <w:tcPr>
            <w:tcW w:w="3839" w:type="dxa"/>
            <w:vAlign w:val="center"/>
          </w:tcPr>
          <w:p w14:paraId="0E8DA04B" w14:textId="77777777" w:rsidR="009219A0" w:rsidRDefault="00000000">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生产经营单位应当针对本单位可能发生的生产安全事故的特点和危害，进行风险辨识和评估，制定相应的生产安全事故应急救援预案，并向本单位从业人员公布。</w:t>
            </w:r>
          </w:p>
        </w:tc>
        <w:tc>
          <w:tcPr>
            <w:tcW w:w="1950" w:type="dxa"/>
            <w:vAlign w:val="center"/>
          </w:tcPr>
          <w:p w14:paraId="6A4B0315" w14:textId="77777777" w:rsidR="009219A0" w:rsidRDefault="00000000">
            <w:pPr>
              <w:spacing w:line="240" w:lineRule="auto"/>
              <w:ind w:firstLineChars="0" w:firstLine="0"/>
              <w:jc w:val="left"/>
              <w:rPr>
                <w:rFonts w:ascii="宋体" w:hAnsi="宋体" w:hint="eastAsia"/>
                <w:color w:val="auto"/>
                <w:sz w:val="21"/>
                <w:szCs w:val="21"/>
              </w:rPr>
            </w:pPr>
            <w:bookmarkStart w:id="370" w:name="_Toc12004007"/>
            <w:bookmarkStart w:id="371" w:name="_Toc5916001"/>
            <w:r>
              <w:rPr>
                <w:rFonts w:ascii="宋体" w:hAnsi="宋体" w:hint="eastAsia"/>
                <w:color w:val="auto"/>
                <w:sz w:val="21"/>
                <w:szCs w:val="21"/>
              </w:rPr>
              <w:t>《生产安全事故应急条例》</w:t>
            </w:r>
            <w:bookmarkEnd w:id="370"/>
            <w:bookmarkEnd w:id="371"/>
          </w:p>
          <w:p w14:paraId="5AC2326A" w14:textId="77777777" w:rsidR="009219A0" w:rsidRDefault="00000000">
            <w:pPr>
              <w:spacing w:line="240" w:lineRule="auto"/>
              <w:ind w:firstLineChars="0" w:firstLine="0"/>
              <w:jc w:val="left"/>
              <w:rPr>
                <w:rFonts w:ascii="宋体" w:hAnsi="宋体" w:hint="eastAsia"/>
                <w:color w:val="auto"/>
                <w:sz w:val="21"/>
                <w:szCs w:val="21"/>
              </w:rPr>
            </w:pPr>
            <w:bookmarkStart w:id="372" w:name="_Toc5916002"/>
            <w:bookmarkStart w:id="373" w:name="_Toc12004008"/>
            <w:r>
              <w:rPr>
                <w:rFonts w:ascii="宋体" w:hAnsi="宋体" w:hint="eastAsia"/>
                <w:color w:val="auto"/>
                <w:sz w:val="21"/>
                <w:szCs w:val="21"/>
              </w:rPr>
              <w:t>第十五条</w:t>
            </w:r>
            <w:bookmarkEnd w:id="372"/>
            <w:bookmarkEnd w:id="373"/>
          </w:p>
        </w:tc>
        <w:tc>
          <w:tcPr>
            <w:tcW w:w="1343" w:type="dxa"/>
            <w:vAlign w:val="center"/>
          </w:tcPr>
          <w:p w14:paraId="6714FB06" w14:textId="77777777" w:rsidR="009219A0" w:rsidRDefault="00000000">
            <w:pPr>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编制的应急预案有相应的内容，并向从业人员公布。</w:t>
            </w:r>
          </w:p>
        </w:tc>
        <w:tc>
          <w:tcPr>
            <w:tcW w:w="1210" w:type="dxa"/>
            <w:vAlign w:val="center"/>
          </w:tcPr>
          <w:p w14:paraId="2AEF1250" w14:textId="77777777" w:rsidR="009219A0" w:rsidRDefault="00000000">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符合要求</w:t>
            </w:r>
          </w:p>
        </w:tc>
      </w:tr>
      <w:tr w:rsidR="009219A0" w14:paraId="0EA3305A" w14:textId="77777777">
        <w:trPr>
          <w:trHeight w:val="397"/>
          <w:jc w:val="center"/>
        </w:trPr>
        <w:tc>
          <w:tcPr>
            <w:tcW w:w="730" w:type="dxa"/>
            <w:vAlign w:val="center"/>
          </w:tcPr>
          <w:p w14:paraId="432CBB4D" w14:textId="77777777" w:rsidR="009219A0" w:rsidRDefault="00000000">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10</w:t>
            </w:r>
          </w:p>
        </w:tc>
        <w:tc>
          <w:tcPr>
            <w:tcW w:w="3839" w:type="dxa"/>
            <w:vAlign w:val="center"/>
          </w:tcPr>
          <w:p w14:paraId="261A5E34" w14:textId="77777777" w:rsidR="009219A0" w:rsidRDefault="00000000">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生产经营单位应当对从业人员进行应急教育和培训，保证从业人员具备必要的应急知识，掌握风险防范技能和事故应急措施。</w:t>
            </w:r>
          </w:p>
        </w:tc>
        <w:tc>
          <w:tcPr>
            <w:tcW w:w="1950" w:type="dxa"/>
            <w:vAlign w:val="center"/>
          </w:tcPr>
          <w:p w14:paraId="5C9CB393" w14:textId="77777777" w:rsidR="009219A0" w:rsidRDefault="00000000">
            <w:pPr>
              <w:spacing w:line="240" w:lineRule="auto"/>
              <w:ind w:firstLineChars="0" w:firstLine="0"/>
              <w:jc w:val="left"/>
              <w:rPr>
                <w:rFonts w:ascii="宋体" w:hAnsi="宋体" w:hint="eastAsia"/>
                <w:color w:val="auto"/>
                <w:sz w:val="21"/>
                <w:szCs w:val="21"/>
              </w:rPr>
            </w:pPr>
            <w:bookmarkStart w:id="374" w:name="_Toc5916003"/>
            <w:bookmarkStart w:id="375" w:name="_Toc12004009"/>
            <w:r>
              <w:rPr>
                <w:rFonts w:ascii="宋体" w:hAnsi="宋体" w:hint="eastAsia"/>
                <w:color w:val="auto"/>
                <w:sz w:val="21"/>
                <w:szCs w:val="21"/>
              </w:rPr>
              <w:t>《生产安全事故应急条例》</w:t>
            </w:r>
            <w:bookmarkEnd w:id="374"/>
            <w:bookmarkEnd w:id="375"/>
          </w:p>
          <w:p w14:paraId="02A20192" w14:textId="77777777" w:rsidR="009219A0" w:rsidRDefault="00000000">
            <w:pPr>
              <w:spacing w:line="240" w:lineRule="auto"/>
              <w:ind w:firstLineChars="0" w:firstLine="0"/>
              <w:jc w:val="left"/>
              <w:rPr>
                <w:rFonts w:ascii="宋体" w:hAnsi="宋体" w:hint="eastAsia"/>
                <w:color w:val="auto"/>
                <w:sz w:val="21"/>
                <w:szCs w:val="21"/>
              </w:rPr>
            </w:pPr>
            <w:bookmarkStart w:id="376" w:name="_Toc5916004"/>
            <w:bookmarkStart w:id="377" w:name="_Toc12004010"/>
            <w:r>
              <w:rPr>
                <w:rFonts w:ascii="宋体" w:hAnsi="宋体" w:hint="eastAsia"/>
                <w:color w:val="auto"/>
                <w:sz w:val="21"/>
                <w:szCs w:val="21"/>
              </w:rPr>
              <w:t>第十五条</w:t>
            </w:r>
            <w:bookmarkEnd w:id="376"/>
            <w:bookmarkEnd w:id="377"/>
          </w:p>
        </w:tc>
        <w:tc>
          <w:tcPr>
            <w:tcW w:w="1343" w:type="dxa"/>
            <w:vAlign w:val="center"/>
          </w:tcPr>
          <w:p w14:paraId="1C22F87C" w14:textId="77777777" w:rsidR="009219A0" w:rsidRDefault="00000000">
            <w:pPr>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对从业人员进行教育和培训。</w:t>
            </w:r>
          </w:p>
        </w:tc>
        <w:tc>
          <w:tcPr>
            <w:tcW w:w="1210" w:type="dxa"/>
            <w:vAlign w:val="center"/>
          </w:tcPr>
          <w:p w14:paraId="04A37A9B" w14:textId="77777777" w:rsidR="009219A0" w:rsidRDefault="00000000">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符合要求</w:t>
            </w:r>
          </w:p>
        </w:tc>
      </w:tr>
      <w:tr w:rsidR="009219A0" w14:paraId="1E9F8600" w14:textId="77777777">
        <w:trPr>
          <w:trHeight w:val="397"/>
          <w:jc w:val="center"/>
        </w:trPr>
        <w:tc>
          <w:tcPr>
            <w:tcW w:w="730" w:type="dxa"/>
            <w:vAlign w:val="center"/>
          </w:tcPr>
          <w:p w14:paraId="2582AE56" w14:textId="77777777" w:rsidR="009219A0" w:rsidRDefault="00000000">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11</w:t>
            </w:r>
          </w:p>
        </w:tc>
        <w:tc>
          <w:tcPr>
            <w:tcW w:w="3839" w:type="dxa"/>
            <w:vAlign w:val="center"/>
          </w:tcPr>
          <w:p w14:paraId="2166D137" w14:textId="77777777" w:rsidR="009219A0" w:rsidRDefault="00000000">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生产经营单位应当制定和实施本单位的生产安全事故应急救援预案和操作岗位应急处理措施，应急救援预案每年至少组织演练一次。</w:t>
            </w:r>
          </w:p>
        </w:tc>
        <w:tc>
          <w:tcPr>
            <w:tcW w:w="1950" w:type="dxa"/>
            <w:vAlign w:val="center"/>
          </w:tcPr>
          <w:p w14:paraId="0074F8C3"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《生产安全事故应急条例》</w:t>
            </w:r>
          </w:p>
          <w:p w14:paraId="2277F2C9"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第二十五条</w:t>
            </w:r>
          </w:p>
        </w:tc>
        <w:tc>
          <w:tcPr>
            <w:tcW w:w="1343" w:type="dxa"/>
            <w:vAlign w:val="center"/>
          </w:tcPr>
          <w:p w14:paraId="6EA9C75C" w14:textId="77777777" w:rsidR="009219A0" w:rsidRDefault="00000000">
            <w:pPr>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t>组织从业人员进行应急演练，演练记录详见附件7.19。</w:t>
            </w:r>
          </w:p>
        </w:tc>
        <w:tc>
          <w:tcPr>
            <w:tcW w:w="1210" w:type="dxa"/>
            <w:vAlign w:val="center"/>
          </w:tcPr>
          <w:p w14:paraId="0251FE90" w14:textId="77777777" w:rsidR="009219A0" w:rsidRDefault="00000000">
            <w:pPr>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符合要求</w:t>
            </w:r>
          </w:p>
        </w:tc>
      </w:tr>
      <w:tr w:rsidR="009219A0" w14:paraId="2D0F011F" w14:textId="77777777">
        <w:trPr>
          <w:trHeight w:val="397"/>
          <w:jc w:val="center"/>
        </w:trPr>
        <w:tc>
          <w:tcPr>
            <w:tcW w:w="730" w:type="dxa"/>
            <w:vAlign w:val="center"/>
          </w:tcPr>
          <w:p w14:paraId="68E45D81" w14:textId="77777777" w:rsidR="009219A0" w:rsidRDefault="00000000">
            <w:pPr>
              <w:spacing w:line="240" w:lineRule="auto"/>
              <w:ind w:firstLineChars="0" w:firstLine="0"/>
              <w:jc w:val="center"/>
              <w:rPr>
                <w:rFonts w:ascii="宋体" w:hAnsi="宋体" w:hint="eastAsia"/>
                <w:color w:val="auto"/>
                <w:sz w:val="21"/>
                <w:szCs w:val="21"/>
              </w:rPr>
            </w:pPr>
            <w:r>
              <w:rPr>
                <w:rFonts w:ascii="宋体" w:hAnsi="宋体" w:hint="eastAsia"/>
                <w:color w:val="auto"/>
                <w:sz w:val="21"/>
                <w:szCs w:val="21"/>
              </w:rPr>
              <w:t>12</w:t>
            </w:r>
          </w:p>
        </w:tc>
        <w:tc>
          <w:tcPr>
            <w:tcW w:w="3839" w:type="dxa"/>
            <w:vAlign w:val="center"/>
          </w:tcPr>
          <w:p w14:paraId="1BE414DA" w14:textId="77777777" w:rsidR="009219A0" w:rsidRDefault="00000000">
            <w:pPr>
              <w:spacing w:line="240" w:lineRule="auto"/>
              <w:ind w:firstLineChars="0" w:firstLine="0"/>
              <w:jc w:val="left"/>
              <w:rPr>
                <w:rFonts w:ascii="宋体" w:hAnsi="宋体" w:hint="eastAsia"/>
                <w:bCs/>
                <w:color w:val="auto"/>
                <w:sz w:val="21"/>
                <w:szCs w:val="21"/>
              </w:rPr>
            </w:pPr>
            <w:r>
              <w:rPr>
                <w:rFonts w:ascii="宋体" w:hAnsi="宋体" w:cs="宋体" w:hint="eastAsia"/>
                <w:color w:val="auto"/>
                <w:kern w:val="0"/>
                <w:sz w:val="21"/>
                <w:szCs w:val="21"/>
              </w:rPr>
              <w:t>生产经营单位应当按照应急预案的规</w:t>
            </w:r>
            <w:r>
              <w:rPr>
                <w:rFonts w:ascii="宋体" w:hAnsi="宋体" w:cs="宋体" w:hint="eastAsia"/>
                <w:color w:val="auto"/>
                <w:kern w:val="0"/>
                <w:sz w:val="21"/>
                <w:szCs w:val="21"/>
              </w:rPr>
              <w:lastRenderedPageBreak/>
              <w:t>定，落实应急指挥体系、应急救援队伍、应急物资及装备，建立应急物资、装备配备及其使用档案，并对应急物资、装备进行定期检测和维护，使其处于适用状态。</w:t>
            </w:r>
          </w:p>
        </w:tc>
        <w:tc>
          <w:tcPr>
            <w:tcW w:w="1950" w:type="dxa"/>
            <w:vAlign w:val="center"/>
          </w:tcPr>
          <w:p w14:paraId="1800B3C2"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lastRenderedPageBreak/>
              <w:t>《生产安全事故应</w:t>
            </w:r>
            <w:r>
              <w:rPr>
                <w:rFonts w:ascii="宋体" w:hAnsi="宋体" w:hint="eastAsia"/>
                <w:color w:val="auto"/>
                <w:sz w:val="21"/>
                <w:szCs w:val="21"/>
              </w:rPr>
              <w:lastRenderedPageBreak/>
              <w:t>急预案管理办法》</w:t>
            </w:r>
          </w:p>
          <w:p w14:paraId="6DFCD4AB"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第三十八条</w:t>
            </w:r>
          </w:p>
        </w:tc>
        <w:tc>
          <w:tcPr>
            <w:tcW w:w="1343" w:type="dxa"/>
            <w:vAlign w:val="center"/>
          </w:tcPr>
          <w:p w14:paraId="177790FF" w14:textId="77777777" w:rsidR="009219A0" w:rsidRDefault="00000000">
            <w:pPr>
              <w:spacing w:line="240" w:lineRule="auto"/>
              <w:ind w:firstLineChars="0" w:firstLine="0"/>
              <w:rPr>
                <w:rFonts w:ascii="宋体" w:hAnsi="宋体" w:hint="eastAsia"/>
                <w:bCs/>
                <w:color w:val="auto"/>
                <w:sz w:val="21"/>
                <w:szCs w:val="21"/>
              </w:rPr>
            </w:pPr>
            <w:r>
              <w:rPr>
                <w:rFonts w:ascii="宋体" w:hAnsi="宋体" w:hint="eastAsia"/>
                <w:bCs/>
                <w:color w:val="auto"/>
                <w:sz w:val="21"/>
                <w:szCs w:val="21"/>
              </w:rPr>
              <w:lastRenderedPageBreak/>
              <w:t>应急物资及</w:t>
            </w:r>
            <w:r>
              <w:rPr>
                <w:rFonts w:ascii="宋体" w:hAnsi="宋体" w:hint="eastAsia"/>
                <w:bCs/>
                <w:color w:val="auto"/>
                <w:sz w:val="21"/>
                <w:szCs w:val="21"/>
              </w:rPr>
              <w:lastRenderedPageBreak/>
              <w:t>装备定期维护。</w:t>
            </w:r>
          </w:p>
        </w:tc>
        <w:tc>
          <w:tcPr>
            <w:tcW w:w="1210" w:type="dxa"/>
            <w:vAlign w:val="center"/>
          </w:tcPr>
          <w:p w14:paraId="61023743" w14:textId="77777777" w:rsidR="009219A0" w:rsidRDefault="00000000">
            <w:pPr>
              <w:spacing w:line="240" w:lineRule="auto"/>
              <w:ind w:firstLineChars="0" w:firstLine="0"/>
              <w:jc w:val="left"/>
              <w:rPr>
                <w:rFonts w:ascii="宋体" w:hAnsi="宋体" w:hint="eastAsia"/>
                <w:color w:val="auto"/>
                <w:sz w:val="21"/>
                <w:szCs w:val="21"/>
              </w:rPr>
            </w:pPr>
            <w:r>
              <w:rPr>
                <w:rFonts w:ascii="宋体" w:hAnsi="宋体" w:hint="eastAsia"/>
                <w:bCs/>
                <w:color w:val="auto"/>
                <w:sz w:val="21"/>
                <w:szCs w:val="21"/>
              </w:rPr>
              <w:lastRenderedPageBreak/>
              <w:t>符合要求</w:t>
            </w:r>
          </w:p>
        </w:tc>
      </w:tr>
    </w:tbl>
    <w:p w14:paraId="33AADECD" w14:textId="77777777" w:rsidR="009219A0" w:rsidRDefault="00000000">
      <w:pPr>
        <w:pStyle w:val="3"/>
        <w:rPr>
          <w:rFonts w:hint="eastAsia"/>
        </w:rPr>
      </w:pPr>
      <w:bookmarkStart w:id="378" w:name="_Toc211950535"/>
      <w:r>
        <w:rPr>
          <w:rFonts w:hint="eastAsia"/>
        </w:rPr>
        <w:t>5.4.3单元小结</w:t>
      </w:r>
      <w:bookmarkEnd w:id="378"/>
    </w:p>
    <w:p w14:paraId="3D321E76" w14:textId="77777777" w:rsidR="009219A0" w:rsidRDefault="00000000">
      <w:pPr>
        <w:ind w:firstLine="560"/>
        <w:rPr>
          <w:color w:val="auto"/>
        </w:rPr>
      </w:pPr>
      <w:r>
        <w:rPr>
          <w:rFonts w:hint="eastAsia"/>
          <w:color w:val="auto"/>
        </w:rPr>
        <w:t>根据上表知，项目</w:t>
      </w:r>
      <w:proofErr w:type="gramStart"/>
      <w:r>
        <w:rPr>
          <w:rFonts w:hint="eastAsia"/>
          <w:color w:val="auto"/>
        </w:rPr>
        <w:t>依托创源公司</w:t>
      </w:r>
      <w:proofErr w:type="gramEnd"/>
      <w:r>
        <w:rPr>
          <w:rFonts w:hint="eastAsia"/>
          <w:color w:val="auto"/>
        </w:rPr>
        <w:t>原有安全管理机构及人员进行安全管理，</w:t>
      </w:r>
      <w:proofErr w:type="gramStart"/>
      <w:r>
        <w:rPr>
          <w:rFonts w:hint="eastAsia"/>
          <w:color w:val="auto"/>
        </w:rPr>
        <w:t>创源公司</w:t>
      </w:r>
      <w:proofErr w:type="gramEnd"/>
      <w:r>
        <w:rPr>
          <w:rFonts w:hint="eastAsia"/>
          <w:color w:val="auto"/>
        </w:rPr>
        <w:t>主要负责人、安全管理人员经过培训，持证上岗；公司为从业人员配备有劳动防护用品；建立了安全生产责任制、安全管理制度、安全操作规程，编制了安全生产应急预案并到应急管局备案；配备了相应急器材及设施，并定期组织演练。</w:t>
      </w:r>
    </w:p>
    <w:p w14:paraId="46C7735A" w14:textId="77777777" w:rsidR="009219A0" w:rsidRDefault="00000000">
      <w:pPr>
        <w:pStyle w:val="2"/>
        <w:rPr>
          <w:rFonts w:hint="eastAsia"/>
        </w:rPr>
      </w:pPr>
      <w:bookmarkStart w:id="379" w:name="_Toc62219376"/>
      <w:bookmarkStart w:id="380" w:name="_Toc211950536"/>
      <w:bookmarkStart w:id="381" w:name="_Toc165281493"/>
      <w:r>
        <w:rPr>
          <w:rFonts w:hint="eastAsia"/>
        </w:rPr>
        <w:t>5.5 重大安全隐患判定</w:t>
      </w:r>
      <w:bookmarkEnd w:id="379"/>
      <w:r>
        <w:rPr>
          <w:rFonts w:hint="eastAsia"/>
        </w:rPr>
        <w:t>符合性分析</w:t>
      </w:r>
      <w:bookmarkEnd w:id="380"/>
      <w:bookmarkEnd w:id="381"/>
    </w:p>
    <w:p w14:paraId="6CA11F68" w14:textId="77777777" w:rsidR="009219A0" w:rsidRDefault="00000000">
      <w:pPr>
        <w:pStyle w:val="3"/>
        <w:rPr>
          <w:rFonts w:hint="eastAsia"/>
        </w:rPr>
      </w:pPr>
      <w:bookmarkStart w:id="382" w:name="_Toc211950537"/>
      <w:r>
        <w:rPr>
          <w:rFonts w:hint="eastAsia"/>
        </w:rPr>
        <w:t>5.5.1 重大生产安全事故隐患判定</w:t>
      </w:r>
      <w:bookmarkEnd w:id="382"/>
    </w:p>
    <w:p w14:paraId="7C3EBF34" w14:textId="77777777" w:rsidR="009219A0" w:rsidRDefault="00000000">
      <w:pPr>
        <w:ind w:firstLine="560"/>
        <w:rPr>
          <w:color w:val="auto"/>
        </w:rPr>
      </w:pPr>
      <w:r>
        <w:rPr>
          <w:rFonts w:hint="eastAsia"/>
          <w:color w:val="auto"/>
        </w:rPr>
        <w:t>本节根据《工贸企业重大事故隐患判定标准》（中华人民共和国应急管理部令第</w:t>
      </w:r>
      <w:r>
        <w:rPr>
          <w:rFonts w:hint="eastAsia"/>
          <w:color w:val="auto"/>
        </w:rPr>
        <w:t>10</w:t>
      </w:r>
      <w:r>
        <w:rPr>
          <w:rFonts w:hint="eastAsia"/>
          <w:color w:val="auto"/>
        </w:rPr>
        <w:t>号）有关内容，对该项目进行重大安全隐患判定：</w:t>
      </w:r>
    </w:p>
    <w:p w14:paraId="0E3A39C9" w14:textId="77777777" w:rsidR="009219A0" w:rsidRDefault="00000000">
      <w:pPr>
        <w:pStyle w:val="ac"/>
        <w:widowControl w:val="0"/>
        <w:ind w:leftChars="0" w:left="0" w:firstLineChars="0" w:firstLine="0"/>
        <w:jc w:val="center"/>
        <w:rPr>
          <w:rFonts w:ascii="宋体" w:hAnsi="宋体" w:hint="eastAsia"/>
          <w:color w:val="auto"/>
          <w:sz w:val="28"/>
          <w:szCs w:val="28"/>
          <w:lang w:val="zh-CN"/>
        </w:rPr>
      </w:pPr>
      <w:r>
        <w:rPr>
          <w:rFonts w:ascii="宋体" w:hAnsi="宋体" w:hint="eastAsia"/>
          <w:color w:val="auto"/>
          <w:sz w:val="28"/>
          <w:szCs w:val="28"/>
          <w:lang w:val="zh-CN"/>
        </w:rPr>
        <w:t>附表5.5-1 重大生产安全事故隐患判定表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3128"/>
        <w:gridCol w:w="1984"/>
        <w:gridCol w:w="2552"/>
        <w:gridCol w:w="707"/>
      </w:tblGrid>
      <w:tr w:rsidR="009219A0" w14:paraId="371103FF" w14:textId="77777777">
        <w:trPr>
          <w:trHeight w:val="397"/>
          <w:tblHeader/>
          <w:jc w:val="center"/>
        </w:trPr>
        <w:tc>
          <w:tcPr>
            <w:tcW w:w="701" w:type="dxa"/>
            <w:vAlign w:val="center"/>
          </w:tcPr>
          <w:p w14:paraId="6AC78C4A" w14:textId="77777777" w:rsidR="009219A0" w:rsidRDefault="00000000">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序号</w:t>
            </w:r>
          </w:p>
        </w:tc>
        <w:tc>
          <w:tcPr>
            <w:tcW w:w="3128" w:type="dxa"/>
            <w:vAlign w:val="center"/>
          </w:tcPr>
          <w:p w14:paraId="045DDC89" w14:textId="77777777" w:rsidR="009219A0" w:rsidRDefault="00000000">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检查项目及内容</w:t>
            </w:r>
          </w:p>
        </w:tc>
        <w:tc>
          <w:tcPr>
            <w:tcW w:w="1984" w:type="dxa"/>
            <w:vAlign w:val="center"/>
          </w:tcPr>
          <w:p w14:paraId="1FE22BBE" w14:textId="77777777" w:rsidR="009219A0" w:rsidRDefault="00000000">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检查依据</w:t>
            </w:r>
          </w:p>
        </w:tc>
        <w:tc>
          <w:tcPr>
            <w:tcW w:w="2552" w:type="dxa"/>
            <w:vAlign w:val="center"/>
          </w:tcPr>
          <w:p w14:paraId="42B4E5CD" w14:textId="77777777" w:rsidR="009219A0" w:rsidRDefault="00000000">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检查记录</w:t>
            </w:r>
          </w:p>
        </w:tc>
        <w:tc>
          <w:tcPr>
            <w:tcW w:w="707" w:type="dxa"/>
            <w:vAlign w:val="center"/>
          </w:tcPr>
          <w:p w14:paraId="30E0B1C8" w14:textId="77777777" w:rsidR="009219A0" w:rsidRDefault="00000000">
            <w:pPr>
              <w:topLinePunct/>
              <w:spacing w:line="240" w:lineRule="auto"/>
              <w:ind w:firstLineChars="0" w:firstLine="0"/>
              <w:jc w:val="center"/>
              <w:rPr>
                <w:rFonts w:ascii="宋体" w:hAnsi="宋体" w:hint="eastAsia"/>
                <w:b/>
                <w:bCs/>
                <w:color w:val="auto"/>
                <w:sz w:val="21"/>
                <w:szCs w:val="21"/>
              </w:rPr>
            </w:pPr>
            <w:r>
              <w:rPr>
                <w:rFonts w:ascii="宋体" w:hAnsi="宋体" w:hint="eastAsia"/>
                <w:b/>
                <w:bCs/>
                <w:color w:val="auto"/>
                <w:sz w:val="21"/>
                <w:szCs w:val="21"/>
              </w:rPr>
              <w:t>检查结果</w:t>
            </w:r>
          </w:p>
        </w:tc>
      </w:tr>
      <w:tr w:rsidR="009219A0" w14:paraId="1451D2F7" w14:textId="77777777">
        <w:trPr>
          <w:trHeight w:val="397"/>
          <w:jc w:val="center"/>
        </w:trPr>
        <w:tc>
          <w:tcPr>
            <w:tcW w:w="701" w:type="dxa"/>
            <w:vAlign w:val="center"/>
          </w:tcPr>
          <w:p w14:paraId="22D32C46" w14:textId="77777777" w:rsidR="009219A0" w:rsidRDefault="009219A0">
            <w:pPr>
              <w:pStyle w:val="11"/>
              <w:numPr>
                <w:ilvl w:val="0"/>
                <w:numId w:val="21"/>
              </w:numPr>
              <w:topLinePunct/>
              <w:spacing w:line="240" w:lineRule="auto"/>
              <w:ind w:left="0" w:firstLineChars="0" w:firstLine="0"/>
              <w:jc w:val="center"/>
              <w:rPr>
                <w:rFonts w:ascii="宋体" w:hAnsi="宋体" w:hint="eastAsia"/>
                <w:bCs/>
                <w:color w:val="auto"/>
                <w:sz w:val="21"/>
                <w:szCs w:val="21"/>
              </w:rPr>
            </w:pPr>
          </w:p>
        </w:tc>
        <w:tc>
          <w:tcPr>
            <w:tcW w:w="3128" w:type="dxa"/>
            <w:vAlign w:val="center"/>
          </w:tcPr>
          <w:p w14:paraId="1A563CB8"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未对承包单位、承租单位的安全生产工作统一协调、管理，或者未定期进行安全检查的；</w:t>
            </w:r>
          </w:p>
        </w:tc>
        <w:tc>
          <w:tcPr>
            <w:tcW w:w="1984" w:type="dxa"/>
            <w:vMerge w:val="restart"/>
            <w:vAlign w:val="center"/>
          </w:tcPr>
          <w:p w14:paraId="796416AA" w14:textId="77777777" w:rsidR="009219A0" w:rsidRDefault="00000000">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《工贸企业重大事故隐患判定标准》（中华人民共和国应急管理部令第10号）第三条 工贸企业有下列情形之一的，应当判定为重大事故隐患：</w:t>
            </w:r>
          </w:p>
        </w:tc>
        <w:tc>
          <w:tcPr>
            <w:tcW w:w="2552" w:type="dxa"/>
            <w:vAlign w:val="center"/>
          </w:tcPr>
          <w:p w14:paraId="0FC65DF7"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项目</w:t>
            </w:r>
            <w:proofErr w:type="gramStart"/>
            <w:r>
              <w:rPr>
                <w:rFonts w:ascii="宋体" w:hAnsi="宋体" w:hint="eastAsia"/>
                <w:color w:val="auto"/>
                <w:sz w:val="21"/>
                <w:szCs w:val="21"/>
              </w:rPr>
              <w:t>依托创源公司</w:t>
            </w:r>
            <w:proofErr w:type="gramEnd"/>
            <w:r>
              <w:rPr>
                <w:rFonts w:ascii="宋体" w:hAnsi="宋体" w:hint="eastAsia"/>
                <w:color w:val="auto"/>
                <w:sz w:val="21"/>
                <w:szCs w:val="21"/>
              </w:rPr>
              <w:t>原有安全管理机构及人员进行安全管理，定期进行安全检查。</w:t>
            </w:r>
          </w:p>
        </w:tc>
        <w:tc>
          <w:tcPr>
            <w:tcW w:w="707" w:type="dxa"/>
            <w:vAlign w:val="center"/>
          </w:tcPr>
          <w:p w14:paraId="480F76EA"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bCs/>
                <w:color w:val="auto"/>
                <w:sz w:val="21"/>
                <w:szCs w:val="21"/>
              </w:rPr>
              <w:t>符合</w:t>
            </w:r>
          </w:p>
        </w:tc>
      </w:tr>
      <w:tr w:rsidR="009219A0" w14:paraId="47AE4A5D" w14:textId="77777777">
        <w:trPr>
          <w:trHeight w:val="397"/>
          <w:jc w:val="center"/>
        </w:trPr>
        <w:tc>
          <w:tcPr>
            <w:tcW w:w="701" w:type="dxa"/>
            <w:vAlign w:val="center"/>
          </w:tcPr>
          <w:p w14:paraId="22170D0C" w14:textId="77777777" w:rsidR="009219A0" w:rsidRDefault="009219A0">
            <w:pPr>
              <w:pStyle w:val="11"/>
              <w:numPr>
                <w:ilvl w:val="0"/>
                <w:numId w:val="21"/>
              </w:numPr>
              <w:topLinePunct/>
              <w:spacing w:line="240" w:lineRule="auto"/>
              <w:ind w:left="0" w:firstLineChars="0" w:firstLine="0"/>
              <w:jc w:val="center"/>
              <w:rPr>
                <w:rFonts w:ascii="宋体" w:hAnsi="宋体" w:hint="eastAsia"/>
                <w:bCs/>
                <w:color w:val="auto"/>
                <w:sz w:val="21"/>
                <w:szCs w:val="21"/>
              </w:rPr>
            </w:pPr>
          </w:p>
        </w:tc>
        <w:tc>
          <w:tcPr>
            <w:tcW w:w="3128" w:type="dxa"/>
            <w:vAlign w:val="center"/>
          </w:tcPr>
          <w:p w14:paraId="695C4B7D"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特种作业人员未按照规定经专门的安全作业培训并取得相应资格，上岗作业的；</w:t>
            </w:r>
          </w:p>
        </w:tc>
        <w:tc>
          <w:tcPr>
            <w:tcW w:w="1984" w:type="dxa"/>
            <w:vMerge/>
            <w:vAlign w:val="center"/>
          </w:tcPr>
          <w:p w14:paraId="14C8FB37" w14:textId="77777777" w:rsidR="009219A0" w:rsidRDefault="009219A0">
            <w:pPr>
              <w:topLinePunct/>
              <w:spacing w:line="240" w:lineRule="auto"/>
              <w:ind w:firstLineChars="0" w:firstLine="0"/>
              <w:jc w:val="left"/>
              <w:rPr>
                <w:rFonts w:ascii="宋体" w:hAnsi="宋体" w:hint="eastAsia"/>
                <w:color w:val="auto"/>
                <w:sz w:val="21"/>
                <w:szCs w:val="21"/>
              </w:rPr>
            </w:pPr>
          </w:p>
        </w:tc>
        <w:tc>
          <w:tcPr>
            <w:tcW w:w="2552" w:type="dxa"/>
            <w:vAlign w:val="center"/>
          </w:tcPr>
          <w:p w14:paraId="7D5A29AB"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项目不涉及特种作业人员。</w:t>
            </w:r>
          </w:p>
        </w:tc>
        <w:tc>
          <w:tcPr>
            <w:tcW w:w="707" w:type="dxa"/>
            <w:vAlign w:val="center"/>
          </w:tcPr>
          <w:p w14:paraId="06FD8A46"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bCs/>
                <w:color w:val="auto"/>
                <w:sz w:val="21"/>
                <w:szCs w:val="21"/>
              </w:rPr>
              <w:t>符合</w:t>
            </w:r>
          </w:p>
        </w:tc>
      </w:tr>
      <w:tr w:rsidR="009219A0" w14:paraId="72800F4A" w14:textId="77777777">
        <w:trPr>
          <w:trHeight w:val="397"/>
          <w:jc w:val="center"/>
        </w:trPr>
        <w:tc>
          <w:tcPr>
            <w:tcW w:w="701" w:type="dxa"/>
            <w:vAlign w:val="center"/>
          </w:tcPr>
          <w:p w14:paraId="0467AEB3" w14:textId="77777777" w:rsidR="009219A0" w:rsidRDefault="009219A0">
            <w:pPr>
              <w:pStyle w:val="11"/>
              <w:numPr>
                <w:ilvl w:val="0"/>
                <w:numId w:val="21"/>
              </w:numPr>
              <w:topLinePunct/>
              <w:spacing w:line="240" w:lineRule="auto"/>
              <w:ind w:left="0" w:firstLineChars="0" w:firstLine="0"/>
              <w:jc w:val="center"/>
              <w:rPr>
                <w:rFonts w:ascii="宋体" w:hAnsi="宋体" w:hint="eastAsia"/>
                <w:bCs/>
                <w:color w:val="auto"/>
                <w:sz w:val="21"/>
                <w:szCs w:val="21"/>
              </w:rPr>
            </w:pPr>
          </w:p>
        </w:tc>
        <w:tc>
          <w:tcPr>
            <w:tcW w:w="3128" w:type="dxa"/>
            <w:vAlign w:val="center"/>
          </w:tcPr>
          <w:p w14:paraId="18A5C57F"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金属冶炼企业主要负责人、安全生产管理人员未按照规定经考核合格的；</w:t>
            </w:r>
          </w:p>
        </w:tc>
        <w:tc>
          <w:tcPr>
            <w:tcW w:w="1984" w:type="dxa"/>
            <w:vMerge/>
            <w:vAlign w:val="center"/>
          </w:tcPr>
          <w:p w14:paraId="2A966305" w14:textId="77777777" w:rsidR="009219A0" w:rsidRDefault="009219A0">
            <w:pPr>
              <w:topLinePunct/>
              <w:spacing w:line="240" w:lineRule="auto"/>
              <w:ind w:firstLineChars="0" w:firstLine="0"/>
              <w:jc w:val="left"/>
              <w:rPr>
                <w:rFonts w:ascii="宋体" w:hAnsi="宋体" w:hint="eastAsia"/>
                <w:color w:val="auto"/>
                <w:sz w:val="21"/>
                <w:szCs w:val="21"/>
              </w:rPr>
            </w:pPr>
          </w:p>
        </w:tc>
        <w:tc>
          <w:tcPr>
            <w:tcW w:w="2552" w:type="dxa"/>
            <w:vAlign w:val="center"/>
          </w:tcPr>
          <w:p w14:paraId="66616E09" w14:textId="77777777" w:rsidR="009219A0" w:rsidRDefault="00000000">
            <w:pPr>
              <w:topLinePunct/>
              <w:spacing w:line="240" w:lineRule="auto"/>
              <w:ind w:firstLineChars="0" w:firstLine="0"/>
              <w:jc w:val="left"/>
              <w:rPr>
                <w:rFonts w:ascii="宋体" w:hAnsi="宋体" w:hint="eastAsia"/>
                <w:color w:val="auto"/>
                <w:sz w:val="21"/>
                <w:szCs w:val="21"/>
              </w:rPr>
            </w:pPr>
            <w:proofErr w:type="gramStart"/>
            <w:r>
              <w:rPr>
                <w:rFonts w:ascii="宋体" w:hAnsi="宋体" w:hint="eastAsia"/>
                <w:color w:val="auto"/>
                <w:sz w:val="21"/>
                <w:szCs w:val="21"/>
              </w:rPr>
              <w:t>创源公司</w:t>
            </w:r>
            <w:proofErr w:type="gramEnd"/>
            <w:r>
              <w:rPr>
                <w:rFonts w:ascii="宋体" w:hAnsi="宋体" w:hint="eastAsia"/>
                <w:color w:val="auto"/>
                <w:sz w:val="21"/>
                <w:szCs w:val="21"/>
              </w:rPr>
              <w:t>主要负责人、安全员已按照规定经培训后考试合格，取得安全生产知识和管理能力考核合格证。</w:t>
            </w:r>
          </w:p>
        </w:tc>
        <w:tc>
          <w:tcPr>
            <w:tcW w:w="707" w:type="dxa"/>
            <w:vAlign w:val="center"/>
          </w:tcPr>
          <w:p w14:paraId="42C74A74"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bCs/>
                <w:color w:val="auto"/>
                <w:sz w:val="21"/>
                <w:szCs w:val="21"/>
              </w:rPr>
              <w:t>符合</w:t>
            </w:r>
          </w:p>
        </w:tc>
      </w:tr>
      <w:tr w:rsidR="009219A0" w14:paraId="5B777638" w14:textId="77777777">
        <w:trPr>
          <w:trHeight w:val="397"/>
          <w:jc w:val="center"/>
        </w:trPr>
        <w:tc>
          <w:tcPr>
            <w:tcW w:w="701" w:type="dxa"/>
            <w:vAlign w:val="center"/>
          </w:tcPr>
          <w:p w14:paraId="35D79134" w14:textId="77777777" w:rsidR="009219A0" w:rsidRDefault="009219A0">
            <w:pPr>
              <w:pStyle w:val="11"/>
              <w:numPr>
                <w:ilvl w:val="0"/>
                <w:numId w:val="21"/>
              </w:numPr>
              <w:topLinePunct/>
              <w:spacing w:line="240" w:lineRule="auto"/>
              <w:ind w:left="0" w:firstLineChars="0" w:firstLine="0"/>
              <w:jc w:val="center"/>
              <w:rPr>
                <w:rFonts w:ascii="宋体" w:hAnsi="宋体" w:hint="eastAsia"/>
                <w:bCs/>
                <w:color w:val="auto"/>
                <w:sz w:val="21"/>
                <w:szCs w:val="21"/>
              </w:rPr>
            </w:pPr>
          </w:p>
        </w:tc>
        <w:tc>
          <w:tcPr>
            <w:tcW w:w="3128" w:type="dxa"/>
            <w:vAlign w:val="center"/>
          </w:tcPr>
          <w:p w14:paraId="29EA5388"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未对有限空间进行辨识、建立安全管理台账，并且未设置明显安全警示标志的；</w:t>
            </w:r>
          </w:p>
        </w:tc>
        <w:tc>
          <w:tcPr>
            <w:tcW w:w="1984" w:type="dxa"/>
            <w:vMerge w:val="restart"/>
            <w:vAlign w:val="center"/>
          </w:tcPr>
          <w:p w14:paraId="1D934181" w14:textId="77777777" w:rsidR="009219A0" w:rsidRDefault="00000000">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《工贸企业重大事故隐患判定标准》（中华人民共和国应急管理部令第10号）第十三条 存在硫化氢、一氧化碳等中毒风险的有限空间作业的工贸企</w:t>
            </w:r>
            <w:r>
              <w:rPr>
                <w:rFonts w:ascii="宋体" w:hAnsi="宋体" w:hint="eastAsia"/>
                <w:color w:val="auto"/>
                <w:sz w:val="21"/>
                <w:szCs w:val="21"/>
              </w:rPr>
              <w:lastRenderedPageBreak/>
              <w:t>业有下列情形之一的，应当判定为重大事故隐患：</w:t>
            </w:r>
          </w:p>
        </w:tc>
        <w:tc>
          <w:tcPr>
            <w:tcW w:w="2552" w:type="dxa"/>
            <w:vAlign w:val="center"/>
          </w:tcPr>
          <w:p w14:paraId="3544B513"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lastRenderedPageBreak/>
              <w:t>已对有限空间进行辨识，并设置明显安全警示标志。</w:t>
            </w:r>
          </w:p>
        </w:tc>
        <w:tc>
          <w:tcPr>
            <w:tcW w:w="707" w:type="dxa"/>
            <w:vAlign w:val="center"/>
          </w:tcPr>
          <w:p w14:paraId="27E3711F"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bCs/>
                <w:color w:val="auto"/>
                <w:sz w:val="21"/>
                <w:szCs w:val="21"/>
              </w:rPr>
              <w:t>符合</w:t>
            </w:r>
          </w:p>
        </w:tc>
      </w:tr>
      <w:tr w:rsidR="009219A0" w14:paraId="5A2E898D" w14:textId="77777777">
        <w:trPr>
          <w:trHeight w:val="397"/>
          <w:jc w:val="center"/>
        </w:trPr>
        <w:tc>
          <w:tcPr>
            <w:tcW w:w="701" w:type="dxa"/>
            <w:vAlign w:val="center"/>
          </w:tcPr>
          <w:p w14:paraId="10FF38E2" w14:textId="77777777" w:rsidR="009219A0" w:rsidRDefault="009219A0">
            <w:pPr>
              <w:pStyle w:val="11"/>
              <w:numPr>
                <w:ilvl w:val="0"/>
                <w:numId w:val="21"/>
              </w:numPr>
              <w:topLinePunct/>
              <w:spacing w:line="240" w:lineRule="auto"/>
              <w:ind w:left="0" w:firstLineChars="0" w:firstLine="0"/>
              <w:jc w:val="center"/>
              <w:rPr>
                <w:rFonts w:ascii="宋体" w:hAnsi="宋体" w:hint="eastAsia"/>
                <w:bCs/>
                <w:color w:val="auto"/>
                <w:sz w:val="21"/>
                <w:szCs w:val="21"/>
              </w:rPr>
            </w:pPr>
          </w:p>
        </w:tc>
        <w:tc>
          <w:tcPr>
            <w:tcW w:w="3128" w:type="dxa"/>
            <w:vAlign w:val="center"/>
          </w:tcPr>
          <w:p w14:paraId="2A35F737"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未落实有限空间作业审批，或者未执行“先通风、再检测、后作业”要求，或者作业现场未设置监护人员的。</w:t>
            </w:r>
          </w:p>
        </w:tc>
        <w:tc>
          <w:tcPr>
            <w:tcW w:w="1984" w:type="dxa"/>
            <w:vMerge/>
            <w:vAlign w:val="center"/>
          </w:tcPr>
          <w:p w14:paraId="7359CCE6" w14:textId="77777777" w:rsidR="009219A0" w:rsidRDefault="009219A0">
            <w:pPr>
              <w:topLinePunct/>
              <w:spacing w:line="240" w:lineRule="auto"/>
              <w:ind w:firstLineChars="0" w:firstLine="0"/>
              <w:jc w:val="left"/>
              <w:rPr>
                <w:rFonts w:ascii="宋体" w:hAnsi="宋体" w:hint="eastAsia"/>
                <w:color w:val="auto"/>
                <w:sz w:val="21"/>
                <w:szCs w:val="21"/>
              </w:rPr>
            </w:pPr>
          </w:p>
        </w:tc>
        <w:tc>
          <w:tcPr>
            <w:tcW w:w="2552" w:type="dxa"/>
            <w:vAlign w:val="center"/>
          </w:tcPr>
          <w:p w14:paraId="57167E2D"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已制定有限空间作业安全操作规程。</w:t>
            </w:r>
          </w:p>
        </w:tc>
        <w:tc>
          <w:tcPr>
            <w:tcW w:w="707" w:type="dxa"/>
            <w:vAlign w:val="center"/>
          </w:tcPr>
          <w:p w14:paraId="14F37079"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bCs/>
                <w:color w:val="auto"/>
                <w:sz w:val="21"/>
                <w:szCs w:val="21"/>
              </w:rPr>
              <w:t>符合</w:t>
            </w:r>
          </w:p>
        </w:tc>
      </w:tr>
      <w:tr w:rsidR="009219A0" w14:paraId="7EE88894" w14:textId="77777777">
        <w:trPr>
          <w:trHeight w:val="397"/>
          <w:jc w:val="center"/>
        </w:trPr>
        <w:tc>
          <w:tcPr>
            <w:tcW w:w="701" w:type="dxa"/>
            <w:vAlign w:val="center"/>
          </w:tcPr>
          <w:p w14:paraId="465FDDE2" w14:textId="77777777" w:rsidR="009219A0" w:rsidRDefault="009219A0">
            <w:pPr>
              <w:pStyle w:val="11"/>
              <w:numPr>
                <w:ilvl w:val="0"/>
                <w:numId w:val="21"/>
              </w:numPr>
              <w:topLinePunct/>
              <w:spacing w:line="240" w:lineRule="auto"/>
              <w:ind w:left="0" w:firstLineChars="0" w:firstLine="0"/>
              <w:jc w:val="center"/>
              <w:rPr>
                <w:rFonts w:ascii="宋体" w:hAnsi="宋体" w:hint="eastAsia"/>
                <w:bCs/>
                <w:color w:val="auto"/>
                <w:sz w:val="21"/>
                <w:szCs w:val="21"/>
              </w:rPr>
            </w:pPr>
          </w:p>
        </w:tc>
        <w:tc>
          <w:tcPr>
            <w:tcW w:w="3128" w:type="dxa"/>
            <w:vAlign w:val="center"/>
          </w:tcPr>
          <w:p w14:paraId="66D00403"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cs="宋体" w:hint="eastAsia"/>
                <w:color w:val="auto"/>
                <w:kern w:val="0"/>
                <w:sz w:val="21"/>
                <w:szCs w:val="21"/>
              </w:rPr>
              <w:t>可能发生一氧化碳、砷化氢、氯气、硫化氢等4种有毒气体泄漏、积聚的场所和部位未设置固定式气体浓度监测报警装置，或者监测数据未接入24小时有人值守场所，或者未对可能</w:t>
            </w:r>
            <w:proofErr w:type="gramStart"/>
            <w:r>
              <w:rPr>
                <w:rFonts w:ascii="宋体" w:hAnsi="宋体" w:cs="宋体" w:hint="eastAsia"/>
                <w:color w:val="auto"/>
                <w:kern w:val="0"/>
                <w:sz w:val="21"/>
                <w:szCs w:val="21"/>
              </w:rPr>
              <w:t>有砷化氢气</w:t>
            </w:r>
            <w:proofErr w:type="gramEnd"/>
            <w:r>
              <w:rPr>
                <w:rFonts w:ascii="宋体" w:hAnsi="宋体" w:cs="宋体" w:hint="eastAsia"/>
                <w:color w:val="auto"/>
                <w:kern w:val="0"/>
                <w:sz w:val="21"/>
                <w:szCs w:val="21"/>
              </w:rPr>
              <w:t>体的场所和部位采取同等效果的检测措施的；</w:t>
            </w:r>
          </w:p>
        </w:tc>
        <w:tc>
          <w:tcPr>
            <w:tcW w:w="1984" w:type="dxa"/>
            <w:vAlign w:val="center"/>
          </w:tcPr>
          <w:p w14:paraId="5536C9EB" w14:textId="77777777" w:rsidR="009219A0" w:rsidRDefault="00000000">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《工贸企业重大事故隐患判定标准》（中华人民共和国应急管理部令第10号）第五条 有色企业有下列情形之一的，应当判定为重大事故隐患：</w:t>
            </w:r>
          </w:p>
        </w:tc>
        <w:tc>
          <w:tcPr>
            <w:tcW w:w="2552" w:type="dxa"/>
            <w:vAlign w:val="center"/>
          </w:tcPr>
          <w:p w14:paraId="31ED2C9D"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根据项目投资备案证，本项目所属行业为其他，项目小试、中试试验过程中能会有少量硫化氢气体和</w:t>
            </w:r>
            <w:proofErr w:type="gramStart"/>
            <w:r>
              <w:rPr>
                <w:rFonts w:ascii="宋体" w:hAnsi="宋体" w:hint="eastAsia"/>
                <w:color w:val="auto"/>
                <w:sz w:val="21"/>
                <w:szCs w:val="21"/>
              </w:rPr>
              <w:t>砷化</w:t>
            </w:r>
            <w:proofErr w:type="gramEnd"/>
            <w:r>
              <w:rPr>
                <w:rFonts w:ascii="宋体" w:hAnsi="宋体" w:hint="eastAsia"/>
                <w:color w:val="auto"/>
                <w:sz w:val="21"/>
                <w:szCs w:val="21"/>
              </w:rPr>
              <w:t>氢气体产生。小试试验在通风橱中进行操作，实验室有强制排风措施；中试试验循环槽、氧化槽为密闭设备，产生的废气由排风管和风机抽吸至二级碱液喷淋塔进行处理，现场配备有溴化汞试纸，以及有毒气体检测报警器，信号已引至24h值班室。</w:t>
            </w:r>
          </w:p>
        </w:tc>
        <w:tc>
          <w:tcPr>
            <w:tcW w:w="707" w:type="dxa"/>
            <w:vAlign w:val="center"/>
          </w:tcPr>
          <w:p w14:paraId="72D5609E"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hint="eastAsia"/>
                <w:bCs/>
                <w:color w:val="auto"/>
                <w:sz w:val="21"/>
                <w:szCs w:val="21"/>
              </w:rPr>
              <w:t>符合</w:t>
            </w:r>
          </w:p>
        </w:tc>
      </w:tr>
      <w:tr w:rsidR="009219A0" w14:paraId="79575D3C" w14:textId="77777777">
        <w:trPr>
          <w:trHeight w:val="397"/>
          <w:jc w:val="center"/>
        </w:trPr>
        <w:tc>
          <w:tcPr>
            <w:tcW w:w="701" w:type="dxa"/>
            <w:vAlign w:val="center"/>
          </w:tcPr>
          <w:p w14:paraId="39CC8748" w14:textId="77777777" w:rsidR="009219A0" w:rsidRDefault="009219A0">
            <w:pPr>
              <w:pStyle w:val="11"/>
              <w:numPr>
                <w:ilvl w:val="0"/>
                <w:numId w:val="21"/>
              </w:numPr>
              <w:topLinePunct/>
              <w:spacing w:line="240" w:lineRule="auto"/>
              <w:ind w:left="0" w:firstLineChars="0" w:firstLine="0"/>
              <w:jc w:val="center"/>
              <w:rPr>
                <w:rFonts w:ascii="宋体" w:hAnsi="宋体" w:hint="eastAsia"/>
                <w:bCs/>
                <w:color w:val="auto"/>
                <w:sz w:val="21"/>
                <w:szCs w:val="21"/>
              </w:rPr>
            </w:pPr>
          </w:p>
        </w:tc>
        <w:tc>
          <w:tcPr>
            <w:tcW w:w="3128" w:type="dxa"/>
            <w:vAlign w:val="center"/>
          </w:tcPr>
          <w:p w14:paraId="766EB62F"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cs="宋体" w:hint="eastAsia"/>
                <w:color w:val="auto"/>
                <w:kern w:val="0"/>
                <w:sz w:val="21"/>
                <w:szCs w:val="21"/>
              </w:rPr>
              <w:t>本标准所列情形中直</w:t>
            </w:r>
            <w:proofErr w:type="gramStart"/>
            <w:r>
              <w:rPr>
                <w:rFonts w:ascii="宋体" w:hAnsi="宋体" w:cs="宋体" w:hint="eastAsia"/>
                <w:color w:val="auto"/>
                <w:kern w:val="0"/>
                <w:sz w:val="21"/>
                <w:szCs w:val="21"/>
              </w:rPr>
              <w:t>接关系</w:t>
            </w:r>
            <w:proofErr w:type="gramEnd"/>
            <w:r>
              <w:rPr>
                <w:rFonts w:ascii="宋体" w:hAnsi="宋体" w:cs="宋体" w:hint="eastAsia"/>
                <w:color w:val="auto"/>
                <w:kern w:val="0"/>
                <w:sz w:val="21"/>
                <w:szCs w:val="21"/>
              </w:rPr>
              <w:t>生产安全的监控、报警、防护等设施、设备、装置，应当保证正常运行、使用，失效或者无效均判定为重大事故隐患。</w:t>
            </w:r>
          </w:p>
        </w:tc>
        <w:tc>
          <w:tcPr>
            <w:tcW w:w="1984" w:type="dxa"/>
            <w:vAlign w:val="center"/>
          </w:tcPr>
          <w:p w14:paraId="105031E6" w14:textId="77777777" w:rsidR="009219A0" w:rsidRDefault="00000000">
            <w:pPr>
              <w:topLinePunct/>
              <w:spacing w:line="240" w:lineRule="auto"/>
              <w:ind w:firstLineChars="0" w:firstLine="0"/>
              <w:rPr>
                <w:rFonts w:ascii="宋体" w:hAnsi="宋体" w:hint="eastAsia"/>
                <w:color w:val="auto"/>
                <w:sz w:val="21"/>
                <w:szCs w:val="21"/>
              </w:rPr>
            </w:pPr>
            <w:r>
              <w:rPr>
                <w:rFonts w:ascii="宋体" w:hAnsi="宋体" w:hint="eastAsia"/>
                <w:color w:val="auto"/>
                <w:sz w:val="21"/>
                <w:szCs w:val="21"/>
              </w:rPr>
              <w:t>《工贸企业重大事故隐患判定标准》（中华人民共和国应急管理部令第10号）第十四条</w:t>
            </w:r>
          </w:p>
        </w:tc>
        <w:tc>
          <w:tcPr>
            <w:tcW w:w="2552" w:type="dxa"/>
            <w:vAlign w:val="center"/>
          </w:tcPr>
          <w:p w14:paraId="6F96EBBD" w14:textId="77777777" w:rsidR="009219A0" w:rsidRDefault="00000000">
            <w:pPr>
              <w:topLinePunct/>
              <w:spacing w:line="240" w:lineRule="auto"/>
              <w:ind w:firstLineChars="0" w:firstLine="0"/>
              <w:jc w:val="left"/>
              <w:rPr>
                <w:rFonts w:ascii="宋体" w:hAnsi="宋体" w:hint="eastAsia"/>
                <w:color w:val="auto"/>
                <w:sz w:val="21"/>
                <w:szCs w:val="21"/>
              </w:rPr>
            </w:pPr>
            <w:r>
              <w:rPr>
                <w:rFonts w:ascii="宋体" w:hAnsi="宋体" w:hint="eastAsia"/>
                <w:color w:val="auto"/>
                <w:sz w:val="21"/>
                <w:szCs w:val="21"/>
              </w:rPr>
              <w:t>现场检查，项目监控视频、有毒气体检测报警装置等正常运行。</w:t>
            </w:r>
          </w:p>
        </w:tc>
        <w:tc>
          <w:tcPr>
            <w:tcW w:w="707" w:type="dxa"/>
            <w:vAlign w:val="center"/>
          </w:tcPr>
          <w:p w14:paraId="0BDEB1CB" w14:textId="77777777" w:rsidR="009219A0" w:rsidRDefault="00000000">
            <w:pPr>
              <w:topLinePunct/>
              <w:spacing w:line="240" w:lineRule="auto"/>
              <w:ind w:firstLineChars="0" w:firstLine="0"/>
              <w:jc w:val="left"/>
              <w:rPr>
                <w:rFonts w:ascii="宋体" w:hAnsi="宋体" w:hint="eastAsia"/>
                <w:bCs/>
                <w:color w:val="auto"/>
                <w:sz w:val="21"/>
                <w:szCs w:val="21"/>
              </w:rPr>
            </w:pPr>
            <w:r>
              <w:rPr>
                <w:rFonts w:ascii="宋体" w:hAnsi="宋体"/>
                <w:bCs/>
                <w:color w:val="auto"/>
                <w:sz w:val="21"/>
                <w:szCs w:val="21"/>
              </w:rPr>
              <w:t>符合</w:t>
            </w:r>
          </w:p>
        </w:tc>
      </w:tr>
    </w:tbl>
    <w:p w14:paraId="27A0B23F" w14:textId="77777777" w:rsidR="009219A0" w:rsidRDefault="00000000">
      <w:pPr>
        <w:pStyle w:val="3"/>
        <w:rPr>
          <w:rFonts w:hint="eastAsia"/>
        </w:rPr>
      </w:pPr>
      <w:bookmarkStart w:id="383" w:name="_Toc211950538"/>
      <w:r>
        <w:rPr>
          <w:rFonts w:hint="eastAsia"/>
        </w:rPr>
        <w:t>5.5.2 单元小结</w:t>
      </w:r>
      <w:bookmarkEnd w:id="383"/>
    </w:p>
    <w:p w14:paraId="5AE2E0A5" w14:textId="77777777" w:rsidR="009219A0" w:rsidRDefault="00000000">
      <w:pPr>
        <w:ind w:firstLine="560"/>
        <w:rPr>
          <w:color w:val="auto"/>
        </w:rPr>
      </w:pPr>
      <w:r>
        <w:rPr>
          <w:rFonts w:hint="eastAsia"/>
          <w:color w:val="auto"/>
        </w:rPr>
        <w:t>由上表检查可知，企业不涉及《工贸企业重大事故隐患判定标准》（中华人民共和国应急管理部令第</w:t>
      </w:r>
      <w:r>
        <w:rPr>
          <w:rFonts w:hint="eastAsia"/>
          <w:color w:val="auto"/>
        </w:rPr>
        <w:t>10</w:t>
      </w:r>
      <w:r>
        <w:rPr>
          <w:rFonts w:hint="eastAsia"/>
          <w:color w:val="auto"/>
        </w:rPr>
        <w:t>号）中的重大隐患。</w:t>
      </w:r>
    </w:p>
    <w:p w14:paraId="4CD0F7E7" w14:textId="77777777" w:rsidR="009219A0" w:rsidRDefault="00000000">
      <w:pPr>
        <w:pStyle w:val="1"/>
        <w:keepNext w:val="0"/>
        <w:keepLines w:val="0"/>
        <w:textAlignment w:val="center"/>
        <w:rPr>
          <w:rFonts w:ascii="宋体" w:hAnsi="宋体" w:hint="eastAsia"/>
          <w:b/>
          <w:bCs w:val="0"/>
          <w:color w:val="auto"/>
          <w:szCs w:val="20"/>
        </w:rPr>
      </w:pPr>
      <w:bookmarkStart w:id="384" w:name="_Toc165281494"/>
      <w:bookmarkStart w:id="385" w:name="_Toc211950539"/>
      <w:r>
        <w:rPr>
          <w:rFonts w:ascii="宋体" w:hAnsi="宋体" w:hint="eastAsia"/>
          <w:b/>
          <w:bCs w:val="0"/>
          <w:color w:val="auto"/>
          <w:szCs w:val="20"/>
        </w:rPr>
        <w:lastRenderedPageBreak/>
        <w:t>附件6  评价依据</w:t>
      </w:r>
      <w:bookmarkEnd w:id="384"/>
      <w:bookmarkEnd w:id="385"/>
    </w:p>
    <w:p w14:paraId="07C32A38" w14:textId="77777777" w:rsidR="009219A0" w:rsidRDefault="009219A0">
      <w:pPr>
        <w:ind w:firstLine="560"/>
        <w:rPr>
          <w:color w:val="auto"/>
        </w:rPr>
      </w:pPr>
    </w:p>
    <w:p w14:paraId="65375CE4" w14:textId="77777777" w:rsidR="009219A0" w:rsidRDefault="00000000">
      <w:pPr>
        <w:pStyle w:val="2"/>
        <w:rPr>
          <w:rFonts w:hint="eastAsia"/>
        </w:rPr>
      </w:pPr>
      <w:bookmarkStart w:id="386" w:name="_Toc317766303"/>
      <w:bookmarkStart w:id="387" w:name="_Toc3787_WPSOffice_Level2"/>
      <w:bookmarkStart w:id="388" w:name="_Toc22334"/>
      <w:bookmarkStart w:id="389" w:name="_Toc13891_WPSOffice_Level2"/>
      <w:bookmarkStart w:id="390" w:name="_Toc211950540"/>
      <w:bookmarkStart w:id="391" w:name="_Toc165281495"/>
      <w:r>
        <w:rPr>
          <w:rFonts w:hint="eastAsia"/>
        </w:rPr>
        <w:t xml:space="preserve">6.1 </w:t>
      </w:r>
      <w:bookmarkEnd w:id="386"/>
      <w:bookmarkEnd w:id="387"/>
      <w:bookmarkEnd w:id="388"/>
      <w:bookmarkEnd w:id="389"/>
      <w:r>
        <w:rPr>
          <w:rFonts w:hint="eastAsia"/>
        </w:rPr>
        <w:t>法律法规</w:t>
      </w:r>
      <w:bookmarkEnd w:id="390"/>
      <w:bookmarkEnd w:id="391"/>
    </w:p>
    <w:p w14:paraId="17F379A9" w14:textId="77777777" w:rsidR="009219A0" w:rsidRDefault="00000000">
      <w:pPr>
        <w:numPr>
          <w:ilvl w:val="0"/>
          <w:numId w:val="22"/>
        </w:numPr>
        <w:adjustRightInd/>
        <w:snapToGrid/>
        <w:ind w:left="0" w:firstLine="560"/>
        <w:rPr>
          <w:rFonts w:ascii="宋体" w:hAnsi="宋体" w:hint="eastAsia"/>
          <w:color w:val="auto"/>
          <w:szCs w:val="28"/>
        </w:rPr>
      </w:pPr>
      <w:r>
        <w:rPr>
          <w:rFonts w:ascii="宋体" w:hAnsi="宋体" w:hint="eastAsia"/>
          <w:color w:val="auto"/>
          <w:szCs w:val="28"/>
        </w:rPr>
        <w:t>《中华人民共和国安全生产法（2021年修订）》（中华人民共和国主席令第八十八号修订后公布，2021年9月1日施行）；</w:t>
      </w:r>
    </w:p>
    <w:p w14:paraId="728F1245" w14:textId="77777777" w:rsidR="009219A0" w:rsidRDefault="00000000">
      <w:pPr>
        <w:numPr>
          <w:ilvl w:val="0"/>
          <w:numId w:val="22"/>
        </w:numPr>
        <w:adjustRightInd/>
        <w:snapToGrid/>
        <w:ind w:left="0" w:firstLine="560"/>
        <w:rPr>
          <w:rFonts w:ascii="宋体" w:hAnsi="宋体" w:hint="eastAsia"/>
          <w:color w:val="auto"/>
          <w:szCs w:val="28"/>
        </w:rPr>
      </w:pPr>
      <w:r>
        <w:rPr>
          <w:rFonts w:ascii="宋体" w:hAnsi="宋体" w:hint="eastAsia"/>
          <w:color w:val="auto"/>
          <w:szCs w:val="28"/>
        </w:rPr>
        <w:t>《中华人民共和国消防法（2021）》（中华人民共和国主席令第81号，2021年4月29日施行）</w:t>
      </w:r>
      <w:r>
        <w:rPr>
          <w:rFonts w:hAnsi="宋体"/>
          <w:color w:val="auto"/>
          <w:szCs w:val="28"/>
        </w:rPr>
        <w:t>；</w:t>
      </w:r>
    </w:p>
    <w:p w14:paraId="75BCE503" w14:textId="77777777" w:rsidR="009219A0" w:rsidRDefault="00000000">
      <w:pPr>
        <w:numPr>
          <w:ilvl w:val="0"/>
          <w:numId w:val="22"/>
        </w:numPr>
        <w:adjustRightInd/>
        <w:snapToGrid/>
        <w:ind w:left="0" w:firstLine="560"/>
        <w:rPr>
          <w:rFonts w:ascii="宋体" w:hAnsi="宋体" w:hint="eastAsia"/>
          <w:color w:val="auto"/>
          <w:szCs w:val="28"/>
        </w:rPr>
      </w:pPr>
      <w:r>
        <w:rPr>
          <w:rFonts w:ascii="宋体" w:hAnsi="宋体" w:hint="eastAsia"/>
          <w:color w:val="auto"/>
          <w:szCs w:val="28"/>
        </w:rPr>
        <w:t>《中华人民共和国职业病防治法》（中华人民共和国主席令第48号修订，2017年11月4日第81号令修改，2018年第十三届国家主席令第24号修正，自2018年12月29日起施行）；</w:t>
      </w:r>
    </w:p>
    <w:p w14:paraId="6AAA9F58" w14:textId="77777777" w:rsidR="009219A0" w:rsidRDefault="00000000">
      <w:pPr>
        <w:numPr>
          <w:ilvl w:val="0"/>
          <w:numId w:val="22"/>
        </w:numPr>
        <w:adjustRightInd/>
        <w:snapToGrid/>
        <w:ind w:left="0" w:firstLine="560"/>
        <w:rPr>
          <w:rFonts w:ascii="宋体" w:hAnsi="宋体" w:hint="eastAsia"/>
          <w:color w:val="auto"/>
          <w:szCs w:val="28"/>
        </w:rPr>
      </w:pPr>
      <w:r>
        <w:rPr>
          <w:color w:val="auto"/>
          <w:szCs w:val="28"/>
        </w:rPr>
        <w:t>《中华人民共和国劳动法》（中华人民共和国主席令第</w:t>
      </w:r>
      <w:r>
        <w:rPr>
          <w:color w:val="auto"/>
          <w:szCs w:val="28"/>
        </w:rPr>
        <w:t>28</w:t>
      </w:r>
      <w:r>
        <w:rPr>
          <w:color w:val="auto"/>
          <w:szCs w:val="28"/>
        </w:rPr>
        <w:t>号，</w:t>
      </w:r>
      <w:r>
        <w:rPr>
          <w:rFonts w:hint="eastAsia"/>
          <w:color w:val="auto"/>
          <w:szCs w:val="28"/>
        </w:rPr>
        <w:t>2018</w:t>
      </w:r>
      <w:r>
        <w:rPr>
          <w:rFonts w:hint="eastAsia"/>
          <w:color w:val="auto"/>
          <w:szCs w:val="28"/>
        </w:rPr>
        <w:t>年第十三届国家主席令第</w:t>
      </w:r>
      <w:r>
        <w:rPr>
          <w:rFonts w:hint="eastAsia"/>
          <w:color w:val="auto"/>
          <w:szCs w:val="28"/>
        </w:rPr>
        <w:t>24</w:t>
      </w:r>
      <w:r>
        <w:rPr>
          <w:rFonts w:hint="eastAsia"/>
          <w:color w:val="auto"/>
          <w:szCs w:val="28"/>
        </w:rPr>
        <w:t>号修正，自</w:t>
      </w:r>
      <w:r>
        <w:rPr>
          <w:rFonts w:hint="eastAsia"/>
          <w:color w:val="auto"/>
          <w:szCs w:val="28"/>
        </w:rPr>
        <w:t>2018</w:t>
      </w:r>
      <w:r>
        <w:rPr>
          <w:rFonts w:hint="eastAsia"/>
          <w:color w:val="auto"/>
          <w:szCs w:val="28"/>
        </w:rPr>
        <w:t>年</w:t>
      </w:r>
      <w:r>
        <w:rPr>
          <w:rFonts w:hint="eastAsia"/>
          <w:color w:val="auto"/>
          <w:szCs w:val="28"/>
        </w:rPr>
        <w:t>12</w:t>
      </w:r>
      <w:r>
        <w:rPr>
          <w:rFonts w:hint="eastAsia"/>
          <w:color w:val="auto"/>
          <w:szCs w:val="28"/>
        </w:rPr>
        <w:t>月</w:t>
      </w:r>
      <w:r>
        <w:rPr>
          <w:rFonts w:hint="eastAsia"/>
          <w:color w:val="auto"/>
          <w:szCs w:val="28"/>
        </w:rPr>
        <w:t>29</w:t>
      </w:r>
      <w:r>
        <w:rPr>
          <w:rFonts w:hint="eastAsia"/>
          <w:color w:val="auto"/>
          <w:szCs w:val="28"/>
        </w:rPr>
        <w:t>日起施行）；</w:t>
      </w:r>
    </w:p>
    <w:p w14:paraId="2EAFEB88" w14:textId="77777777" w:rsidR="009219A0" w:rsidRDefault="00000000">
      <w:pPr>
        <w:numPr>
          <w:ilvl w:val="0"/>
          <w:numId w:val="22"/>
        </w:numPr>
        <w:adjustRightInd/>
        <w:snapToGrid/>
        <w:ind w:left="0" w:firstLine="560"/>
        <w:rPr>
          <w:rFonts w:ascii="宋体" w:hAnsi="宋体" w:hint="eastAsia"/>
          <w:color w:val="auto"/>
          <w:szCs w:val="28"/>
        </w:rPr>
      </w:pPr>
      <w:r>
        <w:rPr>
          <w:rFonts w:ascii="宋体" w:hAnsi="宋体" w:hint="eastAsia"/>
          <w:color w:val="auto"/>
          <w:szCs w:val="28"/>
        </w:rPr>
        <w:t>《中华人民共和国大气污染防治法》（1987年9月5日中华人民共和国主席令第57号颁布，第十二届国家主席令第31号修订，2018年第十三届第16号主席令修改，自2018年10月26日起施行）；</w:t>
      </w:r>
    </w:p>
    <w:p w14:paraId="2DEB7DD9" w14:textId="77777777" w:rsidR="009219A0" w:rsidRDefault="00000000">
      <w:pPr>
        <w:numPr>
          <w:ilvl w:val="0"/>
          <w:numId w:val="22"/>
        </w:numPr>
        <w:adjustRightInd/>
        <w:snapToGrid/>
        <w:ind w:left="0" w:firstLine="560"/>
        <w:rPr>
          <w:rFonts w:ascii="宋体" w:hAnsi="宋体" w:hint="eastAsia"/>
          <w:color w:val="auto"/>
          <w:szCs w:val="28"/>
        </w:rPr>
      </w:pPr>
      <w:r>
        <w:rPr>
          <w:rFonts w:ascii="宋体" w:hAnsi="宋体" w:hint="eastAsia"/>
          <w:color w:val="auto"/>
          <w:szCs w:val="28"/>
        </w:rPr>
        <w:t>《中华人民共和国环境保护法》（国家主席令第9号，2015年1月1日实施）；</w:t>
      </w:r>
    </w:p>
    <w:p w14:paraId="3E47C593" w14:textId="77777777" w:rsidR="009219A0" w:rsidRDefault="00000000">
      <w:pPr>
        <w:numPr>
          <w:ilvl w:val="0"/>
          <w:numId w:val="22"/>
        </w:numPr>
        <w:adjustRightInd/>
        <w:snapToGrid/>
        <w:ind w:left="0" w:firstLine="560"/>
        <w:rPr>
          <w:rFonts w:ascii="宋体" w:hAnsi="宋体" w:hint="eastAsia"/>
          <w:color w:val="auto"/>
          <w:szCs w:val="28"/>
        </w:rPr>
      </w:pPr>
      <w:r>
        <w:rPr>
          <w:rFonts w:ascii="宋体" w:hAnsi="宋体" w:hint="eastAsia"/>
          <w:color w:val="auto"/>
          <w:szCs w:val="28"/>
        </w:rPr>
        <w:t>《中华人民共和国特种设备安全法》（国家主席令第4号，自2014年1月1日起施行）。</w:t>
      </w:r>
    </w:p>
    <w:p w14:paraId="627366C7" w14:textId="77777777" w:rsidR="009219A0" w:rsidRDefault="00000000">
      <w:pPr>
        <w:pStyle w:val="2"/>
        <w:rPr>
          <w:rFonts w:hint="eastAsia"/>
        </w:rPr>
      </w:pPr>
      <w:bookmarkStart w:id="392" w:name="_Toc211950541"/>
      <w:bookmarkStart w:id="393" w:name="_Toc165281496"/>
      <w:r>
        <w:rPr>
          <w:rFonts w:hint="eastAsia"/>
        </w:rPr>
        <w:t>6.2 行政法规</w:t>
      </w:r>
      <w:bookmarkEnd w:id="392"/>
      <w:bookmarkEnd w:id="393"/>
    </w:p>
    <w:p w14:paraId="003AB9FD" w14:textId="77777777" w:rsidR="009219A0" w:rsidRDefault="00000000">
      <w:pPr>
        <w:ind w:firstLine="560"/>
        <w:rPr>
          <w:rFonts w:ascii="宋体" w:hAnsi="宋体" w:hint="eastAsia"/>
        </w:rPr>
      </w:pPr>
      <w:r>
        <w:rPr>
          <w:rFonts w:ascii="宋体" w:hAnsi="宋体" w:hint="eastAsia"/>
        </w:rPr>
        <w:t>（1）《建设工程安全生产管理条例》（中华人民共和国国务院令第393号，2004年2月1日起施行）；</w:t>
      </w:r>
    </w:p>
    <w:p w14:paraId="67FDBC48" w14:textId="77777777" w:rsidR="009219A0" w:rsidRDefault="00000000">
      <w:pPr>
        <w:ind w:firstLine="560"/>
        <w:rPr>
          <w:rFonts w:ascii="宋体" w:hAnsi="宋体" w:hint="eastAsia"/>
        </w:rPr>
      </w:pPr>
      <w:r>
        <w:rPr>
          <w:rFonts w:ascii="宋体" w:hAnsi="宋体" w:hint="eastAsia"/>
        </w:rPr>
        <w:t>（2）《生产安全事故报告和调查处理条例》（中华人民共和国国务院令第493号，2007年6月1日起施行）；</w:t>
      </w:r>
    </w:p>
    <w:p w14:paraId="0C2CF7CB" w14:textId="77777777" w:rsidR="009219A0" w:rsidRDefault="00000000">
      <w:pPr>
        <w:ind w:firstLine="560"/>
        <w:rPr>
          <w:rFonts w:ascii="宋体" w:hAnsi="宋体" w:hint="eastAsia"/>
        </w:rPr>
      </w:pPr>
      <w:r>
        <w:rPr>
          <w:rFonts w:ascii="宋体" w:hAnsi="宋体" w:hint="eastAsia"/>
        </w:rPr>
        <w:t>（3）《中华人民共和国劳动合同法实施条例》（中华人民共和国国务</w:t>
      </w:r>
      <w:r>
        <w:rPr>
          <w:rFonts w:ascii="宋体" w:hAnsi="宋体" w:hint="eastAsia"/>
        </w:rPr>
        <w:lastRenderedPageBreak/>
        <w:t>院令第535号，2008年9月18日起施行）；</w:t>
      </w:r>
    </w:p>
    <w:p w14:paraId="342ADC3F" w14:textId="77777777" w:rsidR="009219A0" w:rsidRDefault="00000000">
      <w:pPr>
        <w:ind w:firstLine="560"/>
        <w:rPr>
          <w:rFonts w:ascii="宋体" w:hAnsi="宋体" w:hint="eastAsia"/>
        </w:rPr>
      </w:pPr>
      <w:r>
        <w:rPr>
          <w:rFonts w:ascii="宋体" w:hAnsi="宋体" w:hint="eastAsia"/>
        </w:rPr>
        <w:t>（4）《国务院关于进一步加强企业安全生产工作的通知》（国发〔2010〕23号，2010年7月19日起施行）；</w:t>
      </w:r>
    </w:p>
    <w:p w14:paraId="6B502AE2" w14:textId="77777777" w:rsidR="009219A0" w:rsidRDefault="00000000">
      <w:pPr>
        <w:ind w:firstLine="560"/>
        <w:rPr>
          <w:rFonts w:ascii="宋体" w:hAnsi="宋体" w:hint="eastAsia"/>
        </w:rPr>
      </w:pPr>
      <w:r>
        <w:rPr>
          <w:rFonts w:ascii="宋体" w:hAnsi="宋体" w:hint="eastAsia"/>
        </w:rPr>
        <w:t>（5）《国务院关于修改〈特种设备安全监察条例〉的决定》（中华人民共和国国务院令第549号，已经2009年1月14日国务院第46次常务会议通过，现予公布，自2009年5月1日起施行）；</w:t>
      </w:r>
    </w:p>
    <w:p w14:paraId="7D8A23AC" w14:textId="77777777" w:rsidR="009219A0" w:rsidRDefault="00000000">
      <w:pPr>
        <w:numPr>
          <w:ilvl w:val="0"/>
          <w:numId w:val="22"/>
        </w:numPr>
        <w:adjustRightInd/>
        <w:snapToGrid/>
        <w:ind w:left="0" w:firstLine="560"/>
        <w:rPr>
          <w:rFonts w:ascii="宋体" w:hAnsi="宋体" w:hint="eastAsia"/>
          <w:color w:val="auto"/>
          <w:szCs w:val="28"/>
        </w:rPr>
      </w:pPr>
      <w:r>
        <w:rPr>
          <w:rFonts w:ascii="宋体" w:hAnsi="宋体" w:hint="eastAsia"/>
          <w:color w:val="auto"/>
        </w:rPr>
        <w:t>《危险化学品安全管理条例》（2002年国务院令第344号公布，2011年2月16日国务院第144次常务委员会修订通过，自2011年12月1日起施行）；</w:t>
      </w:r>
    </w:p>
    <w:p w14:paraId="37877C30" w14:textId="77777777" w:rsidR="009219A0" w:rsidRDefault="00000000">
      <w:pPr>
        <w:numPr>
          <w:ilvl w:val="0"/>
          <w:numId w:val="22"/>
        </w:numPr>
        <w:adjustRightInd/>
        <w:snapToGrid/>
        <w:ind w:left="0" w:firstLine="560"/>
        <w:rPr>
          <w:rFonts w:ascii="宋体" w:hAnsi="宋体" w:hint="eastAsia"/>
          <w:color w:val="auto"/>
          <w:szCs w:val="28"/>
        </w:rPr>
      </w:pPr>
      <w:r>
        <w:rPr>
          <w:rFonts w:ascii="宋体" w:hAnsi="宋体"/>
          <w:color w:val="auto"/>
          <w:szCs w:val="28"/>
        </w:rPr>
        <w:t>《易制毒化学品管理条例》（</w:t>
      </w:r>
      <w:r>
        <w:rPr>
          <w:rFonts w:ascii="宋体" w:hAnsi="宋体" w:hint="eastAsia"/>
          <w:color w:val="auto"/>
          <w:szCs w:val="28"/>
        </w:rPr>
        <w:t>中华人民共和国国务院令第445号颁布，第653、666、703号修改，自2018年9月18日起施行</w:t>
      </w:r>
      <w:r>
        <w:rPr>
          <w:rFonts w:ascii="宋体" w:hAnsi="宋体"/>
          <w:color w:val="auto"/>
          <w:szCs w:val="28"/>
        </w:rPr>
        <w:t>）</w:t>
      </w:r>
      <w:r>
        <w:rPr>
          <w:rFonts w:ascii="宋体" w:hAnsi="宋体" w:hint="eastAsia"/>
          <w:color w:val="auto"/>
          <w:szCs w:val="28"/>
        </w:rPr>
        <w:t>；</w:t>
      </w:r>
    </w:p>
    <w:p w14:paraId="63B41D45" w14:textId="77777777" w:rsidR="009219A0" w:rsidRDefault="00000000">
      <w:pPr>
        <w:numPr>
          <w:ilvl w:val="0"/>
          <w:numId w:val="22"/>
        </w:numPr>
        <w:adjustRightInd/>
        <w:snapToGrid/>
        <w:ind w:left="0" w:firstLine="560"/>
        <w:rPr>
          <w:rFonts w:ascii="宋体" w:hAnsi="宋体" w:hint="eastAsia"/>
          <w:color w:val="auto"/>
          <w:szCs w:val="28"/>
        </w:rPr>
      </w:pPr>
      <w:r>
        <w:rPr>
          <w:rFonts w:ascii="宋体" w:hAnsi="宋体" w:hint="eastAsia"/>
          <w:color w:val="auto"/>
          <w:szCs w:val="28"/>
        </w:rPr>
        <w:t>《国务院关于修改&lt;工伤保险条例&gt;的决定》（国务院令第586号，自2011年1月1日实施）。</w:t>
      </w:r>
    </w:p>
    <w:p w14:paraId="0FD3C61F" w14:textId="77777777" w:rsidR="009219A0" w:rsidRDefault="00000000">
      <w:pPr>
        <w:pStyle w:val="2"/>
        <w:rPr>
          <w:rFonts w:hint="eastAsia"/>
        </w:rPr>
      </w:pPr>
      <w:bookmarkStart w:id="394" w:name="_Toc165281497"/>
      <w:bookmarkStart w:id="395" w:name="_Toc211950542"/>
      <w:r>
        <w:rPr>
          <w:rFonts w:hint="eastAsia"/>
        </w:rPr>
        <w:t>6.3 部门规章</w:t>
      </w:r>
      <w:bookmarkEnd w:id="394"/>
      <w:bookmarkEnd w:id="395"/>
    </w:p>
    <w:p w14:paraId="4A6455DF" w14:textId="77777777" w:rsidR="009219A0" w:rsidRDefault="00000000">
      <w:pPr>
        <w:adjustRightInd/>
        <w:snapToGrid/>
        <w:ind w:firstLine="560"/>
        <w:rPr>
          <w:rFonts w:ascii="宋体" w:hAnsi="宋体" w:hint="eastAsia"/>
        </w:rPr>
      </w:pPr>
      <w:r>
        <w:rPr>
          <w:rFonts w:ascii="宋体" w:hAnsi="宋体" w:hint="eastAsia"/>
        </w:rPr>
        <w:t>（1）《安全生产事故隐患排查治理暂行规定》（国家安全生产监督管理总局令第16号，2008年2月1日起施行）；</w:t>
      </w:r>
    </w:p>
    <w:p w14:paraId="063F3836" w14:textId="77777777" w:rsidR="009219A0" w:rsidRDefault="00000000">
      <w:pPr>
        <w:adjustRightInd/>
        <w:snapToGrid/>
        <w:ind w:firstLine="560"/>
        <w:rPr>
          <w:rFonts w:ascii="宋体" w:hAnsi="宋体" w:hint="eastAsia"/>
          <w:color w:val="auto"/>
        </w:rPr>
      </w:pPr>
      <w:r>
        <w:rPr>
          <w:rFonts w:ascii="宋体" w:hAnsi="宋体" w:hint="eastAsia"/>
        </w:rPr>
        <w:t>（2）</w:t>
      </w:r>
      <w:r>
        <w:rPr>
          <w:rFonts w:ascii="宋体" w:hAnsi="宋体" w:hint="eastAsia"/>
          <w:color w:val="auto"/>
        </w:rPr>
        <w:t>《工贸企业有限空间作业安全规定》（中华人民共和国应急管理部令第13号）；</w:t>
      </w:r>
    </w:p>
    <w:p w14:paraId="425C2E2F" w14:textId="77777777" w:rsidR="009219A0" w:rsidRDefault="00000000">
      <w:pPr>
        <w:adjustRightInd/>
        <w:snapToGrid/>
        <w:ind w:firstLine="560"/>
        <w:rPr>
          <w:rFonts w:ascii="宋体" w:hAnsi="宋体" w:hint="eastAsia"/>
        </w:rPr>
      </w:pPr>
      <w:r>
        <w:rPr>
          <w:rFonts w:ascii="宋体" w:hAnsi="宋体" w:hint="eastAsia"/>
        </w:rPr>
        <w:t>（3）《国家质量监督检验检疫总局关于修改&lt;特种设备作业人员监督管理办法&gt;的决定》（国家质量监督检验检疫总局令第140号，已经2010年11月23日国家质量监督检验检疫总局局务会议审议通过，现予公布，自2011年7月1日起施行）；</w:t>
      </w:r>
    </w:p>
    <w:p w14:paraId="65648E40" w14:textId="77777777" w:rsidR="009219A0" w:rsidRDefault="00000000">
      <w:pPr>
        <w:adjustRightInd/>
        <w:snapToGrid/>
        <w:ind w:firstLine="560"/>
        <w:rPr>
          <w:rFonts w:ascii="宋体" w:hAnsi="宋体" w:hint="eastAsia"/>
        </w:rPr>
      </w:pPr>
      <w:r>
        <w:rPr>
          <w:rFonts w:ascii="宋体" w:hAnsi="宋体" w:hint="eastAsia"/>
        </w:rPr>
        <w:t>（4）《生产安全事故应急预案管理办法》（国家安全生产监督管理总局令第17号，2009年5月1日起施行。根据2019年7月11日应急管理部令第2号《应急管理部关于修改&lt;生产安全事故应急预案管理办法&gt;的决定》</w:t>
      </w:r>
      <w:r>
        <w:rPr>
          <w:rFonts w:ascii="宋体" w:hAnsi="宋体" w:hint="eastAsia"/>
        </w:rPr>
        <w:lastRenderedPageBreak/>
        <w:t>修正）；</w:t>
      </w:r>
    </w:p>
    <w:p w14:paraId="5DB20A89" w14:textId="77777777" w:rsidR="009219A0" w:rsidRDefault="00000000">
      <w:pPr>
        <w:adjustRightInd/>
        <w:snapToGrid/>
        <w:ind w:firstLine="560"/>
        <w:rPr>
          <w:rFonts w:ascii="宋体" w:hAnsi="宋体" w:hint="eastAsia"/>
        </w:rPr>
      </w:pPr>
      <w:r>
        <w:rPr>
          <w:rFonts w:ascii="宋体" w:hAnsi="宋体" w:hint="eastAsia"/>
        </w:rPr>
        <w:t>（5）《生产经营单位安全培训规定》（国家安全生产监督管理总局令第3号，2006年1月17日起施行，2015年国家安全生产监督管理总局令第80号二次修订）；</w:t>
      </w:r>
    </w:p>
    <w:p w14:paraId="124B0915" w14:textId="77777777" w:rsidR="009219A0" w:rsidRDefault="00000000">
      <w:pPr>
        <w:adjustRightInd/>
        <w:snapToGrid/>
        <w:ind w:firstLine="560"/>
        <w:rPr>
          <w:rFonts w:ascii="宋体" w:hAnsi="宋体" w:hint="eastAsia"/>
        </w:rPr>
      </w:pPr>
      <w:r>
        <w:rPr>
          <w:rFonts w:ascii="宋体" w:hAnsi="宋体" w:hint="eastAsia"/>
        </w:rPr>
        <w:t>（6）《&lt;生产安全事故报告和调查处理条例&gt;罚款处罚暂行规定》（国家安全生产监督管理总局令第13号，2015年国家安全生产监督管理总局令第77号二次修订）；</w:t>
      </w:r>
    </w:p>
    <w:p w14:paraId="63A81FE7" w14:textId="77777777" w:rsidR="009219A0" w:rsidRDefault="00000000">
      <w:pPr>
        <w:adjustRightInd/>
        <w:snapToGrid/>
        <w:ind w:firstLine="560"/>
        <w:rPr>
          <w:rFonts w:ascii="宋体" w:hAnsi="宋体" w:hint="eastAsia"/>
        </w:rPr>
      </w:pPr>
      <w:r>
        <w:rPr>
          <w:rFonts w:ascii="宋体" w:hAnsi="宋体" w:hint="eastAsia"/>
        </w:rPr>
        <w:t>（7）《安全生产培训管理办法》（国家安全生产监督管理总局令第44号，2015年国家安全生产监督管理总局令第80号修订，2015年7月1日起施行）；</w:t>
      </w:r>
    </w:p>
    <w:p w14:paraId="43DCC060" w14:textId="77777777" w:rsidR="009219A0" w:rsidRDefault="00000000">
      <w:pPr>
        <w:adjustRightInd/>
        <w:snapToGrid/>
        <w:ind w:firstLine="560"/>
        <w:rPr>
          <w:rFonts w:ascii="宋体" w:hAnsi="宋体" w:hint="eastAsia"/>
        </w:rPr>
      </w:pPr>
      <w:r>
        <w:rPr>
          <w:rFonts w:ascii="宋体" w:hAnsi="宋体" w:hint="eastAsia"/>
        </w:rPr>
        <w:t>（8）《建设项目安全设施“三同时”监督管理办法》（国家安全生产监督管理总局令第36号，2010公布，2015年国家安全监管总局令第77号修正）；</w:t>
      </w:r>
    </w:p>
    <w:p w14:paraId="06CD0C74" w14:textId="77777777" w:rsidR="009219A0" w:rsidRDefault="00000000">
      <w:pPr>
        <w:adjustRightInd/>
        <w:snapToGrid/>
        <w:ind w:firstLine="560"/>
        <w:rPr>
          <w:rFonts w:ascii="宋体" w:hAnsi="宋体" w:hint="eastAsia"/>
        </w:rPr>
      </w:pPr>
      <w:r>
        <w:rPr>
          <w:rFonts w:ascii="宋体" w:hAnsi="宋体" w:hint="eastAsia"/>
        </w:rPr>
        <w:t>（9）《国家安全监管总局关于修改&lt;生产经营单位安全培训规定&gt;等11件规章的决定》（国家安全生产监督管理总局令第63号）；</w:t>
      </w:r>
    </w:p>
    <w:p w14:paraId="03636EFF" w14:textId="77777777" w:rsidR="009219A0" w:rsidRDefault="00000000">
      <w:pPr>
        <w:adjustRightInd/>
        <w:snapToGrid/>
        <w:ind w:firstLine="560"/>
        <w:rPr>
          <w:rFonts w:ascii="宋体" w:hAnsi="宋体" w:hint="eastAsia"/>
        </w:rPr>
      </w:pPr>
      <w:r>
        <w:rPr>
          <w:rFonts w:ascii="宋体" w:hAnsi="宋体" w:hint="eastAsia"/>
        </w:rPr>
        <w:t>（10）《国家安全监管总局关于修改&lt;生产安全事故报告和调查处理条例&gt;罚款处罚暂行规定等四部规章的决定》（国家安全生产监督管理总局令第77号，2015年5月1日实行）；</w:t>
      </w:r>
    </w:p>
    <w:p w14:paraId="18A5F099" w14:textId="77777777" w:rsidR="009219A0" w:rsidRDefault="00000000">
      <w:pPr>
        <w:adjustRightInd/>
        <w:snapToGrid/>
        <w:ind w:firstLine="560"/>
        <w:rPr>
          <w:rFonts w:ascii="宋体" w:hAnsi="宋体" w:hint="eastAsia"/>
        </w:rPr>
      </w:pPr>
      <w:r>
        <w:rPr>
          <w:rFonts w:ascii="宋体" w:hAnsi="宋体" w:hint="eastAsia"/>
        </w:rPr>
        <w:t>（11）《国家安全监管总局关于废止和修改劳动防护用品和安全培训等领域十部规章的决定》（国家安全生产监督管理总局令第80号，2015年7月1日起实行）；</w:t>
      </w:r>
    </w:p>
    <w:p w14:paraId="310BEDC2" w14:textId="77777777" w:rsidR="009219A0" w:rsidRDefault="00000000">
      <w:pPr>
        <w:adjustRightInd/>
        <w:snapToGrid/>
        <w:ind w:firstLine="560"/>
        <w:rPr>
          <w:rFonts w:ascii="宋体" w:hAnsi="宋体" w:hint="eastAsia"/>
        </w:rPr>
      </w:pPr>
      <w:r>
        <w:rPr>
          <w:rFonts w:ascii="宋体" w:hAnsi="宋体" w:hint="eastAsia"/>
        </w:rPr>
        <w:t>（12）《国家安全监管总局关于修改〈&lt;生产安全事故报告和调查处理条例&gt;罚款处罚暂行规定〉》的决定（国家安全生产监督管理总局令第42号）；</w:t>
      </w:r>
    </w:p>
    <w:p w14:paraId="31ACEC97" w14:textId="77777777" w:rsidR="009219A0" w:rsidRDefault="00000000">
      <w:pPr>
        <w:adjustRightInd/>
        <w:snapToGrid/>
        <w:ind w:firstLine="560"/>
        <w:rPr>
          <w:rFonts w:ascii="宋体" w:hAnsi="宋体" w:hint="eastAsia"/>
        </w:rPr>
      </w:pPr>
      <w:r>
        <w:rPr>
          <w:rFonts w:ascii="宋体" w:hAnsi="宋体" w:hint="eastAsia"/>
        </w:rPr>
        <w:t>（13）《关于印发&lt;企业安全生产费用提取和使用管理办法&gt;的通知》</w:t>
      </w:r>
      <w:r>
        <w:rPr>
          <w:rFonts w:ascii="宋体" w:hAnsi="宋体" w:hint="eastAsia"/>
        </w:rPr>
        <w:lastRenderedPageBreak/>
        <w:t>（财资[2022]136号，2022年11月21日）；</w:t>
      </w:r>
    </w:p>
    <w:p w14:paraId="51FD30C6" w14:textId="77777777" w:rsidR="009219A0" w:rsidRDefault="00000000">
      <w:pPr>
        <w:adjustRightInd/>
        <w:snapToGrid/>
        <w:ind w:firstLine="560"/>
        <w:rPr>
          <w:rFonts w:ascii="宋体" w:hAnsi="宋体" w:hint="eastAsia"/>
        </w:rPr>
      </w:pPr>
      <w:r>
        <w:rPr>
          <w:rFonts w:ascii="宋体" w:hAnsi="宋体" w:hint="eastAsia"/>
        </w:rPr>
        <w:t>（14）《中国气象局关于修改&lt;防雷减灾管理办法&gt;的决定》（中国气象局第24号）；</w:t>
      </w:r>
    </w:p>
    <w:p w14:paraId="7945068D" w14:textId="77777777" w:rsidR="009219A0" w:rsidRDefault="00000000">
      <w:pPr>
        <w:adjustRightInd/>
        <w:snapToGrid/>
        <w:ind w:firstLine="560"/>
        <w:rPr>
          <w:rFonts w:ascii="宋体" w:hAnsi="宋体" w:hint="eastAsia"/>
        </w:rPr>
      </w:pPr>
      <w:r>
        <w:rPr>
          <w:rFonts w:ascii="宋体" w:hAnsi="宋体" w:hint="eastAsia"/>
        </w:rPr>
        <w:t>（15）《国务院关于进一步加强企业安全生产工作的通知》（国发〔2010〕23号）；</w:t>
      </w:r>
    </w:p>
    <w:p w14:paraId="68193B44" w14:textId="77777777" w:rsidR="009219A0" w:rsidRDefault="00000000">
      <w:pPr>
        <w:adjustRightInd/>
        <w:snapToGrid/>
        <w:ind w:firstLine="560"/>
        <w:rPr>
          <w:rFonts w:ascii="宋体" w:hAnsi="宋体" w:hint="eastAsia"/>
        </w:rPr>
      </w:pPr>
      <w:r>
        <w:rPr>
          <w:rFonts w:ascii="宋体" w:hAnsi="宋体" w:hint="eastAsia"/>
        </w:rPr>
        <w:t>（16）《国务院安委会办公室关于进一步加强安全生产应急预案管理工作的通知》（安委办〔2015〕11号）；</w:t>
      </w:r>
    </w:p>
    <w:p w14:paraId="2B039D36" w14:textId="77777777" w:rsidR="009219A0" w:rsidRDefault="00000000">
      <w:pPr>
        <w:adjustRightInd/>
        <w:snapToGrid/>
        <w:ind w:firstLine="560"/>
        <w:rPr>
          <w:rFonts w:ascii="宋体" w:hAnsi="宋体" w:hint="eastAsia"/>
        </w:rPr>
      </w:pPr>
      <w:r>
        <w:rPr>
          <w:rFonts w:ascii="宋体" w:hAnsi="宋体" w:hint="eastAsia"/>
        </w:rPr>
        <w:t>（17）</w:t>
      </w:r>
      <w:r>
        <w:rPr>
          <w:rFonts w:ascii="宋体" w:hAnsi="宋体" w:hint="eastAsia"/>
          <w:color w:val="auto"/>
        </w:rPr>
        <w:t>《用人单位劳动防护用品管理规范》（安</w:t>
      </w:r>
      <w:proofErr w:type="gramStart"/>
      <w:r>
        <w:rPr>
          <w:rFonts w:ascii="宋体" w:hAnsi="宋体" w:hint="eastAsia"/>
          <w:color w:val="auto"/>
        </w:rPr>
        <w:t>监总厅安</w:t>
      </w:r>
      <w:proofErr w:type="gramEnd"/>
      <w:r>
        <w:rPr>
          <w:rFonts w:ascii="宋体" w:hAnsi="宋体" w:hint="eastAsia"/>
          <w:color w:val="auto"/>
        </w:rPr>
        <w:t>健〔2018〕3号）</w:t>
      </w:r>
      <w:r>
        <w:rPr>
          <w:rFonts w:ascii="宋体" w:hAnsi="宋体" w:hint="eastAsia"/>
        </w:rPr>
        <w:t>；</w:t>
      </w:r>
    </w:p>
    <w:p w14:paraId="44B2DD9C" w14:textId="77777777" w:rsidR="009219A0" w:rsidRDefault="00000000">
      <w:pPr>
        <w:adjustRightInd/>
        <w:snapToGrid/>
        <w:ind w:firstLine="560"/>
        <w:rPr>
          <w:rFonts w:ascii="宋体" w:hAnsi="宋体" w:hint="eastAsia"/>
        </w:rPr>
      </w:pPr>
      <w:r>
        <w:rPr>
          <w:rFonts w:ascii="宋体" w:hAnsi="宋体" w:hint="eastAsia"/>
        </w:rPr>
        <w:t>（18）</w:t>
      </w:r>
      <w:proofErr w:type="gramStart"/>
      <w:r>
        <w:rPr>
          <w:rFonts w:ascii="宋体" w:hAnsi="宋体" w:hint="eastAsia"/>
        </w:rPr>
        <w:t>《</w:t>
      </w:r>
      <w:proofErr w:type="gramEnd"/>
      <w:r>
        <w:rPr>
          <w:rFonts w:ascii="宋体" w:hAnsi="宋体" w:hint="eastAsia"/>
        </w:rPr>
        <w:t>关于印发</w:t>
      </w:r>
      <w:proofErr w:type="gramStart"/>
      <w:r>
        <w:rPr>
          <w:rFonts w:ascii="宋体" w:hAnsi="宋体" w:hint="eastAsia"/>
        </w:rPr>
        <w:t>《</w:t>
      </w:r>
      <w:proofErr w:type="gramEnd"/>
      <w:r>
        <w:rPr>
          <w:rFonts w:ascii="宋体" w:hAnsi="宋体" w:hint="eastAsia"/>
        </w:rPr>
        <w:t>职业病危害因素分类目录</w:t>
      </w:r>
      <w:proofErr w:type="gramStart"/>
      <w:r>
        <w:rPr>
          <w:rFonts w:ascii="宋体" w:hAnsi="宋体" w:hint="eastAsia"/>
        </w:rPr>
        <w:t>》</w:t>
      </w:r>
      <w:proofErr w:type="gramEnd"/>
      <w:r>
        <w:rPr>
          <w:rFonts w:ascii="宋体" w:hAnsi="宋体" w:hint="eastAsia"/>
        </w:rPr>
        <w:t>的通知</w:t>
      </w:r>
      <w:proofErr w:type="gramStart"/>
      <w:r>
        <w:rPr>
          <w:rFonts w:ascii="宋体" w:hAnsi="宋体" w:hint="eastAsia"/>
        </w:rPr>
        <w:t>》</w:t>
      </w:r>
      <w:proofErr w:type="gramEnd"/>
      <w:r>
        <w:rPr>
          <w:rFonts w:ascii="宋体" w:hAnsi="宋体" w:hint="eastAsia"/>
        </w:rPr>
        <w:t>（国卫疾控发〔2015〕92号）；</w:t>
      </w:r>
    </w:p>
    <w:p w14:paraId="1CEC7DF8" w14:textId="77777777" w:rsidR="009219A0" w:rsidRDefault="00000000">
      <w:pPr>
        <w:adjustRightInd/>
        <w:snapToGrid/>
        <w:ind w:firstLine="560"/>
        <w:rPr>
          <w:rFonts w:ascii="宋体" w:hAnsi="宋体" w:hint="eastAsia"/>
        </w:rPr>
      </w:pPr>
      <w:r>
        <w:rPr>
          <w:rFonts w:ascii="宋体" w:hAnsi="宋体" w:hint="eastAsia"/>
        </w:rPr>
        <w:t>（19）《国家安全监管总局关于印发淘汰落后安全技术装备目录（2015年第一批）的通知》（安</w:t>
      </w:r>
      <w:proofErr w:type="gramStart"/>
      <w:r>
        <w:rPr>
          <w:rFonts w:ascii="宋体" w:hAnsi="宋体" w:hint="eastAsia"/>
        </w:rPr>
        <w:t>监总科技</w:t>
      </w:r>
      <w:proofErr w:type="gramEnd"/>
      <w:r>
        <w:rPr>
          <w:rFonts w:ascii="宋体" w:hAnsi="宋体" w:hint="eastAsia"/>
        </w:rPr>
        <w:t>〔2015〕75号）；</w:t>
      </w:r>
    </w:p>
    <w:p w14:paraId="37A953D5" w14:textId="77777777" w:rsidR="009219A0" w:rsidRDefault="00000000">
      <w:pPr>
        <w:adjustRightInd/>
        <w:snapToGrid/>
        <w:ind w:firstLine="560"/>
        <w:rPr>
          <w:rFonts w:ascii="宋体" w:hAnsi="宋体" w:hint="eastAsia"/>
        </w:rPr>
      </w:pPr>
      <w:r>
        <w:rPr>
          <w:rFonts w:ascii="宋体" w:hAnsi="宋体" w:hint="eastAsia"/>
        </w:rPr>
        <w:t>（20）《危险化学品目录》（2022调整版）（应急管理部等10部门公告2022年第8号）；</w:t>
      </w:r>
    </w:p>
    <w:p w14:paraId="7601E9D1" w14:textId="77777777" w:rsidR="009219A0" w:rsidRDefault="00000000">
      <w:pPr>
        <w:adjustRightInd/>
        <w:snapToGrid/>
        <w:ind w:firstLine="560"/>
        <w:rPr>
          <w:rFonts w:ascii="宋体" w:hAnsi="宋体" w:hint="eastAsia"/>
        </w:rPr>
      </w:pPr>
      <w:r>
        <w:rPr>
          <w:rFonts w:ascii="宋体" w:hAnsi="宋体" w:hint="eastAsia"/>
        </w:rPr>
        <w:t>（21）《淘汰落后安全技术装备目录》（2016年第一批）；</w:t>
      </w:r>
    </w:p>
    <w:p w14:paraId="4273F627" w14:textId="77777777" w:rsidR="009219A0" w:rsidRDefault="00000000">
      <w:pPr>
        <w:adjustRightInd/>
        <w:snapToGrid/>
        <w:ind w:firstLine="560"/>
        <w:rPr>
          <w:rFonts w:ascii="宋体" w:hAnsi="宋体" w:hint="eastAsia"/>
        </w:rPr>
      </w:pPr>
      <w:r>
        <w:rPr>
          <w:rFonts w:ascii="宋体" w:hAnsi="宋体" w:hint="eastAsia"/>
        </w:rPr>
        <w:t>（22）《首批重点监管的危险化学品安全措施和应急处置原则》（安</w:t>
      </w:r>
      <w:proofErr w:type="gramStart"/>
      <w:r>
        <w:rPr>
          <w:rFonts w:ascii="宋体" w:hAnsi="宋体" w:hint="eastAsia"/>
        </w:rPr>
        <w:t>监总厅</w:t>
      </w:r>
      <w:proofErr w:type="gramEnd"/>
      <w:r>
        <w:rPr>
          <w:rFonts w:ascii="宋体" w:hAnsi="宋体" w:hint="eastAsia"/>
        </w:rPr>
        <w:t>管三[2011]142号）；</w:t>
      </w:r>
    </w:p>
    <w:p w14:paraId="75B7207D" w14:textId="77777777" w:rsidR="009219A0" w:rsidRDefault="00000000">
      <w:pPr>
        <w:adjustRightInd/>
        <w:snapToGrid/>
        <w:ind w:firstLine="560"/>
        <w:rPr>
          <w:rFonts w:ascii="宋体" w:hAnsi="宋体" w:hint="eastAsia"/>
        </w:rPr>
      </w:pPr>
      <w:r>
        <w:rPr>
          <w:rFonts w:ascii="宋体" w:hAnsi="宋体" w:hint="eastAsia"/>
        </w:rPr>
        <w:t>（23）《特别管控危险化学品目录（第一版）》（应急管理部2020年第1号）；</w:t>
      </w:r>
    </w:p>
    <w:p w14:paraId="0D6651F3" w14:textId="77777777" w:rsidR="009219A0" w:rsidRDefault="00000000">
      <w:pPr>
        <w:adjustRightInd/>
        <w:snapToGrid/>
        <w:ind w:firstLine="560"/>
        <w:rPr>
          <w:rFonts w:ascii="宋体" w:hAnsi="宋体" w:hint="eastAsia"/>
        </w:rPr>
      </w:pPr>
      <w:r>
        <w:rPr>
          <w:rFonts w:ascii="宋体" w:hAnsi="宋体" w:hint="eastAsia"/>
        </w:rPr>
        <w:t>（24）《易制毒化学品管理条例》（中华人民共和国务院令第445号，根据2018年9月18日《国务院关于修改部分行政法规的决定》第三次修订）；</w:t>
      </w:r>
    </w:p>
    <w:p w14:paraId="2962988B" w14:textId="77777777" w:rsidR="009219A0" w:rsidRDefault="00000000">
      <w:pPr>
        <w:adjustRightInd/>
        <w:snapToGrid/>
        <w:ind w:firstLine="560"/>
        <w:rPr>
          <w:rFonts w:ascii="宋体" w:hAnsi="宋体" w:hint="eastAsia"/>
        </w:rPr>
      </w:pPr>
      <w:r>
        <w:rPr>
          <w:rFonts w:ascii="宋体" w:hAnsi="宋体" w:hint="eastAsia"/>
        </w:rPr>
        <w:t>（25）《易制爆危险化学品名录（2017年版）》（公安部2017年5月11日公告）；</w:t>
      </w:r>
    </w:p>
    <w:p w14:paraId="4682C7FD" w14:textId="77777777" w:rsidR="009219A0" w:rsidRDefault="00000000">
      <w:pPr>
        <w:adjustRightInd/>
        <w:snapToGrid/>
        <w:ind w:firstLine="560"/>
        <w:rPr>
          <w:rFonts w:ascii="宋体" w:hAnsi="宋体" w:hint="eastAsia"/>
        </w:rPr>
      </w:pPr>
      <w:r>
        <w:rPr>
          <w:rFonts w:ascii="宋体" w:hAnsi="宋体" w:hint="eastAsia"/>
        </w:rPr>
        <w:lastRenderedPageBreak/>
        <w:t>（26）《中华人民共和国监控化学品管理条例》（1995年12月27日中华人民共和国国务院令第190号发布 根据2011年1月8日《国务院关于废止和修改部分行政法规的决定》修订）；</w:t>
      </w:r>
    </w:p>
    <w:p w14:paraId="223F174B" w14:textId="77777777" w:rsidR="009219A0" w:rsidRDefault="00000000">
      <w:pPr>
        <w:adjustRightInd/>
        <w:snapToGrid/>
        <w:ind w:firstLine="560"/>
        <w:rPr>
          <w:rFonts w:ascii="宋体" w:hAnsi="宋体" w:hint="eastAsia"/>
        </w:rPr>
      </w:pPr>
      <w:r>
        <w:rPr>
          <w:rFonts w:ascii="宋体" w:hAnsi="宋体" w:hint="eastAsia"/>
        </w:rPr>
        <w:t>（27）《国家安全监管总局关于公布首批重点监管的危险化学品名录的通知》（安监总管三〔2011〕95号）；</w:t>
      </w:r>
    </w:p>
    <w:p w14:paraId="696D5EAD" w14:textId="77777777" w:rsidR="009219A0" w:rsidRDefault="00000000">
      <w:pPr>
        <w:adjustRightInd/>
        <w:snapToGrid/>
        <w:ind w:firstLine="560"/>
        <w:rPr>
          <w:rFonts w:ascii="宋体" w:hAnsi="宋体" w:hint="eastAsia"/>
        </w:rPr>
      </w:pPr>
      <w:r>
        <w:rPr>
          <w:rFonts w:ascii="宋体" w:hAnsi="宋体" w:hint="eastAsia"/>
        </w:rPr>
        <w:t>（28）《国家安全监管总局关于公布第二批重点监管的危险化学品名录的通知》（安监总管三]2013]12号）；</w:t>
      </w:r>
    </w:p>
    <w:p w14:paraId="23D60929" w14:textId="77777777" w:rsidR="009219A0" w:rsidRDefault="00000000">
      <w:pPr>
        <w:adjustRightInd/>
        <w:snapToGrid/>
        <w:ind w:firstLine="560"/>
        <w:rPr>
          <w:rFonts w:ascii="宋体" w:hAnsi="宋体" w:hint="eastAsia"/>
        </w:rPr>
      </w:pPr>
      <w:r>
        <w:rPr>
          <w:rFonts w:ascii="宋体" w:hAnsi="宋体" w:hint="eastAsia"/>
        </w:rPr>
        <w:t>（29）《淘汰落后危险化学品安全生产工艺技术设备目录（第一批）》（应急厅〔2020〕38号，2020年10月23日公布）；</w:t>
      </w:r>
    </w:p>
    <w:p w14:paraId="652A3C77" w14:textId="77777777" w:rsidR="009219A0" w:rsidRDefault="00000000">
      <w:pPr>
        <w:adjustRightInd/>
        <w:snapToGrid/>
        <w:ind w:firstLine="560"/>
        <w:rPr>
          <w:rFonts w:ascii="宋体" w:hAnsi="宋体" w:hint="eastAsia"/>
        </w:rPr>
      </w:pPr>
      <w:r>
        <w:rPr>
          <w:rFonts w:ascii="宋体" w:hAnsi="宋体" w:hint="eastAsia"/>
        </w:rPr>
        <w:t>（30）《淘汰落后危险化学品安全生产工艺技术设备目录（第二批）》的通知（应急厅〔2024〕86号）；</w:t>
      </w:r>
    </w:p>
    <w:p w14:paraId="205E8184" w14:textId="77777777" w:rsidR="009219A0" w:rsidRDefault="00000000">
      <w:pPr>
        <w:adjustRightInd/>
        <w:snapToGrid/>
        <w:ind w:firstLine="560"/>
        <w:rPr>
          <w:rFonts w:ascii="宋体" w:hAnsi="宋体" w:hint="eastAsia"/>
        </w:rPr>
      </w:pPr>
      <w:r>
        <w:rPr>
          <w:rFonts w:ascii="宋体" w:hAnsi="宋体" w:hint="eastAsia"/>
        </w:rPr>
        <w:t>（31）</w:t>
      </w:r>
      <w:r>
        <w:rPr>
          <w:rFonts w:ascii="宋体" w:hAnsi="宋体" w:hint="eastAsia"/>
          <w:color w:val="auto"/>
        </w:rPr>
        <w:t>《生产安全事故罚款处罚规定》（中华人民共和国应急管理部令第14号，自2024年3月1日起施行）；</w:t>
      </w:r>
    </w:p>
    <w:p w14:paraId="649B6816" w14:textId="77777777" w:rsidR="009219A0" w:rsidRDefault="00000000">
      <w:pPr>
        <w:adjustRightInd/>
        <w:snapToGrid/>
        <w:ind w:firstLine="560"/>
        <w:rPr>
          <w:rFonts w:ascii="宋体" w:hAnsi="宋体" w:hint="eastAsia"/>
        </w:rPr>
      </w:pPr>
      <w:r>
        <w:rPr>
          <w:rFonts w:ascii="宋体" w:hAnsi="宋体" w:hint="eastAsia"/>
        </w:rPr>
        <w:t>（32）《工贸企业重大事故隐患判定标准》（中华人民共和国应急管理部令第10号，2023年5月15日起施行）。</w:t>
      </w:r>
    </w:p>
    <w:p w14:paraId="38F50A9B" w14:textId="77777777" w:rsidR="009219A0" w:rsidRDefault="00000000">
      <w:pPr>
        <w:pStyle w:val="2"/>
        <w:rPr>
          <w:rFonts w:hint="eastAsia"/>
        </w:rPr>
      </w:pPr>
      <w:bookmarkStart w:id="396" w:name="_Toc211950543"/>
      <w:bookmarkStart w:id="397" w:name="_Toc165281498"/>
      <w:bookmarkStart w:id="398" w:name="_Toc325135708"/>
      <w:bookmarkStart w:id="399" w:name="_Toc300059764"/>
      <w:bookmarkStart w:id="400" w:name="_Toc314084037"/>
      <w:bookmarkStart w:id="401" w:name="_Toc293647158"/>
      <w:bookmarkStart w:id="402" w:name="_Toc316585295"/>
      <w:bookmarkStart w:id="403" w:name="_Toc297737206"/>
      <w:bookmarkStart w:id="404" w:name="_Toc316585033"/>
      <w:bookmarkStart w:id="405" w:name="_Toc392234470"/>
      <w:bookmarkStart w:id="406" w:name="_Toc313716326"/>
      <w:bookmarkStart w:id="407" w:name="_Toc413331913"/>
      <w:bookmarkStart w:id="408" w:name="_Toc184381176"/>
      <w:bookmarkStart w:id="409" w:name="_Toc306353292"/>
      <w:bookmarkStart w:id="410" w:name="_Toc424062635"/>
      <w:bookmarkStart w:id="411" w:name="_Toc310243823"/>
      <w:bookmarkStart w:id="412" w:name="_Toc338949236"/>
      <w:bookmarkStart w:id="413" w:name="_Toc173155557"/>
      <w:bookmarkStart w:id="414" w:name="_Toc339727428"/>
      <w:bookmarkStart w:id="415" w:name="_Toc293586538"/>
      <w:bookmarkStart w:id="416" w:name="_Toc342479346"/>
      <w:bookmarkStart w:id="417" w:name="_Toc297900061"/>
      <w:r>
        <w:rPr>
          <w:rFonts w:hint="eastAsia"/>
        </w:rPr>
        <w:t>6.4地方法规及文件</w:t>
      </w:r>
      <w:bookmarkEnd w:id="396"/>
      <w:bookmarkEnd w:id="397"/>
    </w:p>
    <w:p w14:paraId="2BA4A464" w14:textId="77777777" w:rsidR="009219A0" w:rsidRDefault="00000000">
      <w:pPr>
        <w:numPr>
          <w:ilvl w:val="0"/>
          <w:numId w:val="23"/>
        </w:numPr>
        <w:adjustRightInd/>
        <w:snapToGrid/>
        <w:ind w:left="0" w:firstLine="560"/>
        <w:rPr>
          <w:rFonts w:ascii="宋体" w:hAnsi="宋体" w:hint="eastAsia"/>
          <w:color w:val="auto"/>
          <w:szCs w:val="28"/>
        </w:rPr>
      </w:pPr>
      <w:r>
        <w:rPr>
          <w:rFonts w:ascii="宋体" w:hAnsi="宋体"/>
          <w:color w:val="auto"/>
          <w:szCs w:val="28"/>
        </w:rPr>
        <w:t>《云南省安全生产条例》（</w:t>
      </w:r>
      <w:r>
        <w:rPr>
          <w:rFonts w:ascii="宋体" w:hAnsi="宋体" w:hint="eastAsia"/>
          <w:color w:val="auto"/>
          <w:szCs w:val="28"/>
        </w:rPr>
        <w:t>云南省第十二届人民代表大会常务委员会公告（第63号），2017年11月30日云南省第十二届人民代表大会常务委员会第三十八次会议通过，自2018年1月1日起施行</w:t>
      </w:r>
      <w:r>
        <w:rPr>
          <w:rFonts w:ascii="宋体" w:hAnsi="宋体"/>
          <w:color w:val="auto"/>
          <w:szCs w:val="28"/>
        </w:rPr>
        <w:t>）；</w:t>
      </w:r>
    </w:p>
    <w:p w14:paraId="66436020" w14:textId="77777777" w:rsidR="009219A0" w:rsidRDefault="00000000">
      <w:pPr>
        <w:numPr>
          <w:ilvl w:val="0"/>
          <w:numId w:val="23"/>
        </w:numPr>
        <w:adjustRightInd/>
        <w:snapToGrid/>
        <w:ind w:left="0" w:firstLine="560"/>
        <w:rPr>
          <w:rFonts w:ascii="宋体" w:hAnsi="宋体" w:hint="eastAsia"/>
          <w:color w:val="auto"/>
          <w:szCs w:val="28"/>
        </w:rPr>
      </w:pPr>
      <w:r>
        <w:rPr>
          <w:rFonts w:ascii="宋体" w:hAnsi="宋体"/>
          <w:color w:val="auto"/>
          <w:szCs w:val="28"/>
        </w:rPr>
        <w:t>《云南省人民政府贯彻落实国务院关于进一步加强企业安全生产工作通知的实施意见》（云政发〔2010〕157号）；</w:t>
      </w:r>
    </w:p>
    <w:p w14:paraId="41CB969F" w14:textId="77777777" w:rsidR="009219A0" w:rsidRDefault="00000000">
      <w:pPr>
        <w:numPr>
          <w:ilvl w:val="0"/>
          <w:numId w:val="23"/>
        </w:numPr>
        <w:adjustRightInd/>
        <w:snapToGrid/>
        <w:ind w:left="0" w:firstLine="560"/>
        <w:rPr>
          <w:rFonts w:ascii="宋体" w:hAnsi="宋体" w:hint="eastAsia"/>
          <w:color w:val="auto"/>
          <w:szCs w:val="28"/>
        </w:rPr>
      </w:pPr>
      <w:r>
        <w:rPr>
          <w:rFonts w:ascii="宋体" w:hAnsi="宋体"/>
          <w:color w:val="auto"/>
          <w:szCs w:val="28"/>
        </w:rPr>
        <w:t>《云南省消防条例》（</w:t>
      </w:r>
      <w:r>
        <w:rPr>
          <w:rFonts w:ascii="宋体" w:hAnsi="宋体" w:hint="eastAsia"/>
          <w:color w:val="auto"/>
          <w:szCs w:val="28"/>
        </w:rPr>
        <w:t>云南</w:t>
      </w:r>
      <w:r>
        <w:rPr>
          <w:rFonts w:ascii="宋体" w:hAnsi="宋体"/>
          <w:color w:val="auto"/>
          <w:szCs w:val="28"/>
        </w:rPr>
        <w:t>省十一届人大常委会公告第31号</w:t>
      </w:r>
      <w:r>
        <w:rPr>
          <w:rFonts w:ascii="宋体" w:hAnsi="宋体" w:hint="eastAsia"/>
          <w:color w:val="auto"/>
          <w:szCs w:val="28"/>
        </w:rPr>
        <w:t>，</w:t>
      </w:r>
      <w:r>
        <w:rPr>
          <w:rFonts w:ascii="宋体" w:hAnsi="宋体"/>
          <w:color w:val="auto"/>
          <w:szCs w:val="28"/>
        </w:rPr>
        <w:t>2020年11月25日修订，2021年1月19日实施）；</w:t>
      </w:r>
    </w:p>
    <w:p w14:paraId="3A5E3A4A" w14:textId="77777777" w:rsidR="009219A0" w:rsidRDefault="00000000">
      <w:pPr>
        <w:numPr>
          <w:ilvl w:val="0"/>
          <w:numId w:val="23"/>
        </w:numPr>
        <w:adjustRightInd/>
        <w:snapToGrid/>
        <w:ind w:left="0" w:firstLine="560"/>
        <w:rPr>
          <w:rFonts w:ascii="宋体" w:hAnsi="宋体" w:hint="eastAsia"/>
          <w:color w:val="auto"/>
          <w:szCs w:val="28"/>
        </w:rPr>
      </w:pPr>
      <w:r>
        <w:rPr>
          <w:rFonts w:ascii="宋体" w:hAnsi="宋体" w:hint="eastAsia"/>
          <w:color w:val="auto"/>
          <w:szCs w:val="28"/>
        </w:rPr>
        <w:t>《云南省应急管理厅、云南银保监局关于规范推进安全生产责任保险工作的通知》（云应急〔2022〕48号）；</w:t>
      </w:r>
    </w:p>
    <w:p w14:paraId="4BEEEB45" w14:textId="77777777" w:rsidR="009219A0" w:rsidRDefault="00000000">
      <w:pPr>
        <w:numPr>
          <w:ilvl w:val="0"/>
          <w:numId w:val="23"/>
        </w:numPr>
        <w:adjustRightInd/>
        <w:snapToGrid/>
        <w:ind w:left="0" w:firstLine="560"/>
        <w:rPr>
          <w:rFonts w:ascii="宋体" w:hAnsi="宋体" w:hint="eastAsia"/>
          <w:color w:val="auto"/>
          <w:szCs w:val="28"/>
        </w:rPr>
      </w:pPr>
      <w:r>
        <w:rPr>
          <w:rFonts w:ascii="宋体" w:hAnsi="宋体" w:hint="eastAsia"/>
          <w:color w:val="auto"/>
          <w:szCs w:val="28"/>
        </w:rPr>
        <w:lastRenderedPageBreak/>
        <w:t>《云南省安全生产委员会关于进一步落实企业全员安全生产责任制的指导意见》（云安〔2017〕10号）；</w:t>
      </w:r>
    </w:p>
    <w:p w14:paraId="27C48D5C" w14:textId="77777777" w:rsidR="009219A0" w:rsidRDefault="00000000">
      <w:pPr>
        <w:numPr>
          <w:ilvl w:val="0"/>
          <w:numId w:val="23"/>
        </w:numPr>
        <w:adjustRightInd/>
        <w:snapToGrid/>
        <w:ind w:left="0" w:firstLine="560"/>
        <w:rPr>
          <w:rFonts w:ascii="宋体" w:hAnsi="宋体" w:hint="eastAsia"/>
          <w:color w:val="auto"/>
          <w:szCs w:val="28"/>
        </w:rPr>
      </w:pPr>
      <w:r>
        <w:rPr>
          <w:rFonts w:ascii="宋体" w:hAnsi="宋体" w:hint="eastAsia"/>
          <w:color w:val="auto"/>
          <w:szCs w:val="28"/>
        </w:rPr>
        <w:t>《云南省安全生产监督管理局关于危险化学品经营行政许可有关事项的通知》，云安监管〔2013〕13号，2013年3月1日起施行；</w:t>
      </w:r>
    </w:p>
    <w:p w14:paraId="3A6FCD5A" w14:textId="77777777" w:rsidR="009219A0" w:rsidRDefault="00000000">
      <w:pPr>
        <w:numPr>
          <w:ilvl w:val="0"/>
          <w:numId w:val="23"/>
        </w:numPr>
        <w:adjustRightInd/>
        <w:snapToGrid/>
        <w:ind w:left="0" w:firstLine="560"/>
        <w:rPr>
          <w:rFonts w:ascii="宋体" w:hAnsi="宋体" w:hint="eastAsia"/>
          <w:color w:val="auto"/>
          <w:szCs w:val="28"/>
        </w:rPr>
      </w:pPr>
      <w:r>
        <w:rPr>
          <w:rFonts w:ascii="宋体" w:hAnsi="宋体" w:hint="eastAsia"/>
          <w:color w:val="auto"/>
          <w:szCs w:val="28"/>
        </w:rPr>
        <w:t>《云南省人民政府关于印发云南省生产经营单位安全生产主体责任规定的通知》（云政</w:t>
      </w:r>
      <w:proofErr w:type="gramStart"/>
      <w:r>
        <w:rPr>
          <w:rFonts w:ascii="宋体" w:hAnsi="宋体" w:hint="eastAsia"/>
          <w:color w:val="auto"/>
          <w:szCs w:val="28"/>
        </w:rPr>
        <w:t>规</w:t>
      </w:r>
      <w:proofErr w:type="gramEnd"/>
      <w:r>
        <w:rPr>
          <w:rFonts w:ascii="宋体" w:hAnsi="宋体" w:hint="eastAsia"/>
          <w:color w:val="auto"/>
          <w:szCs w:val="28"/>
        </w:rPr>
        <w:t>[2022]4号）；</w:t>
      </w:r>
    </w:p>
    <w:p w14:paraId="6E25C1BF" w14:textId="77777777" w:rsidR="009219A0" w:rsidRDefault="00000000">
      <w:pPr>
        <w:numPr>
          <w:ilvl w:val="0"/>
          <w:numId w:val="23"/>
        </w:numPr>
        <w:adjustRightInd/>
        <w:snapToGrid/>
        <w:ind w:firstLineChars="0"/>
        <w:rPr>
          <w:rFonts w:ascii="宋体" w:hAnsi="宋体" w:hint="eastAsia"/>
          <w:color w:val="auto"/>
          <w:szCs w:val="28"/>
        </w:rPr>
      </w:pPr>
      <w:r>
        <w:rPr>
          <w:rFonts w:ascii="宋体" w:hAnsi="宋体" w:hint="eastAsia"/>
          <w:color w:val="auto"/>
          <w:szCs w:val="28"/>
        </w:rPr>
        <w:t>《云南省消防安全责任制实施办法》（云政办</w:t>
      </w:r>
      <w:proofErr w:type="gramStart"/>
      <w:r>
        <w:rPr>
          <w:rFonts w:ascii="宋体" w:hAnsi="宋体" w:hint="eastAsia"/>
          <w:color w:val="auto"/>
          <w:szCs w:val="28"/>
        </w:rPr>
        <w:t>规</w:t>
      </w:r>
      <w:proofErr w:type="gramEnd"/>
      <w:r>
        <w:rPr>
          <w:rFonts w:ascii="宋体" w:hAnsi="宋体" w:hint="eastAsia"/>
          <w:color w:val="auto"/>
          <w:szCs w:val="28"/>
        </w:rPr>
        <w:t>〔2019〕7号）；</w:t>
      </w:r>
    </w:p>
    <w:p w14:paraId="3986A43D" w14:textId="77777777" w:rsidR="009219A0" w:rsidRDefault="00000000">
      <w:pPr>
        <w:numPr>
          <w:ilvl w:val="0"/>
          <w:numId w:val="23"/>
        </w:numPr>
        <w:adjustRightInd/>
        <w:snapToGrid/>
        <w:ind w:left="0" w:firstLine="560"/>
        <w:rPr>
          <w:rFonts w:ascii="宋体" w:hAnsi="宋体" w:hint="eastAsia"/>
          <w:color w:val="auto"/>
          <w:szCs w:val="28"/>
        </w:rPr>
      </w:pPr>
      <w:r>
        <w:rPr>
          <w:rFonts w:ascii="宋体" w:hAnsi="宋体" w:hint="eastAsia"/>
          <w:color w:val="auto"/>
          <w:szCs w:val="28"/>
        </w:rPr>
        <w:t>《云南省生产安全事故应急办法》（省政府令第227号，已经2023年11月27日第十四届云南省人民政府第23次常务会议通过，自2024年2月1日起施行）。</w:t>
      </w:r>
    </w:p>
    <w:p w14:paraId="7D5788B4" w14:textId="77777777" w:rsidR="009219A0" w:rsidRDefault="00000000">
      <w:pPr>
        <w:pStyle w:val="2"/>
        <w:rPr>
          <w:rFonts w:hint="eastAsia"/>
        </w:rPr>
      </w:pPr>
      <w:bookmarkStart w:id="418" w:name="_Toc211950544"/>
      <w:bookmarkStart w:id="419" w:name="_Toc165281499"/>
      <w:r>
        <w:rPr>
          <w:rFonts w:hint="eastAsia"/>
        </w:rPr>
        <w:t>6.5 国家及行业有关规范、标准</w:t>
      </w:r>
      <w:bookmarkEnd w:id="418"/>
      <w:bookmarkEnd w:id="419"/>
    </w:p>
    <w:p w14:paraId="22246BB6" w14:textId="77777777" w:rsidR="009219A0" w:rsidRDefault="00000000">
      <w:pPr>
        <w:numPr>
          <w:ilvl w:val="0"/>
          <w:numId w:val="24"/>
        </w:numPr>
        <w:adjustRightInd/>
        <w:snapToGrid/>
        <w:ind w:left="0" w:firstLine="560"/>
        <w:rPr>
          <w:rFonts w:ascii="宋体" w:hAnsi="宋体" w:hint="eastAsia"/>
          <w:color w:val="auto"/>
          <w:szCs w:val="28"/>
        </w:rPr>
      </w:pPr>
      <w:r>
        <w:rPr>
          <w:rFonts w:ascii="宋体" w:hAnsi="宋体" w:hint="eastAsia"/>
          <w:color w:val="auto"/>
          <w:szCs w:val="28"/>
        </w:rPr>
        <w:t>《安全评价通则》（AQ8001-2007）；</w:t>
      </w:r>
    </w:p>
    <w:p w14:paraId="6A44E494" w14:textId="77777777" w:rsidR="009219A0" w:rsidRDefault="00000000">
      <w:pPr>
        <w:numPr>
          <w:ilvl w:val="0"/>
          <w:numId w:val="24"/>
        </w:numPr>
        <w:adjustRightInd/>
        <w:snapToGrid/>
        <w:ind w:left="0" w:firstLine="560"/>
        <w:rPr>
          <w:rFonts w:ascii="宋体" w:hAnsi="宋体" w:hint="eastAsia"/>
          <w:color w:val="auto"/>
          <w:szCs w:val="28"/>
        </w:rPr>
      </w:pPr>
      <w:r>
        <w:rPr>
          <w:rFonts w:ascii="宋体" w:hAnsi="宋体" w:hint="eastAsia"/>
          <w:color w:val="auto"/>
          <w:szCs w:val="28"/>
        </w:rPr>
        <w:t>《建筑设计防火规范(2018年版)》（GB50016-2014）；</w:t>
      </w:r>
    </w:p>
    <w:p w14:paraId="7001FC32" w14:textId="77777777" w:rsidR="009219A0" w:rsidRDefault="00000000">
      <w:pPr>
        <w:numPr>
          <w:ilvl w:val="0"/>
          <w:numId w:val="24"/>
        </w:numPr>
        <w:adjustRightInd/>
        <w:snapToGrid/>
        <w:ind w:left="0" w:firstLine="560"/>
        <w:rPr>
          <w:rFonts w:ascii="宋体" w:hAnsi="宋体" w:hint="eastAsia"/>
          <w:color w:val="auto"/>
          <w:szCs w:val="28"/>
        </w:rPr>
      </w:pPr>
      <w:r>
        <w:rPr>
          <w:rFonts w:ascii="宋体" w:hAnsi="宋体" w:hint="eastAsia"/>
        </w:rPr>
        <w:t>《工业企业总平面设计规范》（GB50187-2012）</w:t>
      </w:r>
      <w:r>
        <w:rPr>
          <w:rFonts w:ascii="宋体" w:hAnsi="宋体" w:hint="eastAsia"/>
          <w:color w:val="auto"/>
          <w:szCs w:val="28"/>
        </w:rPr>
        <w:t>；</w:t>
      </w:r>
    </w:p>
    <w:p w14:paraId="173502BA" w14:textId="77777777" w:rsidR="009219A0" w:rsidRDefault="00000000">
      <w:pPr>
        <w:numPr>
          <w:ilvl w:val="0"/>
          <w:numId w:val="24"/>
        </w:numPr>
        <w:adjustRightInd/>
        <w:snapToGrid/>
        <w:ind w:left="0" w:firstLine="560"/>
        <w:rPr>
          <w:rFonts w:ascii="宋体" w:hAnsi="宋体" w:hint="eastAsia"/>
          <w:color w:val="auto"/>
          <w:szCs w:val="28"/>
        </w:rPr>
      </w:pPr>
      <w:r>
        <w:rPr>
          <w:rFonts w:ascii="宋体" w:hAnsi="宋体" w:hint="eastAsia"/>
          <w:color w:val="auto"/>
          <w:szCs w:val="28"/>
        </w:rPr>
        <w:t>《建筑防火通用规范》（GB 55037-2022）；</w:t>
      </w:r>
    </w:p>
    <w:p w14:paraId="67B65716" w14:textId="77777777" w:rsidR="009219A0" w:rsidRDefault="00000000">
      <w:pPr>
        <w:numPr>
          <w:ilvl w:val="0"/>
          <w:numId w:val="24"/>
        </w:numPr>
        <w:adjustRightInd/>
        <w:snapToGrid/>
        <w:ind w:left="0" w:firstLine="560"/>
        <w:rPr>
          <w:rFonts w:ascii="宋体" w:hAnsi="宋体" w:hint="eastAsia"/>
          <w:color w:val="auto"/>
          <w:szCs w:val="28"/>
        </w:rPr>
      </w:pPr>
      <w:r>
        <w:rPr>
          <w:rFonts w:ascii="宋体" w:hAnsi="宋体" w:hint="eastAsia"/>
          <w:color w:val="auto"/>
          <w:szCs w:val="28"/>
        </w:rPr>
        <w:t>《消防设施通用规范》（GB 55036-2022）；</w:t>
      </w:r>
    </w:p>
    <w:p w14:paraId="5937C5B3" w14:textId="77777777" w:rsidR="009219A0" w:rsidRDefault="00000000">
      <w:pPr>
        <w:numPr>
          <w:ilvl w:val="0"/>
          <w:numId w:val="24"/>
        </w:numPr>
        <w:adjustRightInd/>
        <w:snapToGrid/>
        <w:ind w:left="0" w:firstLine="560"/>
        <w:rPr>
          <w:rFonts w:ascii="宋体" w:hAnsi="宋体" w:hint="eastAsia"/>
          <w:color w:val="auto"/>
          <w:szCs w:val="28"/>
        </w:rPr>
      </w:pPr>
      <w:r>
        <w:rPr>
          <w:rFonts w:ascii="宋体" w:hAnsi="宋体" w:hint="eastAsia"/>
          <w:color w:val="auto"/>
          <w:szCs w:val="28"/>
        </w:rPr>
        <w:t>《工作场所有毒气体检测报警装置设置规范》（GBZ/T 223-2009）；</w:t>
      </w:r>
    </w:p>
    <w:p w14:paraId="4BA854A5" w14:textId="77777777" w:rsidR="009219A0" w:rsidRDefault="00000000">
      <w:pPr>
        <w:numPr>
          <w:ilvl w:val="0"/>
          <w:numId w:val="24"/>
        </w:numPr>
        <w:adjustRightInd/>
        <w:snapToGrid/>
        <w:ind w:left="0" w:firstLine="560"/>
        <w:rPr>
          <w:rFonts w:ascii="宋体" w:hAnsi="宋体" w:hint="eastAsia"/>
          <w:color w:val="auto"/>
          <w:szCs w:val="28"/>
        </w:rPr>
      </w:pPr>
      <w:r>
        <w:rPr>
          <w:rFonts w:ascii="宋体" w:hAnsi="宋体" w:hint="eastAsia"/>
          <w:color w:val="auto"/>
          <w:szCs w:val="28"/>
        </w:rPr>
        <w:t>《眼面部防护 应急喷淋和洗眼设备 第1部分：技术要求》（GB/T 38144.1-2019）；</w:t>
      </w:r>
    </w:p>
    <w:p w14:paraId="13C41802" w14:textId="77777777" w:rsidR="009219A0" w:rsidRDefault="00000000">
      <w:pPr>
        <w:numPr>
          <w:ilvl w:val="0"/>
          <w:numId w:val="24"/>
        </w:numPr>
        <w:adjustRightInd/>
        <w:snapToGrid/>
        <w:ind w:left="0" w:firstLine="560"/>
        <w:rPr>
          <w:rFonts w:ascii="宋体" w:hAnsi="宋体" w:hint="eastAsia"/>
          <w:color w:val="auto"/>
          <w:szCs w:val="28"/>
        </w:rPr>
      </w:pPr>
      <w:r>
        <w:rPr>
          <w:rFonts w:ascii="宋体" w:hAnsi="宋体" w:hint="eastAsia"/>
          <w:color w:val="auto"/>
        </w:rPr>
        <w:t>《生产过程安全卫生要求总则》（GB/T12801-2008）</w:t>
      </w:r>
      <w:r>
        <w:rPr>
          <w:rFonts w:ascii="宋体" w:hAnsi="宋体" w:hint="eastAsia"/>
          <w:color w:val="auto"/>
          <w:szCs w:val="28"/>
        </w:rPr>
        <w:t>；</w:t>
      </w:r>
    </w:p>
    <w:p w14:paraId="64D9C4F0" w14:textId="77777777" w:rsidR="009219A0" w:rsidRDefault="00000000">
      <w:pPr>
        <w:numPr>
          <w:ilvl w:val="0"/>
          <w:numId w:val="24"/>
        </w:numPr>
        <w:adjustRightInd/>
        <w:snapToGrid/>
        <w:ind w:left="0" w:firstLine="560"/>
        <w:rPr>
          <w:rFonts w:ascii="宋体" w:hAnsi="宋体" w:hint="eastAsia"/>
          <w:color w:val="auto"/>
          <w:szCs w:val="28"/>
        </w:rPr>
      </w:pPr>
      <w:r>
        <w:rPr>
          <w:rFonts w:ascii="宋体" w:hAnsi="宋体" w:hint="eastAsia"/>
          <w:color w:val="auto"/>
        </w:rPr>
        <w:t>《生产设备安全卫生设计总则》（GB5083-2023）</w:t>
      </w:r>
      <w:r>
        <w:rPr>
          <w:rFonts w:ascii="宋体" w:hAnsi="宋体" w:hint="eastAsia"/>
          <w:color w:val="auto"/>
          <w:szCs w:val="28"/>
        </w:rPr>
        <w:t>；</w:t>
      </w:r>
    </w:p>
    <w:p w14:paraId="11651E95" w14:textId="77777777" w:rsidR="009219A0" w:rsidRDefault="00000000">
      <w:pPr>
        <w:numPr>
          <w:ilvl w:val="0"/>
          <w:numId w:val="24"/>
        </w:numPr>
        <w:adjustRightInd/>
        <w:snapToGrid/>
        <w:ind w:left="0" w:firstLine="560"/>
        <w:rPr>
          <w:rFonts w:ascii="宋体" w:hAnsi="宋体" w:hint="eastAsia"/>
          <w:color w:val="auto"/>
          <w:szCs w:val="28"/>
        </w:rPr>
      </w:pPr>
      <w:r>
        <w:rPr>
          <w:rFonts w:ascii="宋体" w:hAnsi="宋体" w:hint="eastAsia"/>
          <w:color w:val="auto"/>
        </w:rPr>
        <w:t>《工业企业厂内铁路、道路运输安全规程》（GB4387-2008）</w:t>
      </w:r>
      <w:r>
        <w:rPr>
          <w:rFonts w:ascii="宋体" w:hAnsi="宋体" w:hint="eastAsia"/>
          <w:color w:val="auto"/>
          <w:szCs w:val="28"/>
        </w:rPr>
        <w:t>；</w:t>
      </w:r>
    </w:p>
    <w:p w14:paraId="6F52E31D"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《工业企业噪声控制设计规范》（GB/T50087-2013）；</w:t>
      </w:r>
    </w:p>
    <w:p w14:paraId="59DFB716"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《工业建筑防腐蚀设计规范》（GB/T50046-2018）；</w:t>
      </w:r>
    </w:p>
    <w:p w14:paraId="767FA207"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《建筑物防雷设计规范》（GB50057-2010）；</w:t>
      </w:r>
    </w:p>
    <w:p w14:paraId="1977DAFC"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lastRenderedPageBreak/>
        <w:t>《建筑抗震设计标准（2024年版）》（GB50011-2010）；</w:t>
      </w:r>
    </w:p>
    <w:p w14:paraId="2618B384"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《危险化学品重大危险源辨识》（GB18218-2018）；</w:t>
      </w:r>
    </w:p>
    <w:p w14:paraId="1CAB8AC0"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《建筑灭火器配置设计规范》（GB50140-2005）；</w:t>
      </w:r>
    </w:p>
    <w:p w14:paraId="7BF69946"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《工业企业厂界环境噪声排放标准》（GB12348-2008）；</w:t>
      </w:r>
    </w:p>
    <w:p w14:paraId="3E63151B"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《企业职工伤亡事故分类》（GB6441-1986）；</w:t>
      </w:r>
    </w:p>
    <w:p w14:paraId="7A2D7E41"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《安全色》（GB2893-2008）；</w:t>
      </w:r>
    </w:p>
    <w:p w14:paraId="3E516E76"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《安全标志及其使用导则》（GB2894-2008）；</w:t>
      </w:r>
    </w:p>
    <w:p w14:paraId="55077F9B"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《消防安全标志 第1部分：标志》（GB13495.1-2015）；</w:t>
      </w:r>
    </w:p>
    <w:p w14:paraId="1BB735E0"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《消防安全标志设置要求》（GB15630-1995）；</w:t>
      </w:r>
    </w:p>
    <w:p w14:paraId="5E9AA0AC"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《消防给水及消火栓系统技术规范》（GB50974-2014）；</w:t>
      </w:r>
    </w:p>
    <w:p w14:paraId="6D12DF91" w14:textId="77777777" w:rsidR="009219A0" w:rsidRDefault="00000000">
      <w:pPr>
        <w:numPr>
          <w:ilvl w:val="0"/>
          <w:numId w:val="24"/>
        </w:numPr>
        <w:adjustRightInd/>
        <w:snapToGrid/>
        <w:ind w:left="0" w:firstLine="560"/>
        <w:rPr>
          <w:rFonts w:ascii="宋体" w:hAnsi="宋体" w:hint="eastAsia"/>
          <w:color w:val="auto"/>
        </w:rPr>
      </w:pPr>
      <w:bookmarkStart w:id="420" w:name="_Hlk210981037"/>
      <w:r>
        <w:rPr>
          <w:rFonts w:ascii="宋体" w:hAnsi="宋体" w:hint="eastAsia"/>
          <w:color w:val="auto"/>
        </w:rPr>
        <w:t>《消防应急照明和疏散指示系统》（GB17945-2024）</w:t>
      </w:r>
      <w:bookmarkEnd w:id="420"/>
      <w:r>
        <w:rPr>
          <w:rFonts w:ascii="宋体" w:hAnsi="宋体" w:hint="eastAsia"/>
          <w:color w:val="auto"/>
        </w:rPr>
        <w:t>；</w:t>
      </w:r>
    </w:p>
    <w:p w14:paraId="0817ABE6"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《道路交通标志和标线 第1部分：总则》（GB5768.1-2025）；</w:t>
      </w:r>
    </w:p>
    <w:p w14:paraId="0F2A5187"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《道路交通标志和标线 第2部分：道路交通标志》（GB5768.2-2022）；</w:t>
      </w:r>
    </w:p>
    <w:p w14:paraId="658659A5"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《道路交通标志和标线 第3部分：道路交通标线》（GB5768.3-2009）；</w:t>
      </w:r>
    </w:p>
    <w:p w14:paraId="6E29F238" w14:textId="77777777" w:rsidR="009219A0" w:rsidRDefault="00000000">
      <w:pPr>
        <w:numPr>
          <w:ilvl w:val="0"/>
          <w:numId w:val="24"/>
        </w:numPr>
        <w:adjustRightInd/>
        <w:snapToGrid/>
        <w:ind w:left="0" w:firstLine="560"/>
        <w:rPr>
          <w:rFonts w:ascii="宋体" w:hAnsi="宋体" w:hint="eastAsia"/>
          <w:color w:val="auto"/>
        </w:rPr>
      </w:pPr>
      <w:r>
        <w:rPr>
          <w:color w:val="auto"/>
        </w:rPr>
        <w:t>《危险化学品仓库储存通则》</w:t>
      </w:r>
      <w:r>
        <w:rPr>
          <w:rFonts w:ascii="宋体" w:hAnsi="宋体"/>
          <w:color w:val="auto"/>
        </w:rPr>
        <w:t>（GB</w:t>
      </w:r>
      <w:r>
        <w:rPr>
          <w:rFonts w:ascii="宋体" w:hAnsi="宋体" w:hint="eastAsia"/>
          <w:color w:val="auto"/>
        </w:rPr>
        <w:t>15603</w:t>
      </w:r>
      <w:r>
        <w:rPr>
          <w:rFonts w:ascii="宋体" w:hAnsi="宋体"/>
          <w:color w:val="auto"/>
        </w:rPr>
        <w:t>-20</w:t>
      </w:r>
      <w:r>
        <w:rPr>
          <w:rFonts w:ascii="宋体" w:hAnsi="宋体" w:hint="eastAsia"/>
          <w:color w:val="auto"/>
        </w:rPr>
        <w:t>22</w:t>
      </w:r>
      <w:r>
        <w:rPr>
          <w:rFonts w:ascii="宋体" w:hAnsi="宋体"/>
          <w:color w:val="auto"/>
        </w:rPr>
        <w:t>）；</w:t>
      </w:r>
    </w:p>
    <w:p w14:paraId="5A3E4208"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《化学品分类和标签规范 第1部分：通则》（GB 30000.1-2024）；</w:t>
      </w:r>
    </w:p>
    <w:p w14:paraId="21781821" w14:textId="77777777" w:rsidR="009219A0" w:rsidRDefault="00000000">
      <w:pPr>
        <w:numPr>
          <w:ilvl w:val="0"/>
          <w:numId w:val="24"/>
        </w:numPr>
        <w:adjustRightInd/>
        <w:snapToGrid/>
        <w:ind w:left="0" w:firstLine="560"/>
        <w:rPr>
          <w:rFonts w:ascii="宋体" w:hAnsi="宋体" w:hint="eastAsia"/>
        </w:rPr>
      </w:pPr>
      <w:r>
        <w:rPr>
          <w:rFonts w:ascii="宋体" w:hAnsi="宋体" w:hint="eastAsia"/>
          <w:color w:val="auto"/>
        </w:rPr>
        <w:t>《工业金属管道</w:t>
      </w:r>
      <w:r>
        <w:rPr>
          <w:rFonts w:ascii="宋体" w:hAnsi="宋体" w:hint="eastAsia"/>
        </w:rPr>
        <w:t>设计规范》（GB50316-2000（2008版））；</w:t>
      </w:r>
    </w:p>
    <w:p w14:paraId="1742810F" w14:textId="77777777" w:rsidR="009219A0" w:rsidRDefault="00000000">
      <w:pPr>
        <w:numPr>
          <w:ilvl w:val="0"/>
          <w:numId w:val="24"/>
        </w:numPr>
        <w:adjustRightInd/>
        <w:snapToGrid/>
        <w:ind w:left="0" w:firstLine="560"/>
        <w:rPr>
          <w:rFonts w:ascii="宋体" w:hAnsi="宋体" w:hint="eastAsia"/>
        </w:rPr>
      </w:pPr>
      <w:r>
        <w:rPr>
          <w:rFonts w:ascii="宋体" w:hAnsi="宋体" w:hint="eastAsia"/>
        </w:rPr>
        <w:t>《用电安全导则》（GB/T13869-2017）；</w:t>
      </w:r>
    </w:p>
    <w:p w14:paraId="6D5DD278" w14:textId="77777777" w:rsidR="009219A0" w:rsidRDefault="00000000">
      <w:pPr>
        <w:numPr>
          <w:ilvl w:val="0"/>
          <w:numId w:val="24"/>
        </w:numPr>
        <w:adjustRightInd/>
        <w:snapToGrid/>
        <w:ind w:left="0" w:firstLine="560"/>
        <w:rPr>
          <w:rFonts w:ascii="宋体" w:hAnsi="宋体" w:hint="eastAsia"/>
        </w:rPr>
      </w:pPr>
      <w:r>
        <w:rPr>
          <w:rFonts w:ascii="宋体" w:hAnsi="宋体" w:hint="eastAsia"/>
        </w:rPr>
        <w:t>《通用用电设备配电设计规范》（GB50055-2011)；</w:t>
      </w:r>
    </w:p>
    <w:p w14:paraId="4360445F" w14:textId="77777777" w:rsidR="009219A0" w:rsidRDefault="00000000">
      <w:pPr>
        <w:numPr>
          <w:ilvl w:val="0"/>
          <w:numId w:val="24"/>
        </w:numPr>
        <w:adjustRightInd/>
        <w:snapToGrid/>
        <w:ind w:left="0" w:firstLine="560"/>
        <w:rPr>
          <w:rFonts w:ascii="宋体" w:hAnsi="宋体" w:hint="eastAsia"/>
        </w:rPr>
      </w:pPr>
      <w:r>
        <w:rPr>
          <w:rFonts w:ascii="宋体" w:hAnsi="宋体" w:hint="eastAsia"/>
        </w:rPr>
        <w:t>《供配电系统设计规范》（GB50052-2009）；</w:t>
      </w:r>
    </w:p>
    <w:p w14:paraId="5F2BD73D" w14:textId="77777777" w:rsidR="009219A0" w:rsidRDefault="00000000">
      <w:pPr>
        <w:numPr>
          <w:ilvl w:val="0"/>
          <w:numId w:val="24"/>
        </w:numPr>
        <w:adjustRightInd/>
        <w:snapToGrid/>
        <w:ind w:left="0" w:firstLine="560"/>
        <w:rPr>
          <w:rFonts w:ascii="宋体" w:hAnsi="宋体" w:hint="eastAsia"/>
        </w:rPr>
      </w:pPr>
      <w:r>
        <w:rPr>
          <w:rFonts w:ascii="宋体" w:hAnsi="宋体" w:hint="eastAsia"/>
        </w:rPr>
        <w:t>《低压配电设计规范》（GB50054-2011）；</w:t>
      </w:r>
    </w:p>
    <w:p w14:paraId="2FED1A20" w14:textId="77777777" w:rsidR="009219A0" w:rsidRDefault="00000000">
      <w:pPr>
        <w:numPr>
          <w:ilvl w:val="0"/>
          <w:numId w:val="24"/>
        </w:numPr>
        <w:adjustRightInd/>
        <w:snapToGrid/>
        <w:ind w:left="0" w:firstLine="560"/>
        <w:rPr>
          <w:rFonts w:ascii="宋体" w:hAnsi="宋体" w:hint="eastAsia"/>
        </w:rPr>
      </w:pPr>
      <w:r>
        <w:rPr>
          <w:rFonts w:ascii="宋体" w:hAnsi="宋体" w:hint="eastAsia"/>
        </w:rPr>
        <w:t>《防止静电事故通用导则》（GB12158-2006）；</w:t>
      </w:r>
    </w:p>
    <w:p w14:paraId="361004BC" w14:textId="77777777" w:rsidR="009219A0" w:rsidRDefault="00000000">
      <w:pPr>
        <w:numPr>
          <w:ilvl w:val="0"/>
          <w:numId w:val="24"/>
        </w:numPr>
        <w:adjustRightInd/>
        <w:snapToGrid/>
        <w:ind w:left="0" w:firstLine="560"/>
        <w:rPr>
          <w:rFonts w:ascii="宋体" w:hAnsi="宋体" w:hint="eastAsia"/>
        </w:rPr>
      </w:pPr>
      <w:r>
        <w:rPr>
          <w:rFonts w:ascii="宋体" w:hAnsi="宋体" w:hint="eastAsia"/>
        </w:rPr>
        <w:t>《爆炸危险环境电力装置设计规范》（GB50058-2014）；</w:t>
      </w:r>
    </w:p>
    <w:p w14:paraId="1F92623C" w14:textId="77777777" w:rsidR="009219A0" w:rsidRDefault="00000000">
      <w:pPr>
        <w:numPr>
          <w:ilvl w:val="0"/>
          <w:numId w:val="24"/>
        </w:numPr>
        <w:adjustRightInd/>
        <w:snapToGrid/>
        <w:ind w:left="0" w:firstLine="560"/>
        <w:rPr>
          <w:rFonts w:ascii="宋体" w:hAnsi="宋体" w:hint="eastAsia"/>
        </w:rPr>
      </w:pPr>
      <w:r>
        <w:rPr>
          <w:rFonts w:ascii="宋体" w:hAnsi="宋体" w:hint="eastAsia"/>
        </w:rPr>
        <w:lastRenderedPageBreak/>
        <w:t>《手持式电动工具的管理、使用、检查和维修安全技术规程》（GB/T3787-2017）；</w:t>
      </w:r>
    </w:p>
    <w:p w14:paraId="4DCF6BA4"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rPr>
        <w:t>《电力装置的继电保护和自动装置设计规范》</w:t>
      </w:r>
      <w:r>
        <w:rPr>
          <w:rFonts w:ascii="宋体" w:hAnsi="宋体" w:hint="eastAsia"/>
          <w:color w:val="auto"/>
        </w:rPr>
        <w:t>（GB/T50062-2008）；</w:t>
      </w:r>
    </w:p>
    <w:p w14:paraId="2961563C"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《个体防护装备配备规范 第1部分：总则》（GB39800.1-2020）；</w:t>
      </w:r>
    </w:p>
    <w:p w14:paraId="1636059B"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《个体防护装备配备规范 第2部分：石油、化工、天然气》（GB39800.2-2020）；</w:t>
      </w:r>
    </w:p>
    <w:p w14:paraId="3181BB90"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《生产经营单位生产安全事故应急预案编制导则》（GB/T29639-2020）；</w:t>
      </w:r>
    </w:p>
    <w:p w14:paraId="59055C40" w14:textId="77777777" w:rsidR="009219A0" w:rsidRDefault="00000000">
      <w:pPr>
        <w:numPr>
          <w:ilvl w:val="0"/>
          <w:numId w:val="24"/>
        </w:numPr>
        <w:adjustRightInd/>
        <w:snapToGrid/>
        <w:ind w:left="0" w:firstLine="560"/>
        <w:rPr>
          <w:rFonts w:ascii="宋体" w:hAnsi="宋体" w:hint="eastAsia"/>
          <w:color w:val="auto"/>
          <w:szCs w:val="28"/>
        </w:rPr>
      </w:pPr>
      <w:r>
        <w:rPr>
          <w:rFonts w:ascii="宋体" w:hAnsi="宋体" w:hint="eastAsia"/>
          <w:color w:val="auto"/>
          <w:szCs w:val="28"/>
        </w:rPr>
        <w:t>《危险化学品企业特殊作业安全规范》（GB 30871-2022）；</w:t>
      </w:r>
    </w:p>
    <w:p w14:paraId="3DB0F464" w14:textId="77777777" w:rsidR="009219A0" w:rsidRDefault="00000000">
      <w:pPr>
        <w:numPr>
          <w:ilvl w:val="0"/>
          <w:numId w:val="24"/>
        </w:numPr>
        <w:adjustRightInd/>
        <w:snapToGrid/>
        <w:ind w:left="0" w:firstLine="560"/>
        <w:rPr>
          <w:color w:val="auto"/>
          <w:szCs w:val="28"/>
        </w:rPr>
      </w:pPr>
      <w:r>
        <w:rPr>
          <w:rFonts w:ascii="宋体" w:hAnsi="宋体" w:hint="eastAsia"/>
          <w:color w:val="auto"/>
          <w:szCs w:val="28"/>
        </w:rPr>
        <w:t>《生产过程危险和有害因素分类与代码》（GB/T13861-2022）；</w:t>
      </w:r>
    </w:p>
    <w:p w14:paraId="489C84CF" w14:textId="77777777" w:rsidR="009219A0" w:rsidRDefault="00000000">
      <w:pPr>
        <w:numPr>
          <w:ilvl w:val="0"/>
          <w:numId w:val="24"/>
        </w:numPr>
        <w:adjustRightInd/>
        <w:snapToGrid/>
        <w:ind w:left="0" w:firstLine="560"/>
        <w:rPr>
          <w:color w:val="auto"/>
          <w:szCs w:val="28"/>
        </w:rPr>
      </w:pPr>
      <w:r>
        <w:rPr>
          <w:rFonts w:ascii="宋体" w:hAnsi="宋体" w:hint="eastAsia"/>
          <w:color w:val="auto"/>
        </w:rPr>
        <w:t>《采暖通风与空气调节设计规范》（ GB50019-2015）；</w:t>
      </w:r>
    </w:p>
    <w:p w14:paraId="379FC2EE"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《生产安全事故应急演练基本规范》（YJ/T 9007-2019）；</w:t>
      </w:r>
    </w:p>
    <w:p w14:paraId="0705F41D" w14:textId="77777777" w:rsidR="009219A0" w:rsidRDefault="00000000">
      <w:pPr>
        <w:numPr>
          <w:ilvl w:val="0"/>
          <w:numId w:val="24"/>
        </w:numPr>
        <w:adjustRightInd/>
        <w:snapToGrid/>
        <w:ind w:left="0" w:firstLine="560"/>
        <w:rPr>
          <w:rFonts w:ascii="宋体" w:hAnsi="宋体" w:hint="eastAsia"/>
          <w:color w:val="auto"/>
        </w:rPr>
      </w:pPr>
      <w:r>
        <w:rPr>
          <w:rFonts w:ascii="宋体" w:hAnsi="宋体" w:hint="eastAsia"/>
          <w:color w:val="auto"/>
        </w:rPr>
        <w:t>《生产安全事故应急演练评估规范》（YJ/T 9009-2015）；</w:t>
      </w:r>
    </w:p>
    <w:p w14:paraId="0A72B33D" w14:textId="77777777" w:rsidR="009219A0" w:rsidRDefault="00000000">
      <w:pPr>
        <w:numPr>
          <w:ilvl w:val="0"/>
          <w:numId w:val="24"/>
        </w:numPr>
        <w:adjustRightInd/>
        <w:snapToGrid/>
        <w:ind w:left="0" w:firstLine="560"/>
        <w:rPr>
          <w:color w:val="auto"/>
          <w:szCs w:val="28"/>
        </w:rPr>
      </w:pPr>
      <w:r>
        <w:rPr>
          <w:rFonts w:ascii="宋体" w:hAnsi="宋体" w:hint="eastAsia"/>
          <w:color w:val="auto"/>
        </w:rPr>
        <w:t>《化学化工实验室安全管理规范》（T/CCSAS 005-2019）；</w:t>
      </w:r>
    </w:p>
    <w:p w14:paraId="6D52CF33" w14:textId="77777777" w:rsidR="009219A0" w:rsidRDefault="00000000">
      <w:pPr>
        <w:numPr>
          <w:ilvl w:val="0"/>
          <w:numId w:val="24"/>
        </w:numPr>
        <w:adjustRightInd/>
        <w:snapToGrid/>
        <w:ind w:left="0" w:firstLine="560"/>
        <w:rPr>
          <w:color w:val="auto"/>
          <w:szCs w:val="28"/>
        </w:rPr>
      </w:pPr>
      <w:r>
        <w:rPr>
          <w:rFonts w:hint="eastAsia"/>
          <w:color w:val="auto"/>
          <w:szCs w:val="28"/>
        </w:rPr>
        <w:t>《工作场所有害因素职业接触限值</w:t>
      </w:r>
      <w:r>
        <w:rPr>
          <w:rFonts w:hint="eastAsia"/>
          <w:color w:val="auto"/>
          <w:szCs w:val="28"/>
        </w:rPr>
        <w:t xml:space="preserve"> </w:t>
      </w:r>
      <w:r>
        <w:rPr>
          <w:rFonts w:hint="eastAsia"/>
          <w:color w:val="auto"/>
          <w:szCs w:val="28"/>
        </w:rPr>
        <w:t>第</w:t>
      </w:r>
      <w:r>
        <w:rPr>
          <w:rFonts w:hint="eastAsia"/>
          <w:color w:val="auto"/>
          <w:szCs w:val="28"/>
        </w:rPr>
        <w:t>1</w:t>
      </w:r>
      <w:r>
        <w:rPr>
          <w:rFonts w:hint="eastAsia"/>
          <w:color w:val="auto"/>
          <w:szCs w:val="28"/>
        </w:rPr>
        <w:t>部分：化学有害因素》（</w:t>
      </w:r>
      <w:r>
        <w:rPr>
          <w:rFonts w:hint="eastAsia"/>
          <w:color w:val="auto"/>
          <w:szCs w:val="28"/>
        </w:rPr>
        <w:t>GBZ 2.1-2019</w:t>
      </w:r>
      <w:r>
        <w:rPr>
          <w:rFonts w:hint="eastAsia"/>
          <w:color w:val="auto"/>
          <w:szCs w:val="28"/>
        </w:rPr>
        <w:t>）；</w:t>
      </w:r>
    </w:p>
    <w:p w14:paraId="1CE3BF88" w14:textId="77777777" w:rsidR="009219A0" w:rsidRDefault="00000000">
      <w:pPr>
        <w:numPr>
          <w:ilvl w:val="0"/>
          <w:numId w:val="24"/>
        </w:numPr>
        <w:adjustRightInd/>
        <w:snapToGrid/>
        <w:ind w:left="0" w:firstLine="560"/>
        <w:rPr>
          <w:rFonts w:ascii="宋体" w:hAnsi="宋体" w:hint="eastAsia"/>
          <w:color w:val="auto"/>
          <w:szCs w:val="28"/>
        </w:rPr>
      </w:pPr>
      <w:r>
        <w:rPr>
          <w:rFonts w:ascii="宋体" w:hAnsi="宋体" w:hint="eastAsia"/>
          <w:color w:val="auto"/>
        </w:rPr>
        <w:t>《固定式压力容器安全技术监察规程》（TSG21-2016）；</w:t>
      </w:r>
    </w:p>
    <w:p w14:paraId="68377C60" w14:textId="77777777" w:rsidR="009219A0" w:rsidRDefault="00000000">
      <w:pPr>
        <w:numPr>
          <w:ilvl w:val="0"/>
          <w:numId w:val="24"/>
        </w:numPr>
        <w:adjustRightInd/>
        <w:snapToGrid/>
        <w:ind w:left="0" w:firstLine="560"/>
        <w:rPr>
          <w:rFonts w:asciiTheme="minorEastAsia" w:eastAsiaTheme="minorEastAsia" w:hAnsiTheme="minorEastAsia" w:hint="eastAsia"/>
          <w:color w:val="auto"/>
        </w:rPr>
      </w:pPr>
      <w:r>
        <w:rPr>
          <w:rFonts w:asciiTheme="minorEastAsia" w:eastAsiaTheme="minorEastAsia" w:hAnsiTheme="minorEastAsia" w:hint="eastAsia"/>
          <w:color w:val="auto"/>
        </w:rPr>
        <w:t>《腐蚀性商品储存养护技术条件》（GB17915-2013）；</w:t>
      </w:r>
    </w:p>
    <w:p w14:paraId="33AB6304" w14:textId="77777777" w:rsidR="009219A0" w:rsidRDefault="00000000">
      <w:pPr>
        <w:numPr>
          <w:ilvl w:val="0"/>
          <w:numId w:val="24"/>
        </w:numPr>
        <w:adjustRightInd/>
        <w:snapToGrid/>
        <w:ind w:left="0" w:firstLine="560"/>
        <w:rPr>
          <w:rFonts w:asciiTheme="minorEastAsia" w:eastAsiaTheme="minorEastAsia" w:hAnsiTheme="minorEastAsia" w:hint="eastAsia"/>
          <w:color w:val="auto"/>
        </w:rPr>
      </w:pPr>
      <w:r>
        <w:rPr>
          <w:rFonts w:asciiTheme="minorEastAsia" w:eastAsiaTheme="minorEastAsia" w:hAnsiTheme="minorEastAsia" w:hint="eastAsia"/>
          <w:color w:val="auto"/>
        </w:rPr>
        <w:t>《带式输送机 安全规范》（GB 14784-2013）；</w:t>
      </w:r>
    </w:p>
    <w:p w14:paraId="510258C2" w14:textId="77777777" w:rsidR="009219A0" w:rsidRDefault="00000000">
      <w:pPr>
        <w:numPr>
          <w:ilvl w:val="0"/>
          <w:numId w:val="24"/>
        </w:numPr>
        <w:adjustRightInd/>
        <w:snapToGrid/>
        <w:ind w:left="0" w:firstLine="560"/>
        <w:rPr>
          <w:color w:val="auto"/>
          <w:szCs w:val="28"/>
        </w:rPr>
      </w:pPr>
      <w:r>
        <w:rPr>
          <w:rFonts w:asciiTheme="minorEastAsia" w:eastAsiaTheme="minorEastAsia" w:hAnsiTheme="minorEastAsia" w:hint="eastAsia"/>
          <w:color w:val="auto"/>
        </w:rPr>
        <w:t>《有限空间作业安全技术规范》（DB11/T 852-2019）</w:t>
      </w:r>
      <w:r>
        <w:rPr>
          <w:rFonts w:asciiTheme="minorEastAsia" w:eastAsiaTheme="minorEastAsia" w:hAnsiTheme="minorEastAsia"/>
          <w:color w:val="auto"/>
        </w:rPr>
        <w:t>。</w:t>
      </w:r>
    </w:p>
    <w:p w14:paraId="6213EF2E" w14:textId="77777777" w:rsidR="009219A0" w:rsidRDefault="00000000">
      <w:pPr>
        <w:pStyle w:val="2"/>
        <w:rPr>
          <w:rFonts w:hint="eastAsia"/>
        </w:rPr>
      </w:pPr>
      <w:bookmarkStart w:id="421" w:name="_Toc165281500"/>
      <w:bookmarkStart w:id="422" w:name="_Toc17920"/>
      <w:bookmarkStart w:id="423" w:name="_Toc211950545"/>
      <w:r>
        <w:rPr>
          <w:rFonts w:hint="eastAsia"/>
        </w:rPr>
        <w:t>6.6 被评价单位提供的相关资料</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21"/>
      <w:bookmarkEnd w:id="422"/>
      <w:bookmarkEnd w:id="423"/>
    </w:p>
    <w:p w14:paraId="31CB9659" w14:textId="77777777" w:rsidR="009219A0" w:rsidRDefault="00000000">
      <w:pPr>
        <w:ind w:firstLine="560"/>
        <w:rPr>
          <w:color w:val="auto"/>
        </w:rPr>
      </w:pPr>
      <w:r>
        <w:rPr>
          <w:rFonts w:hint="eastAsia"/>
          <w:color w:val="auto"/>
        </w:rPr>
        <w:t>（</w:t>
      </w:r>
      <w:r>
        <w:rPr>
          <w:rFonts w:hint="eastAsia"/>
          <w:color w:val="auto"/>
        </w:rPr>
        <w:t>1</w:t>
      </w:r>
      <w:r>
        <w:rPr>
          <w:rFonts w:hint="eastAsia"/>
          <w:color w:val="auto"/>
        </w:rPr>
        <w:t>）安全验收评价委托书；</w:t>
      </w:r>
    </w:p>
    <w:p w14:paraId="6A53979E" w14:textId="77777777" w:rsidR="009219A0" w:rsidRDefault="00000000">
      <w:pPr>
        <w:ind w:firstLine="560"/>
        <w:rPr>
          <w:color w:val="auto"/>
        </w:rPr>
      </w:pPr>
      <w:r>
        <w:rPr>
          <w:rFonts w:hint="eastAsia"/>
          <w:color w:val="auto"/>
        </w:rPr>
        <w:t>（</w:t>
      </w:r>
      <w:r>
        <w:rPr>
          <w:rFonts w:hint="eastAsia"/>
          <w:color w:val="auto"/>
        </w:rPr>
        <w:t>2</w:t>
      </w:r>
      <w:r>
        <w:rPr>
          <w:rFonts w:hint="eastAsia"/>
          <w:color w:val="auto"/>
        </w:rPr>
        <w:t>）营业执照；</w:t>
      </w:r>
    </w:p>
    <w:p w14:paraId="23EC6696" w14:textId="77777777" w:rsidR="009219A0" w:rsidRDefault="00000000">
      <w:pPr>
        <w:ind w:firstLine="560"/>
        <w:rPr>
          <w:color w:val="auto"/>
        </w:rPr>
      </w:pPr>
      <w:r>
        <w:rPr>
          <w:rFonts w:hint="eastAsia"/>
          <w:color w:val="auto"/>
        </w:rPr>
        <w:t>（</w:t>
      </w:r>
      <w:r>
        <w:rPr>
          <w:rFonts w:hint="eastAsia"/>
          <w:color w:val="auto"/>
        </w:rPr>
        <w:t>3</w:t>
      </w:r>
      <w:r>
        <w:rPr>
          <w:rFonts w:hint="eastAsia"/>
          <w:color w:val="auto"/>
        </w:rPr>
        <w:t>）</w:t>
      </w:r>
      <w:bookmarkStart w:id="424" w:name="_Toc342479347"/>
      <w:bookmarkStart w:id="425" w:name="_Toc339727429"/>
      <w:bookmarkStart w:id="426" w:name="_Toc392234471"/>
      <w:bookmarkStart w:id="427" w:name="_Toc338949237"/>
      <w:bookmarkStart w:id="428" w:name="_Toc424062636"/>
      <w:r>
        <w:rPr>
          <w:rFonts w:hint="eastAsia"/>
          <w:color w:val="auto"/>
        </w:rPr>
        <w:t>其它相关技术资料</w:t>
      </w:r>
      <w:bookmarkEnd w:id="424"/>
      <w:bookmarkEnd w:id="425"/>
      <w:bookmarkEnd w:id="426"/>
      <w:bookmarkEnd w:id="427"/>
      <w:bookmarkEnd w:id="428"/>
      <w:r>
        <w:rPr>
          <w:rFonts w:hint="eastAsia"/>
          <w:color w:val="auto"/>
        </w:rPr>
        <w:t>。</w:t>
      </w:r>
      <w:bookmarkEnd w:id="239"/>
      <w:bookmarkEnd w:id="240"/>
    </w:p>
    <w:p w14:paraId="3F284855" w14:textId="77777777" w:rsidR="009219A0" w:rsidRDefault="00000000">
      <w:pPr>
        <w:pStyle w:val="1"/>
        <w:keepNext w:val="0"/>
        <w:keepLines w:val="0"/>
        <w:textAlignment w:val="center"/>
        <w:rPr>
          <w:rFonts w:ascii="宋体" w:hAnsi="宋体" w:hint="eastAsia"/>
          <w:b/>
          <w:bCs w:val="0"/>
          <w:color w:val="auto"/>
          <w:szCs w:val="20"/>
        </w:rPr>
      </w:pPr>
      <w:bookmarkStart w:id="429" w:name="_Toc332670317"/>
      <w:bookmarkStart w:id="430" w:name="_Toc182625085"/>
      <w:bookmarkStart w:id="431" w:name="_Toc31008_WPSOffice_Level1"/>
      <w:bookmarkStart w:id="432" w:name="_Toc509659555"/>
      <w:bookmarkStart w:id="433" w:name="_Toc272416103"/>
      <w:bookmarkStart w:id="434" w:name="_Toc187718335"/>
      <w:bookmarkStart w:id="435" w:name="_Toc3522_WPSOffice_Level1"/>
      <w:bookmarkStart w:id="436" w:name="_Toc165281501"/>
      <w:bookmarkStart w:id="437" w:name="_Toc211950546"/>
      <w:r>
        <w:rPr>
          <w:rFonts w:ascii="宋体" w:hAnsi="宋体" w:hint="eastAsia"/>
          <w:b/>
          <w:bCs w:val="0"/>
          <w:color w:val="auto"/>
          <w:szCs w:val="20"/>
        </w:rPr>
        <w:lastRenderedPageBreak/>
        <w:t>附件</w:t>
      </w:r>
      <w:bookmarkEnd w:id="429"/>
      <w:bookmarkEnd w:id="430"/>
      <w:bookmarkEnd w:id="431"/>
      <w:bookmarkEnd w:id="432"/>
      <w:bookmarkEnd w:id="433"/>
      <w:bookmarkEnd w:id="434"/>
      <w:bookmarkEnd w:id="435"/>
      <w:r>
        <w:rPr>
          <w:rFonts w:ascii="宋体" w:hAnsi="宋体" w:hint="eastAsia"/>
          <w:b/>
          <w:bCs w:val="0"/>
          <w:color w:val="auto"/>
          <w:szCs w:val="20"/>
        </w:rPr>
        <w:t>7  企业提供的原始资料</w:t>
      </w:r>
      <w:bookmarkEnd w:id="436"/>
      <w:bookmarkEnd w:id="437"/>
    </w:p>
    <w:p w14:paraId="076BB56E"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附件7.1 安全评价委托书</w:t>
      </w:r>
    </w:p>
    <w:p w14:paraId="4A1BFA8D"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附件7.2 材料真实性承诺书</w:t>
      </w:r>
    </w:p>
    <w:p w14:paraId="2E67D8E7"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附件7.3 营业执照</w:t>
      </w:r>
    </w:p>
    <w:p w14:paraId="60F8DC0D"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 xml:space="preserve">附件7.4投资备案证 </w:t>
      </w:r>
    </w:p>
    <w:p w14:paraId="461EB929"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附件7.5</w:t>
      </w:r>
      <w:r>
        <w:rPr>
          <w:rFonts w:asciiTheme="minorEastAsia" w:eastAsiaTheme="minorEastAsia" w:hAnsiTheme="minorEastAsia" w:hint="eastAsia"/>
          <w:color w:val="auto"/>
          <w:szCs w:val="28"/>
        </w:rPr>
        <w:t>安全生产条件和设施综合分析报告封面及目录</w:t>
      </w:r>
    </w:p>
    <w:p w14:paraId="23B23CF4"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附件7.6</w:t>
      </w:r>
      <w:r>
        <w:rPr>
          <w:rFonts w:asciiTheme="minorEastAsia" w:eastAsiaTheme="minorEastAsia" w:hAnsiTheme="minorEastAsia" w:hint="eastAsia"/>
          <w:color w:val="auto"/>
          <w:szCs w:val="28"/>
        </w:rPr>
        <w:t>安全设施设计封面、资质、目录、专家审查意见</w:t>
      </w:r>
    </w:p>
    <w:p w14:paraId="07D91511" w14:textId="77777777" w:rsidR="009219A0" w:rsidRDefault="00000000">
      <w:pPr>
        <w:pStyle w:val="11"/>
        <w:adjustRightInd/>
        <w:snapToGrid/>
        <w:ind w:left="560" w:firstLineChars="0" w:firstLine="0"/>
        <w:rPr>
          <w:rFonts w:asciiTheme="minorEastAsia" w:eastAsiaTheme="minorEastAsia" w:hAnsiTheme="minorEastAsia" w:hint="eastAsia"/>
          <w:color w:val="auto"/>
        </w:rPr>
      </w:pPr>
      <w:bookmarkStart w:id="438" w:name="_Toc25158213"/>
      <w:r>
        <w:rPr>
          <w:rFonts w:asciiTheme="minorEastAsia" w:eastAsiaTheme="minorEastAsia" w:hAnsiTheme="minorEastAsia" w:hint="eastAsia"/>
          <w:color w:val="auto"/>
        </w:rPr>
        <w:t>附件7.7</w:t>
      </w:r>
      <w:bookmarkEnd w:id="438"/>
      <w:r>
        <w:rPr>
          <w:rFonts w:asciiTheme="minorEastAsia" w:eastAsiaTheme="minorEastAsia" w:hAnsiTheme="minorEastAsia" w:hint="eastAsia"/>
          <w:color w:val="auto"/>
          <w:szCs w:val="28"/>
        </w:rPr>
        <w:t>施工单位营业执照、资质证书</w:t>
      </w:r>
    </w:p>
    <w:p w14:paraId="2E09D809" w14:textId="77777777" w:rsidR="009219A0" w:rsidRDefault="00000000">
      <w:pPr>
        <w:pStyle w:val="11"/>
        <w:adjustRightInd/>
        <w:snapToGrid/>
        <w:ind w:left="560" w:firstLineChars="0" w:firstLine="0"/>
        <w:rPr>
          <w:rFonts w:asciiTheme="minorEastAsia" w:eastAsiaTheme="minorEastAsia" w:hAnsiTheme="minorEastAsia" w:hint="eastAsia"/>
          <w:color w:val="auto"/>
          <w:szCs w:val="28"/>
        </w:rPr>
      </w:pPr>
      <w:r>
        <w:rPr>
          <w:rFonts w:asciiTheme="minorEastAsia" w:eastAsiaTheme="minorEastAsia" w:hAnsiTheme="minorEastAsia" w:hint="eastAsia"/>
          <w:color w:val="auto"/>
        </w:rPr>
        <w:t>附件7.8</w:t>
      </w:r>
      <w:r>
        <w:rPr>
          <w:rFonts w:asciiTheme="minorEastAsia" w:eastAsiaTheme="minorEastAsia" w:hAnsiTheme="minorEastAsia" w:hint="eastAsia"/>
          <w:color w:val="auto"/>
          <w:szCs w:val="28"/>
        </w:rPr>
        <w:t>监理情况报告</w:t>
      </w:r>
    </w:p>
    <w:p w14:paraId="4AB1A736"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szCs w:val="28"/>
        </w:rPr>
        <w:t>附件</w:t>
      </w:r>
      <w:r>
        <w:rPr>
          <w:rFonts w:asciiTheme="minorEastAsia" w:eastAsiaTheme="minorEastAsia" w:hAnsiTheme="minorEastAsia" w:hint="eastAsia"/>
          <w:color w:val="auto"/>
        </w:rPr>
        <w:t>7.9</w:t>
      </w:r>
      <w:r>
        <w:rPr>
          <w:rFonts w:asciiTheme="minorEastAsia" w:eastAsiaTheme="minorEastAsia" w:hAnsiTheme="minorEastAsia" w:hint="eastAsia"/>
          <w:color w:val="auto"/>
          <w:szCs w:val="28"/>
        </w:rPr>
        <w:t>企业主要负责人、安全管理人员安全生产知识和管理能力考核合格证</w:t>
      </w:r>
    </w:p>
    <w:p w14:paraId="1C68A992"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附件7.10特种作业人员证书（电工）</w:t>
      </w:r>
    </w:p>
    <w:p w14:paraId="763E0F8A"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szCs w:val="28"/>
        </w:rPr>
        <w:t>附件7.11企业缴纳工伤保险证明</w:t>
      </w:r>
    </w:p>
    <w:p w14:paraId="45E7289A"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附件7.12</w:t>
      </w:r>
      <w:r>
        <w:rPr>
          <w:rFonts w:asciiTheme="minorEastAsia" w:eastAsiaTheme="minorEastAsia" w:hAnsiTheme="minorEastAsia" w:hint="eastAsia"/>
          <w:color w:val="auto"/>
          <w:szCs w:val="28"/>
        </w:rPr>
        <w:t>劳动用品发放记录</w:t>
      </w:r>
    </w:p>
    <w:p w14:paraId="500D855E" w14:textId="77777777" w:rsidR="009219A0" w:rsidRDefault="00000000">
      <w:pPr>
        <w:pStyle w:val="11"/>
        <w:tabs>
          <w:tab w:val="left" w:pos="3615"/>
        </w:tabs>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附件7.13安全员任命通知</w:t>
      </w:r>
    </w:p>
    <w:p w14:paraId="31C256CB"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附件7.14</w:t>
      </w:r>
      <w:r>
        <w:rPr>
          <w:rFonts w:asciiTheme="minorEastAsia" w:eastAsiaTheme="minorEastAsia" w:hAnsiTheme="minorEastAsia" w:hint="eastAsia"/>
          <w:color w:val="auto"/>
          <w:szCs w:val="28"/>
        </w:rPr>
        <w:t>公司安全机构成立文件</w:t>
      </w:r>
    </w:p>
    <w:p w14:paraId="078875F4"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附件7.15</w:t>
      </w:r>
      <w:r>
        <w:rPr>
          <w:rFonts w:asciiTheme="minorEastAsia" w:eastAsiaTheme="minorEastAsia" w:hAnsiTheme="minorEastAsia" w:hint="eastAsia"/>
          <w:color w:val="auto"/>
          <w:szCs w:val="28"/>
        </w:rPr>
        <w:t>应急物资清单</w:t>
      </w:r>
    </w:p>
    <w:p w14:paraId="1921BAB4"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附件7.16试生产方案封面、目录</w:t>
      </w:r>
    </w:p>
    <w:p w14:paraId="3E04538C"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附件7.17试生产总结报告封面、目录、结论</w:t>
      </w:r>
    </w:p>
    <w:p w14:paraId="4705F8A0"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附件7.18</w:t>
      </w:r>
      <w:r>
        <w:rPr>
          <w:rFonts w:asciiTheme="minorEastAsia" w:eastAsiaTheme="minorEastAsia" w:hAnsiTheme="minorEastAsia" w:hint="eastAsia"/>
          <w:color w:val="auto"/>
          <w:szCs w:val="28"/>
        </w:rPr>
        <w:t>生产安全事故应急预案封面、目录、备案登记证</w:t>
      </w:r>
    </w:p>
    <w:p w14:paraId="4B1FF900"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附件7.19应急演练记录</w:t>
      </w:r>
    </w:p>
    <w:p w14:paraId="24A05DE7"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附件7.20</w:t>
      </w:r>
      <w:r>
        <w:rPr>
          <w:rFonts w:asciiTheme="minorEastAsia" w:eastAsiaTheme="minorEastAsia" w:hAnsiTheme="minorEastAsia" w:hint="eastAsia"/>
          <w:szCs w:val="28"/>
        </w:rPr>
        <w:t>安全教育培训记录</w:t>
      </w:r>
    </w:p>
    <w:p w14:paraId="373F25C9"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附件7.21特种设备使用登记证、管理人员证书</w:t>
      </w:r>
    </w:p>
    <w:p w14:paraId="0C9952B6"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附件7.22</w:t>
      </w:r>
      <w:r>
        <w:rPr>
          <w:rFonts w:asciiTheme="minorEastAsia" w:eastAsiaTheme="minorEastAsia" w:hAnsiTheme="minorEastAsia" w:hint="eastAsia"/>
          <w:szCs w:val="28"/>
        </w:rPr>
        <w:t>有毒气体检测器检验报告</w:t>
      </w:r>
    </w:p>
    <w:p w14:paraId="7106B68E"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t>附件7.23</w:t>
      </w:r>
      <w:r>
        <w:rPr>
          <w:rFonts w:asciiTheme="minorEastAsia" w:eastAsiaTheme="minorEastAsia" w:hAnsiTheme="minorEastAsia" w:hint="eastAsia"/>
          <w:szCs w:val="28"/>
        </w:rPr>
        <w:t>安全操作规程封面及目录</w:t>
      </w:r>
    </w:p>
    <w:p w14:paraId="29964665" w14:textId="77777777" w:rsidR="009219A0" w:rsidRDefault="00000000">
      <w:pPr>
        <w:pStyle w:val="11"/>
        <w:adjustRightInd/>
        <w:snapToGrid/>
        <w:ind w:left="560" w:firstLineChars="0" w:firstLine="0"/>
        <w:rPr>
          <w:rFonts w:asciiTheme="minorEastAsia" w:eastAsiaTheme="minorEastAsia" w:hAnsiTheme="minorEastAsia" w:hint="eastAsia"/>
          <w:color w:val="auto"/>
        </w:rPr>
      </w:pPr>
      <w:r>
        <w:rPr>
          <w:rFonts w:asciiTheme="minorEastAsia" w:eastAsiaTheme="minorEastAsia" w:hAnsiTheme="minorEastAsia" w:hint="eastAsia"/>
          <w:color w:val="auto"/>
        </w:rPr>
        <w:lastRenderedPageBreak/>
        <w:t>附件7.24</w:t>
      </w:r>
      <w:r>
        <w:rPr>
          <w:rFonts w:asciiTheme="minorEastAsia" w:eastAsiaTheme="minorEastAsia" w:hAnsiTheme="minorEastAsia" w:hint="eastAsia"/>
          <w:szCs w:val="28"/>
        </w:rPr>
        <w:t>安全生产管理制度封面及目录</w:t>
      </w:r>
    </w:p>
    <w:p w14:paraId="05175E3F" w14:textId="77777777" w:rsidR="009219A0" w:rsidRDefault="00000000">
      <w:pPr>
        <w:pStyle w:val="11"/>
        <w:adjustRightInd/>
        <w:snapToGrid/>
        <w:ind w:left="560" w:firstLineChars="0" w:firstLine="0"/>
        <w:rPr>
          <w:rFonts w:asciiTheme="minorEastAsia" w:eastAsiaTheme="minorEastAsia" w:hAnsiTheme="minorEastAsia" w:hint="eastAsia"/>
          <w:color w:val="auto"/>
          <w:szCs w:val="28"/>
        </w:rPr>
      </w:pPr>
      <w:r>
        <w:rPr>
          <w:rFonts w:asciiTheme="minorEastAsia" w:eastAsiaTheme="minorEastAsia" w:hAnsiTheme="minorEastAsia" w:hint="eastAsia"/>
          <w:color w:val="auto"/>
        </w:rPr>
        <w:t>附件7.25</w:t>
      </w:r>
      <w:r>
        <w:rPr>
          <w:rFonts w:asciiTheme="minorEastAsia" w:eastAsiaTheme="minorEastAsia" w:hAnsiTheme="minorEastAsia" w:hint="eastAsia"/>
          <w:color w:val="auto"/>
          <w:szCs w:val="28"/>
        </w:rPr>
        <w:t>防雷装置检测报告</w:t>
      </w:r>
    </w:p>
    <w:p w14:paraId="6C874A49" w14:textId="77777777" w:rsidR="009219A0" w:rsidRDefault="00000000">
      <w:pPr>
        <w:pStyle w:val="11"/>
        <w:adjustRightInd/>
        <w:snapToGrid/>
        <w:ind w:left="560" w:firstLineChars="0" w:firstLine="0"/>
        <w:rPr>
          <w:rFonts w:asciiTheme="minorEastAsia" w:eastAsiaTheme="minorEastAsia" w:hAnsiTheme="minorEastAsia" w:hint="eastAsia"/>
          <w:color w:val="auto"/>
          <w:szCs w:val="28"/>
        </w:rPr>
      </w:pPr>
      <w:r>
        <w:rPr>
          <w:rFonts w:asciiTheme="minorEastAsia" w:eastAsiaTheme="minorEastAsia" w:hAnsiTheme="minorEastAsia" w:hint="eastAsia"/>
          <w:color w:val="auto"/>
          <w:szCs w:val="28"/>
        </w:rPr>
        <w:t>附件</w:t>
      </w:r>
      <w:r>
        <w:rPr>
          <w:rFonts w:asciiTheme="minorEastAsia" w:eastAsiaTheme="minorEastAsia" w:hAnsiTheme="minorEastAsia" w:hint="eastAsia"/>
          <w:color w:val="auto"/>
        </w:rPr>
        <w:t>7.26</w:t>
      </w:r>
      <w:r>
        <w:rPr>
          <w:rFonts w:asciiTheme="minorEastAsia" w:eastAsiaTheme="minorEastAsia" w:hAnsiTheme="minorEastAsia" w:hint="eastAsia"/>
          <w:color w:val="auto"/>
          <w:szCs w:val="28"/>
        </w:rPr>
        <w:t>安全隐患整改报告</w:t>
      </w:r>
    </w:p>
    <w:p w14:paraId="1D39C397" w14:textId="77777777" w:rsidR="009219A0" w:rsidRDefault="00000000">
      <w:pPr>
        <w:pStyle w:val="11"/>
        <w:adjustRightInd/>
        <w:snapToGrid/>
        <w:ind w:left="560" w:firstLineChars="0" w:firstLine="0"/>
        <w:rPr>
          <w:rFonts w:asciiTheme="minorEastAsia" w:eastAsiaTheme="minorEastAsia" w:hAnsiTheme="minorEastAsia" w:hint="eastAsia"/>
          <w:color w:val="auto"/>
          <w:szCs w:val="28"/>
        </w:rPr>
      </w:pPr>
      <w:r>
        <w:rPr>
          <w:rFonts w:asciiTheme="minorEastAsia" w:eastAsiaTheme="minorEastAsia" w:hAnsiTheme="minorEastAsia" w:hint="eastAsia"/>
          <w:color w:val="auto"/>
          <w:szCs w:val="28"/>
        </w:rPr>
        <w:t>附件</w:t>
      </w:r>
      <w:r>
        <w:rPr>
          <w:rFonts w:asciiTheme="minorEastAsia" w:eastAsiaTheme="minorEastAsia" w:hAnsiTheme="minorEastAsia" w:hint="eastAsia"/>
          <w:color w:val="auto"/>
        </w:rPr>
        <w:t>7.27</w:t>
      </w:r>
      <w:r>
        <w:rPr>
          <w:rFonts w:asciiTheme="minorEastAsia" w:eastAsiaTheme="minorEastAsia" w:hAnsiTheme="minorEastAsia" w:hint="eastAsia"/>
          <w:color w:val="auto"/>
          <w:szCs w:val="28"/>
        </w:rPr>
        <w:t>安全验收专家评审会后现场整改报告</w:t>
      </w:r>
    </w:p>
    <w:p w14:paraId="4C112F14" w14:textId="77777777" w:rsidR="009219A0" w:rsidRDefault="009219A0">
      <w:pPr>
        <w:pStyle w:val="11"/>
        <w:adjustRightInd/>
        <w:snapToGrid/>
        <w:ind w:left="560" w:firstLineChars="0" w:firstLine="0"/>
        <w:rPr>
          <w:rFonts w:asciiTheme="minorEastAsia" w:eastAsiaTheme="minorEastAsia" w:hAnsiTheme="minorEastAsia" w:hint="eastAsia"/>
          <w:color w:val="auto"/>
          <w:szCs w:val="28"/>
        </w:rPr>
      </w:pPr>
    </w:p>
    <w:p w14:paraId="4A47E716" w14:textId="77777777" w:rsidR="009219A0" w:rsidRDefault="00000000">
      <w:pPr>
        <w:pStyle w:val="11"/>
        <w:adjustRightInd/>
        <w:snapToGrid/>
        <w:ind w:left="560" w:firstLineChars="0" w:firstLine="0"/>
        <w:rPr>
          <w:rFonts w:asciiTheme="minorEastAsia" w:eastAsiaTheme="minorEastAsia" w:hAnsiTheme="minorEastAsia" w:hint="eastAsia"/>
          <w:color w:val="auto"/>
          <w:szCs w:val="28"/>
        </w:rPr>
      </w:pPr>
      <w:r>
        <w:rPr>
          <w:rFonts w:asciiTheme="minorEastAsia" w:eastAsiaTheme="minorEastAsia" w:hAnsiTheme="minorEastAsia" w:hint="eastAsia"/>
          <w:color w:val="auto"/>
          <w:szCs w:val="28"/>
        </w:rPr>
        <w:t>附图</w:t>
      </w:r>
    </w:p>
    <w:p w14:paraId="43790225" w14:textId="77777777" w:rsidR="009219A0" w:rsidRDefault="00000000">
      <w:pPr>
        <w:pStyle w:val="11"/>
        <w:adjustRightInd/>
        <w:snapToGrid/>
        <w:ind w:left="560" w:firstLineChars="0" w:firstLine="0"/>
        <w:rPr>
          <w:rFonts w:asciiTheme="minorEastAsia" w:eastAsiaTheme="minorEastAsia" w:hAnsiTheme="minorEastAsia" w:hint="eastAsia"/>
          <w:color w:val="auto"/>
          <w:szCs w:val="28"/>
        </w:rPr>
      </w:pPr>
      <w:r>
        <w:rPr>
          <w:rFonts w:asciiTheme="minorEastAsia" w:eastAsiaTheme="minorEastAsia" w:hAnsiTheme="minorEastAsia" w:hint="eastAsia"/>
          <w:color w:val="auto"/>
          <w:szCs w:val="28"/>
        </w:rPr>
        <w:t>1.总平面布置图（竣工图）</w:t>
      </w:r>
    </w:p>
    <w:p w14:paraId="14542667" w14:textId="77777777" w:rsidR="009219A0" w:rsidRDefault="00000000">
      <w:pPr>
        <w:pStyle w:val="11"/>
        <w:adjustRightInd/>
        <w:snapToGrid/>
        <w:ind w:left="560" w:firstLineChars="0" w:firstLine="0"/>
        <w:rPr>
          <w:rFonts w:ascii="宋体" w:hAnsi="宋体" w:hint="eastAsia"/>
          <w:color w:val="auto"/>
          <w:szCs w:val="28"/>
        </w:rPr>
      </w:pPr>
      <w:r>
        <w:rPr>
          <w:rFonts w:asciiTheme="minorEastAsia" w:eastAsiaTheme="minorEastAsia" w:hAnsiTheme="minorEastAsia" w:hint="eastAsia"/>
          <w:color w:val="auto"/>
          <w:szCs w:val="28"/>
        </w:rPr>
        <w:t>2.有毒气体检测布置图（竣工图）</w:t>
      </w:r>
    </w:p>
    <w:sectPr w:rsidR="009219A0">
      <w:pgSz w:w="11906" w:h="16838"/>
      <w:pgMar w:top="1418" w:right="1418" w:bottom="1588" w:left="1418"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044EB" w14:textId="77777777" w:rsidR="00CE10BC" w:rsidRDefault="00CE10BC">
      <w:pPr>
        <w:spacing w:line="240" w:lineRule="auto"/>
        <w:ind w:firstLine="560"/>
      </w:pPr>
      <w:r>
        <w:separator/>
      </w:r>
    </w:p>
  </w:endnote>
  <w:endnote w:type="continuationSeparator" w:id="0">
    <w:p w14:paraId="4FB17F68" w14:textId="77777777" w:rsidR="00CE10BC" w:rsidRDefault="00CE10BC">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F3">
    <w:altName w:val="宋体"/>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AFC2B" w14:textId="77777777" w:rsidR="009219A0" w:rsidRDefault="009219A0">
    <w:pPr>
      <w:pStyle w:val="af2"/>
      <w:ind w:firstLine="360"/>
      <w:rPr>
        <w:rFonts w:hint="eastAsia"/>
      </w:rPr>
    </w:pPr>
  </w:p>
  <w:p w14:paraId="6268D68F" w14:textId="77777777" w:rsidR="009219A0" w:rsidRDefault="009219A0">
    <w:pPr>
      <w:ind w:firstLine="5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4DFD5" w14:textId="77777777" w:rsidR="009219A0" w:rsidRDefault="009219A0">
    <w:pPr>
      <w:ind w:left="560"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C0060" w14:textId="77777777" w:rsidR="009219A0" w:rsidRDefault="009219A0">
    <w:pPr>
      <w:pStyle w:val="af2"/>
      <w:ind w:firstLine="360"/>
      <w:rPr>
        <w:rFonts w:hint="eastAsia"/>
      </w:rPr>
    </w:pPr>
  </w:p>
  <w:p w14:paraId="1DD752F8" w14:textId="77777777" w:rsidR="009219A0" w:rsidRDefault="009219A0">
    <w:pPr>
      <w:ind w:firstLine="5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45DC4" w14:textId="77777777" w:rsidR="009219A0" w:rsidRDefault="009219A0">
    <w:pPr>
      <w:ind w:left="560" w:firstLineChars="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9973510"/>
    </w:sdtPr>
    <w:sdtEndPr>
      <w:rPr>
        <w:rFonts w:ascii="宋体" w:hAnsi="宋体"/>
        <w:sz w:val="21"/>
        <w:szCs w:val="21"/>
      </w:rPr>
    </w:sdtEndPr>
    <w:sdtContent>
      <w:p w14:paraId="5CA8CCD6" w14:textId="77777777" w:rsidR="009219A0" w:rsidRDefault="00000000">
        <w:pPr>
          <w:pStyle w:val="af2"/>
          <w:spacing w:line="240" w:lineRule="auto"/>
          <w:ind w:firstLineChars="0" w:firstLine="0"/>
          <w:rPr>
            <w:rFonts w:ascii="宋体" w:hAnsi="宋体" w:hint="eastAsia"/>
            <w:color w:val="000000"/>
            <w:sz w:val="21"/>
            <w:szCs w:val="21"/>
          </w:rPr>
        </w:pPr>
        <w:r>
          <w:rPr>
            <w:rFonts w:hint="eastAsia"/>
            <w:sz w:val="21"/>
            <w:szCs w:val="21"/>
          </w:rPr>
          <w:t>昭通市</w:t>
        </w:r>
        <w:proofErr w:type="gramStart"/>
        <w:r>
          <w:rPr>
            <w:rFonts w:hint="eastAsia"/>
            <w:sz w:val="21"/>
            <w:szCs w:val="21"/>
          </w:rPr>
          <w:t>鼎安科技</w:t>
        </w:r>
        <w:proofErr w:type="gramEnd"/>
        <w:r>
          <w:rPr>
            <w:rFonts w:hint="eastAsia"/>
            <w:sz w:val="21"/>
            <w:szCs w:val="21"/>
          </w:rPr>
          <w:t>有限公司</w:t>
        </w:r>
        <w:r>
          <w:rPr>
            <w:rFonts w:hint="eastAsia"/>
            <w:sz w:val="21"/>
            <w:szCs w:val="21"/>
          </w:rPr>
          <w:t xml:space="preserve">                        </w:t>
        </w: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Pr>
            <w:rFonts w:ascii="宋体" w:hAnsi="宋体"/>
            <w:sz w:val="21"/>
            <w:szCs w:val="21"/>
            <w:lang w:val="zh-CN"/>
          </w:rPr>
          <w:t>8</w:t>
        </w:r>
        <w:r>
          <w:rPr>
            <w:rFonts w:ascii="宋体" w:hAnsi="宋体"/>
            <w:sz w:val="21"/>
            <w:szCs w:val="21"/>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653902"/>
    </w:sdtPr>
    <w:sdtEndPr>
      <w:rPr>
        <w:rFonts w:ascii="宋体" w:hAnsi="宋体"/>
        <w:sz w:val="21"/>
        <w:szCs w:val="21"/>
      </w:rPr>
    </w:sdtEndPr>
    <w:sdtContent>
      <w:p w14:paraId="11D266C0" w14:textId="77777777" w:rsidR="009219A0" w:rsidRDefault="00000000">
        <w:pPr>
          <w:pStyle w:val="af2"/>
          <w:spacing w:line="240" w:lineRule="auto"/>
          <w:ind w:firstLineChars="0" w:firstLine="0"/>
          <w:rPr>
            <w:rFonts w:ascii="宋体" w:hAnsi="宋体" w:hint="eastAsia"/>
            <w:sz w:val="21"/>
            <w:szCs w:val="21"/>
          </w:rPr>
        </w:pPr>
        <w:r>
          <w:rPr>
            <w:rFonts w:hint="eastAsia"/>
            <w:sz w:val="21"/>
            <w:szCs w:val="21"/>
          </w:rPr>
          <w:t>昭通市</w:t>
        </w:r>
        <w:proofErr w:type="gramStart"/>
        <w:r>
          <w:rPr>
            <w:rFonts w:hint="eastAsia"/>
            <w:sz w:val="21"/>
            <w:szCs w:val="21"/>
          </w:rPr>
          <w:t>鼎安科技</w:t>
        </w:r>
        <w:proofErr w:type="gramEnd"/>
        <w:r>
          <w:rPr>
            <w:rFonts w:hint="eastAsia"/>
            <w:sz w:val="21"/>
            <w:szCs w:val="21"/>
          </w:rPr>
          <w:t>有限公司</w:t>
        </w:r>
        <w:r>
          <w:rPr>
            <w:rFonts w:hint="eastAsia"/>
            <w:sz w:val="21"/>
            <w:szCs w:val="21"/>
          </w:rPr>
          <w:t xml:space="preserve">                        </w:t>
        </w: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Pr>
            <w:rFonts w:ascii="宋体" w:hAnsi="宋体"/>
            <w:sz w:val="21"/>
            <w:szCs w:val="21"/>
            <w:lang w:val="zh-CN"/>
          </w:rPr>
          <w:t>1</w:t>
        </w:r>
        <w:r>
          <w:rPr>
            <w:rFonts w:ascii="宋体" w:hAnsi="宋体"/>
            <w:sz w:val="21"/>
            <w:szCs w:val="21"/>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5405142"/>
    </w:sdtPr>
    <w:sdtContent>
      <w:p w14:paraId="4A3166D0" w14:textId="77777777" w:rsidR="009219A0" w:rsidRDefault="00000000">
        <w:pPr>
          <w:pStyle w:val="af2"/>
          <w:ind w:firstLine="360"/>
          <w:rPr>
            <w:rFonts w:hint="eastAsia"/>
          </w:rPr>
        </w:pPr>
        <w:r>
          <w:rPr>
            <w:rFonts w:hint="eastAsia"/>
            <w:sz w:val="21"/>
            <w:szCs w:val="21"/>
          </w:rPr>
          <w:t>昭通市</w:t>
        </w:r>
        <w:proofErr w:type="gramStart"/>
        <w:r>
          <w:rPr>
            <w:rFonts w:hint="eastAsia"/>
            <w:sz w:val="21"/>
            <w:szCs w:val="21"/>
          </w:rPr>
          <w:t>鼎安科技</w:t>
        </w:r>
        <w:proofErr w:type="gramEnd"/>
        <w:r>
          <w:rPr>
            <w:rFonts w:hint="eastAsia"/>
            <w:sz w:val="21"/>
            <w:szCs w:val="21"/>
          </w:rPr>
          <w:t>有限公司</w:t>
        </w:r>
        <w:r>
          <w:rPr>
            <w:rFonts w:hint="eastAsia"/>
            <w:sz w:val="21"/>
            <w:szCs w:val="21"/>
          </w:rPr>
          <w:t xml:space="preserve">                        </w:t>
        </w:r>
        <w:r>
          <w:fldChar w:fldCharType="begin"/>
        </w:r>
        <w:r>
          <w:instrText>PAGE   \* MERGEFORMAT</w:instrText>
        </w:r>
        <w:r>
          <w:fldChar w:fldCharType="separate"/>
        </w:r>
        <w:r>
          <w:rPr>
            <w:lang w:val="zh-CN"/>
          </w:rPr>
          <w:t>7</w:t>
        </w:r>
        <w:r>
          <w:rPr>
            <w:lang w:val="zh-CN"/>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2955325"/>
    </w:sdtPr>
    <w:sdtEndPr>
      <w:rPr>
        <w:rFonts w:ascii="宋体" w:hAnsi="宋体"/>
        <w:sz w:val="21"/>
        <w:szCs w:val="21"/>
      </w:rPr>
    </w:sdtEndPr>
    <w:sdtContent>
      <w:p w14:paraId="1270728D" w14:textId="77777777" w:rsidR="009219A0" w:rsidRDefault="00000000">
        <w:pPr>
          <w:pStyle w:val="af2"/>
          <w:spacing w:line="240" w:lineRule="auto"/>
          <w:ind w:firstLineChars="0" w:firstLine="0"/>
          <w:rPr>
            <w:rFonts w:ascii="宋体" w:hAnsi="宋体" w:hint="eastAsia"/>
            <w:sz w:val="21"/>
            <w:szCs w:val="21"/>
          </w:rPr>
        </w:pPr>
        <w:r>
          <w:rPr>
            <w:rFonts w:ascii="宋体" w:hAnsi="宋体" w:hint="eastAsia"/>
            <w:sz w:val="21"/>
            <w:szCs w:val="21"/>
          </w:rPr>
          <w:t>昭通市</w:t>
        </w:r>
        <w:proofErr w:type="gramStart"/>
        <w:r>
          <w:rPr>
            <w:rFonts w:ascii="宋体" w:hAnsi="宋体" w:hint="eastAsia"/>
            <w:sz w:val="21"/>
            <w:szCs w:val="21"/>
          </w:rPr>
          <w:t>鼎安科技</w:t>
        </w:r>
        <w:proofErr w:type="gramEnd"/>
        <w:r>
          <w:rPr>
            <w:rFonts w:ascii="宋体" w:hAnsi="宋体" w:hint="eastAsia"/>
            <w:sz w:val="21"/>
            <w:szCs w:val="21"/>
          </w:rPr>
          <w:t xml:space="preserve">有限公司                        </w:t>
        </w: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Pr>
            <w:rFonts w:ascii="宋体" w:hAnsi="宋体"/>
            <w:sz w:val="21"/>
            <w:szCs w:val="21"/>
            <w:lang w:val="zh-CN"/>
          </w:rPr>
          <w:t>31</w:t>
        </w:r>
        <w:r>
          <w:rPr>
            <w:rFonts w:ascii="宋体" w:hAnsi="宋体"/>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62F8C" w14:textId="77777777" w:rsidR="00CE10BC" w:rsidRDefault="00CE10BC">
      <w:pPr>
        <w:ind w:firstLine="560"/>
      </w:pPr>
      <w:r>
        <w:separator/>
      </w:r>
    </w:p>
  </w:footnote>
  <w:footnote w:type="continuationSeparator" w:id="0">
    <w:p w14:paraId="528D303B" w14:textId="77777777" w:rsidR="00CE10BC" w:rsidRDefault="00CE10BC">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3A4E3" w14:textId="77777777" w:rsidR="009219A0" w:rsidRDefault="009219A0">
    <w:pPr>
      <w:pStyle w:val="af4"/>
      <w:ind w:firstLine="360"/>
      <w:rPr>
        <w:rFonts w:hint="eastAsia"/>
      </w:rPr>
    </w:pPr>
  </w:p>
  <w:p w14:paraId="6149493E" w14:textId="77777777" w:rsidR="009219A0" w:rsidRDefault="009219A0">
    <w:pPr>
      <w:ind w:firstLine="5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A3609" w14:textId="77777777" w:rsidR="009219A0" w:rsidRDefault="009219A0">
    <w:pPr>
      <w:ind w:left="56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5777B" w14:textId="77777777" w:rsidR="009219A0" w:rsidRDefault="009219A0">
    <w:pPr>
      <w:pStyle w:val="af4"/>
      <w:ind w:firstLine="360"/>
      <w:rPr>
        <w:rFonts w:hint="eastAsia"/>
      </w:rPr>
    </w:pPr>
  </w:p>
  <w:p w14:paraId="68555C42" w14:textId="77777777" w:rsidR="009219A0" w:rsidRDefault="009219A0">
    <w:pPr>
      <w:ind w:firstLine="5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02D15" w14:textId="77777777" w:rsidR="009219A0" w:rsidRDefault="009219A0">
    <w:pPr>
      <w:ind w:left="560" w:firstLineChars="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8FDE2" w14:textId="77777777" w:rsidR="009219A0" w:rsidRDefault="00000000">
    <w:pPr>
      <w:pStyle w:val="af4"/>
      <w:pBdr>
        <w:bottom w:val="single" w:sz="4" w:space="1" w:color="auto"/>
      </w:pBdr>
      <w:tabs>
        <w:tab w:val="left" w:pos="362"/>
      </w:tabs>
      <w:spacing w:line="240" w:lineRule="auto"/>
      <w:ind w:firstLineChars="0" w:firstLine="0"/>
      <w:rPr>
        <w:rFonts w:hint="eastAsia"/>
      </w:rPr>
    </w:pPr>
    <w:r>
      <w:rPr>
        <w:rFonts w:ascii="宋体" w:hAnsi="宋体" w:cs="宋体" w:hint="eastAsia"/>
      </w:rPr>
      <w:t>个旧</w:t>
    </w:r>
    <w:proofErr w:type="gramStart"/>
    <w:r>
      <w:rPr>
        <w:rFonts w:ascii="宋体" w:hAnsi="宋体" w:cs="宋体" w:hint="eastAsia"/>
      </w:rPr>
      <w:t>市创源科技</w:t>
    </w:r>
    <w:proofErr w:type="gramEnd"/>
    <w:r>
      <w:rPr>
        <w:rFonts w:ascii="宋体" w:hAnsi="宋体" w:cs="宋体" w:hint="eastAsia"/>
      </w:rPr>
      <w:t>有限公司新建实验与研究开发中心及实验基地工程建设项目安全验收评价报告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EC9BF" w14:textId="77777777" w:rsidR="009219A0" w:rsidRDefault="00000000">
    <w:pPr>
      <w:pStyle w:val="af4"/>
      <w:pBdr>
        <w:bottom w:val="single" w:sz="4" w:space="1" w:color="auto"/>
      </w:pBdr>
      <w:tabs>
        <w:tab w:val="left" w:pos="362"/>
      </w:tabs>
      <w:spacing w:line="240" w:lineRule="auto"/>
      <w:ind w:firstLineChars="0" w:firstLine="0"/>
      <w:rPr>
        <w:rFonts w:hint="eastAsia"/>
        <w:sz w:val="21"/>
        <w:szCs w:val="21"/>
      </w:rPr>
    </w:pPr>
    <w:r>
      <w:rPr>
        <w:rFonts w:ascii="宋体" w:hAnsi="宋体" w:cs="宋体" w:hint="eastAsia"/>
      </w:rPr>
      <w:t>个旧</w:t>
    </w:r>
    <w:proofErr w:type="gramStart"/>
    <w:r>
      <w:rPr>
        <w:rFonts w:ascii="宋体" w:hAnsi="宋体" w:cs="宋体" w:hint="eastAsia"/>
      </w:rPr>
      <w:t>市创源科技</w:t>
    </w:r>
    <w:proofErr w:type="gramEnd"/>
    <w:r>
      <w:rPr>
        <w:rFonts w:ascii="宋体" w:hAnsi="宋体" w:cs="宋体" w:hint="eastAsia"/>
      </w:rPr>
      <w:t>有限公司新建实验与研究开发中心及实验基地工程建设项目安全验收评价报告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E1370" w14:textId="77777777" w:rsidR="009219A0" w:rsidRDefault="00000000">
    <w:pPr>
      <w:pStyle w:val="af4"/>
      <w:pBdr>
        <w:bottom w:val="single" w:sz="4" w:space="1" w:color="auto"/>
      </w:pBdr>
      <w:tabs>
        <w:tab w:val="left" w:pos="362"/>
      </w:tabs>
      <w:spacing w:line="240" w:lineRule="auto"/>
      <w:ind w:firstLineChars="0" w:firstLine="0"/>
      <w:rPr>
        <w:rFonts w:hint="eastAsia"/>
      </w:rPr>
    </w:pPr>
    <w:r>
      <w:rPr>
        <w:rFonts w:ascii="宋体" w:hAnsi="宋体" w:cs="宋体" w:hint="eastAsia"/>
      </w:rPr>
      <w:t>个旧</w:t>
    </w:r>
    <w:proofErr w:type="gramStart"/>
    <w:r>
      <w:rPr>
        <w:rFonts w:ascii="宋体" w:hAnsi="宋体" w:cs="宋体" w:hint="eastAsia"/>
      </w:rPr>
      <w:t>市创源科技</w:t>
    </w:r>
    <w:proofErr w:type="gramEnd"/>
    <w:r>
      <w:rPr>
        <w:rFonts w:ascii="宋体" w:hAnsi="宋体" w:cs="宋体" w:hint="eastAsia"/>
      </w:rPr>
      <w:t>有限公司新建实验与研究开发中心及实验基地工程建设项目安全验收评价报告</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C3DD1" w14:textId="77777777" w:rsidR="009219A0" w:rsidRDefault="00000000">
    <w:pPr>
      <w:pStyle w:val="af4"/>
      <w:pBdr>
        <w:bottom w:val="single" w:sz="4" w:space="1" w:color="auto"/>
      </w:pBdr>
      <w:tabs>
        <w:tab w:val="left" w:pos="362"/>
      </w:tabs>
      <w:spacing w:line="240" w:lineRule="auto"/>
      <w:ind w:firstLineChars="0" w:firstLine="0"/>
      <w:rPr>
        <w:rFonts w:hint="eastAsia"/>
      </w:rPr>
    </w:pPr>
    <w:bookmarkStart w:id="210" w:name="_Hlk211239502"/>
    <w:r>
      <w:rPr>
        <w:rFonts w:ascii="宋体" w:hAnsi="宋体" w:cs="宋体" w:hint="eastAsia"/>
      </w:rPr>
      <w:t>个旧</w:t>
    </w:r>
    <w:proofErr w:type="gramStart"/>
    <w:r>
      <w:rPr>
        <w:rFonts w:ascii="宋体" w:hAnsi="宋体" w:cs="宋体" w:hint="eastAsia"/>
      </w:rPr>
      <w:t>市创源科技</w:t>
    </w:r>
    <w:proofErr w:type="gramEnd"/>
    <w:r>
      <w:rPr>
        <w:rFonts w:ascii="宋体" w:hAnsi="宋体" w:cs="宋体" w:hint="eastAsia"/>
      </w:rPr>
      <w:t>有限公司</w:t>
    </w:r>
    <w:bookmarkEnd w:id="210"/>
    <w:r>
      <w:rPr>
        <w:rFonts w:ascii="宋体" w:hAnsi="宋体" w:cs="宋体" w:hint="eastAsia"/>
      </w:rPr>
      <w:t>新建实验与研究开发中心及实验基地工程建设项目安全验收评价报告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33"/>
    <w:multiLevelType w:val="multilevel"/>
    <w:tmpl w:val="00000033"/>
    <w:lvl w:ilvl="0">
      <w:start w:val="1"/>
      <w:numFmt w:val="decimal"/>
      <w:lvlText w:val="%1"/>
      <w:lvlJc w:val="left"/>
      <w:pPr>
        <w:tabs>
          <w:tab w:val="left" w:pos="465"/>
        </w:tabs>
        <w:ind w:left="465" w:hanging="360"/>
      </w:pPr>
      <w:rPr>
        <w:rFonts w:hint="default"/>
      </w:rPr>
    </w:lvl>
    <w:lvl w:ilvl="1">
      <w:start w:val="1"/>
      <w:numFmt w:val="lowerLetter"/>
      <w:lvlText w:val="%2)"/>
      <w:lvlJc w:val="left"/>
      <w:pPr>
        <w:tabs>
          <w:tab w:val="left" w:pos="945"/>
        </w:tabs>
        <w:ind w:left="945" w:hanging="420"/>
      </w:pPr>
    </w:lvl>
    <w:lvl w:ilvl="2">
      <w:start w:val="1"/>
      <w:numFmt w:val="lowerRoman"/>
      <w:lvlText w:val="%3."/>
      <w:lvlJc w:val="right"/>
      <w:pPr>
        <w:tabs>
          <w:tab w:val="left" w:pos="1365"/>
        </w:tabs>
        <w:ind w:left="1365" w:hanging="420"/>
      </w:pPr>
    </w:lvl>
    <w:lvl w:ilvl="3">
      <w:start w:val="1"/>
      <w:numFmt w:val="decimal"/>
      <w:lvlText w:val="%4."/>
      <w:lvlJc w:val="left"/>
      <w:pPr>
        <w:tabs>
          <w:tab w:val="left" w:pos="1785"/>
        </w:tabs>
        <w:ind w:left="1785" w:hanging="420"/>
      </w:pPr>
    </w:lvl>
    <w:lvl w:ilvl="4">
      <w:start w:val="1"/>
      <w:numFmt w:val="lowerLetter"/>
      <w:lvlText w:val="%5)"/>
      <w:lvlJc w:val="left"/>
      <w:pPr>
        <w:tabs>
          <w:tab w:val="left" w:pos="2205"/>
        </w:tabs>
        <w:ind w:left="2205" w:hanging="420"/>
      </w:pPr>
    </w:lvl>
    <w:lvl w:ilvl="5">
      <w:start w:val="1"/>
      <w:numFmt w:val="lowerRoman"/>
      <w:lvlText w:val="%6."/>
      <w:lvlJc w:val="right"/>
      <w:pPr>
        <w:tabs>
          <w:tab w:val="left" w:pos="2625"/>
        </w:tabs>
        <w:ind w:left="2625" w:hanging="420"/>
      </w:pPr>
    </w:lvl>
    <w:lvl w:ilvl="6">
      <w:start w:val="1"/>
      <w:numFmt w:val="decimal"/>
      <w:lvlText w:val="%7."/>
      <w:lvlJc w:val="left"/>
      <w:pPr>
        <w:tabs>
          <w:tab w:val="left" w:pos="3045"/>
        </w:tabs>
        <w:ind w:left="3045" w:hanging="420"/>
      </w:pPr>
    </w:lvl>
    <w:lvl w:ilvl="7">
      <w:start w:val="1"/>
      <w:numFmt w:val="lowerLetter"/>
      <w:lvlText w:val="%8)"/>
      <w:lvlJc w:val="left"/>
      <w:pPr>
        <w:tabs>
          <w:tab w:val="left" w:pos="3465"/>
        </w:tabs>
        <w:ind w:left="3465" w:hanging="420"/>
      </w:pPr>
    </w:lvl>
    <w:lvl w:ilvl="8">
      <w:start w:val="1"/>
      <w:numFmt w:val="lowerRoman"/>
      <w:lvlText w:val="%9."/>
      <w:lvlJc w:val="right"/>
      <w:pPr>
        <w:tabs>
          <w:tab w:val="left" w:pos="3885"/>
        </w:tabs>
        <w:ind w:left="3885" w:hanging="420"/>
      </w:pPr>
    </w:lvl>
  </w:abstractNum>
  <w:abstractNum w:abstractNumId="1" w15:restartNumberingAfterBreak="0">
    <w:nsid w:val="00892B20"/>
    <w:multiLevelType w:val="multilevel"/>
    <w:tmpl w:val="00892B20"/>
    <w:lvl w:ilvl="0">
      <w:start w:val="1"/>
      <w:numFmt w:val="decimal"/>
      <w:lvlText w:val="%1"/>
      <w:lvlJc w:val="left"/>
      <w:pPr>
        <w:ind w:left="640" w:hanging="440"/>
      </w:pPr>
      <w:rPr>
        <w:rFonts w:hint="eastAsia"/>
      </w:rPr>
    </w:lvl>
    <w:lvl w:ilvl="1">
      <w:start w:val="1"/>
      <w:numFmt w:val="lowerLetter"/>
      <w:lvlText w:val="%2)"/>
      <w:lvlJc w:val="left"/>
      <w:pPr>
        <w:ind w:left="1080" w:hanging="440"/>
      </w:pPr>
    </w:lvl>
    <w:lvl w:ilvl="2">
      <w:start w:val="1"/>
      <w:numFmt w:val="lowerRoman"/>
      <w:lvlText w:val="%3."/>
      <w:lvlJc w:val="right"/>
      <w:pPr>
        <w:ind w:left="1520" w:hanging="440"/>
      </w:pPr>
    </w:lvl>
    <w:lvl w:ilvl="3">
      <w:start w:val="1"/>
      <w:numFmt w:val="decimal"/>
      <w:lvlText w:val="%4."/>
      <w:lvlJc w:val="left"/>
      <w:pPr>
        <w:ind w:left="1960" w:hanging="440"/>
      </w:pPr>
    </w:lvl>
    <w:lvl w:ilvl="4">
      <w:start w:val="1"/>
      <w:numFmt w:val="lowerLetter"/>
      <w:lvlText w:val="%5)"/>
      <w:lvlJc w:val="left"/>
      <w:pPr>
        <w:ind w:left="2400" w:hanging="440"/>
      </w:pPr>
    </w:lvl>
    <w:lvl w:ilvl="5">
      <w:start w:val="1"/>
      <w:numFmt w:val="lowerRoman"/>
      <w:lvlText w:val="%6."/>
      <w:lvlJc w:val="right"/>
      <w:pPr>
        <w:ind w:left="2840" w:hanging="440"/>
      </w:pPr>
    </w:lvl>
    <w:lvl w:ilvl="6">
      <w:start w:val="1"/>
      <w:numFmt w:val="decimal"/>
      <w:lvlText w:val="%7."/>
      <w:lvlJc w:val="left"/>
      <w:pPr>
        <w:ind w:left="3280" w:hanging="440"/>
      </w:pPr>
    </w:lvl>
    <w:lvl w:ilvl="7">
      <w:start w:val="1"/>
      <w:numFmt w:val="lowerLetter"/>
      <w:lvlText w:val="%8)"/>
      <w:lvlJc w:val="left"/>
      <w:pPr>
        <w:ind w:left="3720" w:hanging="440"/>
      </w:pPr>
    </w:lvl>
    <w:lvl w:ilvl="8">
      <w:start w:val="1"/>
      <w:numFmt w:val="lowerRoman"/>
      <w:lvlText w:val="%9."/>
      <w:lvlJc w:val="right"/>
      <w:pPr>
        <w:ind w:left="4160" w:hanging="440"/>
      </w:pPr>
    </w:lvl>
  </w:abstractNum>
  <w:abstractNum w:abstractNumId="2" w15:restartNumberingAfterBreak="0">
    <w:nsid w:val="039513A5"/>
    <w:multiLevelType w:val="multilevel"/>
    <w:tmpl w:val="039513A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9E41C6E"/>
    <w:multiLevelType w:val="multilevel"/>
    <w:tmpl w:val="09E41C6E"/>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A52FEC1"/>
    <w:multiLevelType w:val="singleLevel"/>
    <w:tmpl w:val="0A52FEC1"/>
    <w:lvl w:ilvl="0">
      <w:start w:val="1"/>
      <w:numFmt w:val="lowerLetter"/>
      <w:lvlText w:val="%1."/>
      <w:lvlJc w:val="left"/>
      <w:pPr>
        <w:ind w:left="425" w:hanging="425"/>
      </w:pPr>
      <w:rPr>
        <w:rFonts w:hint="default"/>
      </w:rPr>
    </w:lvl>
  </w:abstractNum>
  <w:abstractNum w:abstractNumId="5" w15:restartNumberingAfterBreak="0">
    <w:nsid w:val="0A5E65A8"/>
    <w:multiLevelType w:val="multilevel"/>
    <w:tmpl w:val="0A5E65A8"/>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C664913"/>
    <w:multiLevelType w:val="multilevel"/>
    <w:tmpl w:val="0C66491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3932382"/>
    <w:multiLevelType w:val="multilevel"/>
    <w:tmpl w:val="13932382"/>
    <w:lvl w:ilvl="0">
      <w:start w:val="1"/>
      <w:numFmt w:val="decimal"/>
      <w:lvlText w:val="%1"/>
      <w:lvlJc w:val="left"/>
      <w:pPr>
        <w:ind w:left="860" w:hanging="440"/>
      </w:pPr>
      <w:rPr>
        <w:rFonts w:hint="eastAsia"/>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8" w15:restartNumberingAfterBreak="0">
    <w:nsid w:val="15325A31"/>
    <w:multiLevelType w:val="multilevel"/>
    <w:tmpl w:val="15325A31"/>
    <w:lvl w:ilvl="0">
      <w:start w:val="1"/>
      <w:numFmt w:val="decimal"/>
      <w:lvlText w:val="（%1）"/>
      <w:lvlJc w:val="left"/>
      <w:pPr>
        <w:ind w:left="2122"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1BE4388C"/>
    <w:multiLevelType w:val="multilevel"/>
    <w:tmpl w:val="1BE4388C"/>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1E3928A0"/>
    <w:multiLevelType w:val="multilevel"/>
    <w:tmpl w:val="1E3928A0"/>
    <w:lvl w:ilvl="0">
      <w:start w:val="1"/>
      <w:numFmt w:val="decimal"/>
      <w:lvlText w:val="%1）"/>
      <w:lvlJc w:val="left"/>
      <w:pPr>
        <w:ind w:left="980" w:hanging="420"/>
      </w:pPr>
      <w:rPr>
        <w:rFonts w:hint="eastAsia"/>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297D50C2"/>
    <w:multiLevelType w:val="multilevel"/>
    <w:tmpl w:val="297D50C2"/>
    <w:lvl w:ilvl="0">
      <w:start w:val="1"/>
      <w:numFmt w:val="decimal"/>
      <w:lvlText w:val="（%1）"/>
      <w:lvlJc w:val="left"/>
      <w:pPr>
        <w:ind w:left="980" w:hanging="420"/>
      </w:pPr>
    </w:lvl>
    <w:lvl w:ilvl="1">
      <w:start w:val="1"/>
      <w:numFmt w:val="decimal"/>
      <w:lvlText w:val="%2."/>
      <w:lvlJc w:val="left"/>
      <w:pPr>
        <w:ind w:left="1340" w:hanging="36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2BC60DDB"/>
    <w:multiLevelType w:val="multilevel"/>
    <w:tmpl w:val="2BC60DDB"/>
    <w:lvl w:ilvl="0">
      <w:start w:val="1"/>
      <w:numFmt w:val="decimal"/>
      <w:lvlText w:val="（%1）"/>
      <w:lvlJc w:val="left"/>
      <w:pPr>
        <w:ind w:left="1412" w:hanging="420"/>
      </w:p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13" w15:restartNumberingAfterBreak="0">
    <w:nsid w:val="3F3A5B61"/>
    <w:multiLevelType w:val="multilevel"/>
    <w:tmpl w:val="3F3A5B61"/>
    <w:lvl w:ilvl="0">
      <w:start w:val="1"/>
      <w:numFmt w:val="decimal"/>
      <w:lvlText w:val="（%1）"/>
      <w:lvlJc w:val="left"/>
      <w:pPr>
        <w:ind w:left="1838" w:hanging="420"/>
      </w:pPr>
      <w:rPr>
        <w:rFonts w:ascii="宋体" w:eastAsia="宋体" w:hAnsi="宋体"/>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47F9581E"/>
    <w:multiLevelType w:val="multilevel"/>
    <w:tmpl w:val="47F9581E"/>
    <w:lvl w:ilvl="0">
      <w:start w:val="1"/>
      <w:numFmt w:val="decimal"/>
      <w:lvlText w:val="（%1）"/>
      <w:lvlJc w:val="left"/>
      <w:pPr>
        <w:ind w:left="1413"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4C8E1639"/>
    <w:multiLevelType w:val="multilevel"/>
    <w:tmpl w:val="4C8E1639"/>
    <w:lvl w:ilvl="0">
      <w:start w:val="1"/>
      <w:numFmt w:val="decimal"/>
      <w:lvlText w:val="%1"/>
      <w:lvlJc w:val="left"/>
      <w:pPr>
        <w:ind w:left="640" w:hanging="440"/>
      </w:pPr>
      <w:rPr>
        <w:rFonts w:hint="eastAsia"/>
      </w:rPr>
    </w:lvl>
    <w:lvl w:ilvl="1">
      <w:start w:val="1"/>
      <w:numFmt w:val="lowerLetter"/>
      <w:lvlText w:val="%2)"/>
      <w:lvlJc w:val="left"/>
      <w:pPr>
        <w:ind w:left="1080" w:hanging="440"/>
      </w:pPr>
    </w:lvl>
    <w:lvl w:ilvl="2">
      <w:start w:val="1"/>
      <w:numFmt w:val="lowerRoman"/>
      <w:lvlText w:val="%3."/>
      <w:lvlJc w:val="right"/>
      <w:pPr>
        <w:ind w:left="1520" w:hanging="440"/>
      </w:pPr>
    </w:lvl>
    <w:lvl w:ilvl="3">
      <w:start w:val="1"/>
      <w:numFmt w:val="decimal"/>
      <w:lvlText w:val="%4."/>
      <w:lvlJc w:val="left"/>
      <w:pPr>
        <w:ind w:left="1960" w:hanging="440"/>
      </w:pPr>
    </w:lvl>
    <w:lvl w:ilvl="4">
      <w:start w:val="1"/>
      <w:numFmt w:val="lowerLetter"/>
      <w:lvlText w:val="%5)"/>
      <w:lvlJc w:val="left"/>
      <w:pPr>
        <w:ind w:left="2400" w:hanging="440"/>
      </w:pPr>
    </w:lvl>
    <w:lvl w:ilvl="5">
      <w:start w:val="1"/>
      <w:numFmt w:val="lowerRoman"/>
      <w:lvlText w:val="%6."/>
      <w:lvlJc w:val="right"/>
      <w:pPr>
        <w:ind w:left="2840" w:hanging="440"/>
      </w:pPr>
    </w:lvl>
    <w:lvl w:ilvl="6">
      <w:start w:val="1"/>
      <w:numFmt w:val="decimal"/>
      <w:lvlText w:val="%7."/>
      <w:lvlJc w:val="left"/>
      <w:pPr>
        <w:ind w:left="3280" w:hanging="440"/>
      </w:pPr>
    </w:lvl>
    <w:lvl w:ilvl="7">
      <w:start w:val="1"/>
      <w:numFmt w:val="lowerLetter"/>
      <w:lvlText w:val="%8)"/>
      <w:lvlJc w:val="left"/>
      <w:pPr>
        <w:ind w:left="3720" w:hanging="440"/>
      </w:pPr>
    </w:lvl>
    <w:lvl w:ilvl="8">
      <w:start w:val="1"/>
      <w:numFmt w:val="lowerRoman"/>
      <w:lvlText w:val="%9."/>
      <w:lvlJc w:val="right"/>
      <w:pPr>
        <w:ind w:left="4160" w:hanging="440"/>
      </w:pPr>
    </w:lvl>
  </w:abstractNum>
  <w:abstractNum w:abstractNumId="16" w15:restartNumberingAfterBreak="0">
    <w:nsid w:val="4CFB75DB"/>
    <w:multiLevelType w:val="multilevel"/>
    <w:tmpl w:val="4CFB75DB"/>
    <w:lvl w:ilvl="0">
      <w:start w:val="1"/>
      <w:numFmt w:val="decimal"/>
      <w:lvlText w:val="%1"/>
      <w:lvlJc w:val="left"/>
      <w:pPr>
        <w:ind w:left="6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4DC8B3E6"/>
    <w:multiLevelType w:val="singleLevel"/>
    <w:tmpl w:val="4DC8B3E6"/>
    <w:lvl w:ilvl="0">
      <w:start w:val="1"/>
      <w:numFmt w:val="decimalEnclosedCircleChinese"/>
      <w:suff w:val="nothing"/>
      <w:lvlText w:val="%1　"/>
      <w:lvlJc w:val="left"/>
      <w:pPr>
        <w:ind w:left="0" w:firstLine="400"/>
      </w:pPr>
      <w:rPr>
        <w:rFonts w:hint="eastAsia"/>
      </w:rPr>
    </w:lvl>
  </w:abstractNum>
  <w:abstractNum w:abstractNumId="18" w15:restartNumberingAfterBreak="0">
    <w:nsid w:val="5E7E518F"/>
    <w:multiLevelType w:val="multilevel"/>
    <w:tmpl w:val="5E7E518F"/>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60850D34"/>
    <w:multiLevelType w:val="multilevel"/>
    <w:tmpl w:val="60850D34"/>
    <w:lvl w:ilvl="0">
      <w:start w:val="1"/>
      <w:numFmt w:val="decimal"/>
      <w:lvlText w:val="%1"/>
      <w:lvlJc w:val="left"/>
      <w:pPr>
        <w:ind w:left="3054" w:hanging="360"/>
      </w:pPr>
      <w:rPr>
        <w:rFonts w:hint="default"/>
      </w:rPr>
    </w:lvl>
    <w:lvl w:ilvl="1">
      <w:start w:val="2"/>
      <w:numFmt w:val="decimal"/>
      <w:isLgl/>
      <w:lvlText w:val="%1.%2"/>
      <w:lvlJc w:val="left"/>
      <w:pPr>
        <w:ind w:left="1121" w:hanging="840"/>
      </w:pPr>
      <w:rPr>
        <w:rFonts w:hint="default"/>
      </w:rPr>
    </w:lvl>
    <w:lvl w:ilvl="2">
      <w:start w:val="3"/>
      <w:numFmt w:val="decimal"/>
      <w:isLgl/>
      <w:lvlText w:val="%1.%2.%3"/>
      <w:lvlJc w:val="left"/>
      <w:pPr>
        <w:ind w:left="1402" w:hanging="840"/>
      </w:pPr>
      <w:rPr>
        <w:rFonts w:hint="default"/>
      </w:rPr>
    </w:lvl>
    <w:lvl w:ilvl="3">
      <w:start w:val="1"/>
      <w:numFmt w:val="decimal"/>
      <w:isLgl/>
      <w:lvlText w:val="%1.%2.%3.%4"/>
      <w:lvlJc w:val="left"/>
      <w:pPr>
        <w:ind w:left="1923" w:hanging="1080"/>
      </w:pPr>
      <w:rPr>
        <w:rFonts w:hint="default"/>
      </w:rPr>
    </w:lvl>
    <w:lvl w:ilvl="4">
      <w:start w:val="1"/>
      <w:numFmt w:val="decimal"/>
      <w:isLgl/>
      <w:lvlText w:val="%1.%2.%3.%4.%5"/>
      <w:lvlJc w:val="left"/>
      <w:pPr>
        <w:ind w:left="2204" w:hanging="1080"/>
      </w:pPr>
      <w:rPr>
        <w:rFonts w:hint="default"/>
      </w:rPr>
    </w:lvl>
    <w:lvl w:ilvl="5">
      <w:start w:val="1"/>
      <w:numFmt w:val="decimal"/>
      <w:isLgl/>
      <w:lvlText w:val="%1.%2.%3.%4.%5.%6"/>
      <w:lvlJc w:val="left"/>
      <w:pPr>
        <w:ind w:left="2845" w:hanging="1440"/>
      </w:pPr>
      <w:rPr>
        <w:rFonts w:hint="default"/>
      </w:rPr>
    </w:lvl>
    <w:lvl w:ilvl="6">
      <w:start w:val="1"/>
      <w:numFmt w:val="decimal"/>
      <w:isLgl/>
      <w:lvlText w:val="%1.%2.%3.%4.%5.%6.%7"/>
      <w:lvlJc w:val="left"/>
      <w:pPr>
        <w:ind w:left="3126" w:hanging="1440"/>
      </w:pPr>
      <w:rPr>
        <w:rFonts w:hint="default"/>
      </w:rPr>
    </w:lvl>
    <w:lvl w:ilvl="7">
      <w:start w:val="1"/>
      <w:numFmt w:val="decimal"/>
      <w:isLgl/>
      <w:lvlText w:val="%1.%2.%3.%4.%5.%6.%7.%8"/>
      <w:lvlJc w:val="left"/>
      <w:pPr>
        <w:ind w:left="3767" w:hanging="1800"/>
      </w:pPr>
      <w:rPr>
        <w:rFonts w:hint="default"/>
      </w:rPr>
    </w:lvl>
    <w:lvl w:ilvl="8">
      <w:start w:val="1"/>
      <w:numFmt w:val="decimal"/>
      <w:isLgl/>
      <w:lvlText w:val="%1.%2.%3.%4.%5.%6.%7.%8.%9"/>
      <w:lvlJc w:val="left"/>
      <w:pPr>
        <w:ind w:left="4408" w:hanging="2160"/>
      </w:pPr>
      <w:rPr>
        <w:rFonts w:hint="default"/>
      </w:rPr>
    </w:lvl>
  </w:abstractNum>
  <w:abstractNum w:abstractNumId="20" w15:restartNumberingAfterBreak="0">
    <w:nsid w:val="626F7819"/>
    <w:multiLevelType w:val="multilevel"/>
    <w:tmpl w:val="626F7819"/>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 w15:restartNumberingAfterBreak="0">
    <w:nsid w:val="67C15CDB"/>
    <w:multiLevelType w:val="singleLevel"/>
    <w:tmpl w:val="67C15CDB"/>
    <w:lvl w:ilvl="0">
      <w:start w:val="1"/>
      <w:numFmt w:val="lowerLetter"/>
      <w:lvlText w:val="%1."/>
      <w:lvlJc w:val="left"/>
      <w:pPr>
        <w:ind w:left="425" w:hanging="425"/>
      </w:pPr>
      <w:rPr>
        <w:rFonts w:hint="default"/>
      </w:rPr>
    </w:lvl>
  </w:abstractNum>
  <w:abstractNum w:abstractNumId="22" w15:restartNumberingAfterBreak="0">
    <w:nsid w:val="6A836D3B"/>
    <w:multiLevelType w:val="multilevel"/>
    <w:tmpl w:val="6A836D3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73BA71CF"/>
    <w:multiLevelType w:val="multilevel"/>
    <w:tmpl w:val="73BA71C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692221682">
    <w:abstractNumId w:val="19"/>
  </w:num>
  <w:num w:numId="2" w16cid:durableId="1991475101">
    <w:abstractNumId w:val="6"/>
  </w:num>
  <w:num w:numId="3" w16cid:durableId="398478395">
    <w:abstractNumId w:val="7"/>
  </w:num>
  <w:num w:numId="4" w16cid:durableId="1544630473">
    <w:abstractNumId w:val="14"/>
  </w:num>
  <w:num w:numId="5" w16cid:durableId="847603529">
    <w:abstractNumId w:val="8"/>
  </w:num>
  <w:num w:numId="6" w16cid:durableId="23724359">
    <w:abstractNumId w:val="5"/>
  </w:num>
  <w:num w:numId="7" w16cid:durableId="506673995">
    <w:abstractNumId w:val="18"/>
  </w:num>
  <w:num w:numId="8" w16cid:durableId="1528568187">
    <w:abstractNumId w:val="10"/>
  </w:num>
  <w:num w:numId="9" w16cid:durableId="1919359187">
    <w:abstractNumId w:val="3"/>
  </w:num>
  <w:num w:numId="10" w16cid:durableId="189345915">
    <w:abstractNumId w:val="17"/>
  </w:num>
  <w:num w:numId="11" w16cid:durableId="2105033866">
    <w:abstractNumId w:val="4"/>
  </w:num>
  <w:num w:numId="12" w16cid:durableId="1863742133">
    <w:abstractNumId w:val="21"/>
  </w:num>
  <w:num w:numId="13" w16cid:durableId="79327862">
    <w:abstractNumId w:val="20"/>
  </w:num>
  <w:num w:numId="14" w16cid:durableId="1569531257">
    <w:abstractNumId w:val="9"/>
  </w:num>
  <w:num w:numId="15" w16cid:durableId="547111552">
    <w:abstractNumId w:val="1"/>
  </w:num>
  <w:num w:numId="16" w16cid:durableId="781412335">
    <w:abstractNumId w:val="16"/>
  </w:num>
  <w:num w:numId="17" w16cid:durableId="160052810">
    <w:abstractNumId w:val="15"/>
  </w:num>
  <w:num w:numId="18" w16cid:durableId="1273316729">
    <w:abstractNumId w:val="0"/>
  </w:num>
  <w:num w:numId="19" w16cid:durableId="1425153888">
    <w:abstractNumId w:val="23"/>
  </w:num>
  <w:num w:numId="20" w16cid:durableId="1836604790">
    <w:abstractNumId w:val="2"/>
  </w:num>
  <w:num w:numId="21" w16cid:durableId="2136292407">
    <w:abstractNumId w:val="22"/>
  </w:num>
  <w:num w:numId="22" w16cid:durableId="521162447">
    <w:abstractNumId w:val="12"/>
  </w:num>
  <w:num w:numId="23" w16cid:durableId="368261155">
    <w:abstractNumId w:val="11"/>
  </w:num>
  <w:num w:numId="24" w16cid:durableId="6358415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SpellingErrors/>
  <w:proofState w:spelling="clean" w:grammar="clean"/>
  <w:defaultTabStop w:val="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5081AED"/>
    <w:rsid w:val="CB579785"/>
    <w:rsid w:val="00001D9A"/>
    <w:rsid w:val="00002FFF"/>
    <w:rsid w:val="00003CAD"/>
    <w:rsid w:val="000045D9"/>
    <w:rsid w:val="00004BA5"/>
    <w:rsid w:val="00004DDF"/>
    <w:rsid w:val="00005E30"/>
    <w:rsid w:val="0000672C"/>
    <w:rsid w:val="00007E3E"/>
    <w:rsid w:val="0001123D"/>
    <w:rsid w:val="00011F2E"/>
    <w:rsid w:val="00012491"/>
    <w:rsid w:val="000132C9"/>
    <w:rsid w:val="000133C8"/>
    <w:rsid w:val="00013873"/>
    <w:rsid w:val="0001455D"/>
    <w:rsid w:val="000157BE"/>
    <w:rsid w:val="0001581F"/>
    <w:rsid w:val="00015B8F"/>
    <w:rsid w:val="000162E1"/>
    <w:rsid w:val="000200DE"/>
    <w:rsid w:val="00021E50"/>
    <w:rsid w:val="0002336D"/>
    <w:rsid w:val="00024C1B"/>
    <w:rsid w:val="00030C51"/>
    <w:rsid w:val="000310B5"/>
    <w:rsid w:val="000318F0"/>
    <w:rsid w:val="00031FAC"/>
    <w:rsid w:val="0003445D"/>
    <w:rsid w:val="00036892"/>
    <w:rsid w:val="00036B07"/>
    <w:rsid w:val="00036CD0"/>
    <w:rsid w:val="00041043"/>
    <w:rsid w:val="00041D68"/>
    <w:rsid w:val="0004324B"/>
    <w:rsid w:val="00043A8E"/>
    <w:rsid w:val="000442C2"/>
    <w:rsid w:val="00044548"/>
    <w:rsid w:val="000453AD"/>
    <w:rsid w:val="00045937"/>
    <w:rsid w:val="00047EAB"/>
    <w:rsid w:val="00052B38"/>
    <w:rsid w:val="000530C5"/>
    <w:rsid w:val="000532C5"/>
    <w:rsid w:val="00053833"/>
    <w:rsid w:val="00053969"/>
    <w:rsid w:val="00053F95"/>
    <w:rsid w:val="00053FA9"/>
    <w:rsid w:val="000544B7"/>
    <w:rsid w:val="00055E05"/>
    <w:rsid w:val="00055FFC"/>
    <w:rsid w:val="00060CB8"/>
    <w:rsid w:val="0006146F"/>
    <w:rsid w:val="000614F3"/>
    <w:rsid w:val="000617CF"/>
    <w:rsid w:val="00061C47"/>
    <w:rsid w:val="00063384"/>
    <w:rsid w:val="000633B3"/>
    <w:rsid w:val="0006387A"/>
    <w:rsid w:val="00063BFE"/>
    <w:rsid w:val="000641B2"/>
    <w:rsid w:val="00065F6B"/>
    <w:rsid w:val="0006677C"/>
    <w:rsid w:val="0006760E"/>
    <w:rsid w:val="00071199"/>
    <w:rsid w:val="00071FF2"/>
    <w:rsid w:val="0007224E"/>
    <w:rsid w:val="000752EB"/>
    <w:rsid w:val="00075C08"/>
    <w:rsid w:val="00075E29"/>
    <w:rsid w:val="000770BA"/>
    <w:rsid w:val="00077575"/>
    <w:rsid w:val="00077F37"/>
    <w:rsid w:val="00077F6F"/>
    <w:rsid w:val="000817D3"/>
    <w:rsid w:val="0008353D"/>
    <w:rsid w:val="000840AA"/>
    <w:rsid w:val="0008594A"/>
    <w:rsid w:val="00085A02"/>
    <w:rsid w:val="00086488"/>
    <w:rsid w:val="00086D2E"/>
    <w:rsid w:val="0008798D"/>
    <w:rsid w:val="000906D9"/>
    <w:rsid w:val="000909B9"/>
    <w:rsid w:val="00090CE2"/>
    <w:rsid w:val="00090FA8"/>
    <w:rsid w:val="000911BF"/>
    <w:rsid w:val="00091C1F"/>
    <w:rsid w:val="000920A1"/>
    <w:rsid w:val="000937F9"/>
    <w:rsid w:val="000945F6"/>
    <w:rsid w:val="00096E16"/>
    <w:rsid w:val="0009744C"/>
    <w:rsid w:val="00097F36"/>
    <w:rsid w:val="000A0289"/>
    <w:rsid w:val="000A1CE8"/>
    <w:rsid w:val="000A4861"/>
    <w:rsid w:val="000A70B5"/>
    <w:rsid w:val="000A7916"/>
    <w:rsid w:val="000A7A05"/>
    <w:rsid w:val="000B036C"/>
    <w:rsid w:val="000B094E"/>
    <w:rsid w:val="000B0A88"/>
    <w:rsid w:val="000B0DA4"/>
    <w:rsid w:val="000B1451"/>
    <w:rsid w:val="000B1A66"/>
    <w:rsid w:val="000B2276"/>
    <w:rsid w:val="000B349B"/>
    <w:rsid w:val="000B4845"/>
    <w:rsid w:val="000B4D67"/>
    <w:rsid w:val="000B5439"/>
    <w:rsid w:val="000B5668"/>
    <w:rsid w:val="000B5947"/>
    <w:rsid w:val="000B5B84"/>
    <w:rsid w:val="000B603E"/>
    <w:rsid w:val="000B738B"/>
    <w:rsid w:val="000C05D3"/>
    <w:rsid w:val="000C08F3"/>
    <w:rsid w:val="000C1E80"/>
    <w:rsid w:val="000C2D48"/>
    <w:rsid w:val="000C3218"/>
    <w:rsid w:val="000C344B"/>
    <w:rsid w:val="000C38E6"/>
    <w:rsid w:val="000C496E"/>
    <w:rsid w:val="000C505B"/>
    <w:rsid w:val="000C5D59"/>
    <w:rsid w:val="000C6064"/>
    <w:rsid w:val="000C69D5"/>
    <w:rsid w:val="000C6B4E"/>
    <w:rsid w:val="000C7B28"/>
    <w:rsid w:val="000C7BA3"/>
    <w:rsid w:val="000C7BC4"/>
    <w:rsid w:val="000D1ECB"/>
    <w:rsid w:val="000D3ED0"/>
    <w:rsid w:val="000D45E9"/>
    <w:rsid w:val="000D4D69"/>
    <w:rsid w:val="000D7674"/>
    <w:rsid w:val="000E01A8"/>
    <w:rsid w:val="000E09DC"/>
    <w:rsid w:val="000E4CCA"/>
    <w:rsid w:val="000E5C91"/>
    <w:rsid w:val="000E62EF"/>
    <w:rsid w:val="000E7A5B"/>
    <w:rsid w:val="000F0860"/>
    <w:rsid w:val="000F1037"/>
    <w:rsid w:val="000F197D"/>
    <w:rsid w:val="000F2663"/>
    <w:rsid w:val="000F2DCC"/>
    <w:rsid w:val="000F3742"/>
    <w:rsid w:val="000F3828"/>
    <w:rsid w:val="000F3B79"/>
    <w:rsid w:val="000F483B"/>
    <w:rsid w:val="000F4A2C"/>
    <w:rsid w:val="000F4B5A"/>
    <w:rsid w:val="000F4EB5"/>
    <w:rsid w:val="000F5698"/>
    <w:rsid w:val="000F7081"/>
    <w:rsid w:val="000F75D7"/>
    <w:rsid w:val="0010020D"/>
    <w:rsid w:val="00100710"/>
    <w:rsid w:val="00101FF5"/>
    <w:rsid w:val="001037B3"/>
    <w:rsid w:val="00103BB6"/>
    <w:rsid w:val="0010447F"/>
    <w:rsid w:val="00104D1E"/>
    <w:rsid w:val="001063A5"/>
    <w:rsid w:val="0010794C"/>
    <w:rsid w:val="001104EC"/>
    <w:rsid w:val="001105AA"/>
    <w:rsid w:val="00110A9C"/>
    <w:rsid w:val="00111764"/>
    <w:rsid w:val="00111B3F"/>
    <w:rsid w:val="001149B9"/>
    <w:rsid w:val="001149D8"/>
    <w:rsid w:val="00115110"/>
    <w:rsid w:val="00116025"/>
    <w:rsid w:val="001170CC"/>
    <w:rsid w:val="001177DF"/>
    <w:rsid w:val="001207C7"/>
    <w:rsid w:val="00121F84"/>
    <w:rsid w:val="001231DD"/>
    <w:rsid w:val="00123940"/>
    <w:rsid w:val="00123966"/>
    <w:rsid w:val="00123F61"/>
    <w:rsid w:val="0012409F"/>
    <w:rsid w:val="001242CE"/>
    <w:rsid w:val="00124A11"/>
    <w:rsid w:val="00124C66"/>
    <w:rsid w:val="001258C3"/>
    <w:rsid w:val="001265E2"/>
    <w:rsid w:val="001309CB"/>
    <w:rsid w:val="00130C60"/>
    <w:rsid w:val="00130ED4"/>
    <w:rsid w:val="00131133"/>
    <w:rsid w:val="00131223"/>
    <w:rsid w:val="00131C07"/>
    <w:rsid w:val="00132E4B"/>
    <w:rsid w:val="00133031"/>
    <w:rsid w:val="001339B2"/>
    <w:rsid w:val="00133E77"/>
    <w:rsid w:val="0013567B"/>
    <w:rsid w:val="001360F8"/>
    <w:rsid w:val="00136C80"/>
    <w:rsid w:val="0014020B"/>
    <w:rsid w:val="001414D4"/>
    <w:rsid w:val="0014154E"/>
    <w:rsid w:val="00141B3D"/>
    <w:rsid w:val="001436D1"/>
    <w:rsid w:val="00143DC1"/>
    <w:rsid w:val="00144152"/>
    <w:rsid w:val="001443A7"/>
    <w:rsid w:val="001443B4"/>
    <w:rsid w:val="00146DE0"/>
    <w:rsid w:val="00147FD2"/>
    <w:rsid w:val="0015056F"/>
    <w:rsid w:val="00150A60"/>
    <w:rsid w:val="00151027"/>
    <w:rsid w:val="00151034"/>
    <w:rsid w:val="00151E22"/>
    <w:rsid w:val="00152813"/>
    <w:rsid w:val="00156439"/>
    <w:rsid w:val="00157101"/>
    <w:rsid w:val="00160D7D"/>
    <w:rsid w:val="00161F38"/>
    <w:rsid w:val="0016272E"/>
    <w:rsid w:val="00162D0B"/>
    <w:rsid w:val="0016366A"/>
    <w:rsid w:val="00164794"/>
    <w:rsid w:val="00164CC5"/>
    <w:rsid w:val="001653EB"/>
    <w:rsid w:val="001663EC"/>
    <w:rsid w:val="001669EA"/>
    <w:rsid w:val="00166E66"/>
    <w:rsid w:val="00167126"/>
    <w:rsid w:val="001671C6"/>
    <w:rsid w:val="0016777C"/>
    <w:rsid w:val="00170918"/>
    <w:rsid w:val="00170A8F"/>
    <w:rsid w:val="00171364"/>
    <w:rsid w:val="001713BF"/>
    <w:rsid w:val="001715AF"/>
    <w:rsid w:val="00172771"/>
    <w:rsid w:val="0017289B"/>
    <w:rsid w:val="00172B86"/>
    <w:rsid w:val="00172C3A"/>
    <w:rsid w:val="00172D5C"/>
    <w:rsid w:val="00174155"/>
    <w:rsid w:val="00174391"/>
    <w:rsid w:val="00175C8F"/>
    <w:rsid w:val="001800B7"/>
    <w:rsid w:val="00181431"/>
    <w:rsid w:val="00182CAA"/>
    <w:rsid w:val="00182D8F"/>
    <w:rsid w:val="0018425F"/>
    <w:rsid w:val="001848EE"/>
    <w:rsid w:val="0018510C"/>
    <w:rsid w:val="00187AC6"/>
    <w:rsid w:val="00190797"/>
    <w:rsid w:val="00191B97"/>
    <w:rsid w:val="00191BB9"/>
    <w:rsid w:val="001921DA"/>
    <w:rsid w:val="001925B9"/>
    <w:rsid w:val="0019350B"/>
    <w:rsid w:val="00194FDE"/>
    <w:rsid w:val="00195F5F"/>
    <w:rsid w:val="00196748"/>
    <w:rsid w:val="00197C5E"/>
    <w:rsid w:val="00197FEE"/>
    <w:rsid w:val="001A190E"/>
    <w:rsid w:val="001A228A"/>
    <w:rsid w:val="001A298C"/>
    <w:rsid w:val="001A3402"/>
    <w:rsid w:val="001A3823"/>
    <w:rsid w:val="001A3AA9"/>
    <w:rsid w:val="001A49CE"/>
    <w:rsid w:val="001A6F70"/>
    <w:rsid w:val="001A72E6"/>
    <w:rsid w:val="001A78AC"/>
    <w:rsid w:val="001B030A"/>
    <w:rsid w:val="001B0749"/>
    <w:rsid w:val="001B0977"/>
    <w:rsid w:val="001B2323"/>
    <w:rsid w:val="001B2A86"/>
    <w:rsid w:val="001B2CDA"/>
    <w:rsid w:val="001B374B"/>
    <w:rsid w:val="001B4140"/>
    <w:rsid w:val="001B4891"/>
    <w:rsid w:val="001B4B78"/>
    <w:rsid w:val="001B4E6D"/>
    <w:rsid w:val="001B4F94"/>
    <w:rsid w:val="001B7110"/>
    <w:rsid w:val="001C0B23"/>
    <w:rsid w:val="001C1A5C"/>
    <w:rsid w:val="001C2163"/>
    <w:rsid w:val="001C2C34"/>
    <w:rsid w:val="001C30E1"/>
    <w:rsid w:val="001C3499"/>
    <w:rsid w:val="001C3865"/>
    <w:rsid w:val="001C3B61"/>
    <w:rsid w:val="001C3D53"/>
    <w:rsid w:val="001C462D"/>
    <w:rsid w:val="001C49B5"/>
    <w:rsid w:val="001C61E1"/>
    <w:rsid w:val="001C6935"/>
    <w:rsid w:val="001D086B"/>
    <w:rsid w:val="001D1DC3"/>
    <w:rsid w:val="001D2619"/>
    <w:rsid w:val="001D29D0"/>
    <w:rsid w:val="001D423F"/>
    <w:rsid w:val="001D5FAA"/>
    <w:rsid w:val="001D674B"/>
    <w:rsid w:val="001D6D3E"/>
    <w:rsid w:val="001D738B"/>
    <w:rsid w:val="001D7C54"/>
    <w:rsid w:val="001E1335"/>
    <w:rsid w:val="001E1B36"/>
    <w:rsid w:val="001E276D"/>
    <w:rsid w:val="001E3C01"/>
    <w:rsid w:val="001E4118"/>
    <w:rsid w:val="001E4470"/>
    <w:rsid w:val="001E4C7A"/>
    <w:rsid w:val="001E5D54"/>
    <w:rsid w:val="001E6850"/>
    <w:rsid w:val="001E6982"/>
    <w:rsid w:val="001F024F"/>
    <w:rsid w:val="001F1105"/>
    <w:rsid w:val="001F11D6"/>
    <w:rsid w:val="001F147D"/>
    <w:rsid w:val="001F2FA1"/>
    <w:rsid w:val="001F336C"/>
    <w:rsid w:val="001F52D5"/>
    <w:rsid w:val="001F7EAD"/>
    <w:rsid w:val="002000B9"/>
    <w:rsid w:val="002007F7"/>
    <w:rsid w:val="00203416"/>
    <w:rsid w:val="00205019"/>
    <w:rsid w:val="002066A1"/>
    <w:rsid w:val="00206D58"/>
    <w:rsid w:val="00212D0F"/>
    <w:rsid w:val="0021418E"/>
    <w:rsid w:val="00214C6D"/>
    <w:rsid w:val="00216BE7"/>
    <w:rsid w:val="00220150"/>
    <w:rsid w:val="00220A78"/>
    <w:rsid w:val="00221BCF"/>
    <w:rsid w:val="00224784"/>
    <w:rsid w:val="00225FB3"/>
    <w:rsid w:val="00227D35"/>
    <w:rsid w:val="00230580"/>
    <w:rsid w:val="00230FFC"/>
    <w:rsid w:val="002313E2"/>
    <w:rsid w:val="0023211A"/>
    <w:rsid w:val="002336CB"/>
    <w:rsid w:val="002337FB"/>
    <w:rsid w:val="0023391C"/>
    <w:rsid w:val="00233C7E"/>
    <w:rsid w:val="002350E2"/>
    <w:rsid w:val="002368C5"/>
    <w:rsid w:val="00237DED"/>
    <w:rsid w:val="002411C7"/>
    <w:rsid w:val="00241879"/>
    <w:rsid w:val="00243BC1"/>
    <w:rsid w:val="002456A1"/>
    <w:rsid w:val="00245FC8"/>
    <w:rsid w:val="0024629D"/>
    <w:rsid w:val="00246443"/>
    <w:rsid w:val="00246623"/>
    <w:rsid w:val="00247771"/>
    <w:rsid w:val="00250ED5"/>
    <w:rsid w:val="002517A8"/>
    <w:rsid w:val="00251C48"/>
    <w:rsid w:val="00251E37"/>
    <w:rsid w:val="002528A8"/>
    <w:rsid w:val="002528C1"/>
    <w:rsid w:val="00252F5A"/>
    <w:rsid w:val="00253BC9"/>
    <w:rsid w:val="00254353"/>
    <w:rsid w:val="002549D3"/>
    <w:rsid w:val="00255684"/>
    <w:rsid w:val="002610A3"/>
    <w:rsid w:val="00261B23"/>
    <w:rsid w:val="00261C86"/>
    <w:rsid w:val="00262BAF"/>
    <w:rsid w:val="00262FFE"/>
    <w:rsid w:val="002641D0"/>
    <w:rsid w:val="0026511E"/>
    <w:rsid w:val="00267279"/>
    <w:rsid w:val="002673B5"/>
    <w:rsid w:val="002728DB"/>
    <w:rsid w:val="00273452"/>
    <w:rsid w:val="00273D98"/>
    <w:rsid w:val="00273F0B"/>
    <w:rsid w:val="00273F16"/>
    <w:rsid w:val="00275BA4"/>
    <w:rsid w:val="002775D7"/>
    <w:rsid w:val="00281279"/>
    <w:rsid w:val="0028173B"/>
    <w:rsid w:val="00282A0C"/>
    <w:rsid w:val="0028335F"/>
    <w:rsid w:val="00283A8D"/>
    <w:rsid w:val="00283B0B"/>
    <w:rsid w:val="00283E01"/>
    <w:rsid w:val="0028524B"/>
    <w:rsid w:val="002861AF"/>
    <w:rsid w:val="00287441"/>
    <w:rsid w:val="002878B5"/>
    <w:rsid w:val="00290730"/>
    <w:rsid w:val="0029109B"/>
    <w:rsid w:val="002915EF"/>
    <w:rsid w:val="0029193C"/>
    <w:rsid w:val="0029278F"/>
    <w:rsid w:val="00292E2E"/>
    <w:rsid w:val="00293593"/>
    <w:rsid w:val="00293ED5"/>
    <w:rsid w:val="0029402B"/>
    <w:rsid w:val="00294392"/>
    <w:rsid w:val="002957BB"/>
    <w:rsid w:val="00295816"/>
    <w:rsid w:val="002A0DE4"/>
    <w:rsid w:val="002A1EE2"/>
    <w:rsid w:val="002A2C11"/>
    <w:rsid w:val="002A2C32"/>
    <w:rsid w:val="002A54F0"/>
    <w:rsid w:val="002A64ED"/>
    <w:rsid w:val="002B0447"/>
    <w:rsid w:val="002B270A"/>
    <w:rsid w:val="002B4721"/>
    <w:rsid w:val="002B47A6"/>
    <w:rsid w:val="002B5591"/>
    <w:rsid w:val="002B56BB"/>
    <w:rsid w:val="002B6E79"/>
    <w:rsid w:val="002B7792"/>
    <w:rsid w:val="002C020D"/>
    <w:rsid w:val="002C02DD"/>
    <w:rsid w:val="002C0F5C"/>
    <w:rsid w:val="002C191C"/>
    <w:rsid w:val="002C1EB4"/>
    <w:rsid w:val="002C234D"/>
    <w:rsid w:val="002C2D19"/>
    <w:rsid w:val="002C353F"/>
    <w:rsid w:val="002C3BFA"/>
    <w:rsid w:val="002C51EC"/>
    <w:rsid w:val="002C549A"/>
    <w:rsid w:val="002C56B4"/>
    <w:rsid w:val="002C6300"/>
    <w:rsid w:val="002C68F5"/>
    <w:rsid w:val="002C7CA0"/>
    <w:rsid w:val="002D00BD"/>
    <w:rsid w:val="002D023A"/>
    <w:rsid w:val="002D07B5"/>
    <w:rsid w:val="002D27D5"/>
    <w:rsid w:val="002D3045"/>
    <w:rsid w:val="002D4496"/>
    <w:rsid w:val="002D4717"/>
    <w:rsid w:val="002D5E8E"/>
    <w:rsid w:val="002D6D95"/>
    <w:rsid w:val="002D6FAA"/>
    <w:rsid w:val="002E033A"/>
    <w:rsid w:val="002E1146"/>
    <w:rsid w:val="002E17BA"/>
    <w:rsid w:val="002E1A28"/>
    <w:rsid w:val="002E32A1"/>
    <w:rsid w:val="002E3570"/>
    <w:rsid w:val="002E6850"/>
    <w:rsid w:val="002E6AA6"/>
    <w:rsid w:val="002E6CC2"/>
    <w:rsid w:val="002E6FC6"/>
    <w:rsid w:val="002F12C7"/>
    <w:rsid w:val="002F2544"/>
    <w:rsid w:val="002F34D1"/>
    <w:rsid w:val="002F35F1"/>
    <w:rsid w:val="002F48C9"/>
    <w:rsid w:val="002F55A8"/>
    <w:rsid w:val="002F634D"/>
    <w:rsid w:val="002F666F"/>
    <w:rsid w:val="002F67FD"/>
    <w:rsid w:val="002F6C74"/>
    <w:rsid w:val="002F768A"/>
    <w:rsid w:val="003002E6"/>
    <w:rsid w:val="00301BFB"/>
    <w:rsid w:val="003023ED"/>
    <w:rsid w:val="0030480C"/>
    <w:rsid w:val="00304F51"/>
    <w:rsid w:val="00306DE5"/>
    <w:rsid w:val="003074EB"/>
    <w:rsid w:val="00307C05"/>
    <w:rsid w:val="00307D5E"/>
    <w:rsid w:val="00307FD8"/>
    <w:rsid w:val="003102E5"/>
    <w:rsid w:val="00310BFB"/>
    <w:rsid w:val="003126A7"/>
    <w:rsid w:val="00312F6B"/>
    <w:rsid w:val="00312FDB"/>
    <w:rsid w:val="003133AF"/>
    <w:rsid w:val="0031340E"/>
    <w:rsid w:val="00314D30"/>
    <w:rsid w:val="0031522A"/>
    <w:rsid w:val="00315634"/>
    <w:rsid w:val="003159EA"/>
    <w:rsid w:val="00321FEA"/>
    <w:rsid w:val="00322D0C"/>
    <w:rsid w:val="003234D5"/>
    <w:rsid w:val="00323F56"/>
    <w:rsid w:val="003244C6"/>
    <w:rsid w:val="00325061"/>
    <w:rsid w:val="003254D5"/>
    <w:rsid w:val="0032557E"/>
    <w:rsid w:val="00327A94"/>
    <w:rsid w:val="00331562"/>
    <w:rsid w:val="00331C24"/>
    <w:rsid w:val="00333CFE"/>
    <w:rsid w:val="00333D58"/>
    <w:rsid w:val="003342DE"/>
    <w:rsid w:val="00334F2E"/>
    <w:rsid w:val="00336BCE"/>
    <w:rsid w:val="00340D95"/>
    <w:rsid w:val="00341579"/>
    <w:rsid w:val="00342D65"/>
    <w:rsid w:val="00344B22"/>
    <w:rsid w:val="0034508A"/>
    <w:rsid w:val="00346388"/>
    <w:rsid w:val="00350235"/>
    <w:rsid w:val="003515D8"/>
    <w:rsid w:val="003518AE"/>
    <w:rsid w:val="003518E4"/>
    <w:rsid w:val="003524C9"/>
    <w:rsid w:val="00352743"/>
    <w:rsid w:val="00353613"/>
    <w:rsid w:val="00354238"/>
    <w:rsid w:val="003544DE"/>
    <w:rsid w:val="00355535"/>
    <w:rsid w:val="00355C67"/>
    <w:rsid w:val="003567EA"/>
    <w:rsid w:val="00357EF0"/>
    <w:rsid w:val="003609BF"/>
    <w:rsid w:val="0036220F"/>
    <w:rsid w:val="00362F4E"/>
    <w:rsid w:val="0036376F"/>
    <w:rsid w:val="00365080"/>
    <w:rsid w:val="0036693F"/>
    <w:rsid w:val="0036711C"/>
    <w:rsid w:val="00370352"/>
    <w:rsid w:val="0037073E"/>
    <w:rsid w:val="00370972"/>
    <w:rsid w:val="00371BC0"/>
    <w:rsid w:val="003729E0"/>
    <w:rsid w:val="00373B93"/>
    <w:rsid w:val="003745F4"/>
    <w:rsid w:val="00374D87"/>
    <w:rsid w:val="00375E32"/>
    <w:rsid w:val="00376226"/>
    <w:rsid w:val="003767B4"/>
    <w:rsid w:val="00380132"/>
    <w:rsid w:val="00380306"/>
    <w:rsid w:val="00381892"/>
    <w:rsid w:val="00382FF4"/>
    <w:rsid w:val="00383805"/>
    <w:rsid w:val="00383896"/>
    <w:rsid w:val="00384177"/>
    <w:rsid w:val="00384C37"/>
    <w:rsid w:val="00384E85"/>
    <w:rsid w:val="00385F11"/>
    <w:rsid w:val="00390452"/>
    <w:rsid w:val="00393901"/>
    <w:rsid w:val="00394163"/>
    <w:rsid w:val="00394AE6"/>
    <w:rsid w:val="0039512C"/>
    <w:rsid w:val="0039549E"/>
    <w:rsid w:val="0039557D"/>
    <w:rsid w:val="00395B78"/>
    <w:rsid w:val="003961F0"/>
    <w:rsid w:val="003963C2"/>
    <w:rsid w:val="003973BF"/>
    <w:rsid w:val="003A05E5"/>
    <w:rsid w:val="003A0AE9"/>
    <w:rsid w:val="003A0DE2"/>
    <w:rsid w:val="003A1FF2"/>
    <w:rsid w:val="003A237F"/>
    <w:rsid w:val="003A49F0"/>
    <w:rsid w:val="003A5E28"/>
    <w:rsid w:val="003A7229"/>
    <w:rsid w:val="003A768C"/>
    <w:rsid w:val="003B04BD"/>
    <w:rsid w:val="003B0542"/>
    <w:rsid w:val="003B14B5"/>
    <w:rsid w:val="003B14F3"/>
    <w:rsid w:val="003B1FF8"/>
    <w:rsid w:val="003B2593"/>
    <w:rsid w:val="003B2C05"/>
    <w:rsid w:val="003B46BC"/>
    <w:rsid w:val="003B4B5F"/>
    <w:rsid w:val="003B54C2"/>
    <w:rsid w:val="003B6A1A"/>
    <w:rsid w:val="003B7840"/>
    <w:rsid w:val="003C06A4"/>
    <w:rsid w:val="003C0EB3"/>
    <w:rsid w:val="003C1083"/>
    <w:rsid w:val="003C1811"/>
    <w:rsid w:val="003C29B0"/>
    <w:rsid w:val="003C2C80"/>
    <w:rsid w:val="003C4E26"/>
    <w:rsid w:val="003C4EA2"/>
    <w:rsid w:val="003C54C4"/>
    <w:rsid w:val="003C7B61"/>
    <w:rsid w:val="003D0DAF"/>
    <w:rsid w:val="003D36F8"/>
    <w:rsid w:val="003D502E"/>
    <w:rsid w:val="003D7939"/>
    <w:rsid w:val="003D79AE"/>
    <w:rsid w:val="003D7CDF"/>
    <w:rsid w:val="003E1018"/>
    <w:rsid w:val="003E11FC"/>
    <w:rsid w:val="003E40B3"/>
    <w:rsid w:val="003E5412"/>
    <w:rsid w:val="003E55CE"/>
    <w:rsid w:val="003E65BB"/>
    <w:rsid w:val="003E6FFF"/>
    <w:rsid w:val="003F0A37"/>
    <w:rsid w:val="003F1599"/>
    <w:rsid w:val="003F21EA"/>
    <w:rsid w:val="003F2AD4"/>
    <w:rsid w:val="003F34E1"/>
    <w:rsid w:val="003F4C1F"/>
    <w:rsid w:val="003F53BA"/>
    <w:rsid w:val="003F5C37"/>
    <w:rsid w:val="003F673C"/>
    <w:rsid w:val="003F7424"/>
    <w:rsid w:val="003F7826"/>
    <w:rsid w:val="00400276"/>
    <w:rsid w:val="004002D0"/>
    <w:rsid w:val="004009BF"/>
    <w:rsid w:val="00401B5B"/>
    <w:rsid w:val="00402A63"/>
    <w:rsid w:val="00403C38"/>
    <w:rsid w:val="00403CBE"/>
    <w:rsid w:val="00405531"/>
    <w:rsid w:val="00405770"/>
    <w:rsid w:val="004063E4"/>
    <w:rsid w:val="004065A8"/>
    <w:rsid w:val="00407382"/>
    <w:rsid w:val="00410AF9"/>
    <w:rsid w:val="00413321"/>
    <w:rsid w:val="0041395B"/>
    <w:rsid w:val="00413BDA"/>
    <w:rsid w:val="0041490B"/>
    <w:rsid w:val="00416221"/>
    <w:rsid w:val="00420DEC"/>
    <w:rsid w:val="00421542"/>
    <w:rsid w:val="00421DC8"/>
    <w:rsid w:val="004228EC"/>
    <w:rsid w:val="0042336F"/>
    <w:rsid w:val="0042492E"/>
    <w:rsid w:val="00430551"/>
    <w:rsid w:val="004309A8"/>
    <w:rsid w:val="00430B01"/>
    <w:rsid w:val="004328BC"/>
    <w:rsid w:val="00435754"/>
    <w:rsid w:val="00435894"/>
    <w:rsid w:val="00435F59"/>
    <w:rsid w:val="00436101"/>
    <w:rsid w:val="004361E1"/>
    <w:rsid w:val="004372F7"/>
    <w:rsid w:val="0043735B"/>
    <w:rsid w:val="00440A26"/>
    <w:rsid w:val="00442504"/>
    <w:rsid w:val="0044256E"/>
    <w:rsid w:val="004426FB"/>
    <w:rsid w:val="0044333F"/>
    <w:rsid w:val="00443C95"/>
    <w:rsid w:val="00444FD9"/>
    <w:rsid w:val="00445238"/>
    <w:rsid w:val="00445A94"/>
    <w:rsid w:val="004465CA"/>
    <w:rsid w:val="0044689A"/>
    <w:rsid w:val="00447270"/>
    <w:rsid w:val="004479A8"/>
    <w:rsid w:val="00447BE1"/>
    <w:rsid w:val="00450163"/>
    <w:rsid w:val="004505FB"/>
    <w:rsid w:val="004514DE"/>
    <w:rsid w:val="00452D85"/>
    <w:rsid w:val="00453022"/>
    <w:rsid w:val="00453132"/>
    <w:rsid w:val="004533FC"/>
    <w:rsid w:val="00456157"/>
    <w:rsid w:val="004566DE"/>
    <w:rsid w:val="004578F4"/>
    <w:rsid w:val="00457947"/>
    <w:rsid w:val="00460912"/>
    <w:rsid w:val="00460B53"/>
    <w:rsid w:val="0046117F"/>
    <w:rsid w:val="00461227"/>
    <w:rsid w:val="004613DB"/>
    <w:rsid w:val="0046206D"/>
    <w:rsid w:val="004643FD"/>
    <w:rsid w:val="00465B67"/>
    <w:rsid w:val="004706A0"/>
    <w:rsid w:val="00472D54"/>
    <w:rsid w:val="00472E65"/>
    <w:rsid w:val="00472FCF"/>
    <w:rsid w:val="004733BE"/>
    <w:rsid w:val="004738EF"/>
    <w:rsid w:val="00473C2E"/>
    <w:rsid w:val="00473F9F"/>
    <w:rsid w:val="00474313"/>
    <w:rsid w:val="004755D8"/>
    <w:rsid w:val="004765FF"/>
    <w:rsid w:val="0047667B"/>
    <w:rsid w:val="00476A10"/>
    <w:rsid w:val="00480C89"/>
    <w:rsid w:val="004814FB"/>
    <w:rsid w:val="00482551"/>
    <w:rsid w:val="00482565"/>
    <w:rsid w:val="004833B0"/>
    <w:rsid w:val="00485581"/>
    <w:rsid w:val="00487B70"/>
    <w:rsid w:val="00487BCB"/>
    <w:rsid w:val="00487CF7"/>
    <w:rsid w:val="00487D54"/>
    <w:rsid w:val="00490EB2"/>
    <w:rsid w:val="00490EE6"/>
    <w:rsid w:val="00491376"/>
    <w:rsid w:val="00492644"/>
    <w:rsid w:val="004926F3"/>
    <w:rsid w:val="0049469E"/>
    <w:rsid w:val="00494BDF"/>
    <w:rsid w:val="00495EA0"/>
    <w:rsid w:val="0049680F"/>
    <w:rsid w:val="004968E9"/>
    <w:rsid w:val="00496EAD"/>
    <w:rsid w:val="00497C72"/>
    <w:rsid w:val="00497DB8"/>
    <w:rsid w:val="004A09DD"/>
    <w:rsid w:val="004A0F16"/>
    <w:rsid w:val="004A20DA"/>
    <w:rsid w:val="004A44B6"/>
    <w:rsid w:val="004A4C8F"/>
    <w:rsid w:val="004A5BE8"/>
    <w:rsid w:val="004A66C9"/>
    <w:rsid w:val="004B215D"/>
    <w:rsid w:val="004B2B75"/>
    <w:rsid w:val="004B2C81"/>
    <w:rsid w:val="004B33C9"/>
    <w:rsid w:val="004B3D77"/>
    <w:rsid w:val="004B4B8C"/>
    <w:rsid w:val="004B50A8"/>
    <w:rsid w:val="004B5540"/>
    <w:rsid w:val="004B6601"/>
    <w:rsid w:val="004B6857"/>
    <w:rsid w:val="004B731D"/>
    <w:rsid w:val="004B7644"/>
    <w:rsid w:val="004C0024"/>
    <w:rsid w:val="004C04C6"/>
    <w:rsid w:val="004C325F"/>
    <w:rsid w:val="004C56AD"/>
    <w:rsid w:val="004C57F5"/>
    <w:rsid w:val="004C5D1B"/>
    <w:rsid w:val="004C6CF7"/>
    <w:rsid w:val="004C7673"/>
    <w:rsid w:val="004C7A66"/>
    <w:rsid w:val="004D026A"/>
    <w:rsid w:val="004D1A82"/>
    <w:rsid w:val="004D2BDE"/>
    <w:rsid w:val="004D4002"/>
    <w:rsid w:val="004D4170"/>
    <w:rsid w:val="004D44AF"/>
    <w:rsid w:val="004D488C"/>
    <w:rsid w:val="004D4EE3"/>
    <w:rsid w:val="004D5CBF"/>
    <w:rsid w:val="004D71FA"/>
    <w:rsid w:val="004D7953"/>
    <w:rsid w:val="004E00E8"/>
    <w:rsid w:val="004E1FE4"/>
    <w:rsid w:val="004E2A6E"/>
    <w:rsid w:val="004E43B5"/>
    <w:rsid w:val="004E5B9A"/>
    <w:rsid w:val="004E5C52"/>
    <w:rsid w:val="004E6CC5"/>
    <w:rsid w:val="004E7F72"/>
    <w:rsid w:val="004F1121"/>
    <w:rsid w:val="004F11F6"/>
    <w:rsid w:val="004F1278"/>
    <w:rsid w:val="004F1A0C"/>
    <w:rsid w:val="004F21ED"/>
    <w:rsid w:val="004F2753"/>
    <w:rsid w:val="004F2F66"/>
    <w:rsid w:val="004F34F0"/>
    <w:rsid w:val="004F5891"/>
    <w:rsid w:val="004F595C"/>
    <w:rsid w:val="004F604B"/>
    <w:rsid w:val="004F725E"/>
    <w:rsid w:val="004F7C62"/>
    <w:rsid w:val="0050000B"/>
    <w:rsid w:val="005007EB"/>
    <w:rsid w:val="00501139"/>
    <w:rsid w:val="00501ADD"/>
    <w:rsid w:val="00501CD1"/>
    <w:rsid w:val="00502266"/>
    <w:rsid w:val="005031FF"/>
    <w:rsid w:val="00505F48"/>
    <w:rsid w:val="00506431"/>
    <w:rsid w:val="0050672C"/>
    <w:rsid w:val="00507396"/>
    <w:rsid w:val="00507D4F"/>
    <w:rsid w:val="00510925"/>
    <w:rsid w:val="00511A4B"/>
    <w:rsid w:val="005121F9"/>
    <w:rsid w:val="005125BC"/>
    <w:rsid w:val="00512CF4"/>
    <w:rsid w:val="00513D53"/>
    <w:rsid w:val="00513FB9"/>
    <w:rsid w:val="00514D62"/>
    <w:rsid w:val="00515055"/>
    <w:rsid w:val="005150ED"/>
    <w:rsid w:val="0051574F"/>
    <w:rsid w:val="005162BF"/>
    <w:rsid w:val="005166EF"/>
    <w:rsid w:val="00517B42"/>
    <w:rsid w:val="00517B75"/>
    <w:rsid w:val="00523F5F"/>
    <w:rsid w:val="0052581B"/>
    <w:rsid w:val="00527092"/>
    <w:rsid w:val="0052788D"/>
    <w:rsid w:val="00527E4C"/>
    <w:rsid w:val="00530689"/>
    <w:rsid w:val="00530782"/>
    <w:rsid w:val="00530DEB"/>
    <w:rsid w:val="0053148C"/>
    <w:rsid w:val="005318D0"/>
    <w:rsid w:val="005323A9"/>
    <w:rsid w:val="005327A1"/>
    <w:rsid w:val="00533459"/>
    <w:rsid w:val="005356D6"/>
    <w:rsid w:val="0053647F"/>
    <w:rsid w:val="00536C23"/>
    <w:rsid w:val="00536E1A"/>
    <w:rsid w:val="00537BAC"/>
    <w:rsid w:val="00537EF5"/>
    <w:rsid w:val="005401D5"/>
    <w:rsid w:val="00540688"/>
    <w:rsid w:val="005418D8"/>
    <w:rsid w:val="005425B4"/>
    <w:rsid w:val="00543479"/>
    <w:rsid w:val="0054388F"/>
    <w:rsid w:val="00543BF5"/>
    <w:rsid w:val="0054446F"/>
    <w:rsid w:val="00544960"/>
    <w:rsid w:val="00544B3F"/>
    <w:rsid w:val="00544BEA"/>
    <w:rsid w:val="00545031"/>
    <w:rsid w:val="00545C3E"/>
    <w:rsid w:val="00545EC3"/>
    <w:rsid w:val="00547470"/>
    <w:rsid w:val="00547AA8"/>
    <w:rsid w:val="0055018F"/>
    <w:rsid w:val="0055136C"/>
    <w:rsid w:val="00551CD9"/>
    <w:rsid w:val="00552D1A"/>
    <w:rsid w:val="00554336"/>
    <w:rsid w:val="005544D4"/>
    <w:rsid w:val="0055567B"/>
    <w:rsid w:val="005564EA"/>
    <w:rsid w:val="00556602"/>
    <w:rsid w:val="005570F5"/>
    <w:rsid w:val="00557680"/>
    <w:rsid w:val="0056025A"/>
    <w:rsid w:val="0056259B"/>
    <w:rsid w:val="00562A67"/>
    <w:rsid w:val="00562CE8"/>
    <w:rsid w:val="00562EA0"/>
    <w:rsid w:val="0056450C"/>
    <w:rsid w:val="005649AF"/>
    <w:rsid w:val="0056522A"/>
    <w:rsid w:val="0056576F"/>
    <w:rsid w:val="00565AF4"/>
    <w:rsid w:val="00565CB8"/>
    <w:rsid w:val="00566A41"/>
    <w:rsid w:val="00566DF2"/>
    <w:rsid w:val="00566E1D"/>
    <w:rsid w:val="005679BB"/>
    <w:rsid w:val="00570C90"/>
    <w:rsid w:val="00570CC9"/>
    <w:rsid w:val="00571C6A"/>
    <w:rsid w:val="0057483B"/>
    <w:rsid w:val="00577263"/>
    <w:rsid w:val="00577C3A"/>
    <w:rsid w:val="00580056"/>
    <w:rsid w:val="0058111A"/>
    <w:rsid w:val="005819F3"/>
    <w:rsid w:val="00581E2F"/>
    <w:rsid w:val="00581F08"/>
    <w:rsid w:val="00584BF9"/>
    <w:rsid w:val="00585515"/>
    <w:rsid w:val="00585846"/>
    <w:rsid w:val="00585DBD"/>
    <w:rsid w:val="005862E6"/>
    <w:rsid w:val="0059000B"/>
    <w:rsid w:val="00591269"/>
    <w:rsid w:val="005912DE"/>
    <w:rsid w:val="00592265"/>
    <w:rsid w:val="0059346A"/>
    <w:rsid w:val="00593626"/>
    <w:rsid w:val="0059375E"/>
    <w:rsid w:val="00593AF6"/>
    <w:rsid w:val="00594FBA"/>
    <w:rsid w:val="0059599F"/>
    <w:rsid w:val="00595B90"/>
    <w:rsid w:val="0059712D"/>
    <w:rsid w:val="00597A33"/>
    <w:rsid w:val="00597D3C"/>
    <w:rsid w:val="00597E8A"/>
    <w:rsid w:val="005A04B6"/>
    <w:rsid w:val="005A0DFA"/>
    <w:rsid w:val="005A2837"/>
    <w:rsid w:val="005A2A54"/>
    <w:rsid w:val="005A3522"/>
    <w:rsid w:val="005A362D"/>
    <w:rsid w:val="005A3F76"/>
    <w:rsid w:val="005A4D52"/>
    <w:rsid w:val="005A4F47"/>
    <w:rsid w:val="005A5698"/>
    <w:rsid w:val="005A651C"/>
    <w:rsid w:val="005A6563"/>
    <w:rsid w:val="005A65A7"/>
    <w:rsid w:val="005A68B2"/>
    <w:rsid w:val="005A735E"/>
    <w:rsid w:val="005A75D4"/>
    <w:rsid w:val="005A7B36"/>
    <w:rsid w:val="005A7C23"/>
    <w:rsid w:val="005A7D7B"/>
    <w:rsid w:val="005B0229"/>
    <w:rsid w:val="005B0FD0"/>
    <w:rsid w:val="005B1569"/>
    <w:rsid w:val="005B1CC4"/>
    <w:rsid w:val="005B2DC0"/>
    <w:rsid w:val="005B2E7F"/>
    <w:rsid w:val="005B2EC9"/>
    <w:rsid w:val="005B33A0"/>
    <w:rsid w:val="005B43A9"/>
    <w:rsid w:val="005B6594"/>
    <w:rsid w:val="005B7E60"/>
    <w:rsid w:val="005B7ECD"/>
    <w:rsid w:val="005C03FB"/>
    <w:rsid w:val="005C0438"/>
    <w:rsid w:val="005C20D3"/>
    <w:rsid w:val="005C24DE"/>
    <w:rsid w:val="005C3DF0"/>
    <w:rsid w:val="005C410B"/>
    <w:rsid w:val="005C4E51"/>
    <w:rsid w:val="005C72ED"/>
    <w:rsid w:val="005C7925"/>
    <w:rsid w:val="005C7AC1"/>
    <w:rsid w:val="005C7DC1"/>
    <w:rsid w:val="005D01D8"/>
    <w:rsid w:val="005D0C9D"/>
    <w:rsid w:val="005D225F"/>
    <w:rsid w:val="005D25A4"/>
    <w:rsid w:val="005D439C"/>
    <w:rsid w:val="005D4609"/>
    <w:rsid w:val="005D6702"/>
    <w:rsid w:val="005D69B0"/>
    <w:rsid w:val="005E0131"/>
    <w:rsid w:val="005E014A"/>
    <w:rsid w:val="005E11E0"/>
    <w:rsid w:val="005E1BD6"/>
    <w:rsid w:val="005E2F39"/>
    <w:rsid w:val="005E3B05"/>
    <w:rsid w:val="005E3FFC"/>
    <w:rsid w:val="005E40CA"/>
    <w:rsid w:val="005E4AAE"/>
    <w:rsid w:val="005F0D54"/>
    <w:rsid w:val="005F1055"/>
    <w:rsid w:val="005F1994"/>
    <w:rsid w:val="005F2C4C"/>
    <w:rsid w:val="005F42B9"/>
    <w:rsid w:val="005F4939"/>
    <w:rsid w:val="005F5A08"/>
    <w:rsid w:val="005F5C22"/>
    <w:rsid w:val="005F5F13"/>
    <w:rsid w:val="006000D6"/>
    <w:rsid w:val="00600845"/>
    <w:rsid w:val="00602212"/>
    <w:rsid w:val="006036D9"/>
    <w:rsid w:val="00606321"/>
    <w:rsid w:val="00610AA2"/>
    <w:rsid w:val="0061175D"/>
    <w:rsid w:val="00611A2D"/>
    <w:rsid w:val="00612025"/>
    <w:rsid w:val="00612077"/>
    <w:rsid w:val="0061263A"/>
    <w:rsid w:val="00612947"/>
    <w:rsid w:val="006140FC"/>
    <w:rsid w:val="00614189"/>
    <w:rsid w:val="00614C93"/>
    <w:rsid w:val="00614EB3"/>
    <w:rsid w:val="00615B44"/>
    <w:rsid w:val="006162D6"/>
    <w:rsid w:val="006165B3"/>
    <w:rsid w:val="00616636"/>
    <w:rsid w:val="006168D5"/>
    <w:rsid w:val="00617B37"/>
    <w:rsid w:val="00617DD1"/>
    <w:rsid w:val="0062099A"/>
    <w:rsid w:val="00621058"/>
    <w:rsid w:val="00621115"/>
    <w:rsid w:val="00621C3E"/>
    <w:rsid w:val="0062260B"/>
    <w:rsid w:val="00622AC6"/>
    <w:rsid w:val="00622C69"/>
    <w:rsid w:val="006247A6"/>
    <w:rsid w:val="006262CD"/>
    <w:rsid w:val="00626DC4"/>
    <w:rsid w:val="00627221"/>
    <w:rsid w:val="0062767B"/>
    <w:rsid w:val="00627E2D"/>
    <w:rsid w:val="006308FC"/>
    <w:rsid w:val="00632040"/>
    <w:rsid w:val="00632C92"/>
    <w:rsid w:val="0063330E"/>
    <w:rsid w:val="006333F7"/>
    <w:rsid w:val="006342DF"/>
    <w:rsid w:val="006346D3"/>
    <w:rsid w:val="00636685"/>
    <w:rsid w:val="006366BA"/>
    <w:rsid w:val="00637E07"/>
    <w:rsid w:val="00637F4E"/>
    <w:rsid w:val="0064032F"/>
    <w:rsid w:val="00641377"/>
    <w:rsid w:val="00641A95"/>
    <w:rsid w:val="00642221"/>
    <w:rsid w:val="006424A7"/>
    <w:rsid w:val="00642715"/>
    <w:rsid w:val="00642FC8"/>
    <w:rsid w:val="006432FB"/>
    <w:rsid w:val="00643878"/>
    <w:rsid w:val="00643EF9"/>
    <w:rsid w:val="00645397"/>
    <w:rsid w:val="00645FCB"/>
    <w:rsid w:val="00646048"/>
    <w:rsid w:val="006465C7"/>
    <w:rsid w:val="006465D7"/>
    <w:rsid w:val="006501D2"/>
    <w:rsid w:val="006504CC"/>
    <w:rsid w:val="00650540"/>
    <w:rsid w:val="0065076A"/>
    <w:rsid w:val="00650F0A"/>
    <w:rsid w:val="00653129"/>
    <w:rsid w:val="006533F8"/>
    <w:rsid w:val="006544C6"/>
    <w:rsid w:val="00655E83"/>
    <w:rsid w:val="00655E87"/>
    <w:rsid w:val="00656936"/>
    <w:rsid w:val="0066049E"/>
    <w:rsid w:val="00661C97"/>
    <w:rsid w:val="00663B35"/>
    <w:rsid w:val="0066673C"/>
    <w:rsid w:val="0067016A"/>
    <w:rsid w:val="00671B0C"/>
    <w:rsid w:val="00672693"/>
    <w:rsid w:val="00672CEA"/>
    <w:rsid w:val="00672D04"/>
    <w:rsid w:val="00672D2F"/>
    <w:rsid w:val="0067317E"/>
    <w:rsid w:val="00675985"/>
    <w:rsid w:val="006760A4"/>
    <w:rsid w:val="00676C39"/>
    <w:rsid w:val="00676EB0"/>
    <w:rsid w:val="0067746C"/>
    <w:rsid w:val="00677745"/>
    <w:rsid w:val="00677CB8"/>
    <w:rsid w:val="006814A2"/>
    <w:rsid w:val="006817D1"/>
    <w:rsid w:val="00681947"/>
    <w:rsid w:val="006827E4"/>
    <w:rsid w:val="00682895"/>
    <w:rsid w:val="0068304E"/>
    <w:rsid w:val="006839A0"/>
    <w:rsid w:val="00683BC3"/>
    <w:rsid w:val="00685E55"/>
    <w:rsid w:val="00686AFC"/>
    <w:rsid w:val="00687535"/>
    <w:rsid w:val="0069073E"/>
    <w:rsid w:val="006911F0"/>
    <w:rsid w:val="0069493C"/>
    <w:rsid w:val="006957B6"/>
    <w:rsid w:val="006959BA"/>
    <w:rsid w:val="006975AE"/>
    <w:rsid w:val="00697CAB"/>
    <w:rsid w:val="006A1E7D"/>
    <w:rsid w:val="006A1E7F"/>
    <w:rsid w:val="006A20F0"/>
    <w:rsid w:val="006A2487"/>
    <w:rsid w:val="006A2AD4"/>
    <w:rsid w:val="006A2B98"/>
    <w:rsid w:val="006A60C9"/>
    <w:rsid w:val="006A6500"/>
    <w:rsid w:val="006A6FFC"/>
    <w:rsid w:val="006A70F8"/>
    <w:rsid w:val="006A7AF7"/>
    <w:rsid w:val="006A7FB8"/>
    <w:rsid w:val="006B0CD1"/>
    <w:rsid w:val="006B14B2"/>
    <w:rsid w:val="006B1D01"/>
    <w:rsid w:val="006B28BF"/>
    <w:rsid w:val="006B515F"/>
    <w:rsid w:val="006B5703"/>
    <w:rsid w:val="006B629D"/>
    <w:rsid w:val="006B69D5"/>
    <w:rsid w:val="006B6CE8"/>
    <w:rsid w:val="006B73F7"/>
    <w:rsid w:val="006C18D2"/>
    <w:rsid w:val="006C29C0"/>
    <w:rsid w:val="006C2A87"/>
    <w:rsid w:val="006C3E14"/>
    <w:rsid w:val="006C4585"/>
    <w:rsid w:val="006C5179"/>
    <w:rsid w:val="006C56F1"/>
    <w:rsid w:val="006C5D4B"/>
    <w:rsid w:val="006C78B1"/>
    <w:rsid w:val="006D0045"/>
    <w:rsid w:val="006D04F6"/>
    <w:rsid w:val="006D17B5"/>
    <w:rsid w:val="006D1D75"/>
    <w:rsid w:val="006D238D"/>
    <w:rsid w:val="006D29E5"/>
    <w:rsid w:val="006D3270"/>
    <w:rsid w:val="006D3462"/>
    <w:rsid w:val="006D38F7"/>
    <w:rsid w:val="006D3B3D"/>
    <w:rsid w:val="006D41A6"/>
    <w:rsid w:val="006D41DF"/>
    <w:rsid w:val="006D4753"/>
    <w:rsid w:val="006D4A99"/>
    <w:rsid w:val="006D5E22"/>
    <w:rsid w:val="006D63F3"/>
    <w:rsid w:val="006D6D97"/>
    <w:rsid w:val="006D7758"/>
    <w:rsid w:val="006D7C99"/>
    <w:rsid w:val="006E1E47"/>
    <w:rsid w:val="006E28C6"/>
    <w:rsid w:val="006E36C8"/>
    <w:rsid w:val="006E4490"/>
    <w:rsid w:val="006E47C5"/>
    <w:rsid w:val="006E4E25"/>
    <w:rsid w:val="006E622F"/>
    <w:rsid w:val="006E7967"/>
    <w:rsid w:val="006E7FAF"/>
    <w:rsid w:val="006F026D"/>
    <w:rsid w:val="006F0F32"/>
    <w:rsid w:val="006F1E8A"/>
    <w:rsid w:val="006F2510"/>
    <w:rsid w:val="006F37A6"/>
    <w:rsid w:val="006F3E91"/>
    <w:rsid w:val="006F4190"/>
    <w:rsid w:val="006F4539"/>
    <w:rsid w:val="006F4C3C"/>
    <w:rsid w:val="006F4DBD"/>
    <w:rsid w:val="006F4E77"/>
    <w:rsid w:val="006F4F11"/>
    <w:rsid w:val="006F52A6"/>
    <w:rsid w:val="006F5414"/>
    <w:rsid w:val="006F60D7"/>
    <w:rsid w:val="006F6E67"/>
    <w:rsid w:val="006F7DB4"/>
    <w:rsid w:val="00700724"/>
    <w:rsid w:val="00701130"/>
    <w:rsid w:val="007013C7"/>
    <w:rsid w:val="007029AC"/>
    <w:rsid w:val="00704C6B"/>
    <w:rsid w:val="00704EB2"/>
    <w:rsid w:val="00704F3A"/>
    <w:rsid w:val="00705064"/>
    <w:rsid w:val="00705091"/>
    <w:rsid w:val="0070583F"/>
    <w:rsid w:val="00705D78"/>
    <w:rsid w:val="00705EDA"/>
    <w:rsid w:val="00706169"/>
    <w:rsid w:val="0070795E"/>
    <w:rsid w:val="00710386"/>
    <w:rsid w:val="007105D6"/>
    <w:rsid w:val="00710771"/>
    <w:rsid w:val="0071087E"/>
    <w:rsid w:val="00710F98"/>
    <w:rsid w:val="00711402"/>
    <w:rsid w:val="00711B5D"/>
    <w:rsid w:val="0071258D"/>
    <w:rsid w:val="00713074"/>
    <w:rsid w:val="007137B2"/>
    <w:rsid w:val="007138F4"/>
    <w:rsid w:val="00714C52"/>
    <w:rsid w:val="007154E0"/>
    <w:rsid w:val="00715675"/>
    <w:rsid w:val="007164E0"/>
    <w:rsid w:val="007165B7"/>
    <w:rsid w:val="00717445"/>
    <w:rsid w:val="00717F94"/>
    <w:rsid w:val="0072127E"/>
    <w:rsid w:val="00722754"/>
    <w:rsid w:val="00722885"/>
    <w:rsid w:val="00722D47"/>
    <w:rsid w:val="00723908"/>
    <w:rsid w:val="00723A17"/>
    <w:rsid w:val="0072539A"/>
    <w:rsid w:val="00725B97"/>
    <w:rsid w:val="007305DB"/>
    <w:rsid w:val="007307B9"/>
    <w:rsid w:val="00730DA5"/>
    <w:rsid w:val="00731628"/>
    <w:rsid w:val="00732082"/>
    <w:rsid w:val="007327AE"/>
    <w:rsid w:val="007327BB"/>
    <w:rsid w:val="00733832"/>
    <w:rsid w:val="00733D74"/>
    <w:rsid w:val="00734F70"/>
    <w:rsid w:val="00741174"/>
    <w:rsid w:val="00741226"/>
    <w:rsid w:val="00742989"/>
    <w:rsid w:val="00742CB1"/>
    <w:rsid w:val="0074325B"/>
    <w:rsid w:val="00743B43"/>
    <w:rsid w:val="0074411F"/>
    <w:rsid w:val="007451A8"/>
    <w:rsid w:val="00745E64"/>
    <w:rsid w:val="007472B3"/>
    <w:rsid w:val="00747BFB"/>
    <w:rsid w:val="00752738"/>
    <w:rsid w:val="00753B74"/>
    <w:rsid w:val="00754E8D"/>
    <w:rsid w:val="00757C4D"/>
    <w:rsid w:val="0076129C"/>
    <w:rsid w:val="00762017"/>
    <w:rsid w:val="00762963"/>
    <w:rsid w:val="007640CE"/>
    <w:rsid w:val="00765A06"/>
    <w:rsid w:val="00765CD4"/>
    <w:rsid w:val="0076661D"/>
    <w:rsid w:val="00767147"/>
    <w:rsid w:val="0076747D"/>
    <w:rsid w:val="007700A6"/>
    <w:rsid w:val="00771D08"/>
    <w:rsid w:val="00771FDF"/>
    <w:rsid w:val="00772924"/>
    <w:rsid w:val="0077292A"/>
    <w:rsid w:val="00774DA4"/>
    <w:rsid w:val="00774DF4"/>
    <w:rsid w:val="00775526"/>
    <w:rsid w:val="00776219"/>
    <w:rsid w:val="00777278"/>
    <w:rsid w:val="00777A77"/>
    <w:rsid w:val="00780017"/>
    <w:rsid w:val="00780817"/>
    <w:rsid w:val="007822D7"/>
    <w:rsid w:val="00782E18"/>
    <w:rsid w:val="007868CE"/>
    <w:rsid w:val="00786C73"/>
    <w:rsid w:val="007906F3"/>
    <w:rsid w:val="0079177D"/>
    <w:rsid w:val="0079182B"/>
    <w:rsid w:val="0079275A"/>
    <w:rsid w:val="00792FD5"/>
    <w:rsid w:val="0079313C"/>
    <w:rsid w:val="007949D1"/>
    <w:rsid w:val="00795966"/>
    <w:rsid w:val="0079708A"/>
    <w:rsid w:val="00797924"/>
    <w:rsid w:val="007A130C"/>
    <w:rsid w:val="007A45AE"/>
    <w:rsid w:val="007A4DBE"/>
    <w:rsid w:val="007A51FC"/>
    <w:rsid w:val="007A5E32"/>
    <w:rsid w:val="007A633C"/>
    <w:rsid w:val="007A669D"/>
    <w:rsid w:val="007A74CB"/>
    <w:rsid w:val="007A7AC2"/>
    <w:rsid w:val="007B043A"/>
    <w:rsid w:val="007B07DE"/>
    <w:rsid w:val="007B1AA9"/>
    <w:rsid w:val="007B1D58"/>
    <w:rsid w:val="007B2689"/>
    <w:rsid w:val="007B470E"/>
    <w:rsid w:val="007B4F28"/>
    <w:rsid w:val="007B4FA7"/>
    <w:rsid w:val="007B50D2"/>
    <w:rsid w:val="007B5F8E"/>
    <w:rsid w:val="007B7180"/>
    <w:rsid w:val="007B732D"/>
    <w:rsid w:val="007B7B44"/>
    <w:rsid w:val="007C16FD"/>
    <w:rsid w:val="007C20BB"/>
    <w:rsid w:val="007C20D0"/>
    <w:rsid w:val="007C286A"/>
    <w:rsid w:val="007C2E98"/>
    <w:rsid w:val="007C2EAC"/>
    <w:rsid w:val="007C35EA"/>
    <w:rsid w:val="007C4220"/>
    <w:rsid w:val="007C4A21"/>
    <w:rsid w:val="007C6206"/>
    <w:rsid w:val="007C689F"/>
    <w:rsid w:val="007C78B5"/>
    <w:rsid w:val="007D0AF9"/>
    <w:rsid w:val="007D0D9D"/>
    <w:rsid w:val="007D2598"/>
    <w:rsid w:val="007D4EFE"/>
    <w:rsid w:val="007D6F51"/>
    <w:rsid w:val="007D727E"/>
    <w:rsid w:val="007E0ADC"/>
    <w:rsid w:val="007E10B0"/>
    <w:rsid w:val="007E22D6"/>
    <w:rsid w:val="007E2780"/>
    <w:rsid w:val="007E374A"/>
    <w:rsid w:val="007E395D"/>
    <w:rsid w:val="007E4D22"/>
    <w:rsid w:val="007E50A8"/>
    <w:rsid w:val="007E5208"/>
    <w:rsid w:val="007E6F46"/>
    <w:rsid w:val="007E6FBF"/>
    <w:rsid w:val="007F0F7C"/>
    <w:rsid w:val="007F2004"/>
    <w:rsid w:val="007F46A6"/>
    <w:rsid w:val="007F50F6"/>
    <w:rsid w:val="007F532C"/>
    <w:rsid w:val="007F5E2F"/>
    <w:rsid w:val="007F66B5"/>
    <w:rsid w:val="007F7E9C"/>
    <w:rsid w:val="00800005"/>
    <w:rsid w:val="00800238"/>
    <w:rsid w:val="0080245D"/>
    <w:rsid w:val="00802824"/>
    <w:rsid w:val="00803EBA"/>
    <w:rsid w:val="00804998"/>
    <w:rsid w:val="008059E8"/>
    <w:rsid w:val="00806173"/>
    <w:rsid w:val="008063FE"/>
    <w:rsid w:val="008072C4"/>
    <w:rsid w:val="008075F6"/>
    <w:rsid w:val="00810124"/>
    <w:rsid w:val="0081025E"/>
    <w:rsid w:val="0081131D"/>
    <w:rsid w:val="00812240"/>
    <w:rsid w:val="00813663"/>
    <w:rsid w:val="00813B95"/>
    <w:rsid w:val="00814C75"/>
    <w:rsid w:val="008156C2"/>
    <w:rsid w:val="00815A71"/>
    <w:rsid w:val="00815BFF"/>
    <w:rsid w:val="008169A5"/>
    <w:rsid w:val="00817498"/>
    <w:rsid w:val="0082170C"/>
    <w:rsid w:val="00822A34"/>
    <w:rsid w:val="00822C15"/>
    <w:rsid w:val="00823C8B"/>
    <w:rsid w:val="00824974"/>
    <w:rsid w:val="00824E3D"/>
    <w:rsid w:val="00827C32"/>
    <w:rsid w:val="00827D65"/>
    <w:rsid w:val="008301E0"/>
    <w:rsid w:val="00830924"/>
    <w:rsid w:val="00830B1E"/>
    <w:rsid w:val="00831228"/>
    <w:rsid w:val="00831C17"/>
    <w:rsid w:val="00833529"/>
    <w:rsid w:val="00835AB1"/>
    <w:rsid w:val="00836241"/>
    <w:rsid w:val="0083688B"/>
    <w:rsid w:val="0084100C"/>
    <w:rsid w:val="00841CCF"/>
    <w:rsid w:val="00843407"/>
    <w:rsid w:val="00843F4C"/>
    <w:rsid w:val="00845CBF"/>
    <w:rsid w:val="008464BC"/>
    <w:rsid w:val="00846634"/>
    <w:rsid w:val="008473A0"/>
    <w:rsid w:val="00847EC0"/>
    <w:rsid w:val="00850702"/>
    <w:rsid w:val="00850D2E"/>
    <w:rsid w:val="00851F0A"/>
    <w:rsid w:val="0085217F"/>
    <w:rsid w:val="008530AB"/>
    <w:rsid w:val="00854E44"/>
    <w:rsid w:val="008553DF"/>
    <w:rsid w:val="008566E5"/>
    <w:rsid w:val="00856E5E"/>
    <w:rsid w:val="008579C6"/>
    <w:rsid w:val="00857E65"/>
    <w:rsid w:val="008606D7"/>
    <w:rsid w:val="00861F47"/>
    <w:rsid w:val="00862799"/>
    <w:rsid w:val="00862F42"/>
    <w:rsid w:val="00865372"/>
    <w:rsid w:val="0086650E"/>
    <w:rsid w:val="0086785B"/>
    <w:rsid w:val="00870682"/>
    <w:rsid w:val="00871520"/>
    <w:rsid w:val="008719D5"/>
    <w:rsid w:val="008722CA"/>
    <w:rsid w:val="0087239A"/>
    <w:rsid w:val="00872981"/>
    <w:rsid w:val="00874558"/>
    <w:rsid w:val="00874D88"/>
    <w:rsid w:val="0087756C"/>
    <w:rsid w:val="00880635"/>
    <w:rsid w:val="00880946"/>
    <w:rsid w:val="00881280"/>
    <w:rsid w:val="00882512"/>
    <w:rsid w:val="00882699"/>
    <w:rsid w:val="00883490"/>
    <w:rsid w:val="008835CF"/>
    <w:rsid w:val="00883EB9"/>
    <w:rsid w:val="00884970"/>
    <w:rsid w:val="00886623"/>
    <w:rsid w:val="00886985"/>
    <w:rsid w:val="00890158"/>
    <w:rsid w:val="00890909"/>
    <w:rsid w:val="00890BC3"/>
    <w:rsid w:val="00892342"/>
    <w:rsid w:val="008932E3"/>
    <w:rsid w:val="00893FEA"/>
    <w:rsid w:val="00895F80"/>
    <w:rsid w:val="00896BF7"/>
    <w:rsid w:val="008970BD"/>
    <w:rsid w:val="008978DD"/>
    <w:rsid w:val="00897F7A"/>
    <w:rsid w:val="008A0C32"/>
    <w:rsid w:val="008A1C4F"/>
    <w:rsid w:val="008A7787"/>
    <w:rsid w:val="008B145E"/>
    <w:rsid w:val="008B21D1"/>
    <w:rsid w:val="008B2ABD"/>
    <w:rsid w:val="008B3340"/>
    <w:rsid w:val="008B3718"/>
    <w:rsid w:val="008B3917"/>
    <w:rsid w:val="008B4B79"/>
    <w:rsid w:val="008B581F"/>
    <w:rsid w:val="008B6A25"/>
    <w:rsid w:val="008B73D2"/>
    <w:rsid w:val="008B75F2"/>
    <w:rsid w:val="008C1A77"/>
    <w:rsid w:val="008C2E1C"/>
    <w:rsid w:val="008C3473"/>
    <w:rsid w:val="008C5B41"/>
    <w:rsid w:val="008C60C1"/>
    <w:rsid w:val="008C694D"/>
    <w:rsid w:val="008D0184"/>
    <w:rsid w:val="008D28B2"/>
    <w:rsid w:val="008D2E47"/>
    <w:rsid w:val="008D40B3"/>
    <w:rsid w:val="008D43BD"/>
    <w:rsid w:val="008D4F16"/>
    <w:rsid w:val="008D5231"/>
    <w:rsid w:val="008D5823"/>
    <w:rsid w:val="008D6E12"/>
    <w:rsid w:val="008D6FF5"/>
    <w:rsid w:val="008D718B"/>
    <w:rsid w:val="008D7765"/>
    <w:rsid w:val="008E1E1B"/>
    <w:rsid w:val="008E2F20"/>
    <w:rsid w:val="008E4AF4"/>
    <w:rsid w:val="008E557B"/>
    <w:rsid w:val="008E56F6"/>
    <w:rsid w:val="008E5955"/>
    <w:rsid w:val="008E5A2F"/>
    <w:rsid w:val="008E5EDC"/>
    <w:rsid w:val="008E6017"/>
    <w:rsid w:val="008E65CA"/>
    <w:rsid w:val="008E6761"/>
    <w:rsid w:val="008E693C"/>
    <w:rsid w:val="008E775B"/>
    <w:rsid w:val="008E7B32"/>
    <w:rsid w:val="008F2543"/>
    <w:rsid w:val="008F36A2"/>
    <w:rsid w:val="008F36DD"/>
    <w:rsid w:val="008F6144"/>
    <w:rsid w:val="008F6290"/>
    <w:rsid w:val="008F6376"/>
    <w:rsid w:val="008F6AA4"/>
    <w:rsid w:val="008F7978"/>
    <w:rsid w:val="009004E8"/>
    <w:rsid w:val="00900DAF"/>
    <w:rsid w:val="009018B0"/>
    <w:rsid w:val="00903153"/>
    <w:rsid w:val="00904605"/>
    <w:rsid w:val="009056A4"/>
    <w:rsid w:val="00906CA5"/>
    <w:rsid w:val="009106B1"/>
    <w:rsid w:val="009106FE"/>
    <w:rsid w:val="0091240D"/>
    <w:rsid w:val="00913757"/>
    <w:rsid w:val="009151C1"/>
    <w:rsid w:val="00915546"/>
    <w:rsid w:val="00915942"/>
    <w:rsid w:val="00915F97"/>
    <w:rsid w:val="00916524"/>
    <w:rsid w:val="00916A9B"/>
    <w:rsid w:val="00917184"/>
    <w:rsid w:val="009173C3"/>
    <w:rsid w:val="00920856"/>
    <w:rsid w:val="0092093B"/>
    <w:rsid w:val="009219A0"/>
    <w:rsid w:val="00923929"/>
    <w:rsid w:val="00923B2F"/>
    <w:rsid w:val="009248EB"/>
    <w:rsid w:val="00925ED1"/>
    <w:rsid w:val="009269F2"/>
    <w:rsid w:val="00926E5F"/>
    <w:rsid w:val="0092709A"/>
    <w:rsid w:val="009274FD"/>
    <w:rsid w:val="009275BB"/>
    <w:rsid w:val="0092775E"/>
    <w:rsid w:val="0093044E"/>
    <w:rsid w:val="0093147F"/>
    <w:rsid w:val="00931967"/>
    <w:rsid w:val="00932376"/>
    <w:rsid w:val="00932D08"/>
    <w:rsid w:val="009343BA"/>
    <w:rsid w:val="00935D9C"/>
    <w:rsid w:val="00936FB8"/>
    <w:rsid w:val="00937933"/>
    <w:rsid w:val="009429EC"/>
    <w:rsid w:val="0094416F"/>
    <w:rsid w:val="00944F9E"/>
    <w:rsid w:val="009450BA"/>
    <w:rsid w:val="00945D4F"/>
    <w:rsid w:val="0094614A"/>
    <w:rsid w:val="00946B08"/>
    <w:rsid w:val="00946EE2"/>
    <w:rsid w:val="00947616"/>
    <w:rsid w:val="009503C5"/>
    <w:rsid w:val="00950B52"/>
    <w:rsid w:val="00951668"/>
    <w:rsid w:val="009522CD"/>
    <w:rsid w:val="00952ADE"/>
    <w:rsid w:val="00953AA5"/>
    <w:rsid w:val="00954802"/>
    <w:rsid w:val="00954CEE"/>
    <w:rsid w:val="0095640F"/>
    <w:rsid w:val="009568C4"/>
    <w:rsid w:val="0096000A"/>
    <w:rsid w:val="00960563"/>
    <w:rsid w:val="00960E7D"/>
    <w:rsid w:val="00960F84"/>
    <w:rsid w:val="0096265C"/>
    <w:rsid w:val="00962FF7"/>
    <w:rsid w:val="00965AA2"/>
    <w:rsid w:val="0096641D"/>
    <w:rsid w:val="00966AE9"/>
    <w:rsid w:val="00967700"/>
    <w:rsid w:val="009678CF"/>
    <w:rsid w:val="0097057C"/>
    <w:rsid w:val="009719E7"/>
    <w:rsid w:val="00972671"/>
    <w:rsid w:val="00972CD2"/>
    <w:rsid w:val="00972F70"/>
    <w:rsid w:val="009733CF"/>
    <w:rsid w:val="009736AD"/>
    <w:rsid w:val="0097632B"/>
    <w:rsid w:val="009763DB"/>
    <w:rsid w:val="00980259"/>
    <w:rsid w:val="009808CD"/>
    <w:rsid w:val="0098092B"/>
    <w:rsid w:val="009828B3"/>
    <w:rsid w:val="009835A7"/>
    <w:rsid w:val="00984648"/>
    <w:rsid w:val="00986949"/>
    <w:rsid w:val="00986A62"/>
    <w:rsid w:val="00990826"/>
    <w:rsid w:val="00990A3D"/>
    <w:rsid w:val="00992BE6"/>
    <w:rsid w:val="00992DE0"/>
    <w:rsid w:val="00992DF3"/>
    <w:rsid w:val="0099339D"/>
    <w:rsid w:val="00993EEC"/>
    <w:rsid w:val="009946AC"/>
    <w:rsid w:val="00995DB5"/>
    <w:rsid w:val="00996252"/>
    <w:rsid w:val="00996A84"/>
    <w:rsid w:val="00997067"/>
    <w:rsid w:val="00997D10"/>
    <w:rsid w:val="009A03C6"/>
    <w:rsid w:val="009A07C9"/>
    <w:rsid w:val="009A1A29"/>
    <w:rsid w:val="009A3710"/>
    <w:rsid w:val="009A4423"/>
    <w:rsid w:val="009A4732"/>
    <w:rsid w:val="009A487D"/>
    <w:rsid w:val="009A5AF5"/>
    <w:rsid w:val="009A5C63"/>
    <w:rsid w:val="009A6C4B"/>
    <w:rsid w:val="009A72A9"/>
    <w:rsid w:val="009A7744"/>
    <w:rsid w:val="009A7A78"/>
    <w:rsid w:val="009B0ABC"/>
    <w:rsid w:val="009B1E0C"/>
    <w:rsid w:val="009B2122"/>
    <w:rsid w:val="009B3168"/>
    <w:rsid w:val="009B3A73"/>
    <w:rsid w:val="009B3DDA"/>
    <w:rsid w:val="009B4008"/>
    <w:rsid w:val="009B400F"/>
    <w:rsid w:val="009B4C61"/>
    <w:rsid w:val="009B60EB"/>
    <w:rsid w:val="009C0324"/>
    <w:rsid w:val="009C04BC"/>
    <w:rsid w:val="009C06A1"/>
    <w:rsid w:val="009C27FD"/>
    <w:rsid w:val="009C2EFA"/>
    <w:rsid w:val="009C3C0E"/>
    <w:rsid w:val="009C4548"/>
    <w:rsid w:val="009C5BF3"/>
    <w:rsid w:val="009D2FC9"/>
    <w:rsid w:val="009D314E"/>
    <w:rsid w:val="009D3600"/>
    <w:rsid w:val="009D4D41"/>
    <w:rsid w:val="009D5F70"/>
    <w:rsid w:val="009D6DA5"/>
    <w:rsid w:val="009D7536"/>
    <w:rsid w:val="009D7725"/>
    <w:rsid w:val="009D79C5"/>
    <w:rsid w:val="009E0183"/>
    <w:rsid w:val="009E0969"/>
    <w:rsid w:val="009E1F2F"/>
    <w:rsid w:val="009E30CB"/>
    <w:rsid w:val="009E5268"/>
    <w:rsid w:val="009E52BD"/>
    <w:rsid w:val="009E6416"/>
    <w:rsid w:val="009E7472"/>
    <w:rsid w:val="009F14D5"/>
    <w:rsid w:val="009F155F"/>
    <w:rsid w:val="009F2A11"/>
    <w:rsid w:val="009F2D6F"/>
    <w:rsid w:val="009F3A55"/>
    <w:rsid w:val="009F4252"/>
    <w:rsid w:val="009F5AFA"/>
    <w:rsid w:val="009F5E64"/>
    <w:rsid w:val="009F7833"/>
    <w:rsid w:val="00A014D5"/>
    <w:rsid w:val="00A01D9C"/>
    <w:rsid w:val="00A03249"/>
    <w:rsid w:val="00A041C3"/>
    <w:rsid w:val="00A049F2"/>
    <w:rsid w:val="00A0553E"/>
    <w:rsid w:val="00A062D2"/>
    <w:rsid w:val="00A07150"/>
    <w:rsid w:val="00A113E1"/>
    <w:rsid w:val="00A113F3"/>
    <w:rsid w:val="00A12ABA"/>
    <w:rsid w:val="00A138C9"/>
    <w:rsid w:val="00A14E5F"/>
    <w:rsid w:val="00A151DC"/>
    <w:rsid w:val="00A159E9"/>
    <w:rsid w:val="00A16E0B"/>
    <w:rsid w:val="00A1727D"/>
    <w:rsid w:val="00A17391"/>
    <w:rsid w:val="00A178BD"/>
    <w:rsid w:val="00A20FA5"/>
    <w:rsid w:val="00A21A28"/>
    <w:rsid w:val="00A221CE"/>
    <w:rsid w:val="00A22CEC"/>
    <w:rsid w:val="00A234AB"/>
    <w:rsid w:val="00A241C9"/>
    <w:rsid w:val="00A24EEC"/>
    <w:rsid w:val="00A250A0"/>
    <w:rsid w:val="00A250B8"/>
    <w:rsid w:val="00A3107E"/>
    <w:rsid w:val="00A31E83"/>
    <w:rsid w:val="00A324E2"/>
    <w:rsid w:val="00A325C7"/>
    <w:rsid w:val="00A33236"/>
    <w:rsid w:val="00A346E3"/>
    <w:rsid w:val="00A35A8F"/>
    <w:rsid w:val="00A368B1"/>
    <w:rsid w:val="00A377AE"/>
    <w:rsid w:val="00A37DA6"/>
    <w:rsid w:val="00A41459"/>
    <w:rsid w:val="00A41C65"/>
    <w:rsid w:val="00A42F44"/>
    <w:rsid w:val="00A43AD5"/>
    <w:rsid w:val="00A44444"/>
    <w:rsid w:val="00A4462D"/>
    <w:rsid w:val="00A44C50"/>
    <w:rsid w:val="00A44FEA"/>
    <w:rsid w:val="00A454FE"/>
    <w:rsid w:val="00A457B0"/>
    <w:rsid w:val="00A459E4"/>
    <w:rsid w:val="00A4643C"/>
    <w:rsid w:val="00A47901"/>
    <w:rsid w:val="00A47B25"/>
    <w:rsid w:val="00A51C22"/>
    <w:rsid w:val="00A51F53"/>
    <w:rsid w:val="00A523F4"/>
    <w:rsid w:val="00A53B3D"/>
    <w:rsid w:val="00A53E56"/>
    <w:rsid w:val="00A54343"/>
    <w:rsid w:val="00A552F7"/>
    <w:rsid w:val="00A55695"/>
    <w:rsid w:val="00A55C6D"/>
    <w:rsid w:val="00A55E04"/>
    <w:rsid w:val="00A56ED6"/>
    <w:rsid w:val="00A57474"/>
    <w:rsid w:val="00A576BC"/>
    <w:rsid w:val="00A57840"/>
    <w:rsid w:val="00A578B3"/>
    <w:rsid w:val="00A60C1E"/>
    <w:rsid w:val="00A613F8"/>
    <w:rsid w:val="00A627DB"/>
    <w:rsid w:val="00A62DE7"/>
    <w:rsid w:val="00A6459E"/>
    <w:rsid w:val="00A6493A"/>
    <w:rsid w:val="00A64C42"/>
    <w:rsid w:val="00A65817"/>
    <w:rsid w:val="00A660C0"/>
    <w:rsid w:val="00A66BE6"/>
    <w:rsid w:val="00A701CF"/>
    <w:rsid w:val="00A70233"/>
    <w:rsid w:val="00A7120E"/>
    <w:rsid w:val="00A71365"/>
    <w:rsid w:val="00A725DB"/>
    <w:rsid w:val="00A737E2"/>
    <w:rsid w:val="00A7401E"/>
    <w:rsid w:val="00A7517F"/>
    <w:rsid w:val="00A757E7"/>
    <w:rsid w:val="00A75CE4"/>
    <w:rsid w:val="00A76A1D"/>
    <w:rsid w:val="00A77010"/>
    <w:rsid w:val="00A80CA0"/>
    <w:rsid w:val="00A81412"/>
    <w:rsid w:val="00A83861"/>
    <w:rsid w:val="00A858C7"/>
    <w:rsid w:val="00A87271"/>
    <w:rsid w:val="00A87406"/>
    <w:rsid w:val="00A90E8B"/>
    <w:rsid w:val="00A92E60"/>
    <w:rsid w:val="00A935FB"/>
    <w:rsid w:val="00A93F88"/>
    <w:rsid w:val="00A9440E"/>
    <w:rsid w:val="00A9523F"/>
    <w:rsid w:val="00A9568C"/>
    <w:rsid w:val="00A95721"/>
    <w:rsid w:val="00A95771"/>
    <w:rsid w:val="00A95845"/>
    <w:rsid w:val="00A97014"/>
    <w:rsid w:val="00AA16AA"/>
    <w:rsid w:val="00AA1BE7"/>
    <w:rsid w:val="00AA1D54"/>
    <w:rsid w:val="00AA27E8"/>
    <w:rsid w:val="00AA2913"/>
    <w:rsid w:val="00AA5080"/>
    <w:rsid w:val="00AA6378"/>
    <w:rsid w:val="00AA66DB"/>
    <w:rsid w:val="00AA6F62"/>
    <w:rsid w:val="00AA709A"/>
    <w:rsid w:val="00AB0D7B"/>
    <w:rsid w:val="00AB1324"/>
    <w:rsid w:val="00AB13FB"/>
    <w:rsid w:val="00AB438D"/>
    <w:rsid w:val="00AB5679"/>
    <w:rsid w:val="00AB6698"/>
    <w:rsid w:val="00AC0D2A"/>
    <w:rsid w:val="00AC13D8"/>
    <w:rsid w:val="00AC2064"/>
    <w:rsid w:val="00AC29D9"/>
    <w:rsid w:val="00AC46A3"/>
    <w:rsid w:val="00AC470F"/>
    <w:rsid w:val="00AC4719"/>
    <w:rsid w:val="00AC4C43"/>
    <w:rsid w:val="00AC50C4"/>
    <w:rsid w:val="00AC622A"/>
    <w:rsid w:val="00AC6C24"/>
    <w:rsid w:val="00AD5613"/>
    <w:rsid w:val="00AD5F7C"/>
    <w:rsid w:val="00AD6F0E"/>
    <w:rsid w:val="00AE1B91"/>
    <w:rsid w:val="00AE2EC8"/>
    <w:rsid w:val="00AE3E70"/>
    <w:rsid w:val="00AE722D"/>
    <w:rsid w:val="00AE7EFC"/>
    <w:rsid w:val="00AF0B0A"/>
    <w:rsid w:val="00AF1471"/>
    <w:rsid w:val="00AF1989"/>
    <w:rsid w:val="00AF1FEE"/>
    <w:rsid w:val="00AF2908"/>
    <w:rsid w:val="00AF2CAE"/>
    <w:rsid w:val="00AF34DD"/>
    <w:rsid w:val="00AF40B2"/>
    <w:rsid w:val="00AF447A"/>
    <w:rsid w:val="00AF5526"/>
    <w:rsid w:val="00AF6FBF"/>
    <w:rsid w:val="00AF7D27"/>
    <w:rsid w:val="00AF7EC1"/>
    <w:rsid w:val="00B016FA"/>
    <w:rsid w:val="00B02294"/>
    <w:rsid w:val="00B02B6F"/>
    <w:rsid w:val="00B03F54"/>
    <w:rsid w:val="00B04073"/>
    <w:rsid w:val="00B0627E"/>
    <w:rsid w:val="00B065C2"/>
    <w:rsid w:val="00B067E5"/>
    <w:rsid w:val="00B078CC"/>
    <w:rsid w:val="00B1084F"/>
    <w:rsid w:val="00B10EAB"/>
    <w:rsid w:val="00B12C4B"/>
    <w:rsid w:val="00B12DF8"/>
    <w:rsid w:val="00B12E60"/>
    <w:rsid w:val="00B1354B"/>
    <w:rsid w:val="00B136DC"/>
    <w:rsid w:val="00B14AF3"/>
    <w:rsid w:val="00B15F24"/>
    <w:rsid w:val="00B15FAA"/>
    <w:rsid w:val="00B163DC"/>
    <w:rsid w:val="00B16DE2"/>
    <w:rsid w:val="00B16FC6"/>
    <w:rsid w:val="00B1701A"/>
    <w:rsid w:val="00B1706A"/>
    <w:rsid w:val="00B174FF"/>
    <w:rsid w:val="00B210D6"/>
    <w:rsid w:val="00B2115F"/>
    <w:rsid w:val="00B214AB"/>
    <w:rsid w:val="00B219B1"/>
    <w:rsid w:val="00B2356E"/>
    <w:rsid w:val="00B2358A"/>
    <w:rsid w:val="00B2359A"/>
    <w:rsid w:val="00B25235"/>
    <w:rsid w:val="00B26045"/>
    <w:rsid w:val="00B277B0"/>
    <w:rsid w:val="00B30176"/>
    <w:rsid w:val="00B308A7"/>
    <w:rsid w:val="00B30C2E"/>
    <w:rsid w:val="00B31256"/>
    <w:rsid w:val="00B32B72"/>
    <w:rsid w:val="00B33AC7"/>
    <w:rsid w:val="00B33C1E"/>
    <w:rsid w:val="00B34730"/>
    <w:rsid w:val="00B34C18"/>
    <w:rsid w:val="00B35AAE"/>
    <w:rsid w:val="00B35BC3"/>
    <w:rsid w:val="00B3606A"/>
    <w:rsid w:val="00B36077"/>
    <w:rsid w:val="00B36E64"/>
    <w:rsid w:val="00B3723A"/>
    <w:rsid w:val="00B37755"/>
    <w:rsid w:val="00B40B86"/>
    <w:rsid w:val="00B4351F"/>
    <w:rsid w:val="00B436B6"/>
    <w:rsid w:val="00B43F4F"/>
    <w:rsid w:val="00B453A5"/>
    <w:rsid w:val="00B4647F"/>
    <w:rsid w:val="00B46BF8"/>
    <w:rsid w:val="00B47104"/>
    <w:rsid w:val="00B476E4"/>
    <w:rsid w:val="00B504B1"/>
    <w:rsid w:val="00B52A84"/>
    <w:rsid w:val="00B53332"/>
    <w:rsid w:val="00B55CFC"/>
    <w:rsid w:val="00B60B90"/>
    <w:rsid w:val="00B60D9C"/>
    <w:rsid w:val="00B610D0"/>
    <w:rsid w:val="00B6260D"/>
    <w:rsid w:val="00B63D6D"/>
    <w:rsid w:val="00B641CB"/>
    <w:rsid w:val="00B66302"/>
    <w:rsid w:val="00B6680C"/>
    <w:rsid w:val="00B66AB0"/>
    <w:rsid w:val="00B67286"/>
    <w:rsid w:val="00B6783E"/>
    <w:rsid w:val="00B67B54"/>
    <w:rsid w:val="00B701F0"/>
    <w:rsid w:val="00B70BF7"/>
    <w:rsid w:val="00B71545"/>
    <w:rsid w:val="00B723D2"/>
    <w:rsid w:val="00B73913"/>
    <w:rsid w:val="00B75B71"/>
    <w:rsid w:val="00B76CA9"/>
    <w:rsid w:val="00B76D4B"/>
    <w:rsid w:val="00B808B2"/>
    <w:rsid w:val="00B81F98"/>
    <w:rsid w:val="00B84910"/>
    <w:rsid w:val="00B84B7C"/>
    <w:rsid w:val="00B84C56"/>
    <w:rsid w:val="00B84CEF"/>
    <w:rsid w:val="00B85DE7"/>
    <w:rsid w:val="00B86D4F"/>
    <w:rsid w:val="00B87F83"/>
    <w:rsid w:val="00B90834"/>
    <w:rsid w:val="00B92F9F"/>
    <w:rsid w:val="00B93985"/>
    <w:rsid w:val="00B9406A"/>
    <w:rsid w:val="00B950F2"/>
    <w:rsid w:val="00B95F86"/>
    <w:rsid w:val="00B9704B"/>
    <w:rsid w:val="00B9722E"/>
    <w:rsid w:val="00B978C6"/>
    <w:rsid w:val="00B97AE0"/>
    <w:rsid w:val="00BA09BD"/>
    <w:rsid w:val="00BA1198"/>
    <w:rsid w:val="00BA3AB9"/>
    <w:rsid w:val="00BA4967"/>
    <w:rsid w:val="00BA7829"/>
    <w:rsid w:val="00BA7F64"/>
    <w:rsid w:val="00BB0338"/>
    <w:rsid w:val="00BB03F9"/>
    <w:rsid w:val="00BB1B48"/>
    <w:rsid w:val="00BB231F"/>
    <w:rsid w:val="00BB26CD"/>
    <w:rsid w:val="00BB288E"/>
    <w:rsid w:val="00BB6BB7"/>
    <w:rsid w:val="00BB71D7"/>
    <w:rsid w:val="00BB7802"/>
    <w:rsid w:val="00BC1AFD"/>
    <w:rsid w:val="00BC1D82"/>
    <w:rsid w:val="00BC23EB"/>
    <w:rsid w:val="00BC313C"/>
    <w:rsid w:val="00BC349D"/>
    <w:rsid w:val="00BC4B3C"/>
    <w:rsid w:val="00BC570E"/>
    <w:rsid w:val="00BC5DC2"/>
    <w:rsid w:val="00BD0088"/>
    <w:rsid w:val="00BD0400"/>
    <w:rsid w:val="00BD2102"/>
    <w:rsid w:val="00BD224B"/>
    <w:rsid w:val="00BD313F"/>
    <w:rsid w:val="00BD37C0"/>
    <w:rsid w:val="00BD38D1"/>
    <w:rsid w:val="00BD4940"/>
    <w:rsid w:val="00BD4B37"/>
    <w:rsid w:val="00BD4EBB"/>
    <w:rsid w:val="00BD515F"/>
    <w:rsid w:val="00BD71BD"/>
    <w:rsid w:val="00BD768D"/>
    <w:rsid w:val="00BE066F"/>
    <w:rsid w:val="00BE1090"/>
    <w:rsid w:val="00BE3C64"/>
    <w:rsid w:val="00BE4C99"/>
    <w:rsid w:val="00BE5A34"/>
    <w:rsid w:val="00BE5F59"/>
    <w:rsid w:val="00BE6255"/>
    <w:rsid w:val="00BE6442"/>
    <w:rsid w:val="00BE6980"/>
    <w:rsid w:val="00BE7136"/>
    <w:rsid w:val="00BE7768"/>
    <w:rsid w:val="00BE793E"/>
    <w:rsid w:val="00BE7A80"/>
    <w:rsid w:val="00BF01DE"/>
    <w:rsid w:val="00BF0208"/>
    <w:rsid w:val="00BF0EAA"/>
    <w:rsid w:val="00BF156C"/>
    <w:rsid w:val="00BF1D5F"/>
    <w:rsid w:val="00BF1FCB"/>
    <w:rsid w:val="00BF291B"/>
    <w:rsid w:val="00BF2C2D"/>
    <w:rsid w:val="00BF330A"/>
    <w:rsid w:val="00BF3DC7"/>
    <w:rsid w:val="00BF3E05"/>
    <w:rsid w:val="00BF45B5"/>
    <w:rsid w:val="00BF589D"/>
    <w:rsid w:val="00BF6DF9"/>
    <w:rsid w:val="00BF746F"/>
    <w:rsid w:val="00C00F28"/>
    <w:rsid w:val="00C03F04"/>
    <w:rsid w:val="00C03F63"/>
    <w:rsid w:val="00C05054"/>
    <w:rsid w:val="00C05403"/>
    <w:rsid w:val="00C05A27"/>
    <w:rsid w:val="00C05CED"/>
    <w:rsid w:val="00C062CD"/>
    <w:rsid w:val="00C07BC3"/>
    <w:rsid w:val="00C10314"/>
    <w:rsid w:val="00C10F84"/>
    <w:rsid w:val="00C1110E"/>
    <w:rsid w:val="00C11409"/>
    <w:rsid w:val="00C114A9"/>
    <w:rsid w:val="00C11FBD"/>
    <w:rsid w:val="00C12A7A"/>
    <w:rsid w:val="00C169B7"/>
    <w:rsid w:val="00C20189"/>
    <w:rsid w:val="00C20462"/>
    <w:rsid w:val="00C20815"/>
    <w:rsid w:val="00C20B68"/>
    <w:rsid w:val="00C20DB1"/>
    <w:rsid w:val="00C215EF"/>
    <w:rsid w:val="00C2234F"/>
    <w:rsid w:val="00C22A8E"/>
    <w:rsid w:val="00C22F03"/>
    <w:rsid w:val="00C22FA4"/>
    <w:rsid w:val="00C23371"/>
    <w:rsid w:val="00C23EC4"/>
    <w:rsid w:val="00C269AB"/>
    <w:rsid w:val="00C27FC1"/>
    <w:rsid w:val="00C3075D"/>
    <w:rsid w:val="00C30E2C"/>
    <w:rsid w:val="00C319CE"/>
    <w:rsid w:val="00C32EBE"/>
    <w:rsid w:val="00C333E8"/>
    <w:rsid w:val="00C347DA"/>
    <w:rsid w:val="00C34885"/>
    <w:rsid w:val="00C35A81"/>
    <w:rsid w:val="00C3615C"/>
    <w:rsid w:val="00C36C69"/>
    <w:rsid w:val="00C36FEE"/>
    <w:rsid w:val="00C373CC"/>
    <w:rsid w:val="00C41B82"/>
    <w:rsid w:val="00C41CAB"/>
    <w:rsid w:val="00C41F3E"/>
    <w:rsid w:val="00C4262F"/>
    <w:rsid w:val="00C426A7"/>
    <w:rsid w:val="00C43567"/>
    <w:rsid w:val="00C45FE8"/>
    <w:rsid w:val="00C466C3"/>
    <w:rsid w:val="00C46C30"/>
    <w:rsid w:val="00C472DC"/>
    <w:rsid w:val="00C47B0C"/>
    <w:rsid w:val="00C47CBA"/>
    <w:rsid w:val="00C50000"/>
    <w:rsid w:val="00C50ED4"/>
    <w:rsid w:val="00C5106A"/>
    <w:rsid w:val="00C5126F"/>
    <w:rsid w:val="00C51BFB"/>
    <w:rsid w:val="00C51CE5"/>
    <w:rsid w:val="00C52CC0"/>
    <w:rsid w:val="00C53429"/>
    <w:rsid w:val="00C5367C"/>
    <w:rsid w:val="00C536D1"/>
    <w:rsid w:val="00C541F2"/>
    <w:rsid w:val="00C54A51"/>
    <w:rsid w:val="00C54C87"/>
    <w:rsid w:val="00C552D1"/>
    <w:rsid w:val="00C57506"/>
    <w:rsid w:val="00C57E28"/>
    <w:rsid w:val="00C61ACD"/>
    <w:rsid w:val="00C624CB"/>
    <w:rsid w:val="00C62948"/>
    <w:rsid w:val="00C62FD1"/>
    <w:rsid w:val="00C638D3"/>
    <w:rsid w:val="00C64AE6"/>
    <w:rsid w:val="00C66241"/>
    <w:rsid w:val="00C66A60"/>
    <w:rsid w:val="00C70990"/>
    <w:rsid w:val="00C70D23"/>
    <w:rsid w:val="00C74A1C"/>
    <w:rsid w:val="00C74CEF"/>
    <w:rsid w:val="00C7591F"/>
    <w:rsid w:val="00C75D82"/>
    <w:rsid w:val="00C7605D"/>
    <w:rsid w:val="00C7668D"/>
    <w:rsid w:val="00C77C8A"/>
    <w:rsid w:val="00C8040B"/>
    <w:rsid w:val="00C8051D"/>
    <w:rsid w:val="00C806D4"/>
    <w:rsid w:val="00C81327"/>
    <w:rsid w:val="00C839C0"/>
    <w:rsid w:val="00C83F57"/>
    <w:rsid w:val="00C841A2"/>
    <w:rsid w:val="00C84987"/>
    <w:rsid w:val="00C8549E"/>
    <w:rsid w:val="00C90BFD"/>
    <w:rsid w:val="00C92006"/>
    <w:rsid w:val="00C9288A"/>
    <w:rsid w:val="00C92B76"/>
    <w:rsid w:val="00C95DF5"/>
    <w:rsid w:val="00C9700C"/>
    <w:rsid w:val="00C97A28"/>
    <w:rsid w:val="00CA07DD"/>
    <w:rsid w:val="00CA0D2C"/>
    <w:rsid w:val="00CA0FE8"/>
    <w:rsid w:val="00CA12AE"/>
    <w:rsid w:val="00CA18C7"/>
    <w:rsid w:val="00CA3057"/>
    <w:rsid w:val="00CA3A19"/>
    <w:rsid w:val="00CA42C0"/>
    <w:rsid w:val="00CA6B9B"/>
    <w:rsid w:val="00CB0932"/>
    <w:rsid w:val="00CB1DFC"/>
    <w:rsid w:val="00CB2A52"/>
    <w:rsid w:val="00CB389D"/>
    <w:rsid w:val="00CB4115"/>
    <w:rsid w:val="00CB51C0"/>
    <w:rsid w:val="00CB5969"/>
    <w:rsid w:val="00CB6793"/>
    <w:rsid w:val="00CB6AA9"/>
    <w:rsid w:val="00CB7D85"/>
    <w:rsid w:val="00CC03B5"/>
    <w:rsid w:val="00CC08F1"/>
    <w:rsid w:val="00CC0A70"/>
    <w:rsid w:val="00CC0DD0"/>
    <w:rsid w:val="00CC2625"/>
    <w:rsid w:val="00CC2C0A"/>
    <w:rsid w:val="00CC2EBB"/>
    <w:rsid w:val="00CC33C8"/>
    <w:rsid w:val="00CC38EF"/>
    <w:rsid w:val="00CC5077"/>
    <w:rsid w:val="00CC55A7"/>
    <w:rsid w:val="00CC591D"/>
    <w:rsid w:val="00CC5A85"/>
    <w:rsid w:val="00CC5C06"/>
    <w:rsid w:val="00CC69B6"/>
    <w:rsid w:val="00CC6ACD"/>
    <w:rsid w:val="00CC6FF8"/>
    <w:rsid w:val="00CC7420"/>
    <w:rsid w:val="00CC7E15"/>
    <w:rsid w:val="00CD34A8"/>
    <w:rsid w:val="00CD486E"/>
    <w:rsid w:val="00CD57F5"/>
    <w:rsid w:val="00CD5968"/>
    <w:rsid w:val="00CD62D5"/>
    <w:rsid w:val="00CD687B"/>
    <w:rsid w:val="00CD6F7B"/>
    <w:rsid w:val="00CD6FB3"/>
    <w:rsid w:val="00CD73BB"/>
    <w:rsid w:val="00CD7C6E"/>
    <w:rsid w:val="00CE10BC"/>
    <w:rsid w:val="00CE148D"/>
    <w:rsid w:val="00CE1E28"/>
    <w:rsid w:val="00CE205F"/>
    <w:rsid w:val="00CE2E5E"/>
    <w:rsid w:val="00CE36BB"/>
    <w:rsid w:val="00CE3E21"/>
    <w:rsid w:val="00CE3F9C"/>
    <w:rsid w:val="00CE45F9"/>
    <w:rsid w:val="00CE5009"/>
    <w:rsid w:val="00CE6E84"/>
    <w:rsid w:val="00CE756D"/>
    <w:rsid w:val="00CE7879"/>
    <w:rsid w:val="00CF009E"/>
    <w:rsid w:val="00CF0A76"/>
    <w:rsid w:val="00CF2656"/>
    <w:rsid w:val="00CF2B05"/>
    <w:rsid w:val="00CF4509"/>
    <w:rsid w:val="00CF5889"/>
    <w:rsid w:val="00D002F1"/>
    <w:rsid w:val="00D0279A"/>
    <w:rsid w:val="00D02921"/>
    <w:rsid w:val="00D029B9"/>
    <w:rsid w:val="00D034EE"/>
    <w:rsid w:val="00D05442"/>
    <w:rsid w:val="00D05562"/>
    <w:rsid w:val="00D05D7E"/>
    <w:rsid w:val="00D05F55"/>
    <w:rsid w:val="00D061F4"/>
    <w:rsid w:val="00D06D22"/>
    <w:rsid w:val="00D07758"/>
    <w:rsid w:val="00D07EFB"/>
    <w:rsid w:val="00D103F6"/>
    <w:rsid w:val="00D1055D"/>
    <w:rsid w:val="00D105EA"/>
    <w:rsid w:val="00D112F2"/>
    <w:rsid w:val="00D12519"/>
    <w:rsid w:val="00D12C32"/>
    <w:rsid w:val="00D13EB2"/>
    <w:rsid w:val="00D16B35"/>
    <w:rsid w:val="00D172F2"/>
    <w:rsid w:val="00D20048"/>
    <w:rsid w:val="00D22429"/>
    <w:rsid w:val="00D248B4"/>
    <w:rsid w:val="00D24FDF"/>
    <w:rsid w:val="00D251D6"/>
    <w:rsid w:val="00D25DE0"/>
    <w:rsid w:val="00D25E05"/>
    <w:rsid w:val="00D25F3C"/>
    <w:rsid w:val="00D27C12"/>
    <w:rsid w:val="00D3132C"/>
    <w:rsid w:val="00D31759"/>
    <w:rsid w:val="00D329F5"/>
    <w:rsid w:val="00D32EA8"/>
    <w:rsid w:val="00D347B3"/>
    <w:rsid w:val="00D3504F"/>
    <w:rsid w:val="00D35283"/>
    <w:rsid w:val="00D36719"/>
    <w:rsid w:val="00D37879"/>
    <w:rsid w:val="00D37F8A"/>
    <w:rsid w:val="00D41913"/>
    <w:rsid w:val="00D441DF"/>
    <w:rsid w:val="00D44954"/>
    <w:rsid w:val="00D44D38"/>
    <w:rsid w:val="00D46A61"/>
    <w:rsid w:val="00D46B7F"/>
    <w:rsid w:val="00D47918"/>
    <w:rsid w:val="00D509F9"/>
    <w:rsid w:val="00D5202F"/>
    <w:rsid w:val="00D5232B"/>
    <w:rsid w:val="00D52466"/>
    <w:rsid w:val="00D548CF"/>
    <w:rsid w:val="00D54E3D"/>
    <w:rsid w:val="00D5658F"/>
    <w:rsid w:val="00D5698D"/>
    <w:rsid w:val="00D5728E"/>
    <w:rsid w:val="00D60211"/>
    <w:rsid w:val="00D60D52"/>
    <w:rsid w:val="00D62249"/>
    <w:rsid w:val="00D624F9"/>
    <w:rsid w:val="00D62B5C"/>
    <w:rsid w:val="00D63A95"/>
    <w:rsid w:val="00D63ED4"/>
    <w:rsid w:val="00D6478E"/>
    <w:rsid w:val="00D648E7"/>
    <w:rsid w:val="00D66DDC"/>
    <w:rsid w:val="00D67215"/>
    <w:rsid w:val="00D70438"/>
    <w:rsid w:val="00D706AB"/>
    <w:rsid w:val="00D71143"/>
    <w:rsid w:val="00D718C3"/>
    <w:rsid w:val="00D71D02"/>
    <w:rsid w:val="00D72101"/>
    <w:rsid w:val="00D7212E"/>
    <w:rsid w:val="00D72E0C"/>
    <w:rsid w:val="00D739F0"/>
    <w:rsid w:val="00D743C4"/>
    <w:rsid w:val="00D74AC1"/>
    <w:rsid w:val="00D75978"/>
    <w:rsid w:val="00D75A47"/>
    <w:rsid w:val="00D75DAE"/>
    <w:rsid w:val="00D7641E"/>
    <w:rsid w:val="00D7698F"/>
    <w:rsid w:val="00D8034C"/>
    <w:rsid w:val="00D80747"/>
    <w:rsid w:val="00D80E3E"/>
    <w:rsid w:val="00D83072"/>
    <w:rsid w:val="00D83CC5"/>
    <w:rsid w:val="00D83DE6"/>
    <w:rsid w:val="00D84631"/>
    <w:rsid w:val="00D84674"/>
    <w:rsid w:val="00D84CE3"/>
    <w:rsid w:val="00D854C8"/>
    <w:rsid w:val="00D8550A"/>
    <w:rsid w:val="00D876AE"/>
    <w:rsid w:val="00D87CA8"/>
    <w:rsid w:val="00D87D0F"/>
    <w:rsid w:val="00D90A02"/>
    <w:rsid w:val="00D90CC4"/>
    <w:rsid w:val="00D91ED5"/>
    <w:rsid w:val="00D92B3E"/>
    <w:rsid w:val="00D93172"/>
    <w:rsid w:val="00D94176"/>
    <w:rsid w:val="00D95437"/>
    <w:rsid w:val="00D960C0"/>
    <w:rsid w:val="00D9629C"/>
    <w:rsid w:val="00D96B33"/>
    <w:rsid w:val="00D9727A"/>
    <w:rsid w:val="00D978DC"/>
    <w:rsid w:val="00DA03E6"/>
    <w:rsid w:val="00DA0B7D"/>
    <w:rsid w:val="00DA184D"/>
    <w:rsid w:val="00DA23A7"/>
    <w:rsid w:val="00DA286C"/>
    <w:rsid w:val="00DA2CF4"/>
    <w:rsid w:val="00DA3417"/>
    <w:rsid w:val="00DA38FB"/>
    <w:rsid w:val="00DA3E78"/>
    <w:rsid w:val="00DA3F20"/>
    <w:rsid w:val="00DA4BD0"/>
    <w:rsid w:val="00DA4F83"/>
    <w:rsid w:val="00DA524F"/>
    <w:rsid w:val="00DA5EA2"/>
    <w:rsid w:val="00DA6528"/>
    <w:rsid w:val="00DA6FD0"/>
    <w:rsid w:val="00DB0A7A"/>
    <w:rsid w:val="00DB1C53"/>
    <w:rsid w:val="00DB1FC4"/>
    <w:rsid w:val="00DB4149"/>
    <w:rsid w:val="00DB5BAB"/>
    <w:rsid w:val="00DB5CD2"/>
    <w:rsid w:val="00DB6520"/>
    <w:rsid w:val="00DB6763"/>
    <w:rsid w:val="00DB78B6"/>
    <w:rsid w:val="00DC2FFE"/>
    <w:rsid w:val="00DC3784"/>
    <w:rsid w:val="00DC3E72"/>
    <w:rsid w:val="00DC3F69"/>
    <w:rsid w:val="00DC4F81"/>
    <w:rsid w:val="00DC565E"/>
    <w:rsid w:val="00DC7635"/>
    <w:rsid w:val="00DD0DFB"/>
    <w:rsid w:val="00DD17FB"/>
    <w:rsid w:val="00DD187F"/>
    <w:rsid w:val="00DD2A8D"/>
    <w:rsid w:val="00DD3365"/>
    <w:rsid w:val="00DD48EC"/>
    <w:rsid w:val="00DD56D3"/>
    <w:rsid w:val="00DD6156"/>
    <w:rsid w:val="00DD6A55"/>
    <w:rsid w:val="00DE1F9A"/>
    <w:rsid w:val="00DE3770"/>
    <w:rsid w:val="00DE3BF8"/>
    <w:rsid w:val="00DE5CEB"/>
    <w:rsid w:val="00DE6EE5"/>
    <w:rsid w:val="00DE7CF6"/>
    <w:rsid w:val="00DF099B"/>
    <w:rsid w:val="00DF1E44"/>
    <w:rsid w:val="00DF2265"/>
    <w:rsid w:val="00DF23BF"/>
    <w:rsid w:val="00DF2A57"/>
    <w:rsid w:val="00DF301C"/>
    <w:rsid w:val="00DF4D4C"/>
    <w:rsid w:val="00DF51D8"/>
    <w:rsid w:val="00DF7413"/>
    <w:rsid w:val="00DF7668"/>
    <w:rsid w:val="00E00A46"/>
    <w:rsid w:val="00E01020"/>
    <w:rsid w:val="00E01075"/>
    <w:rsid w:val="00E01F99"/>
    <w:rsid w:val="00E05504"/>
    <w:rsid w:val="00E05EB3"/>
    <w:rsid w:val="00E068E9"/>
    <w:rsid w:val="00E06956"/>
    <w:rsid w:val="00E06A44"/>
    <w:rsid w:val="00E105E2"/>
    <w:rsid w:val="00E11A5B"/>
    <w:rsid w:val="00E11C18"/>
    <w:rsid w:val="00E1428F"/>
    <w:rsid w:val="00E142B3"/>
    <w:rsid w:val="00E14658"/>
    <w:rsid w:val="00E15B15"/>
    <w:rsid w:val="00E15C0A"/>
    <w:rsid w:val="00E16F7F"/>
    <w:rsid w:val="00E17A68"/>
    <w:rsid w:val="00E17B2F"/>
    <w:rsid w:val="00E20C43"/>
    <w:rsid w:val="00E20DF4"/>
    <w:rsid w:val="00E213E6"/>
    <w:rsid w:val="00E21AFF"/>
    <w:rsid w:val="00E21BE4"/>
    <w:rsid w:val="00E21BEB"/>
    <w:rsid w:val="00E21C14"/>
    <w:rsid w:val="00E21E7E"/>
    <w:rsid w:val="00E22564"/>
    <w:rsid w:val="00E23201"/>
    <w:rsid w:val="00E25477"/>
    <w:rsid w:val="00E25EC5"/>
    <w:rsid w:val="00E276C3"/>
    <w:rsid w:val="00E27957"/>
    <w:rsid w:val="00E31872"/>
    <w:rsid w:val="00E31B1F"/>
    <w:rsid w:val="00E32EDB"/>
    <w:rsid w:val="00E35884"/>
    <w:rsid w:val="00E36116"/>
    <w:rsid w:val="00E3682E"/>
    <w:rsid w:val="00E37222"/>
    <w:rsid w:val="00E372AE"/>
    <w:rsid w:val="00E37B96"/>
    <w:rsid w:val="00E405ED"/>
    <w:rsid w:val="00E4234A"/>
    <w:rsid w:val="00E42817"/>
    <w:rsid w:val="00E43413"/>
    <w:rsid w:val="00E43831"/>
    <w:rsid w:val="00E45A16"/>
    <w:rsid w:val="00E460AC"/>
    <w:rsid w:val="00E53B68"/>
    <w:rsid w:val="00E53CAD"/>
    <w:rsid w:val="00E54E24"/>
    <w:rsid w:val="00E56180"/>
    <w:rsid w:val="00E56403"/>
    <w:rsid w:val="00E5666D"/>
    <w:rsid w:val="00E56B5D"/>
    <w:rsid w:val="00E60073"/>
    <w:rsid w:val="00E60175"/>
    <w:rsid w:val="00E6039B"/>
    <w:rsid w:val="00E61EB8"/>
    <w:rsid w:val="00E646E0"/>
    <w:rsid w:val="00E65ABE"/>
    <w:rsid w:val="00E65F75"/>
    <w:rsid w:val="00E66EFA"/>
    <w:rsid w:val="00E67545"/>
    <w:rsid w:val="00E713B0"/>
    <w:rsid w:val="00E718EA"/>
    <w:rsid w:val="00E752AD"/>
    <w:rsid w:val="00E75F10"/>
    <w:rsid w:val="00E76573"/>
    <w:rsid w:val="00E76BBD"/>
    <w:rsid w:val="00E76EB6"/>
    <w:rsid w:val="00E77106"/>
    <w:rsid w:val="00E777C2"/>
    <w:rsid w:val="00E8064A"/>
    <w:rsid w:val="00E82EDE"/>
    <w:rsid w:val="00E83060"/>
    <w:rsid w:val="00E86EC9"/>
    <w:rsid w:val="00E874CB"/>
    <w:rsid w:val="00E901F1"/>
    <w:rsid w:val="00E92452"/>
    <w:rsid w:val="00E924C2"/>
    <w:rsid w:val="00E939EE"/>
    <w:rsid w:val="00E95228"/>
    <w:rsid w:val="00E976BF"/>
    <w:rsid w:val="00E97D1B"/>
    <w:rsid w:val="00EA09DE"/>
    <w:rsid w:val="00EA121E"/>
    <w:rsid w:val="00EA20E8"/>
    <w:rsid w:val="00EA2636"/>
    <w:rsid w:val="00EA2ED8"/>
    <w:rsid w:val="00EA36B0"/>
    <w:rsid w:val="00EA3E07"/>
    <w:rsid w:val="00EA414D"/>
    <w:rsid w:val="00EA4408"/>
    <w:rsid w:val="00EA45CC"/>
    <w:rsid w:val="00EA4E59"/>
    <w:rsid w:val="00EA54F6"/>
    <w:rsid w:val="00EA5AF2"/>
    <w:rsid w:val="00EA5F1F"/>
    <w:rsid w:val="00EA6FCD"/>
    <w:rsid w:val="00EB0194"/>
    <w:rsid w:val="00EB0AB6"/>
    <w:rsid w:val="00EB0F72"/>
    <w:rsid w:val="00EB1241"/>
    <w:rsid w:val="00EB30A4"/>
    <w:rsid w:val="00EB334B"/>
    <w:rsid w:val="00EB3892"/>
    <w:rsid w:val="00EB76D6"/>
    <w:rsid w:val="00EB78F2"/>
    <w:rsid w:val="00EC04AC"/>
    <w:rsid w:val="00EC163E"/>
    <w:rsid w:val="00EC2B6C"/>
    <w:rsid w:val="00EC382B"/>
    <w:rsid w:val="00EC3990"/>
    <w:rsid w:val="00EC4404"/>
    <w:rsid w:val="00EC4BAC"/>
    <w:rsid w:val="00EC4CCD"/>
    <w:rsid w:val="00EC4E83"/>
    <w:rsid w:val="00EC5BAE"/>
    <w:rsid w:val="00EC640F"/>
    <w:rsid w:val="00EC724F"/>
    <w:rsid w:val="00ED0680"/>
    <w:rsid w:val="00ED0915"/>
    <w:rsid w:val="00ED0D47"/>
    <w:rsid w:val="00ED101C"/>
    <w:rsid w:val="00ED147E"/>
    <w:rsid w:val="00ED1F1E"/>
    <w:rsid w:val="00ED24C0"/>
    <w:rsid w:val="00ED43D9"/>
    <w:rsid w:val="00ED498C"/>
    <w:rsid w:val="00ED4F27"/>
    <w:rsid w:val="00ED5E6A"/>
    <w:rsid w:val="00ED6168"/>
    <w:rsid w:val="00ED6DC8"/>
    <w:rsid w:val="00ED7E49"/>
    <w:rsid w:val="00EE1468"/>
    <w:rsid w:val="00EE2031"/>
    <w:rsid w:val="00EE221C"/>
    <w:rsid w:val="00EE2671"/>
    <w:rsid w:val="00EE2E09"/>
    <w:rsid w:val="00EE3602"/>
    <w:rsid w:val="00EE7C64"/>
    <w:rsid w:val="00EF04B0"/>
    <w:rsid w:val="00EF08BA"/>
    <w:rsid w:val="00EF0937"/>
    <w:rsid w:val="00EF19CF"/>
    <w:rsid w:val="00EF3130"/>
    <w:rsid w:val="00EF42E2"/>
    <w:rsid w:val="00EF53E5"/>
    <w:rsid w:val="00EF5A21"/>
    <w:rsid w:val="00EF602A"/>
    <w:rsid w:val="00EF645A"/>
    <w:rsid w:val="00EF68CD"/>
    <w:rsid w:val="00EF6E69"/>
    <w:rsid w:val="00EF75E3"/>
    <w:rsid w:val="00F0308F"/>
    <w:rsid w:val="00F03397"/>
    <w:rsid w:val="00F037D1"/>
    <w:rsid w:val="00F043D7"/>
    <w:rsid w:val="00F04C00"/>
    <w:rsid w:val="00F05402"/>
    <w:rsid w:val="00F05B78"/>
    <w:rsid w:val="00F060EE"/>
    <w:rsid w:val="00F062ED"/>
    <w:rsid w:val="00F07979"/>
    <w:rsid w:val="00F10363"/>
    <w:rsid w:val="00F11207"/>
    <w:rsid w:val="00F115C5"/>
    <w:rsid w:val="00F11AD1"/>
    <w:rsid w:val="00F11B94"/>
    <w:rsid w:val="00F1298A"/>
    <w:rsid w:val="00F12EC1"/>
    <w:rsid w:val="00F14EC0"/>
    <w:rsid w:val="00F15005"/>
    <w:rsid w:val="00F16B32"/>
    <w:rsid w:val="00F16BBD"/>
    <w:rsid w:val="00F2224E"/>
    <w:rsid w:val="00F22795"/>
    <w:rsid w:val="00F23206"/>
    <w:rsid w:val="00F2428E"/>
    <w:rsid w:val="00F24EB8"/>
    <w:rsid w:val="00F2513D"/>
    <w:rsid w:val="00F26B1A"/>
    <w:rsid w:val="00F26DB2"/>
    <w:rsid w:val="00F26FAD"/>
    <w:rsid w:val="00F27365"/>
    <w:rsid w:val="00F301F4"/>
    <w:rsid w:val="00F30397"/>
    <w:rsid w:val="00F30AC8"/>
    <w:rsid w:val="00F326EE"/>
    <w:rsid w:val="00F331B9"/>
    <w:rsid w:val="00F3339C"/>
    <w:rsid w:val="00F35462"/>
    <w:rsid w:val="00F37299"/>
    <w:rsid w:val="00F40072"/>
    <w:rsid w:val="00F407B5"/>
    <w:rsid w:val="00F419A4"/>
    <w:rsid w:val="00F4345C"/>
    <w:rsid w:val="00F4357C"/>
    <w:rsid w:val="00F44841"/>
    <w:rsid w:val="00F44B0D"/>
    <w:rsid w:val="00F44B79"/>
    <w:rsid w:val="00F44C63"/>
    <w:rsid w:val="00F4676D"/>
    <w:rsid w:val="00F46DA0"/>
    <w:rsid w:val="00F50A36"/>
    <w:rsid w:val="00F51227"/>
    <w:rsid w:val="00F51B1F"/>
    <w:rsid w:val="00F52427"/>
    <w:rsid w:val="00F54F28"/>
    <w:rsid w:val="00F55484"/>
    <w:rsid w:val="00F55759"/>
    <w:rsid w:val="00F57FF2"/>
    <w:rsid w:val="00F61085"/>
    <w:rsid w:val="00F6204A"/>
    <w:rsid w:val="00F62ED6"/>
    <w:rsid w:val="00F64A9E"/>
    <w:rsid w:val="00F65491"/>
    <w:rsid w:val="00F65D26"/>
    <w:rsid w:val="00F669C1"/>
    <w:rsid w:val="00F66B50"/>
    <w:rsid w:val="00F71D90"/>
    <w:rsid w:val="00F71DB5"/>
    <w:rsid w:val="00F734A9"/>
    <w:rsid w:val="00F735C7"/>
    <w:rsid w:val="00F73B3E"/>
    <w:rsid w:val="00F73FA8"/>
    <w:rsid w:val="00F74FBD"/>
    <w:rsid w:val="00F75B40"/>
    <w:rsid w:val="00F77C8E"/>
    <w:rsid w:val="00F800D6"/>
    <w:rsid w:val="00F80DFD"/>
    <w:rsid w:val="00F81D00"/>
    <w:rsid w:val="00F83060"/>
    <w:rsid w:val="00F835C8"/>
    <w:rsid w:val="00F83AC2"/>
    <w:rsid w:val="00F84199"/>
    <w:rsid w:val="00F855D1"/>
    <w:rsid w:val="00F85684"/>
    <w:rsid w:val="00F8574E"/>
    <w:rsid w:val="00F86024"/>
    <w:rsid w:val="00F8639E"/>
    <w:rsid w:val="00F8677C"/>
    <w:rsid w:val="00F874D5"/>
    <w:rsid w:val="00F90392"/>
    <w:rsid w:val="00F90615"/>
    <w:rsid w:val="00F91ACD"/>
    <w:rsid w:val="00F923ED"/>
    <w:rsid w:val="00F9269E"/>
    <w:rsid w:val="00F926C6"/>
    <w:rsid w:val="00F92A72"/>
    <w:rsid w:val="00F934AF"/>
    <w:rsid w:val="00F95034"/>
    <w:rsid w:val="00F961F3"/>
    <w:rsid w:val="00FA0308"/>
    <w:rsid w:val="00FA034B"/>
    <w:rsid w:val="00FA068C"/>
    <w:rsid w:val="00FA0835"/>
    <w:rsid w:val="00FA15F2"/>
    <w:rsid w:val="00FA25AC"/>
    <w:rsid w:val="00FA28DC"/>
    <w:rsid w:val="00FA427F"/>
    <w:rsid w:val="00FA47FE"/>
    <w:rsid w:val="00FA5188"/>
    <w:rsid w:val="00FA5F25"/>
    <w:rsid w:val="00FA63F3"/>
    <w:rsid w:val="00FA6F51"/>
    <w:rsid w:val="00FB000C"/>
    <w:rsid w:val="00FB044E"/>
    <w:rsid w:val="00FB2AFE"/>
    <w:rsid w:val="00FB37AD"/>
    <w:rsid w:val="00FB3E38"/>
    <w:rsid w:val="00FB408A"/>
    <w:rsid w:val="00FB4149"/>
    <w:rsid w:val="00FB49D9"/>
    <w:rsid w:val="00FB4BEF"/>
    <w:rsid w:val="00FB5334"/>
    <w:rsid w:val="00FB68EE"/>
    <w:rsid w:val="00FB6E27"/>
    <w:rsid w:val="00FB7783"/>
    <w:rsid w:val="00FC04F0"/>
    <w:rsid w:val="00FC0CD4"/>
    <w:rsid w:val="00FC1A83"/>
    <w:rsid w:val="00FC266E"/>
    <w:rsid w:val="00FC276A"/>
    <w:rsid w:val="00FC2CD1"/>
    <w:rsid w:val="00FC44E5"/>
    <w:rsid w:val="00FC44F6"/>
    <w:rsid w:val="00FC5938"/>
    <w:rsid w:val="00FC77DA"/>
    <w:rsid w:val="00FC7FDE"/>
    <w:rsid w:val="00FD0CBE"/>
    <w:rsid w:val="00FD1369"/>
    <w:rsid w:val="00FD2EE9"/>
    <w:rsid w:val="00FD4B2A"/>
    <w:rsid w:val="00FD6A89"/>
    <w:rsid w:val="00FD6CFE"/>
    <w:rsid w:val="00FD7E27"/>
    <w:rsid w:val="00FE2A22"/>
    <w:rsid w:val="00FE30E5"/>
    <w:rsid w:val="00FE3467"/>
    <w:rsid w:val="00FE363B"/>
    <w:rsid w:val="00FE3A2B"/>
    <w:rsid w:val="00FE3B1F"/>
    <w:rsid w:val="00FE4C2C"/>
    <w:rsid w:val="00FE4CD7"/>
    <w:rsid w:val="00FE5157"/>
    <w:rsid w:val="00FE5AA4"/>
    <w:rsid w:val="00FE6503"/>
    <w:rsid w:val="00FE78D9"/>
    <w:rsid w:val="00FE7DDB"/>
    <w:rsid w:val="00FE7E6F"/>
    <w:rsid w:val="00FF0A25"/>
    <w:rsid w:val="00FF0A70"/>
    <w:rsid w:val="00FF1755"/>
    <w:rsid w:val="00FF219C"/>
    <w:rsid w:val="00FF24C7"/>
    <w:rsid w:val="00FF323D"/>
    <w:rsid w:val="00FF33A9"/>
    <w:rsid w:val="00FF3D6F"/>
    <w:rsid w:val="00FF44D2"/>
    <w:rsid w:val="00FF4BBB"/>
    <w:rsid w:val="00FF51A6"/>
    <w:rsid w:val="00FF703A"/>
    <w:rsid w:val="00FF71D3"/>
    <w:rsid w:val="00FF72E1"/>
    <w:rsid w:val="00FF7423"/>
    <w:rsid w:val="034F7102"/>
    <w:rsid w:val="09716D82"/>
    <w:rsid w:val="0B1D42BE"/>
    <w:rsid w:val="10420CDA"/>
    <w:rsid w:val="10DF403F"/>
    <w:rsid w:val="153067B7"/>
    <w:rsid w:val="1B440C39"/>
    <w:rsid w:val="22C16239"/>
    <w:rsid w:val="23B4686F"/>
    <w:rsid w:val="240754A5"/>
    <w:rsid w:val="25081AED"/>
    <w:rsid w:val="25FE66D3"/>
    <w:rsid w:val="283602B3"/>
    <w:rsid w:val="29944333"/>
    <w:rsid w:val="2C9012AA"/>
    <w:rsid w:val="3E7F6A52"/>
    <w:rsid w:val="3FDE2142"/>
    <w:rsid w:val="431E408F"/>
    <w:rsid w:val="469D7FF1"/>
    <w:rsid w:val="54071E21"/>
    <w:rsid w:val="57F7FF0F"/>
    <w:rsid w:val="69EB62E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794D283"/>
  <w15:docId w15:val="{6B53E901-3C75-4D11-B819-75F48E28A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qFormat="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napToGrid w:val="0"/>
      <w:spacing w:line="360" w:lineRule="auto"/>
      <w:ind w:firstLineChars="200" w:firstLine="200"/>
      <w:jc w:val="both"/>
    </w:pPr>
    <w:rPr>
      <w:color w:val="000000"/>
      <w:kern w:val="2"/>
      <w:sz w:val="28"/>
      <w:szCs w:val="24"/>
    </w:rPr>
  </w:style>
  <w:style w:type="paragraph" w:styleId="1">
    <w:name w:val="heading 1"/>
    <w:basedOn w:val="a"/>
    <w:next w:val="a"/>
    <w:qFormat/>
    <w:pPr>
      <w:keepNext/>
      <w:keepLines/>
      <w:pageBreakBefore/>
      <w:ind w:firstLineChars="0" w:firstLine="0"/>
      <w:jc w:val="center"/>
      <w:outlineLvl w:val="0"/>
    </w:pPr>
    <w:rPr>
      <w:rFonts w:ascii="黑体"/>
      <w:bCs/>
      <w:kern w:val="44"/>
      <w:sz w:val="32"/>
      <w:szCs w:val="32"/>
    </w:rPr>
  </w:style>
  <w:style w:type="paragraph" w:styleId="2">
    <w:name w:val="heading 2"/>
    <w:basedOn w:val="a"/>
    <w:next w:val="a"/>
    <w:qFormat/>
    <w:pPr>
      <w:keepNext/>
      <w:keepLines/>
      <w:ind w:firstLine="562"/>
      <w:outlineLvl w:val="1"/>
    </w:pPr>
    <w:rPr>
      <w:rFonts w:ascii="宋体" w:hAnsi="宋体"/>
      <w:b/>
      <w:bCs/>
      <w:color w:val="auto"/>
      <w:szCs w:val="28"/>
    </w:rPr>
  </w:style>
  <w:style w:type="paragraph" w:styleId="3">
    <w:name w:val="heading 3"/>
    <w:basedOn w:val="a"/>
    <w:next w:val="a"/>
    <w:qFormat/>
    <w:pPr>
      <w:keepNext/>
      <w:keepLines/>
      <w:ind w:firstLine="562"/>
      <w:outlineLvl w:val="2"/>
    </w:pPr>
    <w:rPr>
      <w:rFonts w:ascii="宋体" w:hAnsi="宋体"/>
      <w:b/>
      <w:bCs/>
      <w:color w:val="auto"/>
      <w:szCs w:val="28"/>
    </w:rPr>
  </w:style>
  <w:style w:type="paragraph" w:styleId="4">
    <w:name w:val="heading 4"/>
    <w:basedOn w:val="a"/>
    <w:next w:val="a"/>
    <w:qFormat/>
    <w:pPr>
      <w:keepNext/>
      <w:ind w:firstLineChars="400" w:firstLine="1120"/>
      <w:outlineLvl w:val="3"/>
    </w:pPr>
    <w:rPr>
      <w:rFonts w:ascii="宋体" w:eastAsia="等线" w:hAnsi="宋体"/>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Chars="200" w:firstLine="200"/>
    </w:pPr>
    <w:rPr>
      <w:rFonts w:ascii="Courier New" w:hAnsi="Courier New" w:cs="Courier New"/>
      <w:color w:val="000000"/>
      <w:kern w:val="2"/>
      <w:sz w:val="24"/>
      <w:szCs w:val="24"/>
    </w:rPr>
  </w:style>
  <w:style w:type="paragraph" w:styleId="TOC7">
    <w:name w:val="toc 7"/>
    <w:basedOn w:val="a"/>
    <w:next w:val="a"/>
    <w:autoRedefine/>
    <w:uiPriority w:val="39"/>
    <w:unhideWhenUsed/>
    <w:qFormat/>
    <w:pPr>
      <w:adjustRightInd/>
      <w:snapToGrid/>
      <w:spacing w:after="160" w:line="278" w:lineRule="auto"/>
      <w:ind w:leftChars="1200" w:left="2520" w:firstLineChars="0" w:firstLine="0"/>
      <w:jc w:val="left"/>
    </w:pPr>
    <w:rPr>
      <w:rFonts w:asciiTheme="minorHAnsi" w:eastAsiaTheme="minorEastAsia" w:hAnsiTheme="minorHAnsi" w:cstheme="minorBidi"/>
      <w:color w:val="auto"/>
      <w:sz w:val="22"/>
      <w14:ligatures w14:val="standardContextual"/>
    </w:rPr>
  </w:style>
  <w:style w:type="paragraph" w:styleId="a5">
    <w:name w:val="Normal Indent"/>
    <w:basedOn w:val="a"/>
    <w:qFormat/>
    <w:pPr>
      <w:ind w:firstLine="420"/>
    </w:pPr>
    <w:rPr>
      <w:rFonts w:ascii="等线" w:eastAsia="等线" w:hAnsi="等线"/>
      <w:color w:val="auto"/>
      <w:sz w:val="21"/>
      <w:szCs w:val="20"/>
    </w:rPr>
  </w:style>
  <w:style w:type="paragraph" w:styleId="a6">
    <w:name w:val="Document Map"/>
    <w:basedOn w:val="a"/>
    <w:link w:val="a7"/>
    <w:unhideWhenUsed/>
    <w:qFormat/>
    <w:rPr>
      <w:rFonts w:ascii="宋体"/>
      <w:sz w:val="18"/>
      <w:szCs w:val="18"/>
    </w:rPr>
  </w:style>
  <w:style w:type="paragraph" w:styleId="a8">
    <w:name w:val="annotation text"/>
    <w:basedOn w:val="a"/>
    <w:link w:val="a9"/>
    <w:uiPriority w:val="99"/>
    <w:qFormat/>
    <w:pPr>
      <w:jc w:val="left"/>
    </w:pPr>
  </w:style>
  <w:style w:type="paragraph" w:styleId="aa">
    <w:name w:val="Body Text"/>
    <w:basedOn w:val="a"/>
    <w:link w:val="ab"/>
    <w:qFormat/>
    <w:pPr>
      <w:spacing w:after="120"/>
    </w:pPr>
    <w:rPr>
      <w:rFonts w:ascii="等线" w:eastAsia="等线" w:hAnsi="等线"/>
      <w:color w:val="auto"/>
      <w:sz w:val="21"/>
    </w:rPr>
  </w:style>
  <w:style w:type="paragraph" w:styleId="ac">
    <w:name w:val="Body Text Indent"/>
    <w:basedOn w:val="a"/>
    <w:link w:val="ad"/>
    <w:qFormat/>
    <w:pPr>
      <w:widowControl/>
      <w:ind w:leftChars="300" w:left="720"/>
    </w:pPr>
    <w:rPr>
      <w:kern w:val="0"/>
      <w:sz w:val="24"/>
    </w:rPr>
  </w:style>
  <w:style w:type="paragraph" w:styleId="TOC5">
    <w:name w:val="toc 5"/>
    <w:basedOn w:val="a"/>
    <w:next w:val="a"/>
    <w:autoRedefine/>
    <w:uiPriority w:val="39"/>
    <w:unhideWhenUsed/>
    <w:qFormat/>
    <w:pPr>
      <w:adjustRightInd/>
      <w:snapToGrid/>
      <w:spacing w:after="160" w:line="278" w:lineRule="auto"/>
      <w:ind w:leftChars="800" w:left="1680" w:firstLineChars="0" w:firstLine="0"/>
      <w:jc w:val="left"/>
    </w:pPr>
    <w:rPr>
      <w:rFonts w:asciiTheme="minorHAnsi" w:eastAsiaTheme="minorEastAsia" w:hAnsiTheme="minorHAnsi" w:cstheme="minorBidi"/>
      <w:color w:val="auto"/>
      <w:sz w:val="22"/>
      <w14:ligatures w14:val="standardContextual"/>
    </w:rPr>
  </w:style>
  <w:style w:type="paragraph" w:styleId="TOC3">
    <w:name w:val="toc 3"/>
    <w:basedOn w:val="a"/>
    <w:next w:val="a"/>
    <w:uiPriority w:val="39"/>
    <w:unhideWhenUsed/>
    <w:qFormat/>
    <w:pPr>
      <w:ind w:leftChars="400" w:left="840"/>
    </w:pPr>
  </w:style>
  <w:style w:type="paragraph" w:styleId="TOC8">
    <w:name w:val="toc 8"/>
    <w:basedOn w:val="a"/>
    <w:next w:val="a"/>
    <w:autoRedefine/>
    <w:uiPriority w:val="39"/>
    <w:unhideWhenUsed/>
    <w:qFormat/>
    <w:pPr>
      <w:adjustRightInd/>
      <w:snapToGrid/>
      <w:spacing w:after="160" w:line="278" w:lineRule="auto"/>
      <w:ind w:leftChars="1400" w:left="2940" w:firstLineChars="0" w:firstLine="0"/>
      <w:jc w:val="left"/>
    </w:pPr>
    <w:rPr>
      <w:rFonts w:asciiTheme="minorHAnsi" w:eastAsiaTheme="minorEastAsia" w:hAnsiTheme="minorHAnsi" w:cstheme="minorBidi"/>
      <w:color w:val="auto"/>
      <w:sz w:val="22"/>
      <w14:ligatures w14:val="standardContextual"/>
    </w:rPr>
  </w:style>
  <w:style w:type="paragraph" w:styleId="ae">
    <w:name w:val="Date"/>
    <w:basedOn w:val="a"/>
    <w:next w:val="a"/>
    <w:link w:val="af"/>
    <w:qFormat/>
    <w:pPr>
      <w:ind w:leftChars="2500" w:left="100"/>
    </w:pPr>
  </w:style>
  <w:style w:type="paragraph" w:styleId="af0">
    <w:name w:val="Balloon Text"/>
    <w:basedOn w:val="a"/>
    <w:link w:val="af1"/>
    <w:qFormat/>
    <w:pPr>
      <w:spacing w:line="240" w:lineRule="auto"/>
    </w:pPr>
    <w:rPr>
      <w:sz w:val="18"/>
      <w:szCs w:val="18"/>
    </w:rPr>
  </w:style>
  <w:style w:type="paragraph" w:styleId="af2">
    <w:name w:val="footer"/>
    <w:basedOn w:val="a"/>
    <w:link w:val="af3"/>
    <w:uiPriority w:val="99"/>
    <w:qFormat/>
    <w:pPr>
      <w:tabs>
        <w:tab w:val="center" w:pos="4153"/>
        <w:tab w:val="right" w:pos="8306"/>
      </w:tabs>
      <w:jc w:val="left"/>
    </w:pPr>
    <w:rPr>
      <w:rFonts w:ascii="等线" w:hAnsi="等线"/>
      <w:color w:val="auto"/>
      <w:sz w:val="18"/>
      <w:szCs w:val="18"/>
    </w:rPr>
  </w:style>
  <w:style w:type="paragraph" w:styleId="af4">
    <w:name w:val="header"/>
    <w:basedOn w:val="a"/>
    <w:qFormat/>
    <w:pPr>
      <w:pBdr>
        <w:bottom w:val="single" w:sz="6" w:space="1" w:color="auto"/>
      </w:pBdr>
      <w:tabs>
        <w:tab w:val="center" w:pos="4153"/>
        <w:tab w:val="right" w:pos="8306"/>
      </w:tabs>
      <w:jc w:val="center"/>
    </w:pPr>
    <w:rPr>
      <w:rFonts w:ascii="等线" w:hAnsi="等线"/>
      <w:color w:val="auto"/>
      <w:sz w:val="18"/>
      <w:szCs w:val="18"/>
    </w:rPr>
  </w:style>
  <w:style w:type="paragraph" w:styleId="TOC1">
    <w:name w:val="toc 1"/>
    <w:basedOn w:val="a"/>
    <w:next w:val="a"/>
    <w:uiPriority w:val="39"/>
    <w:qFormat/>
    <w:pPr>
      <w:ind w:firstLineChars="0" w:firstLine="0"/>
      <w:jc w:val="left"/>
    </w:pPr>
    <w:rPr>
      <w:rFonts w:ascii="等线"/>
      <w:b/>
      <w:bCs/>
      <w:caps/>
      <w:szCs w:val="20"/>
    </w:rPr>
  </w:style>
  <w:style w:type="paragraph" w:styleId="TOC4">
    <w:name w:val="toc 4"/>
    <w:basedOn w:val="a"/>
    <w:next w:val="a"/>
    <w:autoRedefine/>
    <w:uiPriority w:val="39"/>
    <w:unhideWhenUsed/>
    <w:qFormat/>
    <w:pPr>
      <w:adjustRightInd/>
      <w:snapToGrid/>
      <w:spacing w:after="160" w:line="278" w:lineRule="auto"/>
      <w:ind w:leftChars="600" w:left="1260" w:firstLineChars="0" w:firstLine="0"/>
      <w:jc w:val="left"/>
    </w:pPr>
    <w:rPr>
      <w:rFonts w:asciiTheme="minorHAnsi" w:eastAsiaTheme="minorEastAsia" w:hAnsiTheme="minorHAnsi" w:cstheme="minorBidi"/>
      <w:color w:val="auto"/>
      <w:sz w:val="22"/>
      <w14:ligatures w14:val="standardContextual"/>
    </w:rPr>
  </w:style>
  <w:style w:type="paragraph" w:styleId="af5">
    <w:name w:val="index heading"/>
    <w:basedOn w:val="a"/>
    <w:next w:val="10"/>
    <w:qFormat/>
    <w:pPr>
      <w:adjustRightInd/>
      <w:snapToGrid/>
      <w:spacing w:before="240" w:after="120" w:line="240" w:lineRule="auto"/>
      <w:ind w:firstLineChars="0" w:firstLine="0"/>
      <w:jc w:val="center"/>
    </w:pPr>
    <w:rPr>
      <w:rFonts w:ascii="Calibri" w:hAnsi="Calibri"/>
      <w:b/>
      <w:bCs/>
      <w:color w:val="auto"/>
      <w:sz w:val="26"/>
      <w:szCs w:val="26"/>
    </w:rPr>
  </w:style>
  <w:style w:type="paragraph" w:styleId="10">
    <w:name w:val="index 1"/>
    <w:basedOn w:val="a"/>
    <w:next w:val="a"/>
    <w:unhideWhenUsed/>
    <w:qFormat/>
    <w:pPr>
      <w:ind w:firstLine="0"/>
    </w:pPr>
  </w:style>
  <w:style w:type="paragraph" w:styleId="TOC6">
    <w:name w:val="toc 6"/>
    <w:basedOn w:val="a"/>
    <w:next w:val="a"/>
    <w:autoRedefine/>
    <w:uiPriority w:val="39"/>
    <w:unhideWhenUsed/>
    <w:qFormat/>
    <w:pPr>
      <w:adjustRightInd/>
      <w:snapToGrid/>
      <w:spacing w:after="160" w:line="278" w:lineRule="auto"/>
      <w:ind w:leftChars="1000" w:left="2100" w:firstLineChars="0" w:firstLine="0"/>
      <w:jc w:val="left"/>
    </w:pPr>
    <w:rPr>
      <w:rFonts w:asciiTheme="minorHAnsi" w:eastAsiaTheme="minorEastAsia" w:hAnsiTheme="minorHAnsi" w:cstheme="minorBidi"/>
      <w:color w:val="auto"/>
      <w:sz w:val="22"/>
      <w14:ligatures w14:val="standardContextual"/>
    </w:rPr>
  </w:style>
  <w:style w:type="paragraph" w:styleId="TOC2">
    <w:name w:val="toc 2"/>
    <w:basedOn w:val="a"/>
    <w:next w:val="a"/>
    <w:uiPriority w:val="39"/>
    <w:qFormat/>
    <w:pPr>
      <w:ind w:firstLineChars="100" w:firstLine="100"/>
      <w:jc w:val="left"/>
    </w:pPr>
    <w:rPr>
      <w:rFonts w:ascii="等线"/>
      <w:smallCaps/>
      <w:szCs w:val="20"/>
    </w:rPr>
  </w:style>
  <w:style w:type="paragraph" w:styleId="TOC9">
    <w:name w:val="toc 9"/>
    <w:basedOn w:val="a"/>
    <w:next w:val="a"/>
    <w:autoRedefine/>
    <w:uiPriority w:val="39"/>
    <w:unhideWhenUsed/>
    <w:qFormat/>
    <w:pPr>
      <w:adjustRightInd/>
      <w:snapToGrid/>
      <w:spacing w:after="160" w:line="278" w:lineRule="auto"/>
      <w:ind w:leftChars="1600" w:left="3360" w:firstLineChars="0" w:firstLine="0"/>
      <w:jc w:val="left"/>
    </w:pPr>
    <w:rPr>
      <w:rFonts w:asciiTheme="minorHAnsi" w:eastAsiaTheme="minorEastAsia" w:hAnsiTheme="minorHAnsi" w:cstheme="minorBidi"/>
      <w:color w:val="auto"/>
      <w:sz w:val="22"/>
      <w14:ligatures w14:val="standardContextual"/>
    </w:rPr>
  </w:style>
  <w:style w:type="paragraph" w:styleId="20">
    <w:name w:val="Body Text 2"/>
    <w:basedOn w:val="a"/>
    <w:qFormat/>
    <w:rPr>
      <w:szCs w:val="20"/>
    </w:rPr>
  </w:style>
  <w:style w:type="paragraph" w:styleId="af6">
    <w:name w:val="Normal (Web)"/>
    <w:basedOn w:val="a"/>
    <w:uiPriority w:val="99"/>
    <w:unhideWhenUsed/>
    <w:qFormat/>
    <w:pPr>
      <w:widowControl/>
      <w:adjustRightInd/>
      <w:snapToGrid/>
      <w:spacing w:before="100" w:beforeAutospacing="1" w:after="100" w:afterAutospacing="1" w:line="240" w:lineRule="auto"/>
      <w:ind w:firstLineChars="0" w:firstLine="0"/>
      <w:jc w:val="left"/>
    </w:pPr>
    <w:rPr>
      <w:rFonts w:ascii="宋体" w:hAnsi="宋体" w:cs="宋体"/>
      <w:color w:val="auto"/>
      <w:kern w:val="0"/>
      <w:sz w:val="24"/>
    </w:rPr>
  </w:style>
  <w:style w:type="paragraph" w:styleId="af7">
    <w:name w:val="annotation subject"/>
    <w:basedOn w:val="a8"/>
    <w:next w:val="a8"/>
    <w:link w:val="af8"/>
    <w:qFormat/>
    <w:rPr>
      <w:b/>
      <w:bCs/>
    </w:rPr>
  </w:style>
  <w:style w:type="paragraph" w:styleId="af9">
    <w:name w:val="Body Text First Indent"/>
    <w:basedOn w:val="aa"/>
    <w:link w:val="afa"/>
    <w:qFormat/>
    <w:pPr>
      <w:ind w:firstLineChars="100" w:firstLine="420"/>
    </w:pPr>
    <w:rPr>
      <w:rFonts w:ascii="Times New Roman" w:eastAsia="宋体" w:hAnsi="Times New Roman"/>
      <w:color w:val="000000"/>
      <w:sz w:val="28"/>
    </w:rPr>
  </w:style>
  <w:style w:type="table" w:styleId="af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qFormat/>
    <w:rPr>
      <w:b/>
      <w:bCs/>
    </w:rPr>
  </w:style>
  <w:style w:type="character" w:styleId="afd">
    <w:name w:val="Emphasis"/>
    <w:basedOn w:val="a0"/>
    <w:qFormat/>
    <w:rPr>
      <w:i/>
    </w:rPr>
  </w:style>
  <w:style w:type="character" w:styleId="afe">
    <w:name w:val="Hyperlink"/>
    <w:uiPriority w:val="99"/>
    <w:qFormat/>
    <w:rPr>
      <w:color w:val="0000FF"/>
      <w:u w:val="single"/>
    </w:rPr>
  </w:style>
  <w:style w:type="character" w:styleId="aff">
    <w:name w:val="annotation reference"/>
    <w:basedOn w:val="a0"/>
    <w:uiPriority w:val="99"/>
    <w:qFormat/>
    <w:rPr>
      <w:sz w:val="21"/>
      <w:szCs w:val="21"/>
    </w:rPr>
  </w:style>
  <w:style w:type="paragraph" w:customStyle="1" w:styleId="Default1">
    <w:name w:val="Default1"/>
    <w:uiPriority w:val="99"/>
    <w:unhideWhenUsed/>
    <w:qFormat/>
    <w:pPr>
      <w:widowControl w:val="0"/>
      <w:autoSpaceDE w:val="0"/>
      <w:autoSpaceDN w:val="0"/>
      <w:adjustRightInd w:val="0"/>
    </w:pPr>
    <w:rPr>
      <w:rFonts w:ascii="Calibri" w:hAnsi="Calibri" w:hint="eastAsia"/>
      <w:color w:val="000000"/>
      <w:sz w:val="24"/>
      <w:szCs w:val="22"/>
    </w:rPr>
  </w:style>
  <w:style w:type="character" w:customStyle="1" w:styleId="a9">
    <w:name w:val="批注文字 字符"/>
    <w:basedOn w:val="a0"/>
    <w:link w:val="a8"/>
    <w:uiPriority w:val="99"/>
    <w:qFormat/>
    <w:rPr>
      <w:rFonts w:ascii="Times New Roman" w:eastAsia="宋体" w:hAnsi="Times New Roman"/>
      <w:color w:val="000000"/>
      <w:kern w:val="2"/>
      <w:sz w:val="28"/>
      <w:szCs w:val="24"/>
    </w:rPr>
  </w:style>
  <w:style w:type="character" w:customStyle="1" w:styleId="af8">
    <w:name w:val="批注主题 字符"/>
    <w:basedOn w:val="a9"/>
    <w:link w:val="af7"/>
    <w:qFormat/>
    <w:rPr>
      <w:rFonts w:ascii="Times New Roman" w:eastAsia="宋体" w:hAnsi="Times New Roman"/>
      <w:b/>
      <w:bCs/>
      <w:color w:val="000000"/>
      <w:kern w:val="2"/>
      <w:sz w:val="28"/>
      <w:szCs w:val="24"/>
    </w:rPr>
  </w:style>
  <w:style w:type="character" w:customStyle="1" w:styleId="ab">
    <w:name w:val="正文文本 字符"/>
    <w:basedOn w:val="a0"/>
    <w:link w:val="aa"/>
    <w:qFormat/>
    <w:rPr>
      <w:kern w:val="2"/>
      <w:sz w:val="21"/>
      <w:szCs w:val="24"/>
    </w:rPr>
  </w:style>
  <w:style w:type="character" w:customStyle="1" w:styleId="afa">
    <w:name w:val="正文文本首行缩进 字符"/>
    <w:basedOn w:val="ab"/>
    <w:link w:val="af9"/>
    <w:qFormat/>
    <w:rPr>
      <w:rFonts w:ascii="Times New Roman" w:eastAsia="宋体" w:hAnsi="Times New Roman"/>
      <w:color w:val="000000"/>
      <w:kern w:val="2"/>
      <w:sz w:val="28"/>
      <w:szCs w:val="24"/>
    </w:rPr>
  </w:style>
  <w:style w:type="character" w:customStyle="1" w:styleId="a7">
    <w:name w:val="文档结构图 字符"/>
    <w:basedOn w:val="a0"/>
    <w:link w:val="a6"/>
    <w:semiHidden/>
    <w:qFormat/>
    <w:rPr>
      <w:rFonts w:ascii="宋体"/>
      <w:color w:val="000000"/>
      <w:kern w:val="2"/>
      <w:sz w:val="18"/>
      <w:szCs w:val="18"/>
    </w:rPr>
  </w:style>
  <w:style w:type="character" w:customStyle="1" w:styleId="ad">
    <w:name w:val="正文文本缩进 字符"/>
    <w:basedOn w:val="a0"/>
    <w:link w:val="ac"/>
    <w:qFormat/>
    <w:rPr>
      <w:rFonts w:ascii="Times New Roman" w:eastAsia="宋体" w:hAnsi="Times New Roman"/>
      <w:color w:val="000000"/>
      <w:sz w:val="24"/>
      <w:szCs w:val="24"/>
    </w:rPr>
  </w:style>
  <w:style w:type="character" w:customStyle="1" w:styleId="af">
    <w:name w:val="日期 字符"/>
    <w:basedOn w:val="a0"/>
    <w:link w:val="ae"/>
    <w:qFormat/>
    <w:rPr>
      <w:rFonts w:ascii="Times New Roman" w:eastAsia="宋体" w:hAnsi="Times New Roman"/>
      <w:color w:val="000000"/>
      <w:kern w:val="2"/>
      <w:sz w:val="28"/>
      <w:szCs w:val="24"/>
    </w:rPr>
  </w:style>
  <w:style w:type="character" w:customStyle="1" w:styleId="af1">
    <w:name w:val="批注框文本 字符"/>
    <w:basedOn w:val="a0"/>
    <w:link w:val="af0"/>
    <w:qFormat/>
    <w:rPr>
      <w:rFonts w:ascii="Times New Roman" w:eastAsia="宋体" w:hAnsi="Times New Roman"/>
      <w:color w:val="000000"/>
      <w:kern w:val="2"/>
      <w:sz w:val="18"/>
      <w:szCs w:val="18"/>
    </w:rPr>
  </w:style>
  <w:style w:type="character" w:customStyle="1" w:styleId="af3">
    <w:name w:val="页脚 字符"/>
    <w:basedOn w:val="a0"/>
    <w:link w:val="af2"/>
    <w:uiPriority w:val="99"/>
    <w:qFormat/>
    <w:rPr>
      <w:rFonts w:eastAsia="宋体"/>
      <w:kern w:val="2"/>
      <w:sz w:val="18"/>
      <w:szCs w:val="18"/>
    </w:rPr>
  </w:style>
  <w:style w:type="paragraph" w:customStyle="1" w:styleId="WPSOffice1">
    <w:name w:val="WPSOffice手动目录 1"/>
    <w:qFormat/>
  </w:style>
  <w:style w:type="paragraph" w:customStyle="1" w:styleId="aff0">
    <w:name w:val="!正文"/>
    <w:qFormat/>
    <w:pPr>
      <w:widowControl w:val="0"/>
      <w:adjustRightInd w:val="0"/>
      <w:snapToGrid w:val="0"/>
      <w:spacing w:line="360" w:lineRule="auto"/>
      <w:ind w:firstLineChars="200" w:firstLine="200"/>
      <w:jc w:val="both"/>
    </w:pPr>
    <w:rPr>
      <w:rFonts w:eastAsia="等线"/>
      <w:kern w:val="2"/>
      <w:sz w:val="28"/>
    </w:rPr>
  </w:style>
  <w:style w:type="paragraph" w:customStyle="1" w:styleId="Style2">
    <w:name w:val="_Style 2"/>
    <w:basedOn w:val="a"/>
    <w:uiPriority w:val="34"/>
    <w:qFormat/>
    <w:pPr>
      <w:ind w:firstLine="420"/>
    </w:pPr>
  </w:style>
  <w:style w:type="paragraph" w:customStyle="1" w:styleId="SB415">
    <w:name w:val="美高SB4/1.5"/>
    <w:basedOn w:val="a"/>
    <w:qFormat/>
    <w:pPr>
      <w:topLinePunct/>
    </w:pPr>
    <w:rPr>
      <w:rFonts w:ascii="宋体" w:hAnsi="宋体"/>
      <w:color w:val="auto"/>
      <w:szCs w:val="28"/>
    </w:rPr>
  </w:style>
  <w:style w:type="paragraph" w:customStyle="1" w:styleId="aff1">
    <w:name w:val="+正文"/>
    <w:basedOn w:val="a"/>
    <w:qFormat/>
    <w:rPr>
      <w:sz w:val="24"/>
      <w:szCs w:val="28"/>
    </w:rPr>
  </w:style>
  <w:style w:type="paragraph" w:customStyle="1" w:styleId="415">
    <w:name w:val="表图 宋4/1.5"/>
    <w:next w:val="a"/>
    <w:qFormat/>
    <w:pPr>
      <w:topLinePunct/>
      <w:adjustRightInd w:val="0"/>
      <w:snapToGrid w:val="0"/>
      <w:spacing w:line="360" w:lineRule="auto"/>
      <w:jc w:val="center"/>
      <w:textAlignment w:val="center"/>
    </w:pPr>
    <w:rPr>
      <w:rFonts w:ascii="宋体" w:hAnsi="宋体"/>
      <w:snapToGrid w:val="0"/>
      <w:color w:val="000000"/>
      <w:sz w:val="28"/>
      <w:szCs w:val="21"/>
    </w:rPr>
  </w:style>
  <w:style w:type="paragraph" w:customStyle="1" w:styleId="5">
    <w:name w:val="表内容宋5"/>
    <w:qFormat/>
    <w:pPr>
      <w:spacing w:line="240" w:lineRule="atLeast"/>
    </w:pPr>
    <w:rPr>
      <w:sz w:val="21"/>
      <w:szCs w:val="21"/>
    </w:rPr>
  </w:style>
  <w:style w:type="paragraph" w:customStyle="1" w:styleId="11">
    <w:name w:val="列出段落1"/>
    <w:basedOn w:val="a"/>
    <w:uiPriority w:val="34"/>
    <w:unhideWhenUsed/>
    <w:qFormat/>
    <w:pPr>
      <w:ind w:firstLine="420"/>
    </w:pPr>
  </w:style>
  <w:style w:type="paragraph" w:customStyle="1" w:styleId="aff2">
    <w:name w:val="表格"/>
    <w:basedOn w:val="a"/>
    <w:qFormat/>
    <w:pPr>
      <w:adjustRightInd/>
      <w:snapToGrid/>
      <w:spacing w:before="50" w:after="50" w:line="500" w:lineRule="exact"/>
      <w:ind w:firstLine="640"/>
      <w:jc w:val="center"/>
    </w:pPr>
    <w:rPr>
      <w:rFonts w:ascii="宋体" w:hAnsi="宋体" w:cs="宋体"/>
      <w:color w:val="auto"/>
      <w:sz w:val="21"/>
    </w:rPr>
  </w:style>
  <w:style w:type="paragraph" w:customStyle="1" w:styleId="12">
    <w:name w:val="修订1"/>
    <w:hidden/>
    <w:uiPriority w:val="99"/>
    <w:semiHidden/>
    <w:qFormat/>
    <w:rPr>
      <w:color w:val="000000"/>
      <w:kern w:val="2"/>
      <w:sz w:val="28"/>
      <w:szCs w:val="24"/>
    </w:rPr>
  </w:style>
  <w:style w:type="character" w:customStyle="1" w:styleId="Char">
    <w:name w:val="批注文字 Char"/>
    <w:uiPriority w:val="99"/>
    <w:qFormat/>
    <w:rPr>
      <w:kern w:val="2"/>
      <w:sz w:val="21"/>
      <w:szCs w:val="24"/>
    </w:rPr>
  </w:style>
  <w:style w:type="table" w:customStyle="1" w:styleId="13">
    <w:name w:val="网格型1"/>
    <w:basedOn w:val="a1"/>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首行缩进 Char"/>
    <w:link w:val="aff3"/>
    <w:qFormat/>
    <w:rPr>
      <w:rFonts w:ascii="宋体"/>
      <w:kern w:val="2"/>
      <w:sz w:val="28"/>
      <w:szCs w:val="24"/>
    </w:rPr>
  </w:style>
  <w:style w:type="paragraph" w:customStyle="1" w:styleId="aff3">
    <w:name w:val="首行缩进"/>
    <w:basedOn w:val="a"/>
    <w:link w:val="Char0"/>
    <w:qFormat/>
    <w:pPr>
      <w:adjustRightInd/>
      <w:snapToGrid/>
      <w:spacing w:line="240" w:lineRule="auto"/>
      <w:ind w:firstLineChars="0" w:firstLine="482"/>
    </w:pPr>
    <w:rPr>
      <w:rFonts w:ascii="宋体" w:eastAsia="等线" w:hAnsi="等线"/>
      <w:color w:val="auto"/>
    </w:rPr>
  </w:style>
  <w:style w:type="character" w:customStyle="1" w:styleId="bai12xi">
    <w:name w:val="bai12xi"/>
    <w:basedOn w:val="a0"/>
    <w:qFormat/>
    <w:rPr>
      <w:rFonts w:ascii="Verdana" w:eastAsia="仿宋_GB2312" w:hAnsi="Verdana"/>
      <w:kern w:val="0"/>
      <w:sz w:val="24"/>
      <w:szCs w:val="20"/>
      <w:lang w:eastAsia="en-US"/>
    </w:rPr>
  </w:style>
  <w:style w:type="character" w:customStyle="1" w:styleId="2CharChar">
    <w:name w:val="标题 2 Char Char"/>
    <w:qFormat/>
    <w:rPr>
      <w:rFonts w:ascii="Arial" w:eastAsia="黑体" w:hAnsi="Arial"/>
      <w:b/>
      <w:bCs/>
      <w:kern w:val="2"/>
      <w:sz w:val="32"/>
      <w:szCs w:val="32"/>
      <w:lang w:val="en-US" w:eastAsia="zh-CN" w:bidi="ar-SA"/>
    </w:rPr>
  </w:style>
  <w:style w:type="paragraph" w:customStyle="1" w:styleId="CharCharChar">
    <w:name w:val="Char Char Char"/>
    <w:basedOn w:val="a"/>
    <w:next w:val="a3"/>
    <w:qFormat/>
    <w:pPr>
      <w:adjustRightInd/>
      <w:snapToGrid/>
      <w:spacing w:line="240" w:lineRule="auto"/>
      <w:ind w:firstLineChars="0" w:firstLine="0"/>
    </w:pPr>
    <w:rPr>
      <w:color w:val="auto"/>
      <w:szCs w:val="28"/>
    </w:rPr>
  </w:style>
  <w:style w:type="character" w:customStyle="1" w:styleId="a4">
    <w:name w:val="宏文本 字符"/>
    <w:basedOn w:val="a0"/>
    <w:link w:val="a3"/>
    <w:semiHidden/>
    <w:qFormat/>
    <w:rPr>
      <w:rFonts w:ascii="Courier New" w:hAnsi="Courier New" w:cs="Courier New"/>
      <w:color w:val="000000"/>
      <w:kern w:val="2"/>
      <w:sz w:val="24"/>
      <w:szCs w:val="24"/>
    </w:rPr>
  </w:style>
  <w:style w:type="paragraph" w:styleId="aff4">
    <w:name w:val="List Paragraph"/>
    <w:basedOn w:val="a"/>
    <w:uiPriority w:val="99"/>
    <w:unhideWhenUsed/>
    <w:qFormat/>
    <w:pPr>
      <w:ind w:firstLine="420"/>
    </w:pPr>
  </w:style>
  <w:style w:type="character" w:customStyle="1" w:styleId="14">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5.xml"/><Relationship Id="rId42" Type="http://schemas.openxmlformats.org/officeDocument/2006/relationships/image" Target="media/image21.png"/><Relationship Id="rId47" Type="http://schemas.openxmlformats.org/officeDocument/2006/relationships/header" Target="header8.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eader" Target="header7.xml"/><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oter" Target="footer6.xml"/><Relationship Id="rId40" Type="http://schemas.openxmlformats.org/officeDocument/2006/relationships/image" Target="media/image19.jpe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6.xml"/><Relationship Id="rId49"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5.xml"/><Relationship Id="rId43" Type="http://schemas.openxmlformats.org/officeDocument/2006/relationships/image" Target="media/image22.png"/><Relationship Id="rId48" Type="http://schemas.openxmlformats.org/officeDocument/2006/relationships/footer" Target="footer8.xm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FA514-B8FA-4014-B621-66AE3F187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7020</TotalTime>
  <Pages>152</Pages>
  <Words>15946</Words>
  <Characters>90897</Characters>
  <Application>Microsoft Office Word</Application>
  <DocSecurity>0</DocSecurity>
  <Lines>757</Lines>
  <Paragraphs>213</Paragraphs>
  <ScaleCrop>false</ScaleCrop>
  <Company>Microsoft</Company>
  <LinksUpToDate>false</LinksUpToDate>
  <CharactersWithSpaces>106630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詩音</dc:creator>
  <cp:lastModifiedBy>Mayn</cp:lastModifiedBy>
  <cp:revision>99</cp:revision>
  <cp:lastPrinted>2025-10-29T06:58:00Z</cp:lastPrinted>
  <dcterms:created xsi:type="dcterms:W3CDTF">2024-12-31T07:58:00Z</dcterms:created>
  <dcterms:modified xsi:type="dcterms:W3CDTF">2025-10-29T07:08:00Z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ECB453109C1A4406939FB798AE320E37_13</vt:lpwstr>
  </property>
  <property fmtid="{D5CDD505-2E9C-101B-9397-08002B2CF9AE}" pid="4" name="KSOTemplateDocerSaveRecord">
    <vt:lpwstr>eyJoZGlkIjoiZTcxYjg2NDE2NTI2YzNhOTI0ZmIwMjM4NzVkNjg0YmMiLCJ1c2VySWQiOiIxMTMxNDEwMDc4In0=</vt:lpwstr>
  </property>
</Properties>
</file>