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FD6CBE5">
      <w:pPr>
        <w:keepNext w:val="0"/>
        <w:keepLines w:val="0"/>
        <w:pageBreakBefore w:val="0"/>
        <w:widowControl w:val="0"/>
        <w:kinsoku/>
        <w:wordWrap/>
        <w:overflowPunct/>
        <w:topLinePunct w:val="0"/>
        <w:autoSpaceDE/>
        <w:autoSpaceDN/>
        <w:bidi w:val="0"/>
        <w:adjustRightInd/>
        <w:snapToGrid w:val="0"/>
        <w:spacing w:before="100" w:beforeLines="100" w:beforeAutospacing="1" w:after="100" w:afterLines="100" w:afterAutospacing="1" w:line="520" w:lineRule="exact"/>
        <w:ind w:firstLine="0" w:firstLineChars="0"/>
        <w:jc w:val="center"/>
        <w:textAlignment w:val="auto"/>
        <w:outlineLvl w:val="9"/>
        <w:rPr>
          <w:rFonts w:ascii="Times New Roman"/>
          <w:b/>
          <w:bCs/>
          <w:color w:val="000000" w:themeColor="text1"/>
          <w:sz w:val="36"/>
          <w:szCs w:val="36"/>
          <w14:textFill>
            <w14:solidFill>
              <w14:schemeClr w14:val="tx1"/>
            </w14:solidFill>
          </w14:textFill>
        </w:rPr>
      </w:pPr>
      <w:bookmarkStart w:id="0" w:name="_Toc335926122"/>
      <w:bookmarkStart w:id="1" w:name="_Toc331164318"/>
      <w:bookmarkStart w:id="2" w:name="_Toc335576502"/>
      <w:bookmarkStart w:id="3" w:name="_Toc326085689"/>
      <w:bookmarkStart w:id="4" w:name="_Toc335916610"/>
      <w:bookmarkStart w:id="5" w:name="_Toc17958"/>
      <w:bookmarkStart w:id="6" w:name="_Toc313453417"/>
      <w:bookmarkStart w:id="7" w:name="_Toc12572"/>
      <w:bookmarkStart w:id="8" w:name="_Toc15721"/>
      <w:bookmarkStart w:id="9" w:name="_Toc2124"/>
      <w:bookmarkStart w:id="10" w:name="_Toc333247853"/>
      <w:bookmarkStart w:id="921" w:name="_GoBack"/>
      <w:bookmarkEnd w:id="921"/>
      <w:r>
        <w:rPr>
          <w:rFonts w:ascii="Times New Roman"/>
          <w:b/>
          <w:bCs/>
          <w:color w:val="000000" w:themeColor="text1"/>
          <w:sz w:val="36"/>
          <w:szCs w:val="36"/>
          <w14:textFill>
            <w14:solidFill>
              <w14:schemeClr w14:val="tx1"/>
            </w14:solidFill>
          </w14:textFill>
        </w:rPr>
        <w:t>前</w:t>
      </w:r>
      <w:r>
        <w:rPr>
          <w:rFonts w:hint="eastAsia" w:ascii="Times New Roman"/>
          <w:b/>
          <w:bCs/>
          <w:color w:val="000000" w:themeColor="text1"/>
          <w:sz w:val="36"/>
          <w:szCs w:val="36"/>
          <w:lang w:val="en-US" w:eastAsia="zh-CN"/>
          <w14:textFill>
            <w14:solidFill>
              <w14:schemeClr w14:val="tx1"/>
            </w14:solidFill>
          </w14:textFill>
        </w:rPr>
        <w:t xml:space="preserve">  </w:t>
      </w:r>
      <w:r>
        <w:rPr>
          <w:rFonts w:ascii="Times New Roman"/>
          <w:b/>
          <w:bCs/>
          <w:color w:val="000000" w:themeColor="text1"/>
          <w:sz w:val="36"/>
          <w:szCs w:val="36"/>
          <w14:textFill>
            <w14:solidFill>
              <w14:schemeClr w14:val="tx1"/>
            </w14:solidFill>
          </w14:textFill>
        </w:rPr>
        <w:t>言</w:t>
      </w:r>
      <w:bookmarkEnd w:id="0"/>
      <w:bookmarkEnd w:id="1"/>
      <w:bookmarkEnd w:id="2"/>
      <w:bookmarkEnd w:id="3"/>
      <w:bookmarkEnd w:id="4"/>
      <w:bookmarkEnd w:id="5"/>
      <w:bookmarkEnd w:id="6"/>
      <w:bookmarkEnd w:id="7"/>
      <w:bookmarkEnd w:id="8"/>
      <w:bookmarkEnd w:id="9"/>
      <w:bookmarkEnd w:id="10"/>
    </w:p>
    <w:p w14:paraId="47AB9CD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随着我国法制化的日趋健全和完善，安全生产监督管理体系也逐步向科学化、规范化、制度化发展，安全评价作为现代先进安全生产管理模式的主要内容之一越来越受到重视。“安全第一、预防为主、综合治理”是我们党和国家始终不渝的安全生产方针，开展安全评价正是突出“安全第一”、体现“预防为主”的一项重要工作，是“安全第一、预防为主、综合治理”安全生产方针在企业安全生产中的具体体现。安全评价不仅能有效地提高企业和生产设备的本质安全程度，而且可以为各级应急管理部门的决策和监督检查提供有力的技术支撑。</w:t>
      </w:r>
    </w:p>
    <w:p w14:paraId="51D6933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eastAsia" w:ascii="宋体" w:hAnsi="宋体" w:eastAsia="宋体" w:cs="宋体"/>
          <w:color w:val="000000" w:themeColor="text1"/>
          <w:sz w:val="28"/>
          <w:szCs w:val="28"/>
          <w:lang w:val="en-US" w:eastAsia="zh-CN"/>
          <w14:textFill>
            <w14:solidFill>
              <w14:schemeClr w14:val="tx1"/>
            </w14:solidFill>
          </w14:textFill>
        </w:rPr>
        <w:t>成立于200</w:t>
      </w:r>
      <w:r>
        <w:rPr>
          <w:rFonts w:hint="eastAsia" w:hAnsi="宋体" w:cs="宋体"/>
          <w:color w:val="000000" w:themeColor="text1"/>
          <w:sz w:val="28"/>
          <w:szCs w:val="28"/>
          <w:lang w:val="en-US" w:eastAsia="zh-CN"/>
          <w14:textFill>
            <w14:solidFill>
              <w14:schemeClr w14:val="tx1"/>
            </w14:solidFill>
          </w14:textFill>
        </w:rPr>
        <w:t>0</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hAnsi="宋体" w:cs="宋体"/>
          <w:color w:val="000000" w:themeColor="text1"/>
          <w:sz w:val="28"/>
          <w:szCs w:val="28"/>
          <w:lang w:val="en-US" w:eastAsia="zh-CN"/>
          <w14:textFill>
            <w14:solidFill>
              <w14:schemeClr w14:val="tx1"/>
            </w14:solidFill>
          </w14:textFill>
        </w:rPr>
        <w:t>09</w:t>
      </w:r>
      <w:r>
        <w:rPr>
          <w:rFonts w:hint="eastAsia" w:ascii="宋体" w:hAnsi="宋体" w:eastAsia="宋体" w:cs="宋体"/>
          <w:color w:val="000000" w:themeColor="text1"/>
          <w:sz w:val="28"/>
          <w:szCs w:val="28"/>
          <w:lang w:val="en-US" w:eastAsia="zh-CN"/>
          <w14:textFill>
            <w14:solidFill>
              <w14:schemeClr w14:val="tx1"/>
            </w14:solidFill>
          </w14:textFill>
        </w:rPr>
        <w:t>月</w:t>
      </w:r>
      <w:r>
        <w:rPr>
          <w:rFonts w:hint="eastAsia" w:hAnsi="宋体" w:cs="宋体"/>
          <w:color w:val="000000" w:themeColor="text1"/>
          <w:sz w:val="28"/>
          <w:szCs w:val="28"/>
          <w:lang w:val="en-US" w:eastAsia="zh-CN"/>
          <w14:textFill>
            <w14:solidFill>
              <w14:schemeClr w14:val="tx1"/>
            </w14:solidFill>
          </w14:textFill>
        </w:rPr>
        <w:t>08</w:t>
      </w:r>
      <w:r>
        <w:rPr>
          <w:rFonts w:hint="eastAsia" w:ascii="宋体" w:hAnsi="宋体" w:eastAsia="宋体" w:cs="宋体"/>
          <w:color w:val="000000" w:themeColor="text1"/>
          <w:sz w:val="28"/>
          <w:szCs w:val="28"/>
          <w:lang w:val="en-US" w:eastAsia="zh-CN"/>
          <w14:textFill>
            <w14:solidFill>
              <w14:schemeClr w14:val="tx1"/>
            </w14:solidFill>
          </w14:textFill>
        </w:rPr>
        <w:t>日，主要从事</w:t>
      </w:r>
      <w:r>
        <w:rPr>
          <w:rFonts w:hint="eastAsia" w:hAnsi="宋体" w:cs="宋体"/>
          <w:color w:val="000000" w:themeColor="text1"/>
          <w:sz w:val="28"/>
          <w:szCs w:val="28"/>
          <w:lang w:val="en-US" w:eastAsia="zh-CN"/>
          <w14:textFill>
            <w14:solidFill>
              <w14:schemeClr w14:val="tx1"/>
            </w14:solidFill>
          </w14:textFill>
        </w:rPr>
        <w:t>洗涤用品生产、销售</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eastAsia" w:cs="Times New Roman" w:asciiTheme="minorEastAsia" w:hAnsiTheme="minorEastAsia" w:eastAsiaTheme="minorEastAsia"/>
          <w:color w:val="000000" w:themeColor="text1"/>
          <w:sz w:val="28"/>
          <w:szCs w:val="28"/>
          <w:lang w:val="en-US" w:eastAsia="zh-CN" w:bidi="ar-SA"/>
          <w14:textFill>
            <w14:solidFill>
              <w14:schemeClr w14:val="tx1"/>
            </w14:solidFill>
          </w14:textFill>
        </w:rPr>
        <w:t>该企业目前在册人员共6人，</w:t>
      </w:r>
      <w:r>
        <w:rPr>
          <w:rFonts w:hint="eastAsia" w:ascii="宋体" w:hAnsi="宋体" w:eastAsia="宋体" w:cs="宋体"/>
          <w:color w:val="000000" w:themeColor="text1"/>
          <w:sz w:val="28"/>
          <w:szCs w:val="28"/>
          <w:lang w:val="en-US"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位于</w:t>
      </w:r>
      <w:r>
        <w:rPr>
          <w:rFonts w:hint="eastAsia" w:hAnsi="宋体" w:cs="宋体"/>
          <w:color w:val="000000" w:themeColor="text1"/>
          <w:sz w:val="28"/>
          <w:szCs w:val="28"/>
          <w:lang w:val="en-US" w:eastAsia="zh-CN"/>
          <w14:textFill>
            <w14:solidFill>
              <w14:schemeClr w14:val="tx1"/>
            </w14:solidFill>
          </w14:textFill>
        </w:rPr>
        <w:t>云南省玉溪市红塔区研和工业园区哨坡坡脚</w:t>
      </w:r>
      <w:r>
        <w:rPr>
          <w:rFonts w:hint="eastAsia" w:ascii="宋体" w:hAnsi="宋体" w:eastAsia="宋体" w:cs="宋体"/>
          <w:color w:val="000000" w:themeColor="text1"/>
          <w:sz w:val="28"/>
          <w:szCs w:val="28"/>
          <w:lang w:eastAsia="zh-CN"/>
          <w14:textFill>
            <w14:solidFill>
              <w14:schemeClr w14:val="tx1"/>
            </w14:solidFill>
          </w14:textFill>
        </w:rPr>
        <w:t>。</w:t>
      </w:r>
    </w:p>
    <w:p w14:paraId="41D8E007">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根据《中华人民共和国安全</w:t>
      </w:r>
      <w:r>
        <w:rPr>
          <w:rFonts w:hint="eastAsia" w:ascii="宋体" w:hAnsi="宋体" w:eastAsia="宋体" w:cs="宋体"/>
          <w:color w:val="000000" w:themeColor="text1"/>
          <w:sz w:val="28"/>
          <w14:textFill>
            <w14:solidFill>
              <w14:schemeClr w14:val="tx1"/>
            </w14:solidFill>
          </w14:textFill>
        </w:rPr>
        <w:t>生产法》等国家相关安全生产法律、法规的规定，并按照应急管理部门的要求，该公司为了向应急管理部门提供安全监管依据，特委托昭通市鼎安科技有限公司承担该公司</w:t>
      </w:r>
      <w:r>
        <w:rPr>
          <w:rFonts w:hint="eastAsia" w:ascii="宋体" w:hAnsi="宋体" w:eastAsia="宋体" w:cs="宋体"/>
          <w:color w:val="000000" w:themeColor="text1"/>
          <w:sz w:val="28"/>
          <w:lang w:eastAsia="zh-CN"/>
          <w14:textFill>
            <w14:solidFill>
              <w14:schemeClr w14:val="tx1"/>
            </w14:solidFill>
          </w14:textFill>
        </w:rPr>
        <w:t>的</w:t>
      </w:r>
      <w:r>
        <w:rPr>
          <w:rFonts w:hint="eastAsia" w:ascii="宋体" w:hAnsi="宋体" w:eastAsia="宋体" w:cs="宋体"/>
          <w:color w:val="000000" w:themeColor="text1"/>
          <w:sz w:val="28"/>
          <w14:textFill>
            <w14:solidFill>
              <w14:schemeClr w14:val="tx1"/>
            </w14:solidFill>
          </w14:textFill>
        </w:rPr>
        <w:t>安全现状评价工作。</w:t>
      </w:r>
    </w:p>
    <w:p w14:paraId="53BB35A3">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在接受</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eastAsia" w:ascii="宋体" w:hAnsi="宋体" w:eastAsia="宋体" w:cs="宋体"/>
          <w:color w:val="000000" w:themeColor="text1"/>
          <w:sz w:val="28"/>
          <w14:textFill>
            <w14:solidFill>
              <w14:schemeClr w14:val="tx1"/>
            </w14:solidFill>
          </w14:textFill>
        </w:rPr>
        <w:t>的</w:t>
      </w:r>
      <w:r>
        <w:rPr>
          <w:rFonts w:hint="eastAsia" w:ascii="宋体" w:hAnsi="宋体" w:eastAsia="宋体" w:cs="宋体"/>
          <w:color w:val="000000" w:themeColor="text1"/>
          <w:sz w:val="28"/>
          <w:szCs w:val="28"/>
          <w14:textFill>
            <w14:solidFill>
              <w14:schemeClr w14:val="tx1"/>
            </w14:solidFill>
          </w14:textFill>
        </w:rPr>
        <w:t>安全现状评价工作的委托之后，我公司立即组成安全评价组，组织评价人员投入到该项目的安全评价工作中。</w:t>
      </w:r>
      <w:r>
        <w:rPr>
          <w:rFonts w:hint="eastAsia" w:ascii="宋体" w:hAnsi="宋体" w:eastAsia="宋体" w:cs="宋体"/>
          <w:color w:val="000000" w:themeColor="text1"/>
          <w:sz w:val="28"/>
          <w14:textFill>
            <w14:solidFill>
              <w14:schemeClr w14:val="tx1"/>
            </w14:solidFill>
          </w14:textFill>
        </w:rPr>
        <w:t>经过评价组现场的情况调查和资料调研，编写了本安全现状评价报告。</w:t>
      </w:r>
    </w:p>
    <w:p w14:paraId="15450AF6">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lang w:eastAsia="zh-CN"/>
          <w14:textFill>
            <w14:solidFill>
              <w14:schemeClr w14:val="tx1"/>
            </w14:solidFill>
          </w14:textFill>
        </w:rPr>
        <w:sectPr>
          <w:headerReference r:id="rId3" w:type="default"/>
          <w:footerReference r:id="rId4" w:type="default"/>
          <w:pgSz w:w="11906" w:h="16838"/>
          <w:pgMar w:top="1587" w:right="1701" w:bottom="1701" w:left="1701" w:header="851" w:footer="992" w:gutter="0"/>
          <w:pgBorders>
            <w:top w:val="none" w:sz="0" w:space="0"/>
            <w:left w:val="none" w:sz="0" w:space="0"/>
            <w:bottom w:val="none" w:sz="0" w:space="0"/>
            <w:right w:val="none" w:sz="0" w:space="0"/>
          </w:pgBorders>
          <w:pgNumType w:fmt="lowerRoman" w:start="1"/>
          <w:cols w:space="720" w:num="1"/>
          <w:docGrid w:type="lines" w:linePitch="330" w:charSpace="0"/>
        </w:sectPr>
      </w:pPr>
      <w:r>
        <w:rPr>
          <w:rFonts w:hint="eastAsia" w:ascii="宋体" w:hAnsi="宋体" w:eastAsia="宋体" w:cs="宋体"/>
          <w:color w:val="000000" w:themeColor="text1"/>
          <w:sz w:val="28"/>
          <w14:textFill>
            <w14:solidFill>
              <w14:schemeClr w14:val="tx1"/>
            </w14:solidFill>
          </w14:textFill>
        </w:rPr>
        <w:t>在</w:t>
      </w:r>
      <w:r>
        <w:rPr>
          <w:rFonts w:hint="eastAsia" w:hAnsi="宋体" w:cs="宋体"/>
          <w:color w:val="000000" w:themeColor="text1"/>
          <w:sz w:val="28"/>
          <w:lang w:val="en-US" w:eastAsia="zh-CN"/>
          <w14:textFill>
            <w14:solidFill>
              <w14:schemeClr w14:val="tx1"/>
            </w14:solidFill>
          </w14:textFill>
        </w:rPr>
        <w:t>评价过程</w:t>
      </w:r>
      <w:r>
        <w:rPr>
          <w:rFonts w:hint="eastAsia" w:ascii="宋体" w:hAnsi="宋体" w:eastAsia="宋体" w:cs="宋体"/>
          <w:color w:val="000000" w:themeColor="text1"/>
          <w:sz w:val="28"/>
          <w14:textFill>
            <w14:solidFill>
              <w14:schemeClr w14:val="tx1"/>
            </w14:solidFill>
          </w14:textFill>
        </w:rPr>
        <w:t>中，得到</w:t>
      </w:r>
      <w:r>
        <w:rPr>
          <w:rFonts w:hint="eastAsia" w:hAnsi="宋体" w:cs="宋体"/>
          <w:color w:val="000000" w:themeColor="text1"/>
          <w:sz w:val="28"/>
          <w:lang w:val="en-US" w:eastAsia="zh-CN"/>
          <w14:textFill>
            <w14:solidFill>
              <w14:schemeClr w14:val="tx1"/>
            </w14:solidFill>
          </w14:textFill>
        </w:rPr>
        <w:t>玉溪市</w:t>
      </w:r>
      <w:r>
        <w:rPr>
          <w:rFonts w:hint="eastAsia" w:ascii="宋体" w:hAnsi="宋体" w:eastAsia="宋体" w:cs="宋体"/>
          <w:color w:val="000000" w:themeColor="text1"/>
          <w:sz w:val="28"/>
          <w14:textFill>
            <w14:solidFill>
              <w14:schemeClr w14:val="tx1"/>
            </w14:solidFill>
          </w14:textFill>
        </w:rPr>
        <w:t>应急管理局、</w:t>
      </w:r>
      <w:r>
        <w:rPr>
          <w:rFonts w:hint="eastAsia" w:hAnsi="宋体" w:cs="宋体"/>
          <w:color w:val="000000" w:themeColor="text1"/>
          <w:sz w:val="28"/>
          <w:lang w:val="en-US" w:eastAsia="zh-CN"/>
          <w14:textFill>
            <w14:solidFill>
              <w14:schemeClr w14:val="tx1"/>
            </w14:solidFill>
          </w14:textFill>
        </w:rPr>
        <w:t>红塔区</w:t>
      </w:r>
      <w:r>
        <w:rPr>
          <w:rFonts w:hint="eastAsia" w:ascii="宋体" w:hAnsi="宋体" w:eastAsia="宋体" w:cs="宋体"/>
          <w:color w:val="000000" w:themeColor="text1"/>
          <w:sz w:val="28"/>
          <w14:textFill>
            <w14:solidFill>
              <w14:schemeClr w14:val="tx1"/>
            </w14:solidFill>
          </w14:textFill>
        </w:rPr>
        <w:t>应急管理局、</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eastAsia" w:ascii="宋体" w:hAnsi="宋体" w:eastAsia="宋体" w:cs="宋体"/>
          <w:color w:val="000000" w:themeColor="text1"/>
          <w:sz w:val="28"/>
          <w:szCs w:val="28"/>
          <w14:textFill>
            <w14:solidFill>
              <w14:schemeClr w14:val="tx1"/>
            </w14:solidFill>
          </w14:textFill>
        </w:rPr>
        <w:t>有关领导和技术人员的大力支持，同时引用了一些专家学者的研究成果和技术资料，</w:t>
      </w:r>
      <w:r>
        <w:rPr>
          <w:rFonts w:hint="eastAsia" w:ascii="宋体" w:hAnsi="宋体" w:eastAsia="宋体" w:cs="宋体"/>
          <w:color w:val="000000" w:themeColor="text1"/>
          <w:sz w:val="28"/>
          <w14:textFill>
            <w14:solidFill>
              <w14:schemeClr w14:val="tx1"/>
            </w14:solidFill>
          </w14:textFill>
        </w:rPr>
        <w:t>在此一并表示感谢</w:t>
      </w:r>
      <w:r>
        <w:rPr>
          <w:rFonts w:hint="eastAsia" w:ascii="宋体" w:hAnsi="宋体" w:eastAsia="宋体" w:cs="宋体"/>
          <w:color w:val="000000" w:themeColor="text1"/>
          <w:sz w:val="28"/>
          <w:lang w:eastAsia="zh-CN"/>
          <w14:textFill>
            <w14:solidFill>
              <w14:schemeClr w14:val="tx1"/>
            </w14:solidFill>
          </w14:textFill>
        </w:rPr>
        <w:t>！</w:t>
      </w:r>
    </w:p>
    <w:sdt>
      <w:sdtPr>
        <w:rPr>
          <w:rFonts w:ascii="宋体" w:hAnsi="宋体" w:eastAsia="宋体" w:cs="Times New Roman"/>
          <w:b/>
          <w:bCs/>
          <w:color w:val="000000" w:themeColor="text1"/>
          <w:sz w:val="21"/>
          <w:lang w:val="en-US" w:eastAsia="zh-CN" w:bidi="ar-SA"/>
          <w14:textFill>
            <w14:solidFill>
              <w14:schemeClr w14:val="tx1"/>
            </w14:solidFill>
          </w14:textFill>
        </w:rPr>
        <w:id w:val="147465055"/>
        <w15:color w:val="DBDBDB"/>
        <w:docPartObj>
          <w:docPartGallery w:val="Table of Contents"/>
          <w:docPartUnique/>
        </w:docPartObj>
      </w:sdtPr>
      <w:sdtEndPr>
        <w:rPr>
          <w:rFonts w:ascii="宋体" w:hAnsi="宋体" w:eastAsia="宋体" w:cs="Times New Roman"/>
          <w:b/>
          <w:bCs/>
          <w:color w:val="000000" w:themeColor="text1"/>
          <w:sz w:val="21"/>
          <w:lang w:val="en-US" w:eastAsia="zh-CN" w:bidi="ar-SA"/>
          <w14:textFill>
            <w14:solidFill>
              <w14:schemeClr w14:val="tx1"/>
            </w14:solidFill>
          </w14:textFill>
        </w:rPr>
      </w:sdtEndPr>
      <w:sdtContent>
        <w:p w14:paraId="643DE9F5">
          <w:pPr>
            <w:spacing w:before="0" w:beforeLines="0" w:after="0" w:afterLines="0" w:line="240" w:lineRule="auto"/>
            <w:ind w:left="0" w:leftChars="0" w:right="0" w:rightChars="0" w:firstLine="0" w:firstLineChars="0"/>
            <w:jc w:val="center"/>
            <w:rPr>
              <w:b/>
              <w:bCs/>
              <w:color w:val="000000" w:themeColor="text1"/>
              <w:sz w:val="32"/>
              <w:szCs w:val="32"/>
              <w14:textFill>
                <w14:solidFill>
                  <w14:schemeClr w14:val="tx1"/>
                </w14:solidFill>
              </w14:textFill>
            </w:rPr>
          </w:pPr>
          <w:r>
            <w:rPr>
              <w:rFonts w:ascii="宋体" w:hAnsi="宋体" w:eastAsia="宋体"/>
              <w:b/>
              <w:bCs/>
              <w:color w:val="000000" w:themeColor="text1"/>
              <w:sz w:val="32"/>
              <w:szCs w:val="32"/>
              <w14:textFill>
                <w14:solidFill>
                  <w14:schemeClr w14:val="tx1"/>
                </w14:solidFill>
              </w14:textFill>
            </w:rPr>
            <w:t>目</w:t>
          </w:r>
          <w:r>
            <w:rPr>
              <w:rFonts w:hint="eastAsia" w:ascii="宋体" w:hAnsi="宋体" w:eastAsia="宋体"/>
              <w:b/>
              <w:bCs/>
              <w:color w:val="000000" w:themeColor="text1"/>
              <w:sz w:val="32"/>
              <w:szCs w:val="32"/>
              <w:lang w:val="en-US" w:eastAsia="zh-CN"/>
              <w14:textFill>
                <w14:solidFill>
                  <w14:schemeClr w14:val="tx1"/>
                </w14:solidFill>
              </w14:textFill>
            </w:rPr>
            <w:t xml:space="preserve">  </w:t>
          </w:r>
          <w:r>
            <w:rPr>
              <w:rFonts w:ascii="宋体" w:hAnsi="宋体" w:eastAsia="宋体"/>
              <w:b/>
              <w:bCs/>
              <w:color w:val="000000" w:themeColor="text1"/>
              <w:sz w:val="32"/>
              <w:szCs w:val="32"/>
              <w14:textFill>
                <w14:solidFill>
                  <w14:schemeClr w14:val="tx1"/>
                </w14:solidFill>
              </w14:textFill>
            </w:rPr>
            <w:t>录</w:t>
          </w:r>
        </w:p>
        <w:p w14:paraId="4AD98968">
          <w:pPr>
            <w:pStyle w:val="35"/>
            <w:tabs>
              <w:tab w:val="right" w:leader="dot" w:pos="8504"/>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"1-3" \h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_Toc18799 </w:instrText>
          </w:r>
          <w:r>
            <w:fldChar w:fldCharType="separate"/>
          </w:r>
          <w:r>
            <w:rPr>
              <w:rFonts w:hint="eastAsia" w:ascii="黑体" w:hAnsi="黑体" w:eastAsia="黑体" w:cs="黑体"/>
            </w:rPr>
            <w:t>第</w:t>
          </w:r>
          <w:r>
            <w:rPr>
              <w:rFonts w:hint="default" w:ascii="Times New Roman" w:hAnsi="Times New Roman" w:eastAsia="黑体" w:cs="Times New Roman"/>
            </w:rPr>
            <w:t>1</w:t>
          </w:r>
          <w:r>
            <w:rPr>
              <w:rFonts w:hint="eastAsia" w:ascii="黑体" w:hAnsi="黑体" w:eastAsia="黑体" w:cs="黑体"/>
            </w:rPr>
            <w:t>章  编制说明</w:t>
          </w:r>
          <w:r>
            <w:tab/>
          </w:r>
          <w:r>
            <w:fldChar w:fldCharType="begin"/>
          </w:r>
          <w:r>
            <w:instrText xml:space="preserve"> PAGEREF _Toc18799 \h </w:instrText>
          </w:r>
          <w:r>
            <w:fldChar w:fldCharType="separate"/>
          </w:r>
          <w:r>
            <w:t>1</w:t>
          </w:r>
          <w:r>
            <w:fldChar w:fldCharType="end"/>
          </w:r>
          <w:r>
            <w:rPr>
              <w:color w:val="000000" w:themeColor="text1"/>
              <w14:textFill>
                <w14:solidFill>
                  <w14:schemeClr w14:val="tx1"/>
                </w14:solidFill>
              </w14:textFill>
            </w:rPr>
            <w:fldChar w:fldCharType="end"/>
          </w:r>
        </w:p>
        <w:p w14:paraId="353E29F6">
          <w:pPr>
            <w:pStyle w:val="43"/>
            <w:tabs>
              <w:tab w:val="right" w:leader="dot" w:pos="8504"/>
            </w:tabs>
          </w:pPr>
          <w:r>
            <w:rPr>
              <w:color w:val="000000" w:themeColor="text1"/>
              <w14:textFill>
                <w14:solidFill>
                  <w14:schemeClr w14:val="tx1"/>
                </w14:solidFill>
              </w14:textFill>
            </w:rPr>
            <w:fldChar w:fldCharType="begin"/>
          </w:r>
          <w:r>
            <w:instrText xml:space="preserve"> HYPERLINK \l _Toc4521 </w:instrText>
          </w:r>
          <w:r>
            <w:fldChar w:fldCharType="separate"/>
          </w:r>
          <w:r>
            <w:rPr>
              <w:rFonts w:hint="default" w:ascii="Times New Roman" w:hAnsi="Times New Roman" w:eastAsia="楷体" w:cs="Times New Roman"/>
            </w:rPr>
            <w:t>1.1</w:t>
          </w:r>
          <w:r>
            <w:rPr>
              <w:rFonts w:hint="eastAsia" w:ascii="Times New Roman" w:hAnsi="Times New Roman" w:cs="Times New Roman"/>
              <w:lang w:val="en-US" w:eastAsia="zh-CN"/>
            </w:rPr>
            <w:t xml:space="preserve"> </w:t>
          </w:r>
          <w:r>
            <w:rPr>
              <w:rFonts w:hint="eastAsia" w:ascii="楷体" w:hAnsi="楷体" w:eastAsia="楷体" w:cs="楷体"/>
            </w:rPr>
            <w:t>安全评价的目的</w:t>
          </w:r>
          <w:r>
            <w:tab/>
          </w:r>
          <w:r>
            <w:fldChar w:fldCharType="begin"/>
          </w:r>
          <w:r>
            <w:instrText xml:space="preserve"> PAGEREF _Toc4521 \h </w:instrText>
          </w:r>
          <w:r>
            <w:fldChar w:fldCharType="separate"/>
          </w:r>
          <w:r>
            <w:t>1</w:t>
          </w:r>
          <w:r>
            <w:fldChar w:fldCharType="end"/>
          </w:r>
          <w:r>
            <w:rPr>
              <w:color w:val="000000" w:themeColor="text1"/>
              <w14:textFill>
                <w14:solidFill>
                  <w14:schemeClr w14:val="tx1"/>
                </w14:solidFill>
              </w14:textFill>
            </w:rPr>
            <w:fldChar w:fldCharType="end"/>
          </w:r>
        </w:p>
        <w:p w14:paraId="2D847CF9">
          <w:pPr>
            <w:pStyle w:val="43"/>
            <w:tabs>
              <w:tab w:val="right" w:leader="dot" w:pos="8504"/>
            </w:tabs>
          </w:pPr>
          <w:r>
            <w:rPr>
              <w:color w:val="000000" w:themeColor="text1"/>
              <w14:textFill>
                <w14:solidFill>
                  <w14:schemeClr w14:val="tx1"/>
                </w14:solidFill>
              </w14:textFill>
            </w:rPr>
            <w:fldChar w:fldCharType="begin"/>
          </w:r>
          <w:r>
            <w:instrText xml:space="preserve"> HYPERLINK \l _Toc10629 </w:instrText>
          </w:r>
          <w:r>
            <w:fldChar w:fldCharType="separate"/>
          </w:r>
          <w:r>
            <w:rPr>
              <w:rFonts w:hint="default" w:ascii="Times New Roman" w:hAnsi="Times New Roman" w:eastAsia="楷体" w:cs="Times New Roman"/>
            </w:rPr>
            <w:t>1.2</w:t>
          </w:r>
          <w:r>
            <w:rPr>
              <w:rFonts w:hint="eastAsia" w:ascii="Times New Roman" w:hAnsi="Times New Roman" w:cs="Times New Roman"/>
              <w:lang w:val="en-US" w:eastAsia="zh-CN"/>
            </w:rPr>
            <w:t xml:space="preserve"> </w:t>
          </w:r>
          <w:r>
            <w:rPr>
              <w:rFonts w:hint="eastAsia" w:ascii="楷体" w:hAnsi="楷体" w:eastAsia="楷体" w:cs="楷体"/>
            </w:rPr>
            <w:t>安全评价依据</w:t>
          </w:r>
          <w:r>
            <w:tab/>
          </w:r>
          <w:r>
            <w:fldChar w:fldCharType="begin"/>
          </w:r>
          <w:r>
            <w:instrText xml:space="preserve"> PAGEREF _Toc10629 \h </w:instrText>
          </w:r>
          <w:r>
            <w:fldChar w:fldCharType="separate"/>
          </w:r>
          <w:r>
            <w:t>1</w:t>
          </w:r>
          <w:r>
            <w:fldChar w:fldCharType="end"/>
          </w:r>
          <w:r>
            <w:rPr>
              <w:color w:val="000000" w:themeColor="text1"/>
              <w14:textFill>
                <w14:solidFill>
                  <w14:schemeClr w14:val="tx1"/>
                </w14:solidFill>
              </w14:textFill>
            </w:rPr>
            <w:fldChar w:fldCharType="end"/>
          </w:r>
        </w:p>
        <w:p w14:paraId="3C3D71E0">
          <w:pPr>
            <w:pStyle w:val="28"/>
            <w:tabs>
              <w:tab w:val="right" w:leader="dot" w:pos="8504"/>
            </w:tabs>
          </w:pPr>
          <w:r>
            <w:rPr>
              <w:color w:val="000000" w:themeColor="text1"/>
              <w14:textFill>
                <w14:solidFill>
                  <w14:schemeClr w14:val="tx1"/>
                </w14:solidFill>
              </w14:textFill>
            </w:rPr>
            <w:fldChar w:fldCharType="begin"/>
          </w:r>
          <w:r>
            <w:instrText xml:space="preserve"> HYPERLINK \l _Toc21765 </w:instrText>
          </w:r>
          <w:r>
            <w:fldChar w:fldCharType="separate"/>
          </w:r>
          <w:r>
            <w:rPr>
              <w:rFonts w:hint="default" w:ascii="Times New Roman" w:hAnsi="Times New Roman" w:eastAsia="黑体" w:cs="Times New Roman"/>
            </w:rPr>
            <w:t>1</w:t>
          </w:r>
          <w:r>
            <w:rPr>
              <w:rFonts w:hint="default" w:ascii="Times New Roman" w:hAnsi="Times New Roman" w:eastAsia="黑体" w:cs="Times New Roman"/>
              <w:szCs w:val="36"/>
            </w:rPr>
            <w:t>.</w:t>
          </w:r>
          <w:r>
            <w:rPr>
              <w:rFonts w:hint="default" w:ascii="Times New Roman" w:hAnsi="Times New Roman" w:eastAsia="黑体" w:cs="Times New Roman"/>
            </w:rPr>
            <w:t>2</w:t>
          </w:r>
          <w:r>
            <w:rPr>
              <w:rFonts w:hint="default" w:ascii="Times New Roman" w:hAnsi="Times New Roman" w:eastAsia="黑体" w:cs="Times New Roman"/>
              <w:szCs w:val="36"/>
            </w:rPr>
            <w:t>.</w:t>
          </w:r>
          <w:r>
            <w:rPr>
              <w:rFonts w:hint="default" w:ascii="Times New Roman" w:hAnsi="Times New Roman" w:eastAsia="黑体" w:cs="Times New Roman"/>
            </w:rPr>
            <w:t>1</w:t>
          </w:r>
          <w:r>
            <w:rPr>
              <w:rFonts w:hint="eastAsia" w:ascii="Times New Roman" w:hAnsi="Times New Roman" w:cs="Times New Roman"/>
              <w:lang w:val="en-US" w:eastAsia="zh-CN"/>
            </w:rPr>
            <w:t xml:space="preserve"> </w:t>
          </w:r>
          <w:r>
            <w:rPr>
              <w:rFonts w:hint="eastAsia" w:ascii="黑体" w:hAnsi="黑体" w:eastAsia="黑体" w:cs="黑体"/>
            </w:rPr>
            <w:t>法律法规</w:t>
          </w:r>
          <w:r>
            <w:tab/>
          </w:r>
          <w:r>
            <w:fldChar w:fldCharType="begin"/>
          </w:r>
          <w:r>
            <w:instrText xml:space="preserve"> PAGEREF _Toc21765 \h </w:instrText>
          </w:r>
          <w:r>
            <w:fldChar w:fldCharType="separate"/>
          </w:r>
          <w:r>
            <w:t>1</w:t>
          </w:r>
          <w:r>
            <w:fldChar w:fldCharType="end"/>
          </w:r>
          <w:r>
            <w:rPr>
              <w:color w:val="000000" w:themeColor="text1"/>
              <w14:textFill>
                <w14:solidFill>
                  <w14:schemeClr w14:val="tx1"/>
                </w14:solidFill>
              </w14:textFill>
            </w:rPr>
            <w:fldChar w:fldCharType="end"/>
          </w:r>
        </w:p>
        <w:p w14:paraId="6FCDBBF4">
          <w:pPr>
            <w:pStyle w:val="28"/>
            <w:tabs>
              <w:tab w:val="right" w:leader="dot" w:pos="8504"/>
            </w:tabs>
          </w:pPr>
          <w:r>
            <w:rPr>
              <w:color w:val="000000" w:themeColor="text1"/>
              <w14:textFill>
                <w14:solidFill>
                  <w14:schemeClr w14:val="tx1"/>
                </w14:solidFill>
              </w14:textFill>
            </w:rPr>
            <w:fldChar w:fldCharType="begin"/>
          </w:r>
          <w:r>
            <w:instrText xml:space="preserve"> HYPERLINK \l _Toc27450 </w:instrText>
          </w:r>
          <w:r>
            <w:fldChar w:fldCharType="separate"/>
          </w:r>
          <w:r>
            <w:rPr>
              <w:rFonts w:hint="default" w:ascii="Times New Roman" w:hAnsi="Times New Roman" w:eastAsia="黑体" w:cs="Times New Roman"/>
            </w:rPr>
            <w:t>1.2.2</w:t>
          </w:r>
          <w:r>
            <w:rPr>
              <w:rFonts w:hint="eastAsia" w:ascii="Times New Roman" w:hAnsi="Times New Roman" w:cs="Times New Roman"/>
              <w:lang w:val="en-US" w:eastAsia="zh-CN"/>
            </w:rPr>
            <w:t xml:space="preserve"> </w:t>
          </w:r>
          <w:r>
            <w:rPr>
              <w:rFonts w:hint="eastAsia" w:ascii="黑体" w:hAnsi="黑体" w:eastAsia="黑体" w:cs="黑体"/>
            </w:rPr>
            <w:t>行政法规</w:t>
          </w:r>
          <w:r>
            <w:tab/>
          </w:r>
          <w:r>
            <w:fldChar w:fldCharType="begin"/>
          </w:r>
          <w:r>
            <w:instrText xml:space="preserve"> PAGEREF _Toc27450 \h </w:instrText>
          </w:r>
          <w:r>
            <w:fldChar w:fldCharType="separate"/>
          </w:r>
          <w:r>
            <w:t>2</w:t>
          </w:r>
          <w:r>
            <w:fldChar w:fldCharType="end"/>
          </w:r>
          <w:r>
            <w:rPr>
              <w:color w:val="000000" w:themeColor="text1"/>
              <w14:textFill>
                <w14:solidFill>
                  <w14:schemeClr w14:val="tx1"/>
                </w14:solidFill>
              </w14:textFill>
            </w:rPr>
            <w:fldChar w:fldCharType="end"/>
          </w:r>
        </w:p>
        <w:p w14:paraId="2D9105D9">
          <w:pPr>
            <w:pStyle w:val="28"/>
            <w:tabs>
              <w:tab w:val="right" w:leader="dot" w:pos="8504"/>
            </w:tabs>
          </w:pPr>
          <w:r>
            <w:rPr>
              <w:color w:val="000000" w:themeColor="text1"/>
              <w14:textFill>
                <w14:solidFill>
                  <w14:schemeClr w14:val="tx1"/>
                </w14:solidFill>
              </w14:textFill>
            </w:rPr>
            <w:fldChar w:fldCharType="begin"/>
          </w:r>
          <w:r>
            <w:instrText xml:space="preserve"> HYPERLINK \l _Toc18606 </w:instrText>
          </w:r>
          <w:r>
            <w:fldChar w:fldCharType="separate"/>
          </w:r>
          <w:r>
            <w:rPr>
              <w:rFonts w:hint="default" w:ascii="Times New Roman" w:hAnsi="Times New Roman" w:eastAsia="黑体" w:cs="Times New Roman"/>
            </w:rPr>
            <w:t>1.2.3</w:t>
          </w:r>
          <w:r>
            <w:rPr>
              <w:rFonts w:hint="eastAsia" w:ascii="Times New Roman" w:hAnsi="Times New Roman" w:cs="Times New Roman"/>
              <w:lang w:val="en-US" w:eastAsia="zh-CN"/>
            </w:rPr>
            <w:t xml:space="preserve"> </w:t>
          </w:r>
          <w:r>
            <w:rPr>
              <w:rFonts w:hint="default" w:ascii="Times New Roman" w:hAnsi="Times New Roman" w:eastAsia="黑体" w:cs="Times New Roman"/>
            </w:rPr>
            <w:t>部门规章</w:t>
          </w:r>
          <w:r>
            <w:tab/>
          </w:r>
          <w:r>
            <w:fldChar w:fldCharType="begin"/>
          </w:r>
          <w:r>
            <w:instrText xml:space="preserve"> PAGEREF _Toc18606 \h </w:instrText>
          </w:r>
          <w:r>
            <w:fldChar w:fldCharType="separate"/>
          </w:r>
          <w:r>
            <w:t>2</w:t>
          </w:r>
          <w:r>
            <w:fldChar w:fldCharType="end"/>
          </w:r>
          <w:r>
            <w:rPr>
              <w:color w:val="000000" w:themeColor="text1"/>
              <w14:textFill>
                <w14:solidFill>
                  <w14:schemeClr w14:val="tx1"/>
                </w14:solidFill>
              </w14:textFill>
            </w:rPr>
            <w:fldChar w:fldCharType="end"/>
          </w:r>
        </w:p>
        <w:p w14:paraId="7CD4AB0E">
          <w:pPr>
            <w:pStyle w:val="28"/>
            <w:tabs>
              <w:tab w:val="right" w:leader="dot" w:pos="8504"/>
            </w:tabs>
          </w:pPr>
          <w:r>
            <w:rPr>
              <w:color w:val="000000" w:themeColor="text1"/>
              <w14:textFill>
                <w14:solidFill>
                  <w14:schemeClr w14:val="tx1"/>
                </w14:solidFill>
              </w14:textFill>
            </w:rPr>
            <w:fldChar w:fldCharType="begin"/>
          </w:r>
          <w:r>
            <w:instrText xml:space="preserve"> HYPERLINK \l _Toc20875 </w:instrText>
          </w:r>
          <w:r>
            <w:fldChar w:fldCharType="separate"/>
          </w:r>
          <w:r>
            <w:rPr>
              <w:rFonts w:hint="default" w:ascii="Times New Roman" w:hAnsi="Times New Roman" w:eastAsia="黑体" w:cs="Times New Roman"/>
            </w:rPr>
            <w:t>1.2.4</w:t>
          </w:r>
          <w:r>
            <w:rPr>
              <w:rFonts w:hint="eastAsia" w:ascii="Times New Roman" w:hAnsi="Times New Roman" w:cs="Times New Roman"/>
              <w:lang w:val="en-US" w:eastAsia="zh-CN"/>
            </w:rPr>
            <w:t xml:space="preserve"> </w:t>
          </w:r>
          <w:r>
            <w:rPr>
              <w:rFonts w:hint="default" w:ascii="Times New Roman" w:hAnsi="Times New Roman" w:eastAsia="黑体" w:cs="Times New Roman"/>
            </w:rPr>
            <w:t>地方有关法规文件</w:t>
          </w:r>
          <w:r>
            <w:tab/>
          </w:r>
          <w:r>
            <w:fldChar w:fldCharType="begin"/>
          </w:r>
          <w:r>
            <w:instrText xml:space="preserve"> PAGEREF _Toc20875 \h </w:instrText>
          </w:r>
          <w:r>
            <w:fldChar w:fldCharType="separate"/>
          </w:r>
          <w:r>
            <w:t>4</w:t>
          </w:r>
          <w:r>
            <w:fldChar w:fldCharType="end"/>
          </w:r>
          <w:r>
            <w:rPr>
              <w:color w:val="000000" w:themeColor="text1"/>
              <w14:textFill>
                <w14:solidFill>
                  <w14:schemeClr w14:val="tx1"/>
                </w14:solidFill>
              </w14:textFill>
            </w:rPr>
            <w:fldChar w:fldCharType="end"/>
          </w:r>
        </w:p>
        <w:p w14:paraId="4D68F2FB">
          <w:pPr>
            <w:pStyle w:val="28"/>
            <w:tabs>
              <w:tab w:val="right" w:leader="dot" w:pos="8504"/>
            </w:tabs>
          </w:pPr>
          <w:r>
            <w:rPr>
              <w:color w:val="000000" w:themeColor="text1"/>
              <w14:textFill>
                <w14:solidFill>
                  <w14:schemeClr w14:val="tx1"/>
                </w14:solidFill>
              </w14:textFill>
            </w:rPr>
            <w:fldChar w:fldCharType="begin"/>
          </w:r>
          <w:r>
            <w:instrText xml:space="preserve"> HYPERLINK \l _Toc3828 </w:instrText>
          </w:r>
          <w:r>
            <w:fldChar w:fldCharType="separate"/>
          </w:r>
          <w:r>
            <w:rPr>
              <w:rFonts w:hint="default" w:ascii="Times New Roman" w:hAnsi="Times New Roman" w:eastAsia="黑体" w:cs="Times New Roman"/>
            </w:rPr>
            <w:t>1.2.5</w:t>
          </w:r>
          <w:r>
            <w:rPr>
              <w:rFonts w:hint="eastAsia" w:ascii="Times New Roman" w:hAnsi="Times New Roman" w:cs="Times New Roman"/>
              <w:lang w:val="en-US" w:eastAsia="zh-CN"/>
            </w:rPr>
            <w:t xml:space="preserve"> </w:t>
          </w:r>
          <w:r>
            <w:rPr>
              <w:rFonts w:hint="default" w:ascii="Times New Roman" w:hAnsi="Times New Roman" w:eastAsia="黑体" w:cs="Times New Roman"/>
            </w:rPr>
            <w:t>国家标准</w:t>
          </w:r>
          <w:r>
            <w:tab/>
          </w:r>
          <w:r>
            <w:fldChar w:fldCharType="begin"/>
          </w:r>
          <w:r>
            <w:instrText xml:space="preserve"> PAGEREF _Toc3828 \h </w:instrText>
          </w:r>
          <w:r>
            <w:fldChar w:fldCharType="separate"/>
          </w:r>
          <w:r>
            <w:t>5</w:t>
          </w:r>
          <w:r>
            <w:fldChar w:fldCharType="end"/>
          </w:r>
          <w:r>
            <w:rPr>
              <w:color w:val="000000" w:themeColor="text1"/>
              <w14:textFill>
                <w14:solidFill>
                  <w14:schemeClr w14:val="tx1"/>
                </w14:solidFill>
              </w14:textFill>
            </w:rPr>
            <w:fldChar w:fldCharType="end"/>
          </w:r>
        </w:p>
        <w:p w14:paraId="5ACDE945">
          <w:pPr>
            <w:pStyle w:val="28"/>
            <w:tabs>
              <w:tab w:val="right" w:leader="dot" w:pos="8504"/>
            </w:tabs>
          </w:pPr>
          <w:r>
            <w:rPr>
              <w:color w:val="000000" w:themeColor="text1"/>
              <w14:textFill>
                <w14:solidFill>
                  <w14:schemeClr w14:val="tx1"/>
                </w14:solidFill>
              </w14:textFill>
            </w:rPr>
            <w:fldChar w:fldCharType="begin"/>
          </w:r>
          <w:r>
            <w:instrText xml:space="preserve"> HYPERLINK \l _Toc23470 </w:instrText>
          </w:r>
          <w:r>
            <w:fldChar w:fldCharType="separate"/>
          </w:r>
          <w:r>
            <w:rPr>
              <w:rFonts w:hint="default" w:ascii="Times New Roman" w:hAnsi="Times New Roman" w:eastAsia="黑体" w:cs="Times New Roman"/>
            </w:rPr>
            <w:t>1.2.6</w:t>
          </w:r>
          <w:r>
            <w:rPr>
              <w:rFonts w:hint="eastAsia" w:ascii="Times New Roman" w:hAnsi="Times New Roman" w:cs="Times New Roman"/>
              <w:lang w:val="en-US" w:eastAsia="zh-CN"/>
            </w:rPr>
            <w:t xml:space="preserve"> </w:t>
          </w:r>
          <w:r>
            <w:rPr>
              <w:rFonts w:hint="default" w:ascii="Times New Roman" w:hAnsi="Times New Roman" w:eastAsia="黑体" w:cs="Times New Roman"/>
            </w:rPr>
            <w:t>行业标准</w:t>
          </w:r>
          <w:r>
            <w:tab/>
          </w:r>
          <w:r>
            <w:fldChar w:fldCharType="begin"/>
          </w:r>
          <w:r>
            <w:instrText xml:space="preserve"> PAGEREF _Toc23470 \h </w:instrText>
          </w:r>
          <w:r>
            <w:fldChar w:fldCharType="separate"/>
          </w:r>
          <w:r>
            <w:t>7</w:t>
          </w:r>
          <w:r>
            <w:fldChar w:fldCharType="end"/>
          </w:r>
          <w:r>
            <w:rPr>
              <w:color w:val="000000" w:themeColor="text1"/>
              <w14:textFill>
                <w14:solidFill>
                  <w14:schemeClr w14:val="tx1"/>
                </w14:solidFill>
              </w14:textFill>
            </w:rPr>
            <w:fldChar w:fldCharType="end"/>
          </w:r>
        </w:p>
        <w:p w14:paraId="33C8917C">
          <w:pPr>
            <w:pStyle w:val="28"/>
            <w:tabs>
              <w:tab w:val="right" w:leader="dot" w:pos="8504"/>
            </w:tabs>
          </w:pPr>
          <w:r>
            <w:rPr>
              <w:color w:val="000000" w:themeColor="text1"/>
              <w14:textFill>
                <w14:solidFill>
                  <w14:schemeClr w14:val="tx1"/>
                </w14:solidFill>
              </w14:textFill>
            </w:rPr>
            <w:fldChar w:fldCharType="begin"/>
          </w:r>
          <w:r>
            <w:instrText xml:space="preserve"> HYPERLINK \l _Toc32721 </w:instrText>
          </w:r>
          <w:r>
            <w:fldChar w:fldCharType="separate"/>
          </w:r>
          <w:r>
            <w:rPr>
              <w:rFonts w:hint="default" w:ascii="Times New Roman" w:hAnsi="Times New Roman" w:eastAsia="黑体" w:cs="Times New Roman"/>
            </w:rPr>
            <w:t>1.2.7</w:t>
          </w:r>
          <w:r>
            <w:rPr>
              <w:rFonts w:hint="eastAsia" w:ascii="Times New Roman" w:hAnsi="Times New Roman" w:cs="Times New Roman"/>
              <w:lang w:val="en-US" w:eastAsia="zh-CN"/>
            </w:rPr>
            <w:t xml:space="preserve"> </w:t>
          </w:r>
          <w:r>
            <w:rPr>
              <w:rFonts w:hint="default" w:ascii="Times New Roman" w:hAnsi="Times New Roman" w:eastAsia="黑体" w:cs="Times New Roman"/>
            </w:rPr>
            <w:t>项目技术资料</w:t>
          </w:r>
          <w:r>
            <w:tab/>
          </w:r>
          <w:r>
            <w:fldChar w:fldCharType="begin"/>
          </w:r>
          <w:r>
            <w:instrText xml:space="preserve"> PAGEREF _Toc32721 \h </w:instrText>
          </w:r>
          <w:r>
            <w:fldChar w:fldCharType="separate"/>
          </w:r>
          <w:r>
            <w:t>7</w:t>
          </w:r>
          <w:r>
            <w:fldChar w:fldCharType="end"/>
          </w:r>
          <w:r>
            <w:rPr>
              <w:color w:val="000000" w:themeColor="text1"/>
              <w14:textFill>
                <w14:solidFill>
                  <w14:schemeClr w14:val="tx1"/>
                </w14:solidFill>
              </w14:textFill>
            </w:rPr>
            <w:fldChar w:fldCharType="end"/>
          </w:r>
        </w:p>
        <w:p w14:paraId="217E78A2">
          <w:pPr>
            <w:pStyle w:val="43"/>
            <w:tabs>
              <w:tab w:val="right" w:leader="dot" w:pos="8504"/>
            </w:tabs>
          </w:pPr>
          <w:r>
            <w:rPr>
              <w:color w:val="000000" w:themeColor="text1"/>
              <w14:textFill>
                <w14:solidFill>
                  <w14:schemeClr w14:val="tx1"/>
                </w14:solidFill>
              </w14:textFill>
            </w:rPr>
            <w:fldChar w:fldCharType="begin"/>
          </w:r>
          <w:r>
            <w:instrText xml:space="preserve"> HYPERLINK \l _Toc26848 </w:instrText>
          </w:r>
          <w:r>
            <w:fldChar w:fldCharType="separate"/>
          </w:r>
          <w:r>
            <w:rPr>
              <w:rFonts w:hint="default" w:ascii="Times New Roman" w:hAnsi="Times New Roman" w:eastAsia="楷体" w:cs="Times New Roman"/>
            </w:rPr>
            <w:t>1.3</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评价对象及范围</w:t>
          </w:r>
          <w:r>
            <w:tab/>
          </w:r>
          <w:r>
            <w:fldChar w:fldCharType="begin"/>
          </w:r>
          <w:r>
            <w:instrText xml:space="preserve"> PAGEREF _Toc26848 \h </w:instrText>
          </w:r>
          <w:r>
            <w:fldChar w:fldCharType="separate"/>
          </w:r>
          <w:r>
            <w:t>7</w:t>
          </w:r>
          <w:r>
            <w:fldChar w:fldCharType="end"/>
          </w:r>
          <w:r>
            <w:rPr>
              <w:color w:val="000000" w:themeColor="text1"/>
              <w14:textFill>
                <w14:solidFill>
                  <w14:schemeClr w14:val="tx1"/>
                </w14:solidFill>
              </w14:textFill>
            </w:rPr>
            <w:fldChar w:fldCharType="end"/>
          </w:r>
        </w:p>
        <w:p w14:paraId="3509417B">
          <w:pPr>
            <w:pStyle w:val="43"/>
            <w:tabs>
              <w:tab w:val="right" w:leader="dot" w:pos="8504"/>
            </w:tabs>
          </w:pPr>
          <w:r>
            <w:rPr>
              <w:color w:val="000000" w:themeColor="text1"/>
              <w14:textFill>
                <w14:solidFill>
                  <w14:schemeClr w14:val="tx1"/>
                </w14:solidFill>
              </w14:textFill>
            </w:rPr>
            <w:fldChar w:fldCharType="begin"/>
          </w:r>
          <w:r>
            <w:instrText xml:space="preserve"> HYPERLINK \l _Toc4089 </w:instrText>
          </w:r>
          <w:r>
            <w:fldChar w:fldCharType="separate"/>
          </w:r>
          <w:r>
            <w:rPr>
              <w:rFonts w:hint="default" w:ascii="Times New Roman" w:hAnsi="Times New Roman" w:eastAsia="楷体" w:cs="Times New Roman"/>
            </w:rPr>
            <w:t>1.4</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评价原则</w:t>
          </w:r>
          <w:r>
            <w:tab/>
          </w:r>
          <w:r>
            <w:fldChar w:fldCharType="begin"/>
          </w:r>
          <w:r>
            <w:instrText xml:space="preserve"> PAGEREF _Toc4089 \h </w:instrText>
          </w:r>
          <w:r>
            <w:fldChar w:fldCharType="separate"/>
          </w:r>
          <w:r>
            <w:t>7</w:t>
          </w:r>
          <w:r>
            <w:fldChar w:fldCharType="end"/>
          </w:r>
          <w:r>
            <w:rPr>
              <w:color w:val="000000" w:themeColor="text1"/>
              <w14:textFill>
                <w14:solidFill>
                  <w14:schemeClr w14:val="tx1"/>
                </w14:solidFill>
              </w14:textFill>
            </w:rPr>
            <w:fldChar w:fldCharType="end"/>
          </w:r>
        </w:p>
        <w:p w14:paraId="323F0B4A">
          <w:pPr>
            <w:pStyle w:val="43"/>
            <w:tabs>
              <w:tab w:val="right" w:leader="dot" w:pos="8504"/>
            </w:tabs>
          </w:pPr>
          <w:r>
            <w:rPr>
              <w:color w:val="000000" w:themeColor="text1"/>
              <w14:textFill>
                <w14:solidFill>
                  <w14:schemeClr w14:val="tx1"/>
                </w14:solidFill>
              </w14:textFill>
            </w:rPr>
            <w:fldChar w:fldCharType="begin"/>
          </w:r>
          <w:r>
            <w:instrText xml:space="preserve"> HYPERLINK \l _Toc3024 </w:instrText>
          </w:r>
          <w:r>
            <w:fldChar w:fldCharType="separate"/>
          </w:r>
          <w:r>
            <w:rPr>
              <w:rFonts w:hint="default" w:ascii="Times New Roman" w:hAnsi="Times New Roman" w:eastAsia="楷体" w:cs="Times New Roman"/>
            </w:rPr>
            <w:t>1.5</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评价程序</w:t>
          </w:r>
          <w:r>
            <w:tab/>
          </w:r>
          <w:r>
            <w:fldChar w:fldCharType="begin"/>
          </w:r>
          <w:r>
            <w:instrText xml:space="preserve"> PAGEREF _Toc3024 \h </w:instrText>
          </w:r>
          <w:r>
            <w:fldChar w:fldCharType="separate"/>
          </w:r>
          <w:r>
            <w:t>8</w:t>
          </w:r>
          <w:r>
            <w:fldChar w:fldCharType="end"/>
          </w:r>
          <w:r>
            <w:rPr>
              <w:color w:val="000000" w:themeColor="text1"/>
              <w14:textFill>
                <w14:solidFill>
                  <w14:schemeClr w14:val="tx1"/>
                </w14:solidFill>
              </w14:textFill>
            </w:rPr>
            <w:fldChar w:fldCharType="end"/>
          </w:r>
        </w:p>
        <w:p w14:paraId="0567C2F0">
          <w:pPr>
            <w:pStyle w:val="43"/>
            <w:tabs>
              <w:tab w:val="right" w:leader="dot" w:pos="8504"/>
            </w:tabs>
          </w:pPr>
          <w:r>
            <w:rPr>
              <w:color w:val="000000" w:themeColor="text1"/>
              <w14:textFill>
                <w14:solidFill>
                  <w14:schemeClr w14:val="tx1"/>
                </w14:solidFill>
              </w14:textFill>
            </w:rPr>
            <w:fldChar w:fldCharType="begin"/>
          </w:r>
          <w:r>
            <w:instrText xml:space="preserve"> HYPERLINK \l _Toc15641 </w:instrText>
          </w:r>
          <w:r>
            <w:fldChar w:fldCharType="separate"/>
          </w:r>
          <w:r>
            <w:rPr>
              <w:rFonts w:hint="default" w:ascii="Times New Roman" w:hAnsi="Times New Roman" w:eastAsia="楷体" w:cs="Times New Roman"/>
            </w:rPr>
            <w:t>1.6</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评价基准日</w:t>
          </w:r>
          <w:r>
            <w:tab/>
          </w:r>
          <w:r>
            <w:fldChar w:fldCharType="begin"/>
          </w:r>
          <w:r>
            <w:instrText xml:space="preserve"> PAGEREF _Toc15641 \h </w:instrText>
          </w:r>
          <w:r>
            <w:fldChar w:fldCharType="separate"/>
          </w:r>
          <w:r>
            <w:t>9</w:t>
          </w:r>
          <w:r>
            <w:fldChar w:fldCharType="end"/>
          </w:r>
          <w:r>
            <w:rPr>
              <w:color w:val="000000" w:themeColor="text1"/>
              <w14:textFill>
                <w14:solidFill>
                  <w14:schemeClr w14:val="tx1"/>
                </w14:solidFill>
              </w14:textFill>
            </w:rPr>
            <w:fldChar w:fldCharType="end"/>
          </w:r>
        </w:p>
        <w:p w14:paraId="412F5205">
          <w:pPr>
            <w:pStyle w:val="43"/>
            <w:tabs>
              <w:tab w:val="right" w:leader="dot" w:pos="8504"/>
            </w:tabs>
          </w:pPr>
          <w:r>
            <w:rPr>
              <w:color w:val="000000" w:themeColor="text1"/>
              <w14:textFill>
                <w14:solidFill>
                  <w14:schemeClr w14:val="tx1"/>
                </w14:solidFill>
              </w14:textFill>
            </w:rPr>
            <w:fldChar w:fldCharType="begin"/>
          </w:r>
          <w:r>
            <w:instrText xml:space="preserve"> HYPERLINK \l _Toc4672 </w:instrText>
          </w:r>
          <w:r>
            <w:fldChar w:fldCharType="separate"/>
          </w:r>
          <w:r>
            <w:rPr>
              <w:rFonts w:hint="default" w:ascii="Times New Roman" w:hAnsi="Times New Roman" w:eastAsia="楷体" w:cs="Times New Roman"/>
            </w:rPr>
            <w:t>1.7</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评价报告使用权声明</w:t>
          </w:r>
          <w:r>
            <w:tab/>
          </w:r>
          <w:r>
            <w:fldChar w:fldCharType="begin"/>
          </w:r>
          <w:r>
            <w:instrText xml:space="preserve"> PAGEREF _Toc4672 \h </w:instrText>
          </w:r>
          <w:r>
            <w:fldChar w:fldCharType="separate"/>
          </w:r>
          <w:r>
            <w:t>9</w:t>
          </w:r>
          <w:r>
            <w:fldChar w:fldCharType="end"/>
          </w:r>
          <w:r>
            <w:rPr>
              <w:color w:val="000000" w:themeColor="text1"/>
              <w14:textFill>
                <w14:solidFill>
                  <w14:schemeClr w14:val="tx1"/>
                </w14:solidFill>
              </w14:textFill>
            </w:rPr>
            <w:fldChar w:fldCharType="end"/>
          </w:r>
        </w:p>
        <w:p w14:paraId="08BD1314">
          <w:pPr>
            <w:pStyle w:val="35"/>
            <w:tabs>
              <w:tab w:val="right" w:leader="dot" w:pos="8504"/>
            </w:tabs>
          </w:pPr>
          <w:r>
            <w:rPr>
              <w:color w:val="000000" w:themeColor="text1"/>
              <w14:textFill>
                <w14:solidFill>
                  <w14:schemeClr w14:val="tx1"/>
                </w14:solidFill>
              </w14:textFill>
            </w:rPr>
            <w:fldChar w:fldCharType="begin"/>
          </w:r>
          <w:r>
            <w:instrText xml:space="preserve"> HYPERLINK \l _Toc4467 </w:instrText>
          </w:r>
          <w:r>
            <w:fldChar w:fldCharType="separate"/>
          </w:r>
          <w:r>
            <w:rPr>
              <w:rFonts w:hint="default" w:ascii="Times New Roman" w:hAnsi="Times New Roman" w:eastAsia="黑体" w:cs="Times New Roman"/>
            </w:rPr>
            <w:t>第2章 企业及项目概况</w:t>
          </w:r>
          <w:r>
            <w:tab/>
          </w:r>
          <w:r>
            <w:fldChar w:fldCharType="begin"/>
          </w:r>
          <w:r>
            <w:instrText xml:space="preserve"> PAGEREF _Toc4467 \h </w:instrText>
          </w:r>
          <w:r>
            <w:fldChar w:fldCharType="separate"/>
          </w:r>
          <w:r>
            <w:t>10</w:t>
          </w:r>
          <w:r>
            <w:fldChar w:fldCharType="end"/>
          </w:r>
          <w:r>
            <w:rPr>
              <w:color w:val="000000" w:themeColor="text1"/>
              <w14:textFill>
                <w14:solidFill>
                  <w14:schemeClr w14:val="tx1"/>
                </w14:solidFill>
              </w14:textFill>
            </w:rPr>
            <w:fldChar w:fldCharType="end"/>
          </w:r>
        </w:p>
        <w:p w14:paraId="4DEA851A">
          <w:pPr>
            <w:pStyle w:val="43"/>
            <w:tabs>
              <w:tab w:val="right" w:leader="dot" w:pos="8504"/>
            </w:tabs>
          </w:pPr>
          <w:r>
            <w:rPr>
              <w:color w:val="000000" w:themeColor="text1"/>
              <w14:textFill>
                <w14:solidFill>
                  <w14:schemeClr w14:val="tx1"/>
                </w14:solidFill>
              </w14:textFill>
            </w:rPr>
            <w:fldChar w:fldCharType="begin"/>
          </w:r>
          <w:r>
            <w:instrText xml:space="preserve"> HYPERLINK \l _Toc10964 </w:instrText>
          </w:r>
          <w:r>
            <w:fldChar w:fldCharType="separate"/>
          </w:r>
          <w:r>
            <w:rPr>
              <w:rFonts w:hint="default" w:ascii="Times New Roman" w:hAnsi="Times New Roman" w:eastAsia="楷体" w:cs="Times New Roman"/>
            </w:rPr>
            <w:t>2.1</w:t>
          </w:r>
          <w:r>
            <w:rPr>
              <w:rFonts w:hint="eastAsia" w:ascii="Times New Roman" w:hAnsi="Times New Roman" w:cs="Times New Roman"/>
              <w:lang w:val="en-US" w:eastAsia="zh-CN"/>
            </w:rPr>
            <w:t xml:space="preserve"> </w:t>
          </w:r>
          <w:r>
            <w:rPr>
              <w:rFonts w:hint="default" w:ascii="Times New Roman" w:hAnsi="Times New Roman" w:eastAsia="楷体" w:cs="Times New Roman"/>
            </w:rPr>
            <w:t>企业</w:t>
          </w:r>
          <w:r>
            <w:rPr>
              <w:rFonts w:hint="eastAsia" w:ascii="Times New Roman" w:hAnsi="Times New Roman" w:cs="Times New Roman"/>
              <w:lang w:val="en-US" w:eastAsia="zh-CN"/>
            </w:rPr>
            <w:t>概况</w:t>
          </w:r>
          <w:r>
            <w:tab/>
          </w:r>
          <w:r>
            <w:fldChar w:fldCharType="begin"/>
          </w:r>
          <w:r>
            <w:instrText xml:space="preserve"> PAGEREF _Toc10964 \h </w:instrText>
          </w:r>
          <w:r>
            <w:fldChar w:fldCharType="separate"/>
          </w:r>
          <w:r>
            <w:t>10</w:t>
          </w:r>
          <w:r>
            <w:fldChar w:fldCharType="end"/>
          </w:r>
          <w:r>
            <w:rPr>
              <w:color w:val="000000" w:themeColor="text1"/>
              <w14:textFill>
                <w14:solidFill>
                  <w14:schemeClr w14:val="tx1"/>
                </w14:solidFill>
              </w14:textFill>
            </w:rPr>
            <w:fldChar w:fldCharType="end"/>
          </w:r>
        </w:p>
        <w:p w14:paraId="6D20A5CE">
          <w:pPr>
            <w:pStyle w:val="43"/>
            <w:tabs>
              <w:tab w:val="right" w:leader="dot" w:pos="8504"/>
            </w:tabs>
          </w:pPr>
          <w:r>
            <w:rPr>
              <w:color w:val="000000" w:themeColor="text1"/>
              <w14:textFill>
                <w14:solidFill>
                  <w14:schemeClr w14:val="tx1"/>
                </w14:solidFill>
              </w14:textFill>
            </w:rPr>
            <w:fldChar w:fldCharType="begin"/>
          </w:r>
          <w:r>
            <w:instrText xml:space="preserve"> HYPERLINK \l _Toc8441 </w:instrText>
          </w:r>
          <w:r>
            <w:fldChar w:fldCharType="separate"/>
          </w:r>
          <w:r>
            <w:rPr>
              <w:rFonts w:hint="default" w:ascii="Times New Roman" w:hAnsi="Times New Roman" w:eastAsia="楷体" w:cs="Times New Roman"/>
            </w:rPr>
            <w:t>2.2</w:t>
          </w:r>
          <w:r>
            <w:rPr>
              <w:rFonts w:hint="eastAsia" w:ascii="Times New Roman" w:hAnsi="Times New Roman" w:cs="Times New Roman"/>
              <w:lang w:val="en-US" w:eastAsia="zh-CN"/>
            </w:rPr>
            <w:t xml:space="preserve"> </w:t>
          </w:r>
          <w:r>
            <w:rPr>
              <w:rFonts w:hint="default" w:ascii="Times New Roman" w:hAnsi="Times New Roman" w:eastAsia="楷体" w:cs="Times New Roman"/>
            </w:rPr>
            <w:t>项目概况</w:t>
          </w:r>
          <w:r>
            <w:tab/>
          </w:r>
          <w:r>
            <w:fldChar w:fldCharType="begin"/>
          </w:r>
          <w:r>
            <w:instrText xml:space="preserve"> PAGEREF _Toc8441 \h </w:instrText>
          </w:r>
          <w:r>
            <w:fldChar w:fldCharType="separate"/>
          </w:r>
          <w:r>
            <w:t>10</w:t>
          </w:r>
          <w:r>
            <w:fldChar w:fldCharType="end"/>
          </w:r>
          <w:r>
            <w:rPr>
              <w:color w:val="000000" w:themeColor="text1"/>
              <w14:textFill>
                <w14:solidFill>
                  <w14:schemeClr w14:val="tx1"/>
                </w14:solidFill>
              </w14:textFill>
            </w:rPr>
            <w:fldChar w:fldCharType="end"/>
          </w:r>
        </w:p>
        <w:p w14:paraId="53501A70">
          <w:pPr>
            <w:pStyle w:val="28"/>
            <w:tabs>
              <w:tab w:val="right" w:leader="dot" w:pos="8504"/>
            </w:tabs>
          </w:pPr>
          <w:r>
            <w:rPr>
              <w:color w:val="000000" w:themeColor="text1"/>
              <w14:textFill>
                <w14:solidFill>
                  <w14:schemeClr w14:val="tx1"/>
                </w14:solidFill>
              </w14:textFill>
            </w:rPr>
            <w:fldChar w:fldCharType="begin"/>
          </w:r>
          <w:r>
            <w:instrText xml:space="preserve"> HYPERLINK \l _Toc8737 </w:instrText>
          </w:r>
          <w:r>
            <w:fldChar w:fldCharType="separate"/>
          </w:r>
          <w:r>
            <w:rPr>
              <w:rFonts w:hint="default" w:ascii="Times New Roman" w:hAnsi="Times New Roman" w:eastAsia="黑体" w:cs="Times New Roman"/>
            </w:rPr>
            <w:t>2.2.1项目简介</w:t>
          </w:r>
          <w:r>
            <w:tab/>
          </w:r>
          <w:r>
            <w:fldChar w:fldCharType="begin"/>
          </w:r>
          <w:r>
            <w:instrText xml:space="preserve"> PAGEREF _Toc8737 \h </w:instrText>
          </w:r>
          <w:r>
            <w:fldChar w:fldCharType="separate"/>
          </w:r>
          <w:r>
            <w:t>10</w:t>
          </w:r>
          <w:r>
            <w:fldChar w:fldCharType="end"/>
          </w:r>
          <w:r>
            <w:rPr>
              <w:color w:val="000000" w:themeColor="text1"/>
              <w14:textFill>
                <w14:solidFill>
                  <w14:schemeClr w14:val="tx1"/>
                </w14:solidFill>
              </w14:textFill>
            </w:rPr>
            <w:fldChar w:fldCharType="end"/>
          </w:r>
        </w:p>
        <w:p w14:paraId="70AED198">
          <w:pPr>
            <w:pStyle w:val="28"/>
            <w:tabs>
              <w:tab w:val="right" w:leader="dot" w:pos="8504"/>
            </w:tabs>
          </w:pPr>
          <w:r>
            <w:rPr>
              <w:color w:val="000000" w:themeColor="text1"/>
              <w14:textFill>
                <w14:solidFill>
                  <w14:schemeClr w14:val="tx1"/>
                </w14:solidFill>
              </w14:textFill>
            </w:rPr>
            <w:fldChar w:fldCharType="begin"/>
          </w:r>
          <w:r>
            <w:instrText xml:space="preserve"> HYPERLINK \l _Toc13455 </w:instrText>
          </w:r>
          <w:r>
            <w:fldChar w:fldCharType="separate"/>
          </w:r>
          <w:r>
            <w:rPr>
              <w:rFonts w:hint="default" w:ascii="Times New Roman" w:hAnsi="Times New Roman" w:eastAsia="黑体" w:cs="Times New Roman"/>
            </w:rPr>
            <w:t>2.2.</w:t>
          </w:r>
          <w:r>
            <w:rPr>
              <w:rFonts w:hint="eastAsia" w:ascii="Times New Roman" w:hAnsi="Times New Roman" w:cs="Times New Roman"/>
              <w:lang w:val="en-US" w:eastAsia="zh-CN"/>
            </w:rPr>
            <w:t xml:space="preserve">2 </w:t>
          </w:r>
          <w:r>
            <w:rPr>
              <w:rFonts w:hint="default" w:ascii="Times New Roman" w:hAnsi="Times New Roman" w:eastAsia="黑体" w:cs="Times New Roman"/>
            </w:rPr>
            <w:t>项目地理位置</w:t>
          </w:r>
          <w:r>
            <w:tab/>
          </w:r>
          <w:r>
            <w:fldChar w:fldCharType="begin"/>
          </w:r>
          <w:r>
            <w:instrText xml:space="preserve"> PAGEREF _Toc13455 \h </w:instrText>
          </w:r>
          <w:r>
            <w:fldChar w:fldCharType="separate"/>
          </w:r>
          <w:r>
            <w:t>10</w:t>
          </w:r>
          <w:r>
            <w:fldChar w:fldCharType="end"/>
          </w:r>
          <w:r>
            <w:rPr>
              <w:color w:val="000000" w:themeColor="text1"/>
              <w14:textFill>
                <w14:solidFill>
                  <w14:schemeClr w14:val="tx1"/>
                </w14:solidFill>
              </w14:textFill>
            </w:rPr>
            <w:fldChar w:fldCharType="end"/>
          </w:r>
        </w:p>
        <w:p w14:paraId="71F51B19">
          <w:pPr>
            <w:pStyle w:val="28"/>
            <w:tabs>
              <w:tab w:val="right" w:leader="dot" w:pos="8504"/>
            </w:tabs>
          </w:pPr>
          <w:r>
            <w:rPr>
              <w:color w:val="000000" w:themeColor="text1"/>
              <w14:textFill>
                <w14:solidFill>
                  <w14:schemeClr w14:val="tx1"/>
                </w14:solidFill>
              </w14:textFill>
            </w:rPr>
            <w:fldChar w:fldCharType="begin"/>
          </w:r>
          <w:r>
            <w:instrText xml:space="preserve"> HYPERLINK \l _Toc14722 </w:instrText>
          </w:r>
          <w:r>
            <w:fldChar w:fldCharType="separate"/>
          </w:r>
          <w:r>
            <w:rPr>
              <w:rFonts w:hint="default" w:ascii="Times New Roman" w:hAnsi="Times New Roman" w:eastAsia="黑体" w:cs="Times New Roman"/>
            </w:rPr>
            <w:t>2.2.</w:t>
          </w:r>
          <w:r>
            <w:rPr>
              <w:rFonts w:hint="eastAsia" w:ascii="Times New Roman" w:hAnsi="Times New Roman" w:cs="Times New Roman"/>
              <w:lang w:val="en-US" w:eastAsia="zh-CN"/>
            </w:rPr>
            <w:t xml:space="preserve">3 </w:t>
          </w:r>
          <w:r>
            <w:rPr>
              <w:rFonts w:hint="default" w:ascii="Times New Roman" w:hAnsi="Times New Roman" w:eastAsia="黑体" w:cs="Times New Roman"/>
              <w:highlight w:val="none"/>
            </w:rPr>
            <w:t>项目周边情况</w:t>
          </w:r>
          <w:r>
            <w:tab/>
          </w:r>
          <w:r>
            <w:fldChar w:fldCharType="begin"/>
          </w:r>
          <w:r>
            <w:instrText xml:space="preserve"> PAGEREF _Toc14722 \h </w:instrText>
          </w:r>
          <w:r>
            <w:fldChar w:fldCharType="separate"/>
          </w:r>
          <w:r>
            <w:t>11</w:t>
          </w:r>
          <w:r>
            <w:fldChar w:fldCharType="end"/>
          </w:r>
          <w:r>
            <w:rPr>
              <w:color w:val="000000" w:themeColor="text1"/>
              <w14:textFill>
                <w14:solidFill>
                  <w14:schemeClr w14:val="tx1"/>
                </w14:solidFill>
              </w14:textFill>
            </w:rPr>
            <w:fldChar w:fldCharType="end"/>
          </w:r>
        </w:p>
        <w:p w14:paraId="573228AC">
          <w:pPr>
            <w:pStyle w:val="28"/>
            <w:tabs>
              <w:tab w:val="right" w:leader="dot" w:pos="8504"/>
            </w:tabs>
          </w:pPr>
          <w:r>
            <w:rPr>
              <w:color w:val="000000" w:themeColor="text1"/>
              <w14:textFill>
                <w14:solidFill>
                  <w14:schemeClr w14:val="tx1"/>
                </w14:solidFill>
              </w14:textFill>
            </w:rPr>
            <w:fldChar w:fldCharType="begin"/>
          </w:r>
          <w:r>
            <w:instrText xml:space="preserve"> HYPERLINK \l _Toc15396 </w:instrText>
          </w:r>
          <w:r>
            <w:fldChar w:fldCharType="separate"/>
          </w:r>
          <w:r>
            <w:rPr>
              <w:rFonts w:hint="default" w:ascii="Times New Roman" w:hAnsi="Times New Roman" w:eastAsia="黑体" w:cs="Times New Roman"/>
            </w:rPr>
            <w:t>2.2.</w:t>
          </w:r>
          <w:r>
            <w:rPr>
              <w:rFonts w:hint="eastAsia" w:ascii="Times New Roman" w:hAnsi="Times New Roman" w:cs="Times New Roman"/>
              <w:lang w:val="en-US" w:eastAsia="zh-CN"/>
            </w:rPr>
            <w:t>4</w:t>
          </w:r>
          <w:r>
            <w:rPr>
              <w:rFonts w:hint="default" w:ascii="Times New Roman" w:hAnsi="Times New Roman" w:eastAsia="黑体" w:cs="Times New Roman"/>
            </w:rPr>
            <w:t>气象条件</w:t>
          </w:r>
          <w:r>
            <w:tab/>
          </w:r>
          <w:r>
            <w:fldChar w:fldCharType="begin"/>
          </w:r>
          <w:r>
            <w:instrText xml:space="preserve"> PAGEREF _Toc15396 \h </w:instrText>
          </w:r>
          <w:r>
            <w:fldChar w:fldCharType="separate"/>
          </w:r>
          <w:r>
            <w:t>12</w:t>
          </w:r>
          <w:r>
            <w:fldChar w:fldCharType="end"/>
          </w:r>
          <w:r>
            <w:rPr>
              <w:color w:val="000000" w:themeColor="text1"/>
              <w14:textFill>
                <w14:solidFill>
                  <w14:schemeClr w14:val="tx1"/>
                </w14:solidFill>
              </w14:textFill>
            </w:rPr>
            <w:fldChar w:fldCharType="end"/>
          </w:r>
        </w:p>
        <w:p w14:paraId="57E2E06C">
          <w:pPr>
            <w:pStyle w:val="28"/>
            <w:tabs>
              <w:tab w:val="right" w:leader="dot" w:pos="8504"/>
            </w:tabs>
          </w:pPr>
          <w:r>
            <w:rPr>
              <w:color w:val="000000" w:themeColor="text1"/>
              <w14:textFill>
                <w14:solidFill>
                  <w14:schemeClr w14:val="tx1"/>
                </w14:solidFill>
              </w14:textFill>
            </w:rPr>
            <w:fldChar w:fldCharType="begin"/>
          </w:r>
          <w:r>
            <w:instrText xml:space="preserve"> HYPERLINK \l _Toc27961 </w:instrText>
          </w:r>
          <w:r>
            <w:fldChar w:fldCharType="separate"/>
          </w:r>
          <w:r>
            <w:rPr>
              <w:rFonts w:hint="default" w:ascii="Times New Roman" w:hAnsi="Times New Roman" w:eastAsia="黑体" w:cs="Times New Roman"/>
            </w:rPr>
            <w:t>2.2.</w:t>
          </w:r>
          <w:r>
            <w:rPr>
              <w:rFonts w:hint="eastAsia" w:ascii="Times New Roman" w:hAnsi="Times New Roman" w:cs="Times New Roman"/>
              <w:lang w:val="en-US" w:eastAsia="zh-CN"/>
            </w:rPr>
            <w:t xml:space="preserve">5 </w:t>
          </w:r>
          <w:r>
            <w:rPr>
              <w:rFonts w:hint="default" w:ascii="Times New Roman" w:hAnsi="Times New Roman" w:eastAsia="黑体" w:cs="Times New Roman"/>
            </w:rPr>
            <w:t>地质条件</w:t>
          </w:r>
          <w:r>
            <w:tab/>
          </w:r>
          <w:r>
            <w:fldChar w:fldCharType="begin"/>
          </w:r>
          <w:r>
            <w:instrText xml:space="preserve"> PAGEREF _Toc27961 \h </w:instrText>
          </w:r>
          <w:r>
            <w:fldChar w:fldCharType="separate"/>
          </w:r>
          <w:r>
            <w:t>14</w:t>
          </w:r>
          <w:r>
            <w:fldChar w:fldCharType="end"/>
          </w:r>
          <w:r>
            <w:rPr>
              <w:color w:val="000000" w:themeColor="text1"/>
              <w14:textFill>
                <w14:solidFill>
                  <w14:schemeClr w14:val="tx1"/>
                </w14:solidFill>
              </w14:textFill>
            </w:rPr>
            <w:fldChar w:fldCharType="end"/>
          </w:r>
        </w:p>
        <w:p w14:paraId="2D95D88A">
          <w:pPr>
            <w:pStyle w:val="43"/>
            <w:tabs>
              <w:tab w:val="right" w:leader="dot" w:pos="8504"/>
            </w:tabs>
          </w:pPr>
          <w:r>
            <w:rPr>
              <w:color w:val="000000" w:themeColor="text1"/>
              <w14:textFill>
                <w14:solidFill>
                  <w14:schemeClr w14:val="tx1"/>
                </w14:solidFill>
              </w14:textFill>
            </w:rPr>
            <w:fldChar w:fldCharType="begin"/>
          </w:r>
          <w:r>
            <w:instrText xml:space="preserve"> HYPERLINK \l _Toc9916 </w:instrText>
          </w:r>
          <w:r>
            <w:fldChar w:fldCharType="separate"/>
          </w:r>
          <w:r>
            <w:rPr>
              <w:rFonts w:hint="default" w:ascii="Times New Roman" w:hAnsi="Times New Roman" w:eastAsia="楷体" w:cs="Times New Roman"/>
            </w:rPr>
            <w:t>2.3</w:t>
          </w:r>
          <w:r>
            <w:rPr>
              <w:rFonts w:hint="eastAsia" w:ascii="Times New Roman" w:hAnsi="Times New Roman" w:cs="Times New Roman"/>
              <w:lang w:val="en-US" w:eastAsia="zh-CN"/>
            </w:rPr>
            <w:t xml:space="preserve"> </w:t>
          </w:r>
          <w:r>
            <w:rPr>
              <w:rFonts w:hint="default" w:ascii="Times New Roman" w:hAnsi="Times New Roman" w:eastAsia="楷体" w:cs="Times New Roman"/>
            </w:rPr>
            <w:t>总图布置</w:t>
          </w:r>
          <w:r>
            <w:tab/>
          </w:r>
          <w:r>
            <w:fldChar w:fldCharType="begin"/>
          </w:r>
          <w:r>
            <w:instrText xml:space="preserve"> PAGEREF _Toc9916 \h </w:instrText>
          </w:r>
          <w:r>
            <w:fldChar w:fldCharType="separate"/>
          </w:r>
          <w:r>
            <w:t>14</w:t>
          </w:r>
          <w:r>
            <w:fldChar w:fldCharType="end"/>
          </w:r>
          <w:r>
            <w:rPr>
              <w:color w:val="000000" w:themeColor="text1"/>
              <w14:textFill>
                <w14:solidFill>
                  <w14:schemeClr w14:val="tx1"/>
                </w14:solidFill>
              </w14:textFill>
            </w:rPr>
            <w:fldChar w:fldCharType="end"/>
          </w:r>
        </w:p>
        <w:p w14:paraId="71B208BB">
          <w:pPr>
            <w:pStyle w:val="28"/>
            <w:tabs>
              <w:tab w:val="right" w:leader="dot" w:pos="8504"/>
            </w:tabs>
          </w:pPr>
          <w:r>
            <w:rPr>
              <w:color w:val="000000" w:themeColor="text1"/>
              <w14:textFill>
                <w14:solidFill>
                  <w14:schemeClr w14:val="tx1"/>
                </w14:solidFill>
              </w14:textFill>
            </w:rPr>
            <w:fldChar w:fldCharType="begin"/>
          </w:r>
          <w:r>
            <w:instrText xml:space="preserve"> HYPERLINK \l _Toc27871 </w:instrText>
          </w:r>
          <w:r>
            <w:fldChar w:fldCharType="separate"/>
          </w:r>
          <w:r>
            <w:rPr>
              <w:rFonts w:hint="default" w:ascii="Times New Roman" w:hAnsi="Times New Roman" w:eastAsia="黑体" w:cs="Times New Roman"/>
            </w:rPr>
            <w:t>2.3.1</w:t>
          </w:r>
          <w:r>
            <w:rPr>
              <w:rFonts w:hint="eastAsia" w:ascii="Times New Roman" w:hAnsi="Times New Roman" w:cs="Times New Roman"/>
              <w:lang w:val="en-US" w:eastAsia="zh-CN"/>
            </w:rPr>
            <w:t xml:space="preserve"> </w:t>
          </w:r>
          <w:r>
            <w:rPr>
              <w:rFonts w:hint="default" w:ascii="Times New Roman" w:hAnsi="Times New Roman" w:eastAsia="黑体" w:cs="Times New Roman"/>
            </w:rPr>
            <w:t>总平面布置</w:t>
          </w:r>
          <w:r>
            <w:tab/>
          </w:r>
          <w:r>
            <w:fldChar w:fldCharType="begin"/>
          </w:r>
          <w:r>
            <w:instrText xml:space="preserve"> PAGEREF _Toc27871 \h </w:instrText>
          </w:r>
          <w:r>
            <w:fldChar w:fldCharType="separate"/>
          </w:r>
          <w:r>
            <w:t>14</w:t>
          </w:r>
          <w:r>
            <w:fldChar w:fldCharType="end"/>
          </w:r>
          <w:r>
            <w:rPr>
              <w:color w:val="000000" w:themeColor="text1"/>
              <w14:textFill>
                <w14:solidFill>
                  <w14:schemeClr w14:val="tx1"/>
                </w14:solidFill>
              </w14:textFill>
            </w:rPr>
            <w:fldChar w:fldCharType="end"/>
          </w:r>
        </w:p>
        <w:p w14:paraId="62608A3B">
          <w:pPr>
            <w:pStyle w:val="28"/>
            <w:tabs>
              <w:tab w:val="right" w:leader="dot" w:pos="8504"/>
            </w:tabs>
          </w:pPr>
          <w:r>
            <w:rPr>
              <w:color w:val="000000" w:themeColor="text1"/>
              <w14:textFill>
                <w14:solidFill>
                  <w14:schemeClr w14:val="tx1"/>
                </w14:solidFill>
              </w14:textFill>
            </w:rPr>
            <w:fldChar w:fldCharType="begin"/>
          </w:r>
          <w:r>
            <w:instrText xml:space="preserve"> HYPERLINK \l _Toc30626 </w:instrText>
          </w:r>
          <w:r>
            <w:fldChar w:fldCharType="separate"/>
          </w:r>
          <w:r>
            <w:t>2.</w:t>
          </w:r>
          <w:r>
            <w:rPr>
              <w:rFonts w:hint="eastAsia"/>
              <w:lang w:val="en-US" w:eastAsia="zh-CN"/>
            </w:rPr>
            <w:t>3</w:t>
          </w:r>
          <w:r>
            <w:t>.</w:t>
          </w:r>
          <w:r>
            <w:rPr>
              <w:rFonts w:hint="eastAsia"/>
              <w:lang w:val="en-US" w:eastAsia="zh-CN"/>
            </w:rPr>
            <w:t>2</w:t>
          </w:r>
          <w:r>
            <w:t xml:space="preserve"> </w:t>
          </w:r>
          <w:r>
            <w:rPr>
              <w:rFonts w:hint="eastAsia"/>
            </w:rPr>
            <w:t>主要建（构）筑物防火间距</w:t>
          </w:r>
          <w:r>
            <w:tab/>
          </w:r>
          <w:r>
            <w:fldChar w:fldCharType="begin"/>
          </w:r>
          <w:r>
            <w:instrText xml:space="preserve"> PAGEREF _Toc30626 \h </w:instrText>
          </w:r>
          <w:r>
            <w:fldChar w:fldCharType="separate"/>
          </w:r>
          <w:r>
            <w:t>15</w:t>
          </w:r>
          <w:r>
            <w:fldChar w:fldCharType="end"/>
          </w:r>
          <w:r>
            <w:rPr>
              <w:color w:val="000000" w:themeColor="text1"/>
              <w14:textFill>
                <w14:solidFill>
                  <w14:schemeClr w14:val="tx1"/>
                </w14:solidFill>
              </w14:textFill>
            </w:rPr>
            <w:fldChar w:fldCharType="end"/>
          </w:r>
        </w:p>
        <w:p w14:paraId="013669F1">
          <w:pPr>
            <w:pStyle w:val="28"/>
            <w:tabs>
              <w:tab w:val="right" w:leader="dot" w:pos="8504"/>
            </w:tabs>
          </w:pPr>
          <w:r>
            <w:rPr>
              <w:color w:val="000000" w:themeColor="text1"/>
              <w14:textFill>
                <w14:solidFill>
                  <w14:schemeClr w14:val="tx1"/>
                </w14:solidFill>
              </w14:textFill>
            </w:rPr>
            <w:fldChar w:fldCharType="begin"/>
          </w:r>
          <w:r>
            <w:instrText xml:space="preserve"> HYPERLINK \l _Toc24640 </w:instrText>
          </w:r>
          <w:r>
            <w:fldChar w:fldCharType="separate"/>
          </w:r>
          <w:r>
            <w:rPr>
              <w:rFonts w:hint="default" w:ascii="Times New Roman" w:hAnsi="Times New Roman" w:eastAsia="黑体" w:cs="Times New Roman"/>
            </w:rPr>
            <w:t>2.3.</w:t>
          </w:r>
          <w:r>
            <w:rPr>
              <w:rFonts w:hint="eastAsia" w:ascii="Times New Roman" w:hAnsi="Times New Roman" w:cs="Times New Roman"/>
              <w:lang w:val="en-US" w:eastAsia="zh-CN"/>
            </w:rPr>
            <w:t xml:space="preserve">3 </w:t>
          </w:r>
          <w:r>
            <w:rPr>
              <w:rFonts w:hint="default" w:ascii="Times New Roman" w:hAnsi="Times New Roman" w:eastAsia="黑体" w:cs="Times New Roman"/>
            </w:rPr>
            <w:t>厂内运输</w:t>
          </w:r>
          <w:r>
            <w:tab/>
          </w:r>
          <w:r>
            <w:fldChar w:fldCharType="begin"/>
          </w:r>
          <w:r>
            <w:instrText xml:space="preserve"> PAGEREF _Toc24640 \h </w:instrText>
          </w:r>
          <w:r>
            <w:fldChar w:fldCharType="separate"/>
          </w:r>
          <w:r>
            <w:t>16</w:t>
          </w:r>
          <w:r>
            <w:fldChar w:fldCharType="end"/>
          </w:r>
          <w:r>
            <w:rPr>
              <w:color w:val="000000" w:themeColor="text1"/>
              <w14:textFill>
                <w14:solidFill>
                  <w14:schemeClr w14:val="tx1"/>
                </w14:solidFill>
              </w14:textFill>
            </w:rPr>
            <w:fldChar w:fldCharType="end"/>
          </w:r>
        </w:p>
        <w:p w14:paraId="40E6D2F2">
          <w:pPr>
            <w:pStyle w:val="28"/>
            <w:tabs>
              <w:tab w:val="right" w:leader="dot" w:pos="8504"/>
            </w:tabs>
          </w:pPr>
          <w:r>
            <w:rPr>
              <w:color w:val="000000" w:themeColor="text1"/>
              <w14:textFill>
                <w14:solidFill>
                  <w14:schemeClr w14:val="tx1"/>
                </w14:solidFill>
              </w14:textFill>
            </w:rPr>
            <w:fldChar w:fldCharType="begin"/>
          </w:r>
          <w:r>
            <w:instrText xml:space="preserve"> HYPERLINK \l _Toc27231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3</w:t>
          </w:r>
          <w:r>
            <w:rPr>
              <w:rFonts w:hint="default" w:ascii="Times New Roman" w:hAnsi="Times New Roman" w:eastAsia="黑体" w:cs="Times New Roman"/>
            </w:rPr>
            <w:t>.</w:t>
          </w:r>
          <w:r>
            <w:rPr>
              <w:rFonts w:hint="eastAsia" w:ascii="Times New Roman" w:hAnsi="Times New Roman" w:cs="Times New Roman"/>
              <w:lang w:val="en-US" w:eastAsia="zh-CN"/>
            </w:rPr>
            <w:t>4</w:t>
          </w:r>
          <w:r>
            <w:rPr>
              <w:rFonts w:hint="default" w:ascii="Times New Roman" w:hAnsi="Times New Roman" w:eastAsia="黑体" w:cs="Times New Roman"/>
            </w:rPr>
            <w:t>厂外运输</w:t>
          </w:r>
          <w:r>
            <w:tab/>
          </w:r>
          <w:r>
            <w:fldChar w:fldCharType="begin"/>
          </w:r>
          <w:r>
            <w:instrText xml:space="preserve"> PAGEREF _Toc27231 \h </w:instrText>
          </w:r>
          <w:r>
            <w:fldChar w:fldCharType="separate"/>
          </w:r>
          <w:r>
            <w:t>16</w:t>
          </w:r>
          <w:r>
            <w:fldChar w:fldCharType="end"/>
          </w:r>
          <w:r>
            <w:rPr>
              <w:color w:val="000000" w:themeColor="text1"/>
              <w14:textFill>
                <w14:solidFill>
                  <w14:schemeClr w14:val="tx1"/>
                </w14:solidFill>
              </w14:textFill>
            </w:rPr>
            <w:fldChar w:fldCharType="end"/>
          </w:r>
        </w:p>
        <w:p w14:paraId="2A610ED4">
          <w:pPr>
            <w:pStyle w:val="43"/>
            <w:tabs>
              <w:tab w:val="right" w:leader="dot" w:pos="8504"/>
            </w:tabs>
          </w:pPr>
          <w:r>
            <w:rPr>
              <w:color w:val="000000" w:themeColor="text1"/>
              <w14:textFill>
                <w14:solidFill>
                  <w14:schemeClr w14:val="tx1"/>
                </w14:solidFill>
              </w14:textFill>
            </w:rPr>
            <w:fldChar w:fldCharType="begin"/>
          </w:r>
          <w:r>
            <w:instrText xml:space="preserve"> HYPERLINK \l _Toc17188 </w:instrText>
          </w:r>
          <w:r>
            <w:fldChar w:fldCharType="separate"/>
          </w:r>
          <w:r>
            <w:rPr>
              <w:rFonts w:hint="default" w:ascii="Times New Roman" w:hAnsi="Times New Roman" w:eastAsia="楷体" w:cs="Times New Roman"/>
            </w:rPr>
            <w:t>2.4</w:t>
          </w:r>
          <w:r>
            <w:rPr>
              <w:rFonts w:hint="eastAsia" w:ascii="Times New Roman" w:hAnsi="Times New Roman" w:cs="Times New Roman"/>
              <w:lang w:val="en-US" w:eastAsia="zh-CN"/>
            </w:rPr>
            <w:t xml:space="preserve"> </w:t>
          </w:r>
          <w:r>
            <w:rPr>
              <w:rFonts w:hint="default" w:ascii="Times New Roman" w:hAnsi="Times New Roman" w:eastAsia="楷体" w:cs="Times New Roman"/>
            </w:rPr>
            <w:t>生产工艺</w:t>
          </w:r>
          <w:r>
            <w:tab/>
          </w:r>
          <w:r>
            <w:fldChar w:fldCharType="begin"/>
          </w:r>
          <w:r>
            <w:instrText xml:space="preserve"> PAGEREF _Toc17188 \h </w:instrText>
          </w:r>
          <w:r>
            <w:fldChar w:fldCharType="separate"/>
          </w:r>
          <w:r>
            <w:t>16</w:t>
          </w:r>
          <w:r>
            <w:fldChar w:fldCharType="end"/>
          </w:r>
          <w:r>
            <w:rPr>
              <w:color w:val="000000" w:themeColor="text1"/>
              <w14:textFill>
                <w14:solidFill>
                  <w14:schemeClr w14:val="tx1"/>
                </w14:solidFill>
              </w14:textFill>
            </w:rPr>
            <w:fldChar w:fldCharType="end"/>
          </w:r>
        </w:p>
        <w:p w14:paraId="000CB6A9">
          <w:pPr>
            <w:pStyle w:val="28"/>
            <w:tabs>
              <w:tab w:val="right" w:leader="dot" w:pos="8504"/>
            </w:tabs>
          </w:pPr>
          <w:r>
            <w:rPr>
              <w:color w:val="000000" w:themeColor="text1"/>
              <w14:textFill>
                <w14:solidFill>
                  <w14:schemeClr w14:val="tx1"/>
                </w14:solidFill>
              </w14:textFill>
            </w:rPr>
            <w:fldChar w:fldCharType="begin"/>
          </w:r>
          <w:r>
            <w:instrText xml:space="preserve"> HYPERLINK \l _Toc17655 </w:instrText>
          </w:r>
          <w:r>
            <w:fldChar w:fldCharType="separate"/>
          </w:r>
          <w:r>
            <w:rPr>
              <w:rFonts w:hint="default" w:ascii="Times New Roman" w:hAnsi="Times New Roman" w:eastAsia="黑体" w:cs="Times New Roman"/>
            </w:rPr>
            <w:t>2.4.1</w:t>
          </w:r>
          <w:r>
            <w:rPr>
              <w:rFonts w:hint="eastAsia" w:ascii="Times New Roman" w:hAnsi="Times New Roman" w:cs="Times New Roman"/>
              <w:lang w:val="en-US" w:eastAsia="zh-CN"/>
            </w:rPr>
            <w:t xml:space="preserve"> </w:t>
          </w:r>
          <w:r>
            <w:rPr>
              <w:rFonts w:hint="default" w:ascii="Times New Roman" w:hAnsi="Times New Roman" w:eastAsia="黑体" w:cs="Times New Roman"/>
            </w:rPr>
            <w:t>生产规模及产品</w:t>
          </w:r>
          <w:r>
            <w:tab/>
          </w:r>
          <w:r>
            <w:fldChar w:fldCharType="begin"/>
          </w:r>
          <w:r>
            <w:instrText xml:space="preserve"> PAGEREF _Toc17655 \h </w:instrText>
          </w:r>
          <w:r>
            <w:fldChar w:fldCharType="separate"/>
          </w:r>
          <w:r>
            <w:t>16</w:t>
          </w:r>
          <w:r>
            <w:fldChar w:fldCharType="end"/>
          </w:r>
          <w:r>
            <w:rPr>
              <w:color w:val="000000" w:themeColor="text1"/>
              <w14:textFill>
                <w14:solidFill>
                  <w14:schemeClr w14:val="tx1"/>
                </w14:solidFill>
              </w14:textFill>
            </w:rPr>
            <w:fldChar w:fldCharType="end"/>
          </w:r>
        </w:p>
        <w:p w14:paraId="632BFF69">
          <w:pPr>
            <w:pStyle w:val="28"/>
            <w:tabs>
              <w:tab w:val="right" w:leader="dot" w:pos="8504"/>
            </w:tabs>
          </w:pPr>
          <w:r>
            <w:rPr>
              <w:color w:val="000000" w:themeColor="text1"/>
              <w14:textFill>
                <w14:solidFill>
                  <w14:schemeClr w14:val="tx1"/>
                </w14:solidFill>
              </w14:textFill>
            </w:rPr>
            <w:fldChar w:fldCharType="begin"/>
          </w:r>
          <w:r>
            <w:instrText xml:space="preserve"> HYPERLINK \l _Toc6088 </w:instrText>
          </w:r>
          <w:r>
            <w:fldChar w:fldCharType="separate"/>
          </w:r>
          <w:r>
            <w:rPr>
              <w:rFonts w:hint="default" w:ascii="Times New Roman" w:hAnsi="Times New Roman" w:eastAsia="黑体" w:cs="Times New Roman"/>
            </w:rPr>
            <w:t>2.4.2</w:t>
          </w:r>
          <w:r>
            <w:rPr>
              <w:rFonts w:hint="eastAsia" w:ascii="Times New Roman" w:hAnsi="Times New Roman" w:cs="Times New Roman"/>
              <w:lang w:val="en-US" w:eastAsia="zh-CN"/>
            </w:rPr>
            <w:t xml:space="preserve"> </w:t>
          </w:r>
          <w:r>
            <w:rPr>
              <w:rFonts w:hint="default" w:ascii="Times New Roman" w:hAnsi="Times New Roman" w:eastAsia="黑体" w:cs="Times New Roman"/>
            </w:rPr>
            <w:t>主要原辅料及能耗</w:t>
          </w:r>
          <w:r>
            <w:tab/>
          </w:r>
          <w:r>
            <w:fldChar w:fldCharType="begin"/>
          </w:r>
          <w:r>
            <w:instrText xml:space="preserve"> PAGEREF _Toc6088 \h </w:instrText>
          </w:r>
          <w:r>
            <w:fldChar w:fldCharType="separate"/>
          </w:r>
          <w:r>
            <w:t>17</w:t>
          </w:r>
          <w:r>
            <w:fldChar w:fldCharType="end"/>
          </w:r>
          <w:r>
            <w:rPr>
              <w:color w:val="000000" w:themeColor="text1"/>
              <w14:textFill>
                <w14:solidFill>
                  <w14:schemeClr w14:val="tx1"/>
                </w14:solidFill>
              </w14:textFill>
            </w:rPr>
            <w:fldChar w:fldCharType="end"/>
          </w:r>
        </w:p>
        <w:p w14:paraId="203D218C">
          <w:pPr>
            <w:pStyle w:val="28"/>
            <w:tabs>
              <w:tab w:val="right" w:leader="dot" w:pos="8504"/>
            </w:tabs>
          </w:pPr>
          <w:r>
            <w:rPr>
              <w:color w:val="000000" w:themeColor="text1"/>
              <w14:textFill>
                <w14:solidFill>
                  <w14:schemeClr w14:val="tx1"/>
                </w14:solidFill>
              </w14:textFill>
            </w:rPr>
            <w:fldChar w:fldCharType="begin"/>
          </w:r>
          <w:r>
            <w:instrText xml:space="preserve"> HYPERLINK \l _Toc30052 </w:instrText>
          </w:r>
          <w:r>
            <w:fldChar w:fldCharType="separate"/>
          </w:r>
          <w:r>
            <w:rPr>
              <w:rFonts w:hint="default" w:ascii="Times New Roman" w:hAnsi="Times New Roman" w:eastAsia="黑体" w:cs="Times New Roman"/>
            </w:rPr>
            <w:t>2.4.3</w:t>
          </w:r>
          <w:r>
            <w:rPr>
              <w:rFonts w:hint="eastAsia" w:ascii="Times New Roman" w:hAnsi="Times New Roman" w:cs="Times New Roman"/>
              <w:lang w:val="en-US" w:eastAsia="zh-CN"/>
            </w:rPr>
            <w:t xml:space="preserve"> </w:t>
          </w:r>
          <w:r>
            <w:rPr>
              <w:rFonts w:hint="default" w:ascii="Times New Roman" w:hAnsi="Times New Roman" w:eastAsia="黑体" w:cs="Times New Roman"/>
            </w:rPr>
            <w:t>生产工艺简述</w:t>
          </w:r>
          <w:r>
            <w:tab/>
          </w:r>
          <w:r>
            <w:fldChar w:fldCharType="begin"/>
          </w:r>
          <w:r>
            <w:instrText xml:space="preserve"> PAGEREF _Toc30052 \h </w:instrText>
          </w:r>
          <w:r>
            <w:fldChar w:fldCharType="separate"/>
          </w:r>
          <w:r>
            <w:t>17</w:t>
          </w:r>
          <w:r>
            <w:fldChar w:fldCharType="end"/>
          </w:r>
          <w:r>
            <w:rPr>
              <w:color w:val="000000" w:themeColor="text1"/>
              <w14:textFill>
                <w14:solidFill>
                  <w14:schemeClr w14:val="tx1"/>
                </w14:solidFill>
              </w14:textFill>
            </w:rPr>
            <w:fldChar w:fldCharType="end"/>
          </w:r>
        </w:p>
        <w:p w14:paraId="625EC4B3">
          <w:pPr>
            <w:pStyle w:val="28"/>
            <w:tabs>
              <w:tab w:val="right" w:leader="dot" w:pos="8504"/>
            </w:tabs>
          </w:pPr>
          <w:r>
            <w:rPr>
              <w:color w:val="000000" w:themeColor="text1"/>
              <w14:textFill>
                <w14:solidFill>
                  <w14:schemeClr w14:val="tx1"/>
                </w14:solidFill>
              </w14:textFill>
            </w:rPr>
            <w:fldChar w:fldCharType="begin"/>
          </w:r>
          <w:r>
            <w:instrText xml:space="preserve"> HYPERLINK \l _Toc32149 </w:instrText>
          </w:r>
          <w:r>
            <w:fldChar w:fldCharType="separate"/>
          </w:r>
          <w:r>
            <w:rPr>
              <w:rFonts w:hint="default" w:ascii="Times New Roman" w:hAnsi="Times New Roman" w:eastAsia="黑体" w:cs="Times New Roman"/>
            </w:rPr>
            <w:t>2.4.4</w:t>
          </w:r>
          <w:r>
            <w:rPr>
              <w:rFonts w:hint="eastAsia" w:ascii="Times New Roman" w:hAnsi="Times New Roman" w:cs="Times New Roman"/>
              <w:lang w:val="en-US" w:eastAsia="zh-CN"/>
            </w:rPr>
            <w:t xml:space="preserve"> </w:t>
          </w:r>
          <w:r>
            <w:rPr>
              <w:rFonts w:hint="default" w:ascii="Times New Roman" w:hAnsi="Times New Roman" w:eastAsia="黑体" w:cs="Times New Roman"/>
            </w:rPr>
            <w:t>主要生产设备</w:t>
          </w:r>
          <w:r>
            <w:tab/>
          </w:r>
          <w:r>
            <w:fldChar w:fldCharType="begin"/>
          </w:r>
          <w:r>
            <w:instrText xml:space="preserve"> PAGEREF _Toc32149 \h </w:instrText>
          </w:r>
          <w:r>
            <w:fldChar w:fldCharType="separate"/>
          </w:r>
          <w:r>
            <w:t>18</w:t>
          </w:r>
          <w:r>
            <w:fldChar w:fldCharType="end"/>
          </w:r>
          <w:r>
            <w:rPr>
              <w:color w:val="000000" w:themeColor="text1"/>
              <w14:textFill>
                <w14:solidFill>
                  <w14:schemeClr w14:val="tx1"/>
                </w14:solidFill>
              </w14:textFill>
            </w:rPr>
            <w:fldChar w:fldCharType="end"/>
          </w:r>
        </w:p>
        <w:p w14:paraId="5D888036">
          <w:pPr>
            <w:pStyle w:val="43"/>
            <w:tabs>
              <w:tab w:val="right" w:leader="dot" w:pos="8504"/>
            </w:tabs>
          </w:pPr>
          <w:r>
            <w:rPr>
              <w:color w:val="000000" w:themeColor="text1"/>
              <w14:textFill>
                <w14:solidFill>
                  <w14:schemeClr w14:val="tx1"/>
                </w14:solidFill>
              </w14:textFill>
            </w:rPr>
            <w:fldChar w:fldCharType="begin"/>
          </w:r>
          <w:r>
            <w:instrText xml:space="preserve"> HYPERLINK \l _Toc22633 </w:instrText>
          </w:r>
          <w:r>
            <w:fldChar w:fldCharType="separate"/>
          </w:r>
          <w:r>
            <w:rPr>
              <w:rFonts w:hint="default" w:ascii="Times New Roman" w:hAnsi="Times New Roman" w:eastAsia="楷体" w:cs="Times New Roman"/>
            </w:rPr>
            <w:t>2.5</w:t>
          </w:r>
          <w:r>
            <w:rPr>
              <w:rFonts w:hint="eastAsia" w:ascii="Times New Roman" w:hAnsi="Times New Roman" w:cs="Times New Roman"/>
              <w:lang w:val="en-US" w:eastAsia="zh-CN"/>
            </w:rPr>
            <w:t xml:space="preserve"> </w:t>
          </w:r>
          <w:r>
            <w:rPr>
              <w:rFonts w:hint="default" w:ascii="Times New Roman" w:hAnsi="Times New Roman" w:eastAsia="楷体" w:cs="Times New Roman"/>
            </w:rPr>
            <w:t>公用工程及辅助工程</w:t>
          </w:r>
          <w:r>
            <w:tab/>
          </w:r>
          <w:r>
            <w:fldChar w:fldCharType="begin"/>
          </w:r>
          <w:r>
            <w:instrText xml:space="preserve"> PAGEREF _Toc22633 \h </w:instrText>
          </w:r>
          <w:r>
            <w:fldChar w:fldCharType="separate"/>
          </w:r>
          <w:r>
            <w:t>19</w:t>
          </w:r>
          <w:r>
            <w:fldChar w:fldCharType="end"/>
          </w:r>
          <w:r>
            <w:rPr>
              <w:color w:val="000000" w:themeColor="text1"/>
              <w14:textFill>
                <w14:solidFill>
                  <w14:schemeClr w14:val="tx1"/>
                </w14:solidFill>
              </w14:textFill>
            </w:rPr>
            <w:fldChar w:fldCharType="end"/>
          </w:r>
        </w:p>
        <w:p w14:paraId="16E663B4">
          <w:pPr>
            <w:pStyle w:val="28"/>
            <w:tabs>
              <w:tab w:val="right" w:leader="dot" w:pos="8504"/>
            </w:tabs>
          </w:pPr>
          <w:r>
            <w:rPr>
              <w:color w:val="000000" w:themeColor="text1"/>
              <w14:textFill>
                <w14:solidFill>
                  <w14:schemeClr w14:val="tx1"/>
                </w14:solidFill>
              </w14:textFill>
            </w:rPr>
            <w:fldChar w:fldCharType="begin"/>
          </w:r>
          <w:r>
            <w:instrText xml:space="preserve"> HYPERLINK \l _Toc10853 </w:instrText>
          </w:r>
          <w:r>
            <w:fldChar w:fldCharType="separate"/>
          </w:r>
          <w:r>
            <w:rPr>
              <w:rFonts w:hint="default" w:ascii="Times New Roman" w:hAnsi="Times New Roman" w:eastAsia="黑体" w:cs="Times New Roman"/>
            </w:rPr>
            <w:t>2.5.1</w:t>
          </w:r>
          <w:r>
            <w:rPr>
              <w:rFonts w:hint="eastAsia" w:ascii="Times New Roman" w:hAnsi="Times New Roman" w:cs="Times New Roman"/>
              <w:lang w:val="en-US" w:eastAsia="zh-CN"/>
            </w:rPr>
            <w:t xml:space="preserve"> </w:t>
          </w:r>
          <w:r>
            <w:rPr>
              <w:rFonts w:hint="default" w:ascii="Times New Roman" w:hAnsi="Times New Roman" w:eastAsia="黑体" w:cs="Times New Roman"/>
            </w:rPr>
            <w:t>给排水</w:t>
          </w:r>
          <w:r>
            <w:tab/>
          </w:r>
          <w:r>
            <w:fldChar w:fldCharType="begin"/>
          </w:r>
          <w:r>
            <w:instrText xml:space="preserve"> PAGEREF _Toc10853 \h </w:instrText>
          </w:r>
          <w:r>
            <w:fldChar w:fldCharType="separate"/>
          </w:r>
          <w:r>
            <w:t>19</w:t>
          </w:r>
          <w:r>
            <w:fldChar w:fldCharType="end"/>
          </w:r>
          <w:r>
            <w:rPr>
              <w:color w:val="000000" w:themeColor="text1"/>
              <w14:textFill>
                <w14:solidFill>
                  <w14:schemeClr w14:val="tx1"/>
                </w14:solidFill>
              </w14:textFill>
            </w:rPr>
            <w:fldChar w:fldCharType="end"/>
          </w:r>
        </w:p>
        <w:p w14:paraId="05C2CC09">
          <w:pPr>
            <w:pStyle w:val="28"/>
            <w:tabs>
              <w:tab w:val="right" w:leader="dot" w:pos="8504"/>
            </w:tabs>
          </w:pPr>
          <w:r>
            <w:rPr>
              <w:color w:val="000000" w:themeColor="text1"/>
              <w14:textFill>
                <w14:solidFill>
                  <w14:schemeClr w14:val="tx1"/>
                </w14:solidFill>
              </w14:textFill>
            </w:rPr>
            <w:fldChar w:fldCharType="begin"/>
          </w:r>
          <w:r>
            <w:instrText xml:space="preserve"> HYPERLINK \l _Toc5875 </w:instrText>
          </w:r>
          <w:r>
            <w:fldChar w:fldCharType="separate"/>
          </w:r>
          <w:r>
            <w:rPr>
              <w:rFonts w:hint="default" w:ascii="Times New Roman" w:hAnsi="Times New Roman" w:eastAsia="黑体" w:cs="Times New Roman"/>
            </w:rPr>
            <w:t>2.5.2</w:t>
          </w:r>
          <w:r>
            <w:rPr>
              <w:rFonts w:hint="eastAsia" w:ascii="Times New Roman" w:hAnsi="Times New Roman" w:cs="Times New Roman"/>
              <w:lang w:val="en-US" w:eastAsia="zh-CN"/>
            </w:rPr>
            <w:t xml:space="preserve"> </w:t>
          </w:r>
          <w:r>
            <w:rPr>
              <w:rFonts w:hint="default" w:ascii="Times New Roman" w:hAnsi="Times New Roman" w:eastAsia="黑体" w:cs="Times New Roman"/>
            </w:rPr>
            <w:t>供配电</w:t>
          </w:r>
          <w:r>
            <w:tab/>
          </w:r>
          <w:r>
            <w:fldChar w:fldCharType="begin"/>
          </w:r>
          <w:r>
            <w:instrText xml:space="preserve"> PAGEREF _Toc5875 \h </w:instrText>
          </w:r>
          <w:r>
            <w:fldChar w:fldCharType="separate"/>
          </w:r>
          <w:r>
            <w:t>20</w:t>
          </w:r>
          <w:r>
            <w:fldChar w:fldCharType="end"/>
          </w:r>
          <w:r>
            <w:rPr>
              <w:color w:val="000000" w:themeColor="text1"/>
              <w14:textFill>
                <w14:solidFill>
                  <w14:schemeClr w14:val="tx1"/>
                </w14:solidFill>
              </w14:textFill>
            </w:rPr>
            <w:fldChar w:fldCharType="end"/>
          </w:r>
        </w:p>
        <w:p w14:paraId="271294F6">
          <w:pPr>
            <w:pStyle w:val="28"/>
            <w:tabs>
              <w:tab w:val="right" w:leader="dot" w:pos="8504"/>
            </w:tabs>
          </w:pPr>
          <w:r>
            <w:rPr>
              <w:color w:val="000000" w:themeColor="text1"/>
              <w14:textFill>
                <w14:solidFill>
                  <w14:schemeClr w14:val="tx1"/>
                </w14:solidFill>
              </w14:textFill>
            </w:rPr>
            <w:fldChar w:fldCharType="begin"/>
          </w:r>
          <w:r>
            <w:instrText xml:space="preserve"> HYPERLINK \l _Toc19441 </w:instrText>
          </w:r>
          <w:r>
            <w:fldChar w:fldCharType="separate"/>
          </w:r>
          <w:r>
            <w:rPr>
              <w:rFonts w:hint="default" w:ascii="Times New Roman" w:hAnsi="Times New Roman" w:eastAsia="黑体" w:cs="Times New Roman"/>
            </w:rPr>
            <w:t>2.5.3</w:t>
          </w:r>
          <w:r>
            <w:rPr>
              <w:rFonts w:hint="eastAsia" w:ascii="Times New Roman" w:hAnsi="Times New Roman" w:cs="Times New Roman"/>
              <w:lang w:val="en-US" w:eastAsia="zh-CN"/>
            </w:rPr>
            <w:t xml:space="preserve"> </w:t>
          </w:r>
          <w:r>
            <w:rPr>
              <w:rFonts w:hint="default" w:ascii="Times New Roman" w:hAnsi="Times New Roman" w:eastAsia="黑体" w:cs="Times New Roman"/>
            </w:rPr>
            <w:t>防雷防静电</w:t>
          </w:r>
          <w:r>
            <w:tab/>
          </w:r>
          <w:r>
            <w:fldChar w:fldCharType="begin"/>
          </w:r>
          <w:r>
            <w:instrText xml:space="preserve"> PAGEREF _Toc19441 \h </w:instrText>
          </w:r>
          <w:r>
            <w:fldChar w:fldCharType="separate"/>
          </w:r>
          <w:r>
            <w:t>20</w:t>
          </w:r>
          <w:r>
            <w:fldChar w:fldCharType="end"/>
          </w:r>
          <w:r>
            <w:rPr>
              <w:color w:val="000000" w:themeColor="text1"/>
              <w14:textFill>
                <w14:solidFill>
                  <w14:schemeClr w14:val="tx1"/>
                </w14:solidFill>
              </w14:textFill>
            </w:rPr>
            <w:fldChar w:fldCharType="end"/>
          </w:r>
        </w:p>
        <w:p w14:paraId="293375B0">
          <w:pPr>
            <w:pStyle w:val="28"/>
            <w:tabs>
              <w:tab w:val="right" w:leader="dot" w:pos="8504"/>
            </w:tabs>
          </w:pPr>
          <w:r>
            <w:rPr>
              <w:color w:val="000000" w:themeColor="text1"/>
              <w14:textFill>
                <w14:solidFill>
                  <w14:schemeClr w14:val="tx1"/>
                </w14:solidFill>
              </w14:textFill>
            </w:rPr>
            <w:fldChar w:fldCharType="begin"/>
          </w:r>
          <w:r>
            <w:instrText xml:space="preserve"> HYPERLINK \l _Toc5745 </w:instrText>
          </w:r>
          <w:r>
            <w:fldChar w:fldCharType="separate"/>
          </w:r>
          <w:r>
            <w:rPr>
              <w:rFonts w:hint="default" w:ascii="Times New Roman" w:hAnsi="Times New Roman" w:eastAsia="黑体" w:cs="Times New Roman"/>
            </w:rPr>
            <w:t>2.5.4</w:t>
          </w:r>
          <w:r>
            <w:rPr>
              <w:rFonts w:hint="eastAsia" w:ascii="Times New Roman" w:hAnsi="Times New Roman" w:cs="Times New Roman"/>
              <w:lang w:val="en-US" w:eastAsia="zh-CN"/>
            </w:rPr>
            <w:t xml:space="preserve"> </w:t>
          </w:r>
          <w:r>
            <w:rPr>
              <w:rFonts w:hint="default" w:ascii="Times New Roman" w:hAnsi="Times New Roman" w:eastAsia="黑体" w:cs="Times New Roman"/>
            </w:rPr>
            <w:t>消防</w:t>
          </w:r>
          <w:r>
            <w:tab/>
          </w:r>
          <w:r>
            <w:fldChar w:fldCharType="begin"/>
          </w:r>
          <w:r>
            <w:instrText xml:space="preserve"> PAGEREF _Toc5745 \h </w:instrText>
          </w:r>
          <w:r>
            <w:fldChar w:fldCharType="separate"/>
          </w:r>
          <w:r>
            <w:t>20</w:t>
          </w:r>
          <w:r>
            <w:fldChar w:fldCharType="end"/>
          </w:r>
          <w:r>
            <w:rPr>
              <w:color w:val="000000" w:themeColor="text1"/>
              <w14:textFill>
                <w14:solidFill>
                  <w14:schemeClr w14:val="tx1"/>
                </w14:solidFill>
              </w14:textFill>
            </w:rPr>
            <w:fldChar w:fldCharType="end"/>
          </w:r>
        </w:p>
        <w:p w14:paraId="211962DA">
          <w:pPr>
            <w:pStyle w:val="28"/>
            <w:tabs>
              <w:tab w:val="right" w:leader="dot" w:pos="8504"/>
            </w:tabs>
          </w:pPr>
          <w:r>
            <w:rPr>
              <w:color w:val="000000" w:themeColor="text1"/>
              <w14:textFill>
                <w14:solidFill>
                  <w14:schemeClr w14:val="tx1"/>
                </w14:solidFill>
              </w14:textFill>
            </w:rPr>
            <w:fldChar w:fldCharType="begin"/>
          </w:r>
          <w:r>
            <w:instrText xml:space="preserve"> HYPERLINK \l _Toc11830 </w:instrText>
          </w:r>
          <w:r>
            <w:fldChar w:fldCharType="separate"/>
          </w:r>
          <w:r>
            <w:rPr>
              <w:rFonts w:hint="eastAsia" w:ascii="Times New Roman" w:hAnsi="Times New Roman" w:cs="Times New Roman"/>
              <w:lang w:val="en-US" w:eastAsia="zh-CN"/>
            </w:rPr>
            <w:t>2.5.5</w:t>
          </w:r>
          <w:r>
            <w:rPr>
              <w:rFonts w:hint="eastAsia" w:ascii="Times New Roman" w:hAnsi="Times New Roman" w:eastAsia="黑体" w:cs="Times New Roman"/>
              <w:lang w:val="en-US" w:eastAsia="zh-CN"/>
            </w:rPr>
            <w:t>供气情况</w:t>
          </w:r>
          <w:r>
            <w:tab/>
          </w:r>
          <w:r>
            <w:fldChar w:fldCharType="begin"/>
          </w:r>
          <w:r>
            <w:instrText xml:space="preserve"> PAGEREF _Toc11830 \h </w:instrText>
          </w:r>
          <w:r>
            <w:fldChar w:fldCharType="separate"/>
          </w:r>
          <w:r>
            <w:t>21</w:t>
          </w:r>
          <w:r>
            <w:fldChar w:fldCharType="end"/>
          </w:r>
          <w:r>
            <w:rPr>
              <w:color w:val="000000" w:themeColor="text1"/>
              <w14:textFill>
                <w14:solidFill>
                  <w14:schemeClr w14:val="tx1"/>
                </w14:solidFill>
              </w14:textFill>
            </w:rPr>
            <w:fldChar w:fldCharType="end"/>
          </w:r>
        </w:p>
        <w:p w14:paraId="196385D7">
          <w:pPr>
            <w:pStyle w:val="28"/>
            <w:tabs>
              <w:tab w:val="right" w:leader="dot" w:pos="8504"/>
            </w:tabs>
          </w:pPr>
          <w:r>
            <w:rPr>
              <w:color w:val="000000" w:themeColor="text1"/>
              <w14:textFill>
                <w14:solidFill>
                  <w14:schemeClr w14:val="tx1"/>
                </w14:solidFill>
              </w14:textFill>
            </w:rPr>
            <w:fldChar w:fldCharType="begin"/>
          </w:r>
          <w:r>
            <w:instrText xml:space="preserve"> HYPERLINK \l _Toc9737 </w:instrText>
          </w:r>
          <w:r>
            <w:fldChar w:fldCharType="separate"/>
          </w:r>
          <w:r>
            <w:rPr>
              <w:rFonts w:hint="default" w:ascii="Times New Roman" w:hAnsi="Times New Roman" w:eastAsia="黑体" w:cs="Times New Roman"/>
            </w:rPr>
            <w:t>2.5.</w:t>
          </w:r>
          <w:r>
            <w:rPr>
              <w:rFonts w:hint="eastAsia" w:ascii="Times New Roman" w:hAnsi="Times New Roman" w:cs="Times New Roman"/>
              <w:lang w:val="en-US" w:eastAsia="zh-CN"/>
            </w:rPr>
            <w:t xml:space="preserve">6 </w:t>
          </w:r>
          <w:r>
            <w:rPr>
              <w:rFonts w:hint="default" w:ascii="Times New Roman" w:hAnsi="Times New Roman" w:eastAsia="黑体" w:cs="Times New Roman"/>
            </w:rPr>
            <w:t>其他</w:t>
          </w:r>
          <w:r>
            <w:tab/>
          </w:r>
          <w:r>
            <w:fldChar w:fldCharType="begin"/>
          </w:r>
          <w:r>
            <w:instrText xml:space="preserve"> PAGEREF _Toc9737 \h </w:instrText>
          </w:r>
          <w:r>
            <w:fldChar w:fldCharType="separate"/>
          </w:r>
          <w:r>
            <w:t>21</w:t>
          </w:r>
          <w:r>
            <w:fldChar w:fldCharType="end"/>
          </w:r>
          <w:r>
            <w:rPr>
              <w:color w:val="000000" w:themeColor="text1"/>
              <w14:textFill>
                <w14:solidFill>
                  <w14:schemeClr w14:val="tx1"/>
                </w14:solidFill>
              </w14:textFill>
            </w:rPr>
            <w:fldChar w:fldCharType="end"/>
          </w:r>
        </w:p>
        <w:p w14:paraId="6894F516">
          <w:pPr>
            <w:pStyle w:val="43"/>
            <w:tabs>
              <w:tab w:val="right" w:leader="dot" w:pos="8504"/>
            </w:tabs>
          </w:pPr>
          <w:r>
            <w:rPr>
              <w:color w:val="000000" w:themeColor="text1"/>
              <w14:textFill>
                <w14:solidFill>
                  <w14:schemeClr w14:val="tx1"/>
                </w14:solidFill>
              </w14:textFill>
            </w:rPr>
            <w:fldChar w:fldCharType="begin"/>
          </w:r>
          <w:r>
            <w:instrText xml:space="preserve"> HYPERLINK \l _Toc21082 </w:instrText>
          </w:r>
          <w:r>
            <w:fldChar w:fldCharType="separate"/>
          </w:r>
          <w:r>
            <w:rPr>
              <w:rFonts w:hint="default" w:ascii="Times New Roman" w:hAnsi="Times New Roman" w:eastAsia="楷体" w:cs="Times New Roman"/>
              <w:lang w:val="en-US" w:eastAsia="zh-CN"/>
            </w:rPr>
            <w:t>2.</w:t>
          </w:r>
          <w:r>
            <w:rPr>
              <w:rFonts w:hint="eastAsia" w:ascii="Times New Roman" w:hAnsi="Times New Roman" w:cs="Times New Roman"/>
              <w:lang w:val="en-US" w:eastAsia="zh-CN"/>
            </w:rPr>
            <w:t xml:space="preserve">6 </w:t>
          </w:r>
          <w:r>
            <w:rPr>
              <w:rFonts w:hint="default" w:ascii="Times New Roman" w:hAnsi="Times New Roman" w:eastAsia="楷体" w:cs="Times New Roman"/>
            </w:rPr>
            <w:t>安全</w:t>
          </w:r>
          <w:r>
            <w:rPr>
              <w:rFonts w:hint="eastAsia" w:ascii="Times New Roman" w:hAnsi="Times New Roman" w:cs="Times New Roman"/>
              <w:lang w:val="en-US" w:eastAsia="zh-CN"/>
            </w:rPr>
            <w:t>生产</w:t>
          </w:r>
          <w:r>
            <w:rPr>
              <w:rFonts w:hint="default" w:ascii="Times New Roman" w:hAnsi="Times New Roman" w:eastAsia="楷体" w:cs="Times New Roman"/>
            </w:rPr>
            <w:t>管理</w:t>
          </w:r>
          <w:r>
            <w:rPr>
              <w:rFonts w:hint="eastAsia" w:ascii="Times New Roman" w:hAnsi="Times New Roman" w:cs="Times New Roman"/>
              <w:lang w:val="en-US" w:eastAsia="zh-CN"/>
            </w:rPr>
            <w:t>情况</w:t>
          </w:r>
          <w:r>
            <w:tab/>
          </w:r>
          <w:r>
            <w:fldChar w:fldCharType="begin"/>
          </w:r>
          <w:r>
            <w:instrText xml:space="preserve"> PAGEREF _Toc21082 \h </w:instrText>
          </w:r>
          <w:r>
            <w:fldChar w:fldCharType="separate"/>
          </w:r>
          <w:r>
            <w:t>21</w:t>
          </w:r>
          <w:r>
            <w:fldChar w:fldCharType="end"/>
          </w:r>
          <w:r>
            <w:rPr>
              <w:color w:val="000000" w:themeColor="text1"/>
              <w14:textFill>
                <w14:solidFill>
                  <w14:schemeClr w14:val="tx1"/>
                </w14:solidFill>
              </w14:textFill>
            </w:rPr>
            <w:fldChar w:fldCharType="end"/>
          </w:r>
        </w:p>
        <w:p w14:paraId="24C7E58E">
          <w:pPr>
            <w:pStyle w:val="28"/>
            <w:tabs>
              <w:tab w:val="right" w:leader="dot" w:pos="8504"/>
            </w:tabs>
          </w:pPr>
          <w:r>
            <w:rPr>
              <w:color w:val="000000" w:themeColor="text1"/>
              <w14:textFill>
                <w14:solidFill>
                  <w14:schemeClr w14:val="tx1"/>
                </w14:solidFill>
              </w14:textFill>
            </w:rPr>
            <w:fldChar w:fldCharType="begin"/>
          </w:r>
          <w:r>
            <w:instrText xml:space="preserve"> HYPERLINK \l _Toc24188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6</w:t>
          </w:r>
          <w:r>
            <w:rPr>
              <w:rFonts w:hint="default" w:ascii="Times New Roman" w:hAnsi="Times New Roman" w:eastAsia="黑体" w:cs="Times New Roman"/>
            </w:rPr>
            <w:t>.1</w:t>
          </w:r>
          <w:r>
            <w:rPr>
              <w:rFonts w:hint="eastAsia" w:ascii="Times New Roman" w:hAnsi="Times New Roman" w:cs="Times New Roman"/>
              <w:lang w:val="en-US" w:eastAsia="zh-CN"/>
            </w:rPr>
            <w:t xml:space="preserve"> </w:t>
          </w:r>
          <w:r>
            <w:rPr>
              <w:rFonts w:hint="default" w:ascii="Times New Roman" w:hAnsi="Times New Roman" w:eastAsia="黑体" w:cs="Times New Roman"/>
            </w:rPr>
            <w:t>工作制度</w:t>
          </w:r>
          <w:r>
            <w:rPr>
              <w:rFonts w:hint="eastAsia" w:ascii="Times New Roman" w:hAnsi="Times New Roman" w:cs="Times New Roman"/>
              <w:lang w:eastAsia="zh-CN"/>
            </w:rPr>
            <w:t>、</w:t>
          </w:r>
          <w:r>
            <w:rPr>
              <w:rFonts w:hint="eastAsia" w:ascii="Times New Roman" w:hAnsi="Times New Roman" w:cs="Times New Roman"/>
              <w:lang w:val="en-US" w:eastAsia="zh-CN"/>
            </w:rPr>
            <w:t>劳动定员</w:t>
          </w:r>
          <w:r>
            <w:tab/>
          </w:r>
          <w:r>
            <w:fldChar w:fldCharType="begin"/>
          </w:r>
          <w:r>
            <w:instrText xml:space="preserve"> PAGEREF _Toc24188 \h </w:instrText>
          </w:r>
          <w:r>
            <w:fldChar w:fldCharType="separate"/>
          </w:r>
          <w:r>
            <w:t>21</w:t>
          </w:r>
          <w:r>
            <w:fldChar w:fldCharType="end"/>
          </w:r>
          <w:r>
            <w:rPr>
              <w:color w:val="000000" w:themeColor="text1"/>
              <w14:textFill>
                <w14:solidFill>
                  <w14:schemeClr w14:val="tx1"/>
                </w14:solidFill>
              </w14:textFill>
            </w:rPr>
            <w:fldChar w:fldCharType="end"/>
          </w:r>
        </w:p>
        <w:p w14:paraId="004ADD7D">
          <w:pPr>
            <w:pStyle w:val="28"/>
            <w:tabs>
              <w:tab w:val="right" w:leader="dot" w:pos="8504"/>
            </w:tabs>
          </w:pPr>
          <w:r>
            <w:rPr>
              <w:color w:val="000000" w:themeColor="text1"/>
              <w14:textFill>
                <w14:solidFill>
                  <w14:schemeClr w14:val="tx1"/>
                </w14:solidFill>
              </w14:textFill>
            </w:rPr>
            <w:fldChar w:fldCharType="begin"/>
          </w:r>
          <w:r>
            <w:instrText xml:space="preserve"> HYPERLINK \l _Toc24961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6</w:t>
          </w:r>
          <w:r>
            <w:rPr>
              <w:rFonts w:hint="default" w:ascii="Times New Roman" w:hAnsi="Times New Roman" w:eastAsia="黑体" w:cs="Times New Roman"/>
            </w:rPr>
            <w:t>.2</w:t>
          </w:r>
          <w:r>
            <w:rPr>
              <w:rFonts w:hint="default" w:ascii="Times New Roman" w:hAnsi="Times New Roman" w:eastAsia="黑体" w:cs="Times New Roman"/>
              <w:lang w:val="en-US" w:eastAsia="zh-CN"/>
            </w:rPr>
            <w:t xml:space="preserve"> 安全管理机构</w:t>
          </w:r>
          <w:r>
            <w:tab/>
          </w:r>
          <w:r>
            <w:fldChar w:fldCharType="begin"/>
          </w:r>
          <w:r>
            <w:instrText xml:space="preserve"> PAGEREF _Toc24961 \h </w:instrText>
          </w:r>
          <w:r>
            <w:fldChar w:fldCharType="separate"/>
          </w:r>
          <w:r>
            <w:t>21</w:t>
          </w:r>
          <w:r>
            <w:fldChar w:fldCharType="end"/>
          </w:r>
          <w:r>
            <w:rPr>
              <w:color w:val="000000" w:themeColor="text1"/>
              <w14:textFill>
                <w14:solidFill>
                  <w14:schemeClr w14:val="tx1"/>
                </w14:solidFill>
              </w14:textFill>
            </w:rPr>
            <w:fldChar w:fldCharType="end"/>
          </w:r>
        </w:p>
        <w:p w14:paraId="52DB0928">
          <w:pPr>
            <w:pStyle w:val="28"/>
            <w:tabs>
              <w:tab w:val="right" w:leader="dot" w:pos="8504"/>
            </w:tabs>
          </w:pPr>
          <w:r>
            <w:rPr>
              <w:color w:val="000000" w:themeColor="text1"/>
              <w14:textFill>
                <w14:solidFill>
                  <w14:schemeClr w14:val="tx1"/>
                </w14:solidFill>
              </w14:textFill>
            </w:rPr>
            <w:fldChar w:fldCharType="begin"/>
          </w:r>
          <w:r>
            <w:instrText xml:space="preserve"> HYPERLINK \l _Toc4640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6</w:t>
          </w:r>
          <w:r>
            <w:rPr>
              <w:rFonts w:hint="default" w:ascii="Times New Roman" w:hAnsi="Times New Roman" w:eastAsia="黑体" w:cs="Times New Roman"/>
            </w:rPr>
            <w:t>.</w:t>
          </w:r>
          <w:r>
            <w:rPr>
              <w:rFonts w:hint="eastAsia" w:ascii="Times New Roman" w:hAnsi="Times New Roman" w:cs="Times New Roman"/>
              <w:lang w:val="en-US" w:eastAsia="zh-CN"/>
            </w:rPr>
            <w:t xml:space="preserve">3 </w:t>
          </w:r>
          <w:r>
            <w:rPr>
              <w:rFonts w:hint="default" w:ascii="Times New Roman" w:hAnsi="Times New Roman" w:eastAsia="黑体" w:cs="Times New Roman"/>
            </w:rPr>
            <w:t>安全管理制度、安全生产责任制及安全操作规程</w:t>
          </w:r>
          <w:r>
            <w:tab/>
          </w:r>
          <w:r>
            <w:fldChar w:fldCharType="begin"/>
          </w:r>
          <w:r>
            <w:instrText xml:space="preserve"> PAGEREF _Toc4640 \h </w:instrText>
          </w:r>
          <w:r>
            <w:fldChar w:fldCharType="separate"/>
          </w:r>
          <w:r>
            <w:t>22</w:t>
          </w:r>
          <w:r>
            <w:fldChar w:fldCharType="end"/>
          </w:r>
          <w:r>
            <w:rPr>
              <w:color w:val="000000" w:themeColor="text1"/>
              <w14:textFill>
                <w14:solidFill>
                  <w14:schemeClr w14:val="tx1"/>
                </w14:solidFill>
              </w14:textFill>
            </w:rPr>
            <w:fldChar w:fldCharType="end"/>
          </w:r>
        </w:p>
        <w:p w14:paraId="013F1913">
          <w:pPr>
            <w:pStyle w:val="28"/>
            <w:tabs>
              <w:tab w:val="right" w:leader="dot" w:pos="8504"/>
            </w:tabs>
          </w:pPr>
          <w:r>
            <w:rPr>
              <w:color w:val="000000" w:themeColor="text1"/>
              <w14:textFill>
                <w14:solidFill>
                  <w14:schemeClr w14:val="tx1"/>
                </w14:solidFill>
              </w14:textFill>
            </w:rPr>
            <w:fldChar w:fldCharType="begin"/>
          </w:r>
          <w:r>
            <w:instrText xml:space="preserve"> HYPERLINK \l _Toc873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6</w:t>
          </w:r>
          <w:r>
            <w:rPr>
              <w:rFonts w:hint="default" w:ascii="Times New Roman" w:hAnsi="Times New Roman" w:eastAsia="黑体" w:cs="Times New Roman"/>
            </w:rPr>
            <w:t>.</w:t>
          </w:r>
          <w:r>
            <w:rPr>
              <w:rFonts w:hint="eastAsia" w:ascii="Times New Roman" w:hAnsi="Times New Roman" w:cs="Times New Roman"/>
              <w:lang w:val="en-US" w:eastAsia="zh-CN"/>
            </w:rPr>
            <w:t xml:space="preserve">4 </w:t>
          </w:r>
          <w:r>
            <w:rPr>
              <w:rFonts w:hint="default" w:ascii="Times New Roman" w:hAnsi="Times New Roman" w:eastAsia="黑体" w:cs="Times New Roman"/>
            </w:rPr>
            <w:t>安全管理人员及特种作业人员持证上岗情况</w:t>
          </w:r>
          <w:r>
            <w:tab/>
          </w:r>
          <w:r>
            <w:fldChar w:fldCharType="begin"/>
          </w:r>
          <w:r>
            <w:instrText xml:space="preserve"> PAGEREF _Toc873 \h </w:instrText>
          </w:r>
          <w:r>
            <w:fldChar w:fldCharType="separate"/>
          </w:r>
          <w:r>
            <w:t>23</w:t>
          </w:r>
          <w:r>
            <w:fldChar w:fldCharType="end"/>
          </w:r>
          <w:r>
            <w:rPr>
              <w:color w:val="000000" w:themeColor="text1"/>
              <w14:textFill>
                <w14:solidFill>
                  <w14:schemeClr w14:val="tx1"/>
                </w14:solidFill>
              </w14:textFill>
            </w:rPr>
            <w:fldChar w:fldCharType="end"/>
          </w:r>
        </w:p>
        <w:p w14:paraId="03850C23">
          <w:pPr>
            <w:pStyle w:val="28"/>
            <w:tabs>
              <w:tab w:val="right" w:leader="dot" w:pos="8504"/>
            </w:tabs>
          </w:pPr>
          <w:r>
            <w:rPr>
              <w:color w:val="000000" w:themeColor="text1"/>
              <w14:textFill>
                <w14:solidFill>
                  <w14:schemeClr w14:val="tx1"/>
                </w14:solidFill>
              </w14:textFill>
            </w:rPr>
            <w:fldChar w:fldCharType="begin"/>
          </w:r>
          <w:r>
            <w:instrText xml:space="preserve"> HYPERLINK \l _Toc21904 </w:instrText>
          </w:r>
          <w:r>
            <w:fldChar w:fldCharType="separate"/>
          </w:r>
          <w:r>
            <w:rPr>
              <w:rFonts w:hint="default" w:ascii="Times New Roman" w:hAnsi="Times New Roman" w:eastAsia="黑体" w:cs="Times New Roman"/>
            </w:rPr>
            <w:t>2.</w:t>
          </w:r>
          <w:r>
            <w:rPr>
              <w:rFonts w:hint="eastAsia" w:ascii="Times New Roman" w:hAnsi="Times New Roman" w:cs="Times New Roman"/>
              <w:lang w:val="en-US" w:eastAsia="zh-CN"/>
            </w:rPr>
            <w:t>6</w:t>
          </w:r>
          <w:r>
            <w:rPr>
              <w:rFonts w:hint="default" w:ascii="Times New Roman" w:hAnsi="Times New Roman" w:eastAsia="黑体" w:cs="Times New Roman"/>
            </w:rPr>
            <w:t>.</w:t>
          </w:r>
          <w:r>
            <w:rPr>
              <w:rFonts w:hint="eastAsia" w:ascii="Times New Roman" w:hAnsi="Times New Roman" w:cs="Times New Roman"/>
              <w:lang w:val="en-US" w:eastAsia="zh-CN"/>
            </w:rPr>
            <w:t xml:space="preserve">5 </w:t>
          </w:r>
          <w:r>
            <w:rPr>
              <w:rFonts w:hint="default" w:ascii="Times New Roman" w:hAnsi="Times New Roman" w:eastAsia="黑体" w:cs="Times New Roman"/>
            </w:rPr>
            <w:t>安全生产资金投入</w:t>
          </w:r>
          <w:r>
            <w:tab/>
          </w:r>
          <w:r>
            <w:fldChar w:fldCharType="begin"/>
          </w:r>
          <w:r>
            <w:instrText xml:space="preserve"> PAGEREF _Toc21904 \h </w:instrText>
          </w:r>
          <w:r>
            <w:fldChar w:fldCharType="separate"/>
          </w:r>
          <w:r>
            <w:t>24</w:t>
          </w:r>
          <w:r>
            <w:fldChar w:fldCharType="end"/>
          </w:r>
          <w:r>
            <w:rPr>
              <w:color w:val="000000" w:themeColor="text1"/>
              <w14:textFill>
                <w14:solidFill>
                  <w14:schemeClr w14:val="tx1"/>
                </w14:solidFill>
              </w14:textFill>
            </w:rPr>
            <w:fldChar w:fldCharType="end"/>
          </w:r>
        </w:p>
        <w:p w14:paraId="02CD8F45">
          <w:pPr>
            <w:pStyle w:val="28"/>
            <w:tabs>
              <w:tab w:val="right" w:leader="dot" w:pos="8504"/>
            </w:tabs>
          </w:pPr>
          <w:r>
            <w:rPr>
              <w:color w:val="000000" w:themeColor="text1"/>
              <w14:textFill>
                <w14:solidFill>
                  <w14:schemeClr w14:val="tx1"/>
                </w14:solidFill>
              </w14:textFill>
            </w:rPr>
            <w:fldChar w:fldCharType="begin"/>
          </w:r>
          <w:r>
            <w:instrText xml:space="preserve"> HYPERLINK \l _Toc7879 </w:instrText>
          </w:r>
          <w:r>
            <w:fldChar w:fldCharType="separate"/>
          </w:r>
          <w:r>
            <w:rPr>
              <w:rFonts w:hint="default"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default" w:ascii="Times New Roman" w:hAnsi="Times New Roman" w:eastAsia="黑体" w:cs="Times New Roman"/>
              <w:lang w:val="zh-CN" w:eastAsia="zh-CN"/>
            </w:rPr>
            <w:t>.</w:t>
          </w:r>
          <w:r>
            <w:rPr>
              <w:rFonts w:hint="eastAsia" w:ascii="Times New Roman" w:hAnsi="Times New Roman" w:cs="Times New Roman"/>
              <w:lang w:val="en-US" w:eastAsia="zh-CN"/>
            </w:rPr>
            <w:t xml:space="preserve">6 </w:t>
          </w:r>
          <w:r>
            <w:rPr>
              <w:rFonts w:hint="default" w:ascii="Times New Roman" w:hAnsi="Times New Roman" w:eastAsia="黑体" w:cs="Times New Roman"/>
              <w:lang w:val="zh-CN" w:eastAsia="zh-CN"/>
            </w:rPr>
            <w:t>劳动防护用品的配备</w:t>
          </w:r>
          <w:r>
            <w:tab/>
          </w:r>
          <w:r>
            <w:fldChar w:fldCharType="begin"/>
          </w:r>
          <w:r>
            <w:instrText xml:space="preserve"> PAGEREF _Toc7879 \h </w:instrText>
          </w:r>
          <w:r>
            <w:fldChar w:fldCharType="separate"/>
          </w:r>
          <w:r>
            <w:t>25</w:t>
          </w:r>
          <w:r>
            <w:fldChar w:fldCharType="end"/>
          </w:r>
          <w:r>
            <w:rPr>
              <w:color w:val="000000" w:themeColor="text1"/>
              <w14:textFill>
                <w14:solidFill>
                  <w14:schemeClr w14:val="tx1"/>
                </w14:solidFill>
              </w14:textFill>
            </w:rPr>
            <w:fldChar w:fldCharType="end"/>
          </w:r>
        </w:p>
        <w:p w14:paraId="424FF1FA">
          <w:pPr>
            <w:pStyle w:val="28"/>
            <w:tabs>
              <w:tab w:val="right" w:leader="dot" w:pos="8504"/>
            </w:tabs>
          </w:pPr>
          <w:r>
            <w:rPr>
              <w:color w:val="000000" w:themeColor="text1"/>
              <w14:textFill>
                <w14:solidFill>
                  <w14:schemeClr w14:val="tx1"/>
                </w14:solidFill>
              </w14:textFill>
            </w:rPr>
            <w:fldChar w:fldCharType="begin"/>
          </w:r>
          <w:r>
            <w:instrText xml:space="preserve"> HYPERLINK \l _Toc12041 </w:instrText>
          </w:r>
          <w:r>
            <w:fldChar w:fldCharType="separate"/>
          </w:r>
          <w:r>
            <w:rPr>
              <w:rFonts w:hint="eastAsia"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eastAsia" w:ascii="Times New Roman" w:hAnsi="Times New Roman" w:eastAsia="黑体" w:cs="Times New Roman"/>
              <w:lang w:val="zh-CN" w:eastAsia="zh-CN"/>
            </w:rPr>
            <w:t>.</w:t>
          </w:r>
          <w:r>
            <w:rPr>
              <w:rFonts w:hint="eastAsia" w:ascii="Times New Roman" w:hAnsi="Times New Roman" w:cs="Times New Roman"/>
              <w:lang w:val="en-US" w:eastAsia="zh-CN"/>
            </w:rPr>
            <w:t xml:space="preserve">7 </w:t>
          </w:r>
          <w:r>
            <w:rPr>
              <w:rFonts w:hint="eastAsia" w:ascii="Times New Roman" w:hAnsi="Times New Roman" w:eastAsia="黑体" w:cs="Times New Roman"/>
              <w:lang w:val="zh-CN" w:eastAsia="zh-CN"/>
            </w:rPr>
            <w:t>安全警示、标志</w:t>
          </w:r>
          <w:r>
            <w:tab/>
          </w:r>
          <w:r>
            <w:fldChar w:fldCharType="begin"/>
          </w:r>
          <w:r>
            <w:instrText xml:space="preserve"> PAGEREF _Toc12041 \h </w:instrText>
          </w:r>
          <w:r>
            <w:fldChar w:fldCharType="separate"/>
          </w:r>
          <w:r>
            <w:t>25</w:t>
          </w:r>
          <w:r>
            <w:fldChar w:fldCharType="end"/>
          </w:r>
          <w:r>
            <w:rPr>
              <w:color w:val="000000" w:themeColor="text1"/>
              <w14:textFill>
                <w14:solidFill>
                  <w14:schemeClr w14:val="tx1"/>
                </w14:solidFill>
              </w14:textFill>
            </w:rPr>
            <w:fldChar w:fldCharType="end"/>
          </w:r>
        </w:p>
        <w:p w14:paraId="0DD39278">
          <w:pPr>
            <w:pStyle w:val="28"/>
            <w:tabs>
              <w:tab w:val="right" w:leader="dot" w:pos="8504"/>
            </w:tabs>
          </w:pPr>
          <w:r>
            <w:rPr>
              <w:color w:val="000000" w:themeColor="text1"/>
              <w14:textFill>
                <w14:solidFill>
                  <w14:schemeClr w14:val="tx1"/>
                </w14:solidFill>
              </w14:textFill>
            </w:rPr>
            <w:fldChar w:fldCharType="begin"/>
          </w:r>
          <w:r>
            <w:instrText xml:space="preserve"> HYPERLINK \l _Toc31170 </w:instrText>
          </w:r>
          <w:r>
            <w:fldChar w:fldCharType="separate"/>
          </w:r>
          <w:r>
            <w:rPr>
              <w:rFonts w:hint="eastAsia"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eastAsia" w:ascii="Times New Roman" w:hAnsi="Times New Roman" w:eastAsia="黑体" w:cs="Times New Roman"/>
              <w:lang w:val="zh-CN" w:eastAsia="zh-CN"/>
            </w:rPr>
            <w:t>.</w:t>
          </w:r>
          <w:r>
            <w:rPr>
              <w:rFonts w:hint="eastAsia" w:ascii="Times New Roman" w:hAnsi="Times New Roman" w:cs="Times New Roman"/>
              <w:lang w:val="en-US" w:eastAsia="zh-CN"/>
            </w:rPr>
            <w:t xml:space="preserve">8 </w:t>
          </w:r>
          <w:r>
            <w:rPr>
              <w:rFonts w:hint="eastAsia" w:ascii="Times New Roman" w:hAnsi="Times New Roman" w:eastAsia="黑体" w:cs="Times New Roman"/>
              <w:lang w:val="zh-CN" w:eastAsia="zh-CN"/>
            </w:rPr>
            <w:t>应急救援预案</w:t>
          </w:r>
          <w:r>
            <w:tab/>
          </w:r>
          <w:r>
            <w:fldChar w:fldCharType="begin"/>
          </w:r>
          <w:r>
            <w:instrText xml:space="preserve"> PAGEREF _Toc31170 \h </w:instrText>
          </w:r>
          <w:r>
            <w:fldChar w:fldCharType="separate"/>
          </w:r>
          <w:r>
            <w:t>25</w:t>
          </w:r>
          <w:r>
            <w:fldChar w:fldCharType="end"/>
          </w:r>
          <w:r>
            <w:rPr>
              <w:color w:val="000000" w:themeColor="text1"/>
              <w14:textFill>
                <w14:solidFill>
                  <w14:schemeClr w14:val="tx1"/>
                </w14:solidFill>
              </w14:textFill>
            </w:rPr>
            <w:fldChar w:fldCharType="end"/>
          </w:r>
        </w:p>
        <w:p w14:paraId="0FC8B88D">
          <w:pPr>
            <w:pStyle w:val="28"/>
            <w:tabs>
              <w:tab w:val="right" w:leader="dot" w:pos="8504"/>
            </w:tabs>
          </w:pPr>
          <w:r>
            <w:rPr>
              <w:color w:val="000000" w:themeColor="text1"/>
              <w14:textFill>
                <w14:solidFill>
                  <w14:schemeClr w14:val="tx1"/>
                </w14:solidFill>
              </w14:textFill>
            </w:rPr>
            <w:fldChar w:fldCharType="begin"/>
          </w:r>
          <w:r>
            <w:instrText xml:space="preserve"> HYPERLINK \l _Toc10638 </w:instrText>
          </w:r>
          <w:r>
            <w:fldChar w:fldCharType="separate"/>
          </w:r>
          <w:r>
            <w:rPr>
              <w:rFonts w:hint="eastAsia"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eastAsia" w:ascii="Times New Roman" w:hAnsi="Times New Roman" w:eastAsia="黑体" w:cs="Times New Roman"/>
              <w:lang w:val="zh-CN" w:eastAsia="zh-CN"/>
            </w:rPr>
            <w:t>.</w:t>
          </w:r>
          <w:r>
            <w:rPr>
              <w:rFonts w:hint="eastAsia" w:ascii="Times New Roman" w:hAnsi="Times New Roman" w:cs="Times New Roman"/>
              <w:lang w:val="en-US" w:eastAsia="zh-CN"/>
            </w:rPr>
            <w:t xml:space="preserve">9 </w:t>
          </w:r>
          <w:r>
            <w:rPr>
              <w:rFonts w:hint="eastAsia" w:ascii="Times New Roman" w:hAnsi="Times New Roman" w:eastAsia="黑体" w:cs="Times New Roman"/>
              <w:lang w:val="zh-CN" w:eastAsia="zh-CN"/>
            </w:rPr>
            <w:t>保险缴纳情况</w:t>
          </w:r>
          <w:r>
            <w:tab/>
          </w:r>
          <w:r>
            <w:fldChar w:fldCharType="begin"/>
          </w:r>
          <w:r>
            <w:instrText xml:space="preserve"> PAGEREF _Toc10638 \h </w:instrText>
          </w:r>
          <w:r>
            <w:fldChar w:fldCharType="separate"/>
          </w:r>
          <w:r>
            <w:t>25</w:t>
          </w:r>
          <w:r>
            <w:fldChar w:fldCharType="end"/>
          </w:r>
          <w:r>
            <w:rPr>
              <w:color w:val="000000" w:themeColor="text1"/>
              <w14:textFill>
                <w14:solidFill>
                  <w14:schemeClr w14:val="tx1"/>
                </w14:solidFill>
              </w14:textFill>
            </w:rPr>
            <w:fldChar w:fldCharType="end"/>
          </w:r>
        </w:p>
        <w:p w14:paraId="4ADA1740">
          <w:pPr>
            <w:pStyle w:val="28"/>
            <w:tabs>
              <w:tab w:val="right" w:leader="dot" w:pos="8504"/>
            </w:tabs>
          </w:pPr>
          <w:r>
            <w:rPr>
              <w:color w:val="000000" w:themeColor="text1"/>
              <w14:textFill>
                <w14:solidFill>
                  <w14:schemeClr w14:val="tx1"/>
                </w14:solidFill>
              </w14:textFill>
            </w:rPr>
            <w:fldChar w:fldCharType="begin"/>
          </w:r>
          <w:r>
            <w:instrText xml:space="preserve"> HYPERLINK \l _Toc8950 </w:instrText>
          </w:r>
          <w:r>
            <w:fldChar w:fldCharType="separate"/>
          </w:r>
          <w:r>
            <w:rPr>
              <w:rFonts w:hint="eastAsia"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eastAsia" w:ascii="Times New Roman" w:hAnsi="Times New Roman" w:eastAsia="黑体" w:cs="Times New Roman"/>
              <w:lang w:val="zh-CN" w:eastAsia="zh-CN"/>
            </w:rPr>
            <w:t>.</w:t>
          </w:r>
          <w:r>
            <w:rPr>
              <w:rFonts w:hint="eastAsia" w:ascii="Times New Roman" w:hAnsi="Times New Roman" w:cs="Times New Roman"/>
              <w:lang w:val="en-US" w:eastAsia="zh-CN"/>
            </w:rPr>
            <w:t>10</w:t>
          </w:r>
          <w:r>
            <w:rPr>
              <w:rFonts w:hint="eastAsia" w:ascii="Times New Roman" w:hAnsi="Times New Roman" w:eastAsia="黑体" w:cs="Times New Roman"/>
              <w:lang w:val="zh-CN" w:eastAsia="zh-CN"/>
            </w:rPr>
            <w:t>安全生产标准化创建情况</w:t>
          </w:r>
          <w:r>
            <w:tab/>
          </w:r>
          <w:r>
            <w:fldChar w:fldCharType="begin"/>
          </w:r>
          <w:r>
            <w:instrText xml:space="preserve"> PAGEREF _Toc8950 \h </w:instrText>
          </w:r>
          <w:r>
            <w:fldChar w:fldCharType="separate"/>
          </w:r>
          <w:r>
            <w:t>25</w:t>
          </w:r>
          <w:r>
            <w:fldChar w:fldCharType="end"/>
          </w:r>
          <w:r>
            <w:rPr>
              <w:color w:val="000000" w:themeColor="text1"/>
              <w14:textFill>
                <w14:solidFill>
                  <w14:schemeClr w14:val="tx1"/>
                </w14:solidFill>
              </w14:textFill>
            </w:rPr>
            <w:fldChar w:fldCharType="end"/>
          </w:r>
        </w:p>
        <w:p w14:paraId="2EF928F3">
          <w:pPr>
            <w:pStyle w:val="28"/>
            <w:tabs>
              <w:tab w:val="right" w:leader="dot" w:pos="8504"/>
            </w:tabs>
          </w:pPr>
          <w:r>
            <w:rPr>
              <w:color w:val="000000" w:themeColor="text1"/>
              <w14:textFill>
                <w14:solidFill>
                  <w14:schemeClr w14:val="tx1"/>
                </w14:solidFill>
              </w14:textFill>
            </w:rPr>
            <w:fldChar w:fldCharType="begin"/>
          </w:r>
          <w:r>
            <w:instrText xml:space="preserve"> HYPERLINK \l _Toc12870 </w:instrText>
          </w:r>
          <w:r>
            <w:fldChar w:fldCharType="separate"/>
          </w:r>
          <w:r>
            <w:rPr>
              <w:rFonts w:hint="eastAsia" w:ascii="Times New Roman" w:hAnsi="Times New Roman" w:eastAsia="黑体" w:cs="Times New Roman"/>
              <w:lang w:val="zh-CN" w:eastAsia="zh-CN"/>
            </w:rPr>
            <w:t>2.</w:t>
          </w:r>
          <w:r>
            <w:rPr>
              <w:rFonts w:hint="eastAsia" w:ascii="Times New Roman" w:hAnsi="Times New Roman" w:cs="Times New Roman"/>
              <w:lang w:val="en-US" w:eastAsia="zh-CN"/>
            </w:rPr>
            <w:t>6</w:t>
          </w:r>
          <w:r>
            <w:rPr>
              <w:rFonts w:hint="eastAsia" w:ascii="Times New Roman" w:hAnsi="Times New Roman" w:eastAsia="黑体" w:cs="Times New Roman"/>
              <w:lang w:val="zh-CN" w:eastAsia="zh-CN"/>
            </w:rPr>
            <w:t>.</w:t>
          </w:r>
          <w:r>
            <w:rPr>
              <w:rFonts w:hint="eastAsia" w:ascii="Times New Roman" w:hAnsi="Times New Roman" w:eastAsia="黑体" w:cs="Times New Roman"/>
              <w:lang w:val="en-US" w:eastAsia="zh-CN"/>
            </w:rPr>
            <w:t>1</w:t>
          </w:r>
          <w:r>
            <w:rPr>
              <w:rFonts w:hint="eastAsia" w:ascii="Times New Roman" w:hAnsi="Times New Roman" w:cs="Times New Roman"/>
              <w:lang w:val="en-US" w:eastAsia="zh-CN"/>
            </w:rPr>
            <w:t>1</w:t>
          </w:r>
          <w:r>
            <w:rPr>
              <w:rFonts w:hint="eastAsia" w:ascii="Times New Roman" w:hAnsi="Times New Roman" w:eastAsia="黑体" w:cs="Times New Roman"/>
              <w:lang w:val="en-US" w:eastAsia="zh-CN"/>
            </w:rPr>
            <w:t xml:space="preserve"> 安全生产情况</w:t>
          </w:r>
          <w:r>
            <w:tab/>
          </w:r>
          <w:r>
            <w:fldChar w:fldCharType="begin"/>
          </w:r>
          <w:r>
            <w:instrText xml:space="preserve"> PAGEREF _Toc12870 \h </w:instrText>
          </w:r>
          <w:r>
            <w:fldChar w:fldCharType="separate"/>
          </w:r>
          <w:r>
            <w:t>25</w:t>
          </w:r>
          <w:r>
            <w:fldChar w:fldCharType="end"/>
          </w:r>
          <w:r>
            <w:rPr>
              <w:color w:val="000000" w:themeColor="text1"/>
              <w14:textFill>
                <w14:solidFill>
                  <w14:schemeClr w14:val="tx1"/>
                </w14:solidFill>
              </w14:textFill>
            </w:rPr>
            <w:fldChar w:fldCharType="end"/>
          </w:r>
        </w:p>
        <w:p w14:paraId="18B0FBEF">
          <w:pPr>
            <w:pStyle w:val="43"/>
            <w:tabs>
              <w:tab w:val="right" w:leader="dot" w:pos="8504"/>
            </w:tabs>
          </w:pPr>
          <w:r>
            <w:rPr>
              <w:color w:val="000000" w:themeColor="text1"/>
              <w14:textFill>
                <w14:solidFill>
                  <w14:schemeClr w14:val="tx1"/>
                </w14:solidFill>
              </w14:textFill>
            </w:rPr>
            <w:fldChar w:fldCharType="begin"/>
          </w:r>
          <w:r>
            <w:instrText xml:space="preserve"> HYPERLINK \l _Toc4075 </w:instrText>
          </w:r>
          <w:r>
            <w:fldChar w:fldCharType="separate"/>
          </w:r>
          <w:r>
            <w:rPr>
              <w:rFonts w:hint="default" w:ascii="Times New Roman" w:hAnsi="Times New Roman" w:eastAsia="楷体" w:cs="Times New Roman"/>
            </w:rPr>
            <w:t>2.</w:t>
          </w:r>
          <w:r>
            <w:rPr>
              <w:rFonts w:hint="eastAsia" w:ascii="Times New Roman" w:hAnsi="Times New Roman" w:cs="Times New Roman"/>
              <w:lang w:val="en-US" w:eastAsia="zh-CN"/>
            </w:rPr>
            <w:t xml:space="preserve">7 </w:t>
          </w:r>
          <w:r>
            <w:rPr>
              <w:rFonts w:hint="default" w:ascii="Times New Roman" w:hAnsi="Times New Roman" w:eastAsia="楷体" w:cs="Times New Roman"/>
            </w:rPr>
            <w:t>现场照片</w:t>
          </w:r>
          <w:r>
            <w:tab/>
          </w:r>
          <w:r>
            <w:fldChar w:fldCharType="begin"/>
          </w:r>
          <w:r>
            <w:instrText xml:space="preserve"> PAGEREF _Toc4075 \h </w:instrText>
          </w:r>
          <w:r>
            <w:fldChar w:fldCharType="separate"/>
          </w:r>
          <w:r>
            <w:t>26</w:t>
          </w:r>
          <w:r>
            <w:fldChar w:fldCharType="end"/>
          </w:r>
          <w:r>
            <w:rPr>
              <w:color w:val="000000" w:themeColor="text1"/>
              <w14:textFill>
                <w14:solidFill>
                  <w14:schemeClr w14:val="tx1"/>
                </w14:solidFill>
              </w14:textFill>
            </w:rPr>
            <w:fldChar w:fldCharType="end"/>
          </w:r>
        </w:p>
        <w:p w14:paraId="1DE52D8E">
          <w:pPr>
            <w:pStyle w:val="35"/>
            <w:tabs>
              <w:tab w:val="right" w:leader="dot" w:pos="8504"/>
            </w:tabs>
          </w:pPr>
          <w:r>
            <w:rPr>
              <w:color w:val="000000" w:themeColor="text1"/>
              <w14:textFill>
                <w14:solidFill>
                  <w14:schemeClr w14:val="tx1"/>
                </w14:solidFill>
              </w14:textFill>
            </w:rPr>
            <w:fldChar w:fldCharType="begin"/>
          </w:r>
          <w:r>
            <w:instrText xml:space="preserve"> HYPERLINK \l _Toc6580 </w:instrText>
          </w:r>
          <w:r>
            <w:fldChar w:fldCharType="separate"/>
          </w:r>
          <w:r>
            <w:rPr>
              <w:rFonts w:hint="default" w:ascii="Times New Roman" w:hAnsi="Times New Roman" w:eastAsia="黑体" w:cs="Times New Roman"/>
            </w:rPr>
            <w:t>第3章  主要危险、有害因素辨识与分析</w:t>
          </w:r>
          <w:r>
            <w:tab/>
          </w:r>
          <w:r>
            <w:fldChar w:fldCharType="begin"/>
          </w:r>
          <w:r>
            <w:instrText xml:space="preserve"> PAGEREF _Toc6580 \h </w:instrText>
          </w:r>
          <w:r>
            <w:fldChar w:fldCharType="separate"/>
          </w:r>
          <w:r>
            <w:t>29</w:t>
          </w:r>
          <w:r>
            <w:fldChar w:fldCharType="end"/>
          </w:r>
          <w:r>
            <w:rPr>
              <w:color w:val="000000" w:themeColor="text1"/>
              <w14:textFill>
                <w14:solidFill>
                  <w14:schemeClr w14:val="tx1"/>
                </w14:solidFill>
              </w14:textFill>
            </w:rPr>
            <w:fldChar w:fldCharType="end"/>
          </w:r>
        </w:p>
        <w:p w14:paraId="01D1E634">
          <w:pPr>
            <w:pStyle w:val="43"/>
            <w:tabs>
              <w:tab w:val="right" w:leader="dot" w:pos="8504"/>
            </w:tabs>
          </w:pPr>
          <w:r>
            <w:rPr>
              <w:color w:val="000000" w:themeColor="text1"/>
              <w14:textFill>
                <w14:solidFill>
                  <w14:schemeClr w14:val="tx1"/>
                </w14:solidFill>
              </w14:textFill>
            </w:rPr>
            <w:fldChar w:fldCharType="begin"/>
          </w:r>
          <w:r>
            <w:instrText xml:space="preserve"> HYPERLINK \l _Toc992 </w:instrText>
          </w:r>
          <w:r>
            <w:fldChar w:fldCharType="separate"/>
          </w:r>
          <w:r>
            <w:rPr>
              <w:rFonts w:hint="default" w:ascii="Times New Roman" w:hAnsi="Times New Roman" w:eastAsia="楷体" w:cs="Times New Roman"/>
            </w:rPr>
            <w:t>3.1</w:t>
          </w:r>
          <w:r>
            <w:rPr>
              <w:rFonts w:hint="eastAsia" w:ascii="Times New Roman" w:hAnsi="Times New Roman" w:cs="Times New Roman"/>
              <w:lang w:val="en-US" w:eastAsia="zh-CN"/>
            </w:rPr>
            <w:t xml:space="preserve"> </w:t>
          </w:r>
          <w:r>
            <w:rPr>
              <w:rFonts w:hint="default" w:ascii="Times New Roman" w:hAnsi="Times New Roman" w:eastAsia="楷体" w:cs="Times New Roman"/>
            </w:rPr>
            <w:t>辨识与分析的目的</w:t>
          </w:r>
          <w:r>
            <w:tab/>
          </w:r>
          <w:r>
            <w:fldChar w:fldCharType="begin"/>
          </w:r>
          <w:r>
            <w:instrText xml:space="preserve"> PAGEREF _Toc992 \h </w:instrText>
          </w:r>
          <w:r>
            <w:fldChar w:fldCharType="separate"/>
          </w:r>
          <w:r>
            <w:t>29</w:t>
          </w:r>
          <w:r>
            <w:fldChar w:fldCharType="end"/>
          </w:r>
          <w:r>
            <w:rPr>
              <w:color w:val="000000" w:themeColor="text1"/>
              <w14:textFill>
                <w14:solidFill>
                  <w14:schemeClr w14:val="tx1"/>
                </w14:solidFill>
              </w14:textFill>
            </w:rPr>
            <w:fldChar w:fldCharType="end"/>
          </w:r>
        </w:p>
        <w:p w14:paraId="729883BE">
          <w:pPr>
            <w:pStyle w:val="43"/>
            <w:tabs>
              <w:tab w:val="right" w:leader="dot" w:pos="8504"/>
            </w:tabs>
          </w:pPr>
          <w:r>
            <w:rPr>
              <w:color w:val="000000" w:themeColor="text1"/>
              <w14:textFill>
                <w14:solidFill>
                  <w14:schemeClr w14:val="tx1"/>
                </w14:solidFill>
              </w14:textFill>
            </w:rPr>
            <w:fldChar w:fldCharType="begin"/>
          </w:r>
          <w:r>
            <w:instrText xml:space="preserve"> HYPERLINK \l _Toc8116 </w:instrText>
          </w:r>
          <w:r>
            <w:fldChar w:fldCharType="separate"/>
          </w:r>
          <w:r>
            <w:rPr>
              <w:rFonts w:hint="default" w:ascii="Times New Roman" w:hAnsi="Times New Roman" w:eastAsia="楷体" w:cs="Times New Roman"/>
            </w:rPr>
            <w:t>3.</w:t>
          </w:r>
          <w:r>
            <w:rPr>
              <w:rFonts w:hint="default" w:ascii="Times New Roman" w:hAnsi="Times New Roman" w:eastAsia="楷体" w:cs="Times New Roman"/>
              <w:lang w:val="en-US" w:eastAsia="zh-CN"/>
            </w:rPr>
            <w:t>2</w:t>
          </w:r>
          <w:r>
            <w:rPr>
              <w:rFonts w:hint="eastAsia" w:ascii="Times New Roman" w:hAnsi="Times New Roman" w:cs="Times New Roman"/>
              <w:lang w:val="en-US" w:eastAsia="zh-CN"/>
            </w:rPr>
            <w:t xml:space="preserve"> </w:t>
          </w:r>
          <w:r>
            <w:rPr>
              <w:rFonts w:hint="default" w:ascii="Times New Roman" w:hAnsi="Times New Roman" w:eastAsia="楷体" w:cs="Times New Roman"/>
            </w:rPr>
            <w:t>辨识与分析的依据</w:t>
          </w:r>
          <w:r>
            <w:tab/>
          </w:r>
          <w:r>
            <w:fldChar w:fldCharType="begin"/>
          </w:r>
          <w:r>
            <w:instrText xml:space="preserve"> PAGEREF _Toc8116 \h </w:instrText>
          </w:r>
          <w:r>
            <w:fldChar w:fldCharType="separate"/>
          </w:r>
          <w:r>
            <w:t>29</w:t>
          </w:r>
          <w:r>
            <w:fldChar w:fldCharType="end"/>
          </w:r>
          <w:r>
            <w:rPr>
              <w:color w:val="000000" w:themeColor="text1"/>
              <w14:textFill>
                <w14:solidFill>
                  <w14:schemeClr w14:val="tx1"/>
                </w14:solidFill>
              </w14:textFill>
            </w:rPr>
            <w:fldChar w:fldCharType="end"/>
          </w:r>
        </w:p>
        <w:p w14:paraId="77040D73">
          <w:pPr>
            <w:pStyle w:val="43"/>
            <w:tabs>
              <w:tab w:val="right" w:leader="dot" w:pos="8504"/>
            </w:tabs>
          </w:pPr>
          <w:r>
            <w:rPr>
              <w:color w:val="000000" w:themeColor="text1"/>
              <w14:textFill>
                <w14:solidFill>
                  <w14:schemeClr w14:val="tx1"/>
                </w14:solidFill>
              </w14:textFill>
            </w:rPr>
            <w:fldChar w:fldCharType="begin"/>
          </w:r>
          <w:r>
            <w:instrText xml:space="preserve"> HYPERLINK \l _Toc10846 </w:instrText>
          </w:r>
          <w:r>
            <w:fldChar w:fldCharType="separate"/>
          </w:r>
          <w:r>
            <w:rPr>
              <w:rFonts w:hint="eastAsia" w:ascii="Times New Roman" w:hAnsi="Times New Roman" w:cs="Times New Roman"/>
              <w:lang w:val="en-US" w:eastAsia="zh-CN"/>
            </w:rPr>
            <w:t>3.3</w:t>
          </w:r>
          <w:r>
            <w:rPr>
              <w:rFonts w:hint="default" w:ascii="Times New Roman" w:hAnsi="Times New Roman" w:eastAsia="楷体" w:cs="Times New Roman"/>
            </w:rPr>
            <w:t>危险、有害因素产生的原因</w:t>
          </w:r>
          <w:r>
            <w:tab/>
          </w:r>
          <w:r>
            <w:fldChar w:fldCharType="begin"/>
          </w:r>
          <w:r>
            <w:instrText xml:space="preserve"> PAGEREF _Toc10846 \h </w:instrText>
          </w:r>
          <w:r>
            <w:fldChar w:fldCharType="separate"/>
          </w:r>
          <w:r>
            <w:t>30</w:t>
          </w:r>
          <w:r>
            <w:fldChar w:fldCharType="end"/>
          </w:r>
          <w:r>
            <w:rPr>
              <w:color w:val="000000" w:themeColor="text1"/>
              <w14:textFill>
                <w14:solidFill>
                  <w14:schemeClr w14:val="tx1"/>
                </w14:solidFill>
              </w14:textFill>
            </w:rPr>
            <w:fldChar w:fldCharType="end"/>
          </w:r>
        </w:p>
        <w:p w14:paraId="15B3F67B">
          <w:pPr>
            <w:pStyle w:val="28"/>
            <w:tabs>
              <w:tab w:val="right" w:leader="dot" w:pos="8504"/>
            </w:tabs>
          </w:pPr>
          <w:r>
            <w:rPr>
              <w:color w:val="000000" w:themeColor="text1"/>
              <w14:textFill>
                <w14:solidFill>
                  <w14:schemeClr w14:val="tx1"/>
                </w14:solidFill>
              </w14:textFill>
            </w:rPr>
            <w:fldChar w:fldCharType="begin"/>
          </w:r>
          <w:r>
            <w:instrText xml:space="preserve"> HYPERLINK \l _Toc26725 </w:instrText>
          </w:r>
          <w:r>
            <w:fldChar w:fldCharType="separate"/>
          </w:r>
          <w:r>
            <w:rPr>
              <w:rFonts w:hint="eastAsia" w:ascii="Times New Roman" w:hAnsi="Times New Roman" w:cs="Times New Roman"/>
              <w:lang w:val="en-US" w:eastAsia="zh-CN"/>
            </w:rPr>
            <w:t>3.3.1</w:t>
          </w:r>
          <w:r>
            <w:rPr>
              <w:rFonts w:hint="eastAsia" w:ascii="Times New Roman" w:hAnsi="Times New Roman" w:eastAsia="黑体" w:cs="Times New Roman"/>
              <w:lang w:val="zh-CN" w:eastAsia="zh-CN"/>
            </w:rPr>
            <w:t>运行失控与设备故障</w:t>
          </w:r>
          <w:r>
            <w:tab/>
          </w:r>
          <w:r>
            <w:fldChar w:fldCharType="begin"/>
          </w:r>
          <w:r>
            <w:instrText xml:space="preserve"> PAGEREF _Toc26725 \h </w:instrText>
          </w:r>
          <w:r>
            <w:fldChar w:fldCharType="separate"/>
          </w:r>
          <w:r>
            <w:t>30</w:t>
          </w:r>
          <w:r>
            <w:fldChar w:fldCharType="end"/>
          </w:r>
          <w:r>
            <w:rPr>
              <w:color w:val="000000" w:themeColor="text1"/>
              <w14:textFill>
                <w14:solidFill>
                  <w14:schemeClr w14:val="tx1"/>
                </w14:solidFill>
              </w14:textFill>
            </w:rPr>
            <w:fldChar w:fldCharType="end"/>
          </w:r>
        </w:p>
        <w:p w14:paraId="08BE625E">
          <w:pPr>
            <w:pStyle w:val="28"/>
            <w:tabs>
              <w:tab w:val="right" w:leader="dot" w:pos="8504"/>
            </w:tabs>
          </w:pPr>
          <w:r>
            <w:rPr>
              <w:color w:val="000000" w:themeColor="text1"/>
              <w14:textFill>
                <w14:solidFill>
                  <w14:schemeClr w14:val="tx1"/>
                </w14:solidFill>
              </w14:textFill>
            </w:rPr>
            <w:fldChar w:fldCharType="begin"/>
          </w:r>
          <w:r>
            <w:instrText xml:space="preserve"> HYPERLINK \l _Toc27372 </w:instrText>
          </w:r>
          <w:r>
            <w:fldChar w:fldCharType="separate"/>
          </w:r>
          <w:r>
            <w:rPr>
              <w:rFonts w:hint="eastAsia" w:ascii="Times New Roman" w:hAnsi="Times New Roman" w:cs="Times New Roman"/>
              <w:lang w:val="en-US" w:eastAsia="zh-CN"/>
            </w:rPr>
            <w:t>3.3.2人员失误</w:t>
          </w:r>
          <w:r>
            <w:tab/>
          </w:r>
          <w:r>
            <w:fldChar w:fldCharType="begin"/>
          </w:r>
          <w:r>
            <w:instrText xml:space="preserve"> PAGEREF _Toc27372 \h </w:instrText>
          </w:r>
          <w:r>
            <w:fldChar w:fldCharType="separate"/>
          </w:r>
          <w:r>
            <w:t>31</w:t>
          </w:r>
          <w:r>
            <w:fldChar w:fldCharType="end"/>
          </w:r>
          <w:r>
            <w:rPr>
              <w:color w:val="000000" w:themeColor="text1"/>
              <w14:textFill>
                <w14:solidFill>
                  <w14:schemeClr w14:val="tx1"/>
                </w14:solidFill>
              </w14:textFill>
            </w:rPr>
            <w:fldChar w:fldCharType="end"/>
          </w:r>
        </w:p>
        <w:p w14:paraId="0CA8569B">
          <w:pPr>
            <w:pStyle w:val="28"/>
            <w:tabs>
              <w:tab w:val="right" w:leader="dot" w:pos="8504"/>
            </w:tabs>
          </w:pPr>
          <w:r>
            <w:rPr>
              <w:color w:val="000000" w:themeColor="text1"/>
              <w14:textFill>
                <w14:solidFill>
                  <w14:schemeClr w14:val="tx1"/>
                </w14:solidFill>
              </w14:textFill>
            </w:rPr>
            <w:fldChar w:fldCharType="begin"/>
          </w:r>
          <w:r>
            <w:instrText xml:space="preserve"> HYPERLINK \l _Toc26989 </w:instrText>
          </w:r>
          <w:r>
            <w:fldChar w:fldCharType="separate"/>
          </w:r>
          <w:r>
            <w:rPr>
              <w:rFonts w:hint="eastAsia" w:ascii="Times New Roman" w:hAnsi="Times New Roman" w:cs="Times New Roman"/>
              <w:lang w:val="en-US" w:eastAsia="zh-CN"/>
            </w:rPr>
            <w:t>3.3.3管理缺陷</w:t>
          </w:r>
          <w:r>
            <w:tab/>
          </w:r>
          <w:r>
            <w:fldChar w:fldCharType="begin"/>
          </w:r>
          <w:r>
            <w:instrText xml:space="preserve"> PAGEREF _Toc26989 \h </w:instrText>
          </w:r>
          <w:r>
            <w:fldChar w:fldCharType="separate"/>
          </w:r>
          <w:r>
            <w:t>31</w:t>
          </w:r>
          <w:r>
            <w:fldChar w:fldCharType="end"/>
          </w:r>
          <w:r>
            <w:rPr>
              <w:color w:val="000000" w:themeColor="text1"/>
              <w14:textFill>
                <w14:solidFill>
                  <w14:schemeClr w14:val="tx1"/>
                </w14:solidFill>
              </w14:textFill>
            </w:rPr>
            <w:fldChar w:fldCharType="end"/>
          </w:r>
        </w:p>
        <w:p w14:paraId="006137FC">
          <w:pPr>
            <w:pStyle w:val="28"/>
            <w:tabs>
              <w:tab w:val="right" w:leader="dot" w:pos="8504"/>
            </w:tabs>
          </w:pPr>
          <w:r>
            <w:rPr>
              <w:color w:val="000000" w:themeColor="text1"/>
              <w14:textFill>
                <w14:solidFill>
                  <w14:schemeClr w14:val="tx1"/>
                </w14:solidFill>
              </w14:textFill>
            </w:rPr>
            <w:fldChar w:fldCharType="begin"/>
          </w:r>
          <w:r>
            <w:instrText xml:space="preserve"> HYPERLINK \l _Toc26588 </w:instrText>
          </w:r>
          <w:r>
            <w:fldChar w:fldCharType="separate"/>
          </w:r>
          <w:r>
            <w:rPr>
              <w:rFonts w:hint="eastAsia" w:ascii="Times New Roman" w:hAnsi="Times New Roman" w:cs="Times New Roman"/>
              <w:lang w:val="en-US" w:eastAsia="zh-CN"/>
            </w:rPr>
            <w:t>3.3.4环境因素</w:t>
          </w:r>
          <w:r>
            <w:tab/>
          </w:r>
          <w:r>
            <w:fldChar w:fldCharType="begin"/>
          </w:r>
          <w:r>
            <w:instrText xml:space="preserve"> PAGEREF _Toc26588 \h </w:instrText>
          </w:r>
          <w:r>
            <w:fldChar w:fldCharType="separate"/>
          </w:r>
          <w:r>
            <w:t>31</w:t>
          </w:r>
          <w:r>
            <w:fldChar w:fldCharType="end"/>
          </w:r>
          <w:r>
            <w:rPr>
              <w:color w:val="000000" w:themeColor="text1"/>
              <w14:textFill>
                <w14:solidFill>
                  <w14:schemeClr w14:val="tx1"/>
                </w14:solidFill>
              </w14:textFill>
            </w:rPr>
            <w:fldChar w:fldCharType="end"/>
          </w:r>
        </w:p>
        <w:p w14:paraId="5977FCE0">
          <w:pPr>
            <w:pStyle w:val="43"/>
            <w:tabs>
              <w:tab w:val="right" w:leader="dot" w:pos="8504"/>
            </w:tabs>
          </w:pPr>
          <w:r>
            <w:rPr>
              <w:color w:val="000000" w:themeColor="text1"/>
              <w14:textFill>
                <w14:solidFill>
                  <w14:schemeClr w14:val="tx1"/>
                </w14:solidFill>
              </w14:textFill>
            </w:rPr>
            <w:fldChar w:fldCharType="begin"/>
          </w:r>
          <w:r>
            <w:instrText xml:space="preserve"> HYPERLINK \l _Toc6701 </w:instrText>
          </w:r>
          <w:r>
            <w:fldChar w:fldCharType="separate"/>
          </w:r>
          <w:r>
            <w:rPr>
              <w:rFonts w:hint="default" w:ascii="Times New Roman" w:hAnsi="Times New Roman" w:eastAsia="楷体" w:cs="Times New Roman"/>
            </w:rPr>
            <w:t>3.</w:t>
          </w:r>
          <w:r>
            <w:rPr>
              <w:rFonts w:hint="default" w:ascii="Times New Roman" w:hAnsi="Times New Roman" w:eastAsia="楷体" w:cs="Times New Roman"/>
              <w:lang w:val="en-US" w:eastAsia="zh-CN"/>
            </w:rPr>
            <w:t>4</w:t>
          </w:r>
          <w:r>
            <w:rPr>
              <w:rFonts w:hint="eastAsia" w:ascii="Times New Roman" w:hAnsi="Times New Roman" w:cs="Times New Roman"/>
              <w:lang w:val="en-US" w:eastAsia="zh-CN"/>
            </w:rPr>
            <w:t xml:space="preserve"> </w:t>
          </w:r>
          <w:r>
            <w:rPr>
              <w:rFonts w:hint="default" w:ascii="Times New Roman" w:hAnsi="Times New Roman" w:eastAsia="楷体" w:cs="Times New Roman"/>
            </w:rPr>
            <w:t>主要危险、有害物质</w:t>
          </w:r>
          <w:r>
            <w:rPr>
              <w:rFonts w:hint="eastAsia" w:ascii="Times New Roman" w:hAnsi="Times New Roman" w:cs="Times New Roman"/>
              <w:lang w:val="en-US" w:eastAsia="zh-CN"/>
            </w:rPr>
            <w:t>辨识与分析</w:t>
          </w:r>
          <w:r>
            <w:tab/>
          </w:r>
          <w:r>
            <w:fldChar w:fldCharType="begin"/>
          </w:r>
          <w:r>
            <w:instrText xml:space="preserve"> PAGEREF _Toc6701 \h </w:instrText>
          </w:r>
          <w:r>
            <w:fldChar w:fldCharType="separate"/>
          </w:r>
          <w:r>
            <w:t>31</w:t>
          </w:r>
          <w:r>
            <w:fldChar w:fldCharType="end"/>
          </w:r>
          <w:r>
            <w:rPr>
              <w:color w:val="000000" w:themeColor="text1"/>
              <w14:textFill>
                <w14:solidFill>
                  <w14:schemeClr w14:val="tx1"/>
                </w14:solidFill>
              </w14:textFill>
            </w:rPr>
            <w:fldChar w:fldCharType="end"/>
          </w:r>
        </w:p>
        <w:p w14:paraId="76A5F5C1">
          <w:pPr>
            <w:pStyle w:val="28"/>
            <w:tabs>
              <w:tab w:val="right" w:leader="dot" w:pos="8504"/>
            </w:tabs>
          </w:pPr>
          <w:r>
            <w:rPr>
              <w:color w:val="000000" w:themeColor="text1"/>
              <w14:textFill>
                <w14:solidFill>
                  <w14:schemeClr w14:val="tx1"/>
                </w14:solidFill>
              </w14:textFill>
            </w:rPr>
            <w:fldChar w:fldCharType="begin"/>
          </w:r>
          <w:r>
            <w:instrText xml:space="preserve"> HYPERLINK \l _Toc26636 </w:instrText>
          </w:r>
          <w:r>
            <w:fldChar w:fldCharType="separate"/>
          </w:r>
          <w:r>
            <w:rPr>
              <w:rFonts w:hint="default" w:ascii="Times New Roman" w:hAnsi="Times New Roman" w:cs="Times New Roman"/>
              <w:lang w:val="en-US" w:eastAsia="zh-CN"/>
            </w:rPr>
            <w:t>3.4.1主要危险、有害物质辨识</w:t>
          </w:r>
          <w:r>
            <w:tab/>
          </w:r>
          <w:r>
            <w:fldChar w:fldCharType="begin"/>
          </w:r>
          <w:r>
            <w:instrText xml:space="preserve"> PAGEREF _Toc26636 \h </w:instrText>
          </w:r>
          <w:r>
            <w:fldChar w:fldCharType="separate"/>
          </w:r>
          <w:r>
            <w:t>31</w:t>
          </w:r>
          <w:r>
            <w:fldChar w:fldCharType="end"/>
          </w:r>
          <w:r>
            <w:rPr>
              <w:color w:val="000000" w:themeColor="text1"/>
              <w14:textFill>
                <w14:solidFill>
                  <w14:schemeClr w14:val="tx1"/>
                </w14:solidFill>
              </w14:textFill>
            </w:rPr>
            <w:fldChar w:fldCharType="end"/>
          </w:r>
        </w:p>
        <w:p w14:paraId="4CA4AB66">
          <w:pPr>
            <w:pStyle w:val="28"/>
            <w:tabs>
              <w:tab w:val="right" w:leader="dot" w:pos="8504"/>
            </w:tabs>
          </w:pPr>
          <w:r>
            <w:rPr>
              <w:color w:val="000000" w:themeColor="text1"/>
              <w14:textFill>
                <w14:solidFill>
                  <w14:schemeClr w14:val="tx1"/>
                </w14:solidFill>
              </w14:textFill>
            </w:rPr>
            <w:fldChar w:fldCharType="begin"/>
          </w:r>
          <w:r>
            <w:instrText xml:space="preserve"> HYPERLINK \l _Toc18156 </w:instrText>
          </w:r>
          <w:r>
            <w:fldChar w:fldCharType="separate"/>
          </w:r>
          <w:r>
            <w:rPr>
              <w:rFonts w:hint="default" w:ascii="Times New Roman" w:hAnsi="Times New Roman" w:cs="Times New Roman"/>
              <w:lang w:val="en-US" w:eastAsia="zh-CN"/>
            </w:rPr>
            <w:t>3.4.2危险化学品辨识</w:t>
          </w:r>
          <w:r>
            <w:tab/>
          </w:r>
          <w:r>
            <w:fldChar w:fldCharType="begin"/>
          </w:r>
          <w:r>
            <w:instrText xml:space="preserve"> PAGEREF _Toc18156 \h </w:instrText>
          </w:r>
          <w:r>
            <w:fldChar w:fldCharType="separate"/>
          </w:r>
          <w:r>
            <w:t>32</w:t>
          </w:r>
          <w:r>
            <w:fldChar w:fldCharType="end"/>
          </w:r>
          <w:r>
            <w:rPr>
              <w:color w:val="000000" w:themeColor="text1"/>
              <w14:textFill>
                <w14:solidFill>
                  <w14:schemeClr w14:val="tx1"/>
                </w14:solidFill>
              </w14:textFill>
            </w:rPr>
            <w:fldChar w:fldCharType="end"/>
          </w:r>
        </w:p>
        <w:p w14:paraId="78887F2E">
          <w:pPr>
            <w:pStyle w:val="28"/>
            <w:tabs>
              <w:tab w:val="right" w:leader="dot" w:pos="8504"/>
            </w:tabs>
          </w:pPr>
          <w:r>
            <w:rPr>
              <w:color w:val="000000" w:themeColor="text1"/>
              <w14:textFill>
                <w14:solidFill>
                  <w14:schemeClr w14:val="tx1"/>
                </w14:solidFill>
              </w14:textFill>
            </w:rPr>
            <w:fldChar w:fldCharType="begin"/>
          </w:r>
          <w:r>
            <w:instrText xml:space="preserve"> HYPERLINK \l _Toc11269 </w:instrText>
          </w:r>
          <w:r>
            <w:fldChar w:fldCharType="separate"/>
          </w:r>
          <w:r>
            <w:rPr>
              <w:rFonts w:hint="default" w:ascii="Times New Roman" w:hAnsi="Times New Roman" w:cs="Times New Roman"/>
              <w:lang w:val="en-US" w:eastAsia="zh-CN"/>
            </w:rPr>
            <w:t>3.4.</w:t>
          </w:r>
          <w:r>
            <w:rPr>
              <w:rFonts w:hint="eastAsia" w:ascii="Times New Roman" w:hAnsi="Times New Roman" w:cs="Times New Roman"/>
              <w:lang w:val="en-US" w:eastAsia="zh-CN"/>
            </w:rPr>
            <w:t>3 危险物质的理化特性</w:t>
          </w:r>
          <w:r>
            <w:tab/>
          </w:r>
          <w:r>
            <w:fldChar w:fldCharType="begin"/>
          </w:r>
          <w:r>
            <w:instrText xml:space="preserve"> PAGEREF _Toc11269 \h </w:instrText>
          </w:r>
          <w:r>
            <w:fldChar w:fldCharType="separate"/>
          </w:r>
          <w:r>
            <w:t>33</w:t>
          </w:r>
          <w:r>
            <w:fldChar w:fldCharType="end"/>
          </w:r>
          <w:r>
            <w:rPr>
              <w:color w:val="000000" w:themeColor="text1"/>
              <w14:textFill>
                <w14:solidFill>
                  <w14:schemeClr w14:val="tx1"/>
                </w14:solidFill>
              </w14:textFill>
            </w:rPr>
            <w:fldChar w:fldCharType="end"/>
          </w:r>
        </w:p>
        <w:p w14:paraId="1AC0A5F7">
          <w:pPr>
            <w:pStyle w:val="28"/>
            <w:tabs>
              <w:tab w:val="right" w:leader="dot" w:pos="8504"/>
            </w:tabs>
          </w:pPr>
          <w:r>
            <w:rPr>
              <w:color w:val="000000" w:themeColor="text1"/>
              <w14:textFill>
                <w14:solidFill>
                  <w14:schemeClr w14:val="tx1"/>
                </w14:solidFill>
              </w14:textFill>
            </w:rPr>
            <w:fldChar w:fldCharType="begin"/>
          </w:r>
          <w:r>
            <w:instrText xml:space="preserve"> HYPERLINK \l _Toc9728 </w:instrText>
          </w:r>
          <w:r>
            <w:fldChar w:fldCharType="separate"/>
          </w:r>
          <w:r>
            <w:rPr>
              <w:rFonts w:hint="default" w:ascii="Times New Roman" w:hAnsi="Times New Roman" w:cs="Times New Roman"/>
              <w:lang w:val="en-US" w:eastAsia="zh-CN"/>
            </w:rPr>
            <w:t>3.4.</w:t>
          </w:r>
          <w:r>
            <w:rPr>
              <w:rFonts w:hint="eastAsia" w:ascii="Times New Roman" w:hAnsi="Times New Roman" w:cs="Times New Roman"/>
              <w:lang w:val="en-US" w:eastAsia="zh-CN"/>
            </w:rPr>
            <w:t xml:space="preserve">4 </w:t>
          </w:r>
          <w:r>
            <w:rPr>
              <w:rFonts w:hint="default" w:ascii="Times New Roman" w:hAnsi="Times New Roman" w:cs="Times New Roman"/>
              <w:lang w:val="en-US" w:eastAsia="zh-CN"/>
            </w:rPr>
            <w:t>物质危险特性汇总表</w:t>
          </w:r>
          <w:r>
            <w:tab/>
          </w:r>
          <w:r>
            <w:fldChar w:fldCharType="begin"/>
          </w:r>
          <w:r>
            <w:instrText xml:space="preserve"> PAGEREF _Toc9728 \h </w:instrText>
          </w:r>
          <w:r>
            <w:fldChar w:fldCharType="separate"/>
          </w:r>
          <w:r>
            <w:t>34</w:t>
          </w:r>
          <w:r>
            <w:fldChar w:fldCharType="end"/>
          </w:r>
          <w:r>
            <w:rPr>
              <w:color w:val="000000" w:themeColor="text1"/>
              <w14:textFill>
                <w14:solidFill>
                  <w14:schemeClr w14:val="tx1"/>
                </w14:solidFill>
              </w14:textFill>
            </w:rPr>
            <w:fldChar w:fldCharType="end"/>
          </w:r>
        </w:p>
        <w:p w14:paraId="69229F1A">
          <w:pPr>
            <w:pStyle w:val="43"/>
            <w:tabs>
              <w:tab w:val="right" w:leader="dot" w:pos="8504"/>
            </w:tabs>
          </w:pPr>
          <w:r>
            <w:rPr>
              <w:color w:val="000000" w:themeColor="text1"/>
              <w14:textFill>
                <w14:solidFill>
                  <w14:schemeClr w14:val="tx1"/>
                </w14:solidFill>
              </w14:textFill>
            </w:rPr>
            <w:fldChar w:fldCharType="begin"/>
          </w:r>
          <w:r>
            <w:instrText xml:space="preserve"> HYPERLINK \l _Toc28911 </w:instrText>
          </w:r>
          <w:r>
            <w:fldChar w:fldCharType="separate"/>
          </w:r>
          <w:r>
            <w:rPr>
              <w:rFonts w:hint="default" w:ascii="Times New Roman" w:hAnsi="Times New Roman" w:eastAsia="楷体" w:cs="Times New Roman"/>
            </w:rPr>
            <w:t>3.5</w:t>
          </w:r>
          <w:r>
            <w:rPr>
              <w:rFonts w:hint="eastAsia" w:ascii="Times New Roman" w:hAnsi="Times New Roman" w:cs="Times New Roman"/>
              <w:lang w:val="en-US" w:eastAsia="zh-CN"/>
            </w:rPr>
            <w:t>厂址及总平面布置</w:t>
          </w:r>
          <w:r>
            <w:rPr>
              <w:rFonts w:hint="default" w:ascii="Times New Roman" w:hAnsi="Times New Roman" w:eastAsia="楷体" w:cs="Times New Roman"/>
            </w:rPr>
            <w:t>主要危险、有害因素辨识与分析</w:t>
          </w:r>
          <w:r>
            <w:tab/>
          </w:r>
          <w:r>
            <w:fldChar w:fldCharType="begin"/>
          </w:r>
          <w:r>
            <w:instrText xml:space="preserve"> PAGEREF _Toc28911 \h </w:instrText>
          </w:r>
          <w:r>
            <w:fldChar w:fldCharType="separate"/>
          </w:r>
          <w:r>
            <w:t>34</w:t>
          </w:r>
          <w:r>
            <w:fldChar w:fldCharType="end"/>
          </w:r>
          <w:r>
            <w:rPr>
              <w:color w:val="000000" w:themeColor="text1"/>
              <w14:textFill>
                <w14:solidFill>
                  <w14:schemeClr w14:val="tx1"/>
                </w14:solidFill>
              </w14:textFill>
            </w:rPr>
            <w:fldChar w:fldCharType="end"/>
          </w:r>
        </w:p>
        <w:p w14:paraId="01C244FA">
          <w:pPr>
            <w:pStyle w:val="28"/>
            <w:tabs>
              <w:tab w:val="right" w:leader="dot" w:pos="8504"/>
            </w:tabs>
          </w:pPr>
          <w:r>
            <w:rPr>
              <w:color w:val="000000" w:themeColor="text1"/>
              <w14:textFill>
                <w14:solidFill>
                  <w14:schemeClr w14:val="tx1"/>
                </w14:solidFill>
              </w14:textFill>
            </w:rPr>
            <w:fldChar w:fldCharType="begin"/>
          </w:r>
          <w:r>
            <w:instrText xml:space="preserve"> HYPERLINK \l _Toc1906 </w:instrText>
          </w:r>
          <w:r>
            <w:fldChar w:fldCharType="separate"/>
          </w:r>
          <w:r>
            <w:rPr>
              <w:rFonts w:hint="default" w:ascii="Times New Roman" w:hAnsi="Times New Roman" w:cs="Times New Roman"/>
              <w:lang w:val="en-US" w:eastAsia="zh-CN"/>
            </w:rPr>
            <w:t>3.5.1厂址危险性分析</w:t>
          </w:r>
          <w:r>
            <w:tab/>
          </w:r>
          <w:r>
            <w:fldChar w:fldCharType="begin"/>
          </w:r>
          <w:r>
            <w:instrText xml:space="preserve"> PAGEREF _Toc1906 \h </w:instrText>
          </w:r>
          <w:r>
            <w:fldChar w:fldCharType="separate"/>
          </w:r>
          <w:r>
            <w:t>34</w:t>
          </w:r>
          <w:r>
            <w:fldChar w:fldCharType="end"/>
          </w:r>
          <w:r>
            <w:rPr>
              <w:color w:val="000000" w:themeColor="text1"/>
              <w14:textFill>
                <w14:solidFill>
                  <w14:schemeClr w14:val="tx1"/>
                </w14:solidFill>
              </w14:textFill>
            </w:rPr>
            <w:fldChar w:fldCharType="end"/>
          </w:r>
        </w:p>
        <w:p w14:paraId="3BCC244E">
          <w:pPr>
            <w:pStyle w:val="28"/>
            <w:tabs>
              <w:tab w:val="right" w:leader="dot" w:pos="8504"/>
            </w:tabs>
          </w:pPr>
          <w:r>
            <w:rPr>
              <w:color w:val="000000" w:themeColor="text1"/>
              <w14:textFill>
                <w14:solidFill>
                  <w14:schemeClr w14:val="tx1"/>
                </w14:solidFill>
              </w14:textFill>
            </w:rPr>
            <w:fldChar w:fldCharType="begin"/>
          </w:r>
          <w:r>
            <w:instrText xml:space="preserve"> HYPERLINK \l _Toc14374 </w:instrText>
          </w:r>
          <w:r>
            <w:fldChar w:fldCharType="separate"/>
          </w:r>
          <w:r>
            <w:rPr>
              <w:rFonts w:hint="default" w:ascii="Times New Roman" w:hAnsi="Times New Roman" w:cs="Times New Roman"/>
              <w:lang w:val="en-US" w:eastAsia="zh-CN"/>
            </w:rPr>
            <w:t>3.5.2总平面布置危险性分析</w:t>
          </w:r>
          <w:r>
            <w:tab/>
          </w:r>
          <w:r>
            <w:fldChar w:fldCharType="begin"/>
          </w:r>
          <w:r>
            <w:instrText xml:space="preserve"> PAGEREF _Toc14374 \h </w:instrText>
          </w:r>
          <w:r>
            <w:fldChar w:fldCharType="separate"/>
          </w:r>
          <w:r>
            <w:t>36</w:t>
          </w:r>
          <w:r>
            <w:fldChar w:fldCharType="end"/>
          </w:r>
          <w:r>
            <w:rPr>
              <w:color w:val="000000" w:themeColor="text1"/>
              <w14:textFill>
                <w14:solidFill>
                  <w14:schemeClr w14:val="tx1"/>
                </w14:solidFill>
              </w14:textFill>
            </w:rPr>
            <w:fldChar w:fldCharType="end"/>
          </w:r>
        </w:p>
        <w:p w14:paraId="3C0157D6">
          <w:pPr>
            <w:pStyle w:val="28"/>
            <w:tabs>
              <w:tab w:val="right" w:leader="dot" w:pos="8504"/>
            </w:tabs>
          </w:pPr>
          <w:r>
            <w:rPr>
              <w:color w:val="000000" w:themeColor="text1"/>
              <w14:textFill>
                <w14:solidFill>
                  <w14:schemeClr w14:val="tx1"/>
                </w14:solidFill>
              </w14:textFill>
            </w:rPr>
            <w:fldChar w:fldCharType="begin"/>
          </w:r>
          <w:r>
            <w:instrText xml:space="preserve"> HYPERLINK \l _Toc31426 </w:instrText>
          </w:r>
          <w:r>
            <w:fldChar w:fldCharType="separate"/>
          </w:r>
          <w:r>
            <w:rPr>
              <w:rFonts w:hint="default" w:ascii="Times New Roman" w:hAnsi="Times New Roman" w:cs="Times New Roman"/>
              <w:lang w:val="en-US" w:eastAsia="zh-CN"/>
            </w:rPr>
            <w:t>3.5.</w:t>
          </w:r>
          <w:r>
            <w:rPr>
              <w:rFonts w:hint="eastAsia" w:ascii="Times New Roman" w:hAnsi="Times New Roman" w:cs="Times New Roman"/>
              <w:lang w:val="en-US" w:eastAsia="zh-CN"/>
            </w:rPr>
            <w:t>3</w:t>
          </w:r>
          <w:r>
            <w:rPr>
              <w:rFonts w:hint="default" w:ascii="Times New Roman" w:hAnsi="Times New Roman" w:cs="Times New Roman"/>
              <w:lang w:val="en-US" w:eastAsia="zh-CN"/>
            </w:rPr>
            <w:t>公用工程和辅助设施的危险、有害因素辨识</w:t>
          </w:r>
          <w:r>
            <w:tab/>
          </w:r>
          <w:r>
            <w:fldChar w:fldCharType="begin"/>
          </w:r>
          <w:r>
            <w:instrText xml:space="preserve"> PAGEREF _Toc31426 \h </w:instrText>
          </w:r>
          <w:r>
            <w:fldChar w:fldCharType="separate"/>
          </w:r>
          <w:r>
            <w:t>37</w:t>
          </w:r>
          <w:r>
            <w:fldChar w:fldCharType="end"/>
          </w:r>
          <w:r>
            <w:rPr>
              <w:color w:val="000000" w:themeColor="text1"/>
              <w14:textFill>
                <w14:solidFill>
                  <w14:schemeClr w14:val="tx1"/>
                </w14:solidFill>
              </w14:textFill>
            </w:rPr>
            <w:fldChar w:fldCharType="end"/>
          </w:r>
        </w:p>
        <w:p w14:paraId="2D3C83F2">
          <w:pPr>
            <w:pStyle w:val="43"/>
            <w:tabs>
              <w:tab w:val="right" w:leader="dot" w:pos="8504"/>
            </w:tabs>
          </w:pPr>
          <w:r>
            <w:rPr>
              <w:color w:val="000000" w:themeColor="text1"/>
              <w14:textFill>
                <w14:solidFill>
                  <w14:schemeClr w14:val="tx1"/>
                </w14:solidFill>
              </w14:textFill>
            </w:rPr>
            <w:fldChar w:fldCharType="begin"/>
          </w:r>
          <w:r>
            <w:instrText xml:space="preserve"> HYPERLINK \l _Toc24695 </w:instrText>
          </w:r>
          <w:r>
            <w:fldChar w:fldCharType="separate"/>
          </w:r>
          <w:r>
            <w:rPr>
              <w:rFonts w:hint="default" w:ascii="Times New Roman" w:hAnsi="Times New Roman" w:eastAsia="楷体" w:cs="Times New Roman"/>
            </w:rPr>
            <w:t>3.6主要危险、有害因素类别分析</w:t>
          </w:r>
          <w:r>
            <w:tab/>
          </w:r>
          <w:r>
            <w:fldChar w:fldCharType="begin"/>
          </w:r>
          <w:r>
            <w:instrText xml:space="preserve"> PAGEREF _Toc24695 \h </w:instrText>
          </w:r>
          <w:r>
            <w:fldChar w:fldCharType="separate"/>
          </w:r>
          <w:r>
            <w:t>40</w:t>
          </w:r>
          <w:r>
            <w:fldChar w:fldCharType="end"/>
          </w:r>
          <w:r>
            <w:rPr>
              <w:color w:val="000000" w:themeColor="text1"/>
              <w14:textFill>
                <w14:solidFill>
                  <w14:schemeClr w14:val="tx1"/>
                </w14:solidFill>
              </w14:textFill>
            </w:rPr>
            <w:fldChar w:fldCharType="end"/>
          </w:r>
        </w:p>
        <w:p w14:paraId="6F233C03">
          <w:pPr>
            <w:pStyle w:val="28"/>
            <w:tabs>
              <w:tab w:val="right" w:leader="dot" w:pos="8504"/>
            </w:tabs>
          </w:pPr>
          <w:r>
            <w:rPr>
              <w:color w:val="000000" w:themeColor="text1"/>
              <w14:textFill>
                <w14:solidFill>
                  <w14:schemeClr w14:val="tx1"/>
                </w14:solidFill>
              </w14:textFill>
            </w:rPr>
            <w:fldChar w:fldCharType="begin"/>
          </w:r>
          <w:r>
            <w:instrText xml:space="preserve"> HYPERLINK \l _Toc25513 </w:instrText>
          </w:r>
          <w:r>
            <w:fldChar w:fldCharType="separate"/>
          </w:r>
          <w:r>
            <w:rPr>
              <w:rFonts w:hint="default" w:ascii="Times New Roman" w:hAnsi="Times New Roman" w:cs="Times New Roman"/>
              <w:lang w:val="en-US" w:eastAsia="zh-CN"/>
            </w:rPr>
            <w:t>3.6.1火灾危险性分析</w:t>
          </w:r>
          <w:r>
            <w:tab/>
          </w:r>
          <w:r>
            <w:fldChar w:fldCharType="begin"/>
          </w:r>
          <w:r>
            <w:instrText xml:space="preserve"> PAGEREF _Toc25513 \h </w:instrText>
          </w:r>
          <w:r>
            <w:fldChar w:fldCharType="separate"/>
          </w:r>
          <w:r>
            <w:t>41</w:t>
          </w:r>
          <w:r>
            <w:fldChar w:fldCharType="end"/>
          </w:r>
          <w:r>
            <w:rPr>
              <w:color w:val="000000" w:themeColor="text1"/>
              <w14:textFill>
                <w14:solidFill>
                  <w14:schemeClr w14:val="tx1"/>
                </w14:solidFill>
              </w14:textFill>
            </w:rPr>
            <w:fldChar w:fldCharType="end"/>
          </w:r>
        </w:p>
        <w:p w14:paraId="33281AE9">
          <w:pPr>
            <w:pStyle w:val="28"/>
            <w:tabs>
              <w:tab w:val="right" w:leader="dot" w:pos="8504"/>
            </w:tabs>
          </w:pPr>
          <w:r>
            <w:rPr>
              <w:color w:val="000000" w:themeColor="text1"/>
              <w14:textFill>
                <w14:solidFill>
                  <w14:schemeClr w14:val="tx1"/>
                </w14:solidFill>
              </w14:textFill>
            </w:rPr>
            <w:fldChar w:fldCharType="begin"/>
          </w:r>
          <w:r>
            <w:instrText xml:space="preserve"> HYPERLINK \l _Toc18002 </w:instrText>
          </w:r>
          <w:r>
            <w:fldChar w:fldCharType="separate"/>
          </w:r>
          <w:r>
            <w:rPr>
              <w:rFonts w:hint="default" w:ascii="Times New Roman" w:hAnsi="Times New Roman" w:cs="Times New Roman"/>
              <w:lang w:val="en-US" w:eastAsia="zh-CN"/>
            </w:rPr>
            <w:t>3.6.2容器爆炸危险性分析</w:t>
          </w:r>
          <w:r>
            <w:tab/>
          </w:r>
          <w:r>
            <w:fldChar w:fldCharType="begin"/>
          </w:r>
          <w:r>
            <w:instrText xml:space="preserve"> PAGEREF _Toc18002 \h </w:instrText>
          </w:r>
          <w:r>
            <w:fldChar w:fldCharType="separate"/>
          </w:r>
          <w:r>
            <w:t>42</w:t>
          </w:r>
          <w:r>
            <w:fldChar w:fldCharType="end"/>
          </w:r>
          <w:r>
            <w:rPr>
              <w:color w:val="000000" w:themeColor="text1"/>
              <w14:textFill>
                <w14:solidFill>
                  <w14:schemeClr w14:val="tx1"/>
                </w14:solidFill>
              </w14:textFill>
            </w:rPr>
            <w:fldChar w:fldCharType="end"/>
          </w:r>
        </w:p>
        <w:p w14:paraId="2A9888BC">
          <w:pPr>
            <w:pStyle w:val="28"/>
            <w:tabs>
              <w:tab w:val="right" w:leader="dot" w:pos="8504"/>
            </w:tabs>
          </w:pPr>
          <w:r>
            <w:rPr>
              <w:color w:val="000000" w:themeColor="text1"/>
              <w14:textFill>
                <w14:solidFill>
                  <w14:schemeClr w14:val="tx1"/>
                </w14:solidFill>
              </w14:textFill>
            </w:rPr>
            <w:fldChar w:fldCharType="begin"/>
          </w:r>
          <w:r>
            <w:instrText xml:space="preserve"> HYPERLINK \l _Toc32269 </w:instrText>
          </w:r>
          <w:r>
            <w:fldChar w:fldCharType="separate"/>
          </w:r>
          <w:r>
            <w:rPr>
              <w:rFonts w:hint="default" w:ascii="Times New Roman" w:hAnsi="Times New Roman" w:cs="Times New Roman"/>
              <w:lang w:val="en-US" w:eastAsia="zh-CN"/>
            </w:rPr>
            <w:t>3.6.3机械伤害危险性分析</w:t>
          </w:r>
          <w:r>
            <w:tab/>
          </w:r>
          <w:r>
            <w:fldChar w:fldCharType="begin"/>
          </w:r>
          <w:r>
            <w:instrText xml:space="preserve"> PAGEREF _Toc32269 \h </w:instrText>
          </w:r>
          <w:r>
            <w:fldChar w:fldCharType="separate"/>
          </w:r>
          <w:r>
            <w:t>43</w:t>
          </w:r>
          <w:r>
            <w:fldChar w:fldCharType="end"/>
          </w:r>
          <w:r>
            <w:rPr>
              <w:color w:val="000000" w:themeColor="text1"/>
              <w14:textFill>
                <w14:solidFill>
                  <w14:schemeClr w14:val="tx1"/>
                </w14:solidFill>
              </w14:textFill>
            </w:rPr>
            <w:fldChar w:fldCharType="end"/>
          </w:r>
        </w:p>
        <w:p w14:paraId="13188957">
          <w:pPr>
            <w:pStyle w:val="28"/>
            <w:tabs>
              <w:tab w:val="right" w:leader="dot" w:pos="8504"/>
            </w:tabs>
          </w:pPr>
          <w:r>
            <w:rPr>
              <w:color w:val="000000" w:themeColor="text1"/>
              <w14:textFill>
                <w14:solidFill>
                  <w14:schemeClr w14:val="tx1"/>
                </w14:solidFill>
              </w14:textFill>
            </w:rPr>
            <w:fldChar w:fldCharType="begin"/>
          </w:r>
          <w:r>
            <w:instrText xml:space="preserve"> HYPERLINK \l _Toc2669 </w:instrText>
          </w:r>
          <w:r>
            <w:fldChar w:fldCharType="separate"/>
          </w:r>
          <w:r>
            <w:rPr>
              <w:rFonts w:hint="default" w:ascii="Times New Roman" w:hAnsi="Times New Roman" w:cs="Times New Roman"/>
              <w:lang w:val="en-US" w:eastAsia="zh-CN"/>
            </w:rPr>
            <w:t>3.6.4高处坠落危险性分析</w:t>
          </w:r>
          <w:r>
            <w:tab/>
          </w:r>
          <w:r>
            <w:fldChar w:fldCharType="begin"/>
          </w:r>
          <w:r>
            <w:instrText xml:space="preserve"> PAGEREF _Toc2669 \h </w:instrText>
          </w:r>
          <w:r>
            <w:fldChar w:fldCharType="separate"/>
          </w:r>
          <w:r>
            <w:t>43</w:t>
          </w:r>
          <w:r>
            <w:fldChar w:fldCharType="end"/>
          </w:r>
          <w:r>
            <w:rPr>
              <w:color w:val="000000" w:themeColor="text1"/>
              <w14:textFill>
                <w14:solidFill>
                  <w14:schemeClr w14:val="tx1"/>
                </w14:solidFill>
              </w14:textFill>
            </w:rPr>
            <w:fldChar w:fldCharType="end"/>
          </w:r>
        </w:p>
        <w:p w14:paraId="1E35F19A">
          <w:pPr>
            <w:pStyle w:val="28"/>
            <w:tabs>
              <w:tab w:val="right" w:leader="dot" w:pos="8504"/>
            </w:tabs>
          </w:pPr>
          <w:r>
            <w:rPr>
              <w:color w:val="000000" w:themeColor="text1"/>
              <w14:textFill>
                <w14:solidFill>
                  <w14:schemeClr w14:val="tx1"/>
                </w14:solidFill>
              </w14:textFill>
            </w:rPr>
            <w:fldChar w:fldCharType="begin"/>
          </w:r>
          <w:r>
            <w:instrText xml:space="preserve"> HYPERLINK \l _Toc4743 </w:instrText>
          </w:r>
          <w:r>
            <w:fldChar w:fldCharType="separate"/>
          </w:r>
          <w:r>
            <w:rPr>
              <w:rFonts w:hint="default" w:ascii="Times New Roman" w:hAnsi="Times New Roman" w:cs="Times New Roman"/>
              <w:lang w:val="en-US" w:eastAsia="zh-CN"/>
            </w:rPr>
            <w:t>3.6.5触电事故危险性素分析</w:t>
          </w:r>
          <w:r>
            <w:tab/>
          </w:r>
          <w:r>
            <w:fldChar w:fldCharType="begin"/>
          </w:r>
          <w:r>
            <w:instrText xml:space="preserve"> PAGEREF _Toc4743 \h </w:instrText>
          </w:r>
          <w:r>
            <w:fldChar w:fldCharType="separate"/>
          </w:r>
          <w:r>
            <w:t>44</w:t>
          </w:r>
          <w:r>
            <w:fldChar w:fldCharType="end"/>
          </w:r>
          <w:r>
            <w:rPr>
              <w:color w:val="000000" w:themeColor="text1"/>
              <w14:textFill>
                <w14:solidFill>
                  <w14:schemeClr w14:val="tx1"/>
                </w14:solidFill>
              </w14:textFill>
            </w:rPr>
            <w:fldChar w:fldCharType="end"/>
          </w:r>
        </w:p>
        <w:p w14:paraId="350D489D">
          <w:pPr>
            <w:pStyle w:val="28"/>
            <w:tabs>
              <w:tab w:val="right" w:leader="dot" w:pos="8504"/>
            </w:tabs>
          </w:pPr>
          <w:r>
            <w:rPr>
              <w:color w:val="000000" w:themeColor="text1"/>
              <w14:textFill>
                <w14:solidFill>
                  <w14:schemeClr w14:val="tx1"/>
                </w14:solidFill>
              </w14:textFill>
            </w:rPr>
            <w:fldChar w:fldCharType="begin"/>
          </w:r>
          <w:r>
            <w:instrText xml:space="preserve"> HYPERLINK \l _Toc23220 </w:instrText>
          </w:r>
          <w:r>
            <w:fldChar w:fldCharType="separate"/>
          </w:r>
          <w:r>
            <w:rPr>
              <w:rFonts w:hint="default" w:ascii="Times New Roman" w:hAnsi="Times New Roman" w:cs="Times New Roman"/>
              <w:lang w:val="en-US" w:eastAsia="zh-CN"/>
            </w:rPr>
            <w:t>3.6.6物体打击危险性分析</w:t>
          </w:r>
          <w:r>
            <w:tab/>
          </w:r>
          <w:r>
            <w:fldChar w:fldCharType="begin"/>
          </w:r>
          <w:r>
            <w:instrText xml:space="preserve"> PAGEREF _Toc23220 \h </w:instrText>
          </w:r>
          <w:r>
            <w:fldChar w:fldCharType="separate"/>
          </w:r>
          <w:r>
            <w:t>45</w:t>
          </w:r>
          <w:r>
            <w:fldChar w:fldCharType="end"/>
          </w:r>
          <w:r>
            <w:rPr>
              <w:color w:val="000000" w:themeColor="text1"/>
              <w14:textFill>
                <w14:solidFill>
                  <w14:schemeClr w14:val="tx1"/>
                </w14:solidFill>
              </w14:textFill>
            </w:rPr>
            <w:fldChar w:fldCharType="end"/>
          </w:r>
        </w:p>
        <w:p w14:paraId="2A2A8580">
          <w:pPr>
            <w:pStyle w:val="28"/>
            <w:tabs>
              <w:tab w:val="right" w:leader="dot" w:pos="8504"/>
            </w:tabs>
          </w:pPr>
          <w:r>
            <w:rPr>
              <w:color w:val="000000" w:themeColor="text1"/>
              <w14:textFill>
                <w14:solidFill>
                  <w14:schemeClr w14:val="tx1"/>
                </w14:solidFill>
              </w14:textFill>
            </w:rPr>
            <w:fldChar w:fldCharType="begin"/>
          </w:r>
          <w:r>
            <w:instrText xml:space="preserve"> HYPERLINK \l _Toc26670 </w:instrText>
          </w:r>
          <w:r>
            <w:fldChar w:fldCharType="separate"/>
          </w:r>
          <w:r>
            <w:rPr>
              <w:rFonts w:hint="default" w:ascii="Times New Roman" w:hAnsi="Times New Roman" w:cs="Times New Roman"/>
              <w:lang w:val="en-US" w:eastAsia="zh-CN"/>
            </w:rPr>
            <w:t>3.6.7灼烫危险性分析</w:t>
          </w:r>
          <w:r>
            <w:tab/>
          </w:r>
          <w:r>
            <w:fldChar w:fldCharType="begin"/>
          </w:r>
          <w:r>
            <w:instrText xml:space="preserve"> PAGEREF _Toc26670 \h </w:instrText>
          </w:r>
          <w:r>
            <w:fldChar w:fldCharType="separate"/>
          </w:r>
          <w:r>
            <w:t>45</w:t>
          </w:r>
          <w:r>
            <w:fldChar w:fldCharType="end"/>
          </w:r>
          <w:r>
            <w:rPr>
              <w:color w:val="000000" w:themeColor="text1"/>
              <w14:textFill>
                <w14:solidFill>
                  <w14:schemeClr w14:val="tx1"/>
                </w14:solidFill>
              </w14:textFill>
            </w:rPr>
            <w:fldChar w:fldCharType="end"/>
          </w:r>
        </w:p>
        <w:p w14:paraId="173F6E17">
          <w:pPr>
            <w:pStyle w:val="28"/>
            <w:tabs>
              <w:tab w:val="right" w:leader="dot" w:pos="8504"/>
            </w:tabs>
          </w:pPr>
          <w:r>
            <w:rPr>
              <w:color w:val="000000" w:themeColor="text1"/>
              <w14:textFill>
                <w14:solidFill>
                  <w14:schemeClr w14:val="tx1"/>
                </w14:solidFill>
              </w14:textFill>
            </w:rPr>
            <w:fldChar w:fldCharType="begin"/>
          </w:r>
          <w:r>
            <w:instrText xml:space="preserve"> HYPERLINK \l _Toc14196 </w:instrText>
          </w:r>
          <w:r>
            <w:fldChar w:fldCharType="separate"/>
          </w:r>
          <w:r>
            <w:rPr>
              <w:rFonts w:hint="default" w:ascii="Times New Roman" w:hAnsi="Times New Roman" w:cs="Times New Roman"/>
              <w:lang w:val="en-US" w:eastAsia="zh-CN"/>
            </w:rPr>
            <w:t>3.6.8车辆伤害危险性分析</w:t>
          </w:r>
          <w:r>
            <w:tab/>
          </w:r>
          <w:r>
            <w:fldChar w:fldCharType="begin"/>
          </w:r>
          <w:r>
            <w:instrText xml:space="preserve"> PAGEREF _Toc14196 \h </w:instrText>
          </w:r>
          <w:r>
            <w:fldChar w:fldCharType="separate"/>
          </w:r>
          <w:r>
            <w:t>46</w:t>
          </w:r>
          <w:r>
            <w:fldChar w:fldCharType="end"/>
          </w:r>
          <w:r>
            <w:rPr>
              <w:color w:val="000000" w:themeColor="text1"/>
              <w14:textFill>
                <w14:solidFill>
                  <w14:schemeClr w14:val="tx1"/>
                </w14:solidFill>
              </w14:textFill>
            </w:rPr>
            <w:fldChar w:fldCharType="end"/>
          </w:r>
        </w:p>
        <w:p w14:paraId="21CEB9FA">
          <w:pPr>
            <w:pStyle w:val="28"/>
            <w:tabs>
              <w:tab w:val="right" w:leader="dot" w:pos="8504"/>
            </w:tabs>
          </w:pPr>
          <w:r>
            <w:rPr>
              <w:color w:val="000000" w:themeColor="text1"/>
              <w14:textFill>
                <w14:solidFill>
                  <w14:schemeClr w14:val="tx1"/>
                </w14:solidFill>
              </w14:textFill>
            </w:rPr>
            <w:fldChar w:fldCharType="begin"/>
          </w:r>
          <w:r>
            <w:instrText xml:space="preserve"> HYPERLINK \l _Toc9590 </w:instrText>
          </w:r>
          <w:r>
            <w:fldChar w:fldCharType="separate"/>
          </w:r>
          <w:r>
            <w:rPr>
              <w:rFonts w:hint="default" w:ascii="Times New Roman" w:hAnsi="Times New Roman" w:cs="Times New Roman"/>
              <w:lang w:val="en-US" w:eastAsia="zh-CN"/>
            </w:rPr>
            <w:t>3.6.9坍塌危险性分析</w:t>
          </w:r>
          <w:r>
            <w:tab/>
          </w:r>
          <w:r>
            <w:fldChar w:fldCharType="begin"/>
          </w:r>
          <w:r>
            <w:instrText xml:space="preserve"> PAGEREF _Toc9590 \h </w:instrText>
          </w:r>
          <w:r>
            <w:fldChar w:fldCharType="separate"/>
          </w:r>
          <w:r>
            <w:t>47</w:t>
          </w:r>
          <w:r>
            <w:fldChar w:fldCharType="end"/>
          </w:r>
          <w:r>
            <w:rPr>
              <w:color w:val="000000" w:themeColor="text1"/>
              <w14:textFill>
                <w14:solidFill>
                  <w14:schemeClr w14:val="tx1"/>
                </w14:solidFill>
              </w14:textFill>
            </w:rPr>
            <w:fldChar w:fldCharType="end"/>
          </w:r>
        </w:p>
        <w:p w14:paraId="0F481373">
          <w:pPr>
            <w:pStyle w:val="28"/>
            <w:tabs>
              <w:tab w:val="right" w:leader="dot" w:pos="8504"/>
            </w:tabs>
          </w:pPr>
          <w:r>
            <w:rPr>
              <w:color w:val="000000" w:themeColor="text1"/>
              <w14:textFill>
                <w14:solidFill>
                  <w14:schemeClr w14:val="tx1"/>
                </w14:solidFill>
              </w14:textFill>
            </w:rPr>
            <w:fldChar w:fldCharType="begin"/>
          </w:r>
          <w:r>
            <w:instrText xml:space="preserve"> HYPERLINK \l _Toc16163 </w:instrText>
          </w:r>
          <w:r>
            <w:fldChar w:fldCharType="separate"/>
          </w:r>
          <w:r>
            <w:rPr>
              <w:rFonts w:hint="default" w:ascii="Times New Roman" w:hAnsi="Times New Roman" w:cs="Times New Roman"/>
              <w:lang w:val="en-US" w:eastAsia="zh-CN"/>
            </w:rPr>
            <w:t>3.6.1</w:t>
          </w:r>
          <w:r>
            <w:rPr>
              <w:rFonts w:hint="eastAsia" w:ascii="Times New Roman" w:hAnsi="Times New Roman" w:cs="Times New Roman"/>
              <w:lang w:val="en-US" w:eastAsia="zh-CN"/>
            </w:rPr>
            <w:t>0</w:t>
          </w:r>
          <w:r>
            <w:rPr>
              <w:rFonts w:hint="default" w:ascii="Times New Roman" w:hAnsi="Times New Roman" w:cs="Times New Roman"/>
              <w:lang w:val="en-US" w:eastAsia="zh-CN"/>
            </w:rPr>
            <w:t>静电、雷电危险性分析</w:t>
          </w:r>
          <w:r>
            <w:tab/>
          </w:r>
          <w:r>
            <w:fldChar w:fldCharType="begin"/>
          </w:r>
          <w:r>
            <w:instrText xml:space="preserve"> PAGEREF _Toc16163 \h </w:instrText>
          </w:r>
          <w:r>
            <w:fldChar w:fldCharType="separate"/>
          </w:r>
          <w:r>
            <w:t>47</w:t>
          </w:r>
          <w:r>
            <w:fldChar w:fldCharType="end"/>
          </w:r>
          <w:r>
            <w:rPr>
              <w:color w:val="000000" w:themeColor="text1"/>
              <w14:textFill>
                <w14:solidFill>
                  <w14:schemeClr w14:val="tx1"/>
                </w14:solidFill>
              </w14:textFill>
            </w:rPr>
            <w:fldChar w:fldCharType="end"/>
          </w:r>
        </w:p>
        <w:p w14:paraId="3322A8A9">
          <w:pPr>
            <w:pStyle w:val="28"/>
            <w:tabs>
              <w:tab w:val="right" w:leader="dot" w:pos="8504"/>
            </w:tabs>
          </w:pPr>
          <w:r>
            <w:rPr>
              <w:color w:val="000000" w:themeColor="text1"/>
              <w14:textFill>
                <w14:solidFill>
                  <w14:schemeClr w14:val="tx1"/>
                </w14:solidFill>
              </w14:textFill>
            </w:rPr>
            <w:fldChar w:fldCharType="begin"/>
          </w:r>
          <w:r>
            <w:instrText xml:space="preserve"> HYPERLINK \l _Toc8560 </w:instrText>
          </w:r>
          <w:r>
            <w:fldChar w:fldCharType="separate"/>
          </w:r>
          <w:r>
            <w:rPr>
              <w:rFonts w:hint="eastAsia" w:ascii="Times New Roman" w:hAnsi="Times New Roman" w:cs="Times New Roman"/>
              <w:lang w:val="en-US" w:eastAsia="zh-CN"/>
            </w:rPr>
            <w:t>3.6.11</w:t>
          </w:r>
          <w:r>
            <w:rPr>
              <w:rFonts w:hint="default" w:ascii="Times New Roman" w:hAnsi="Times New Roman" w:cs="Times New Roman"/>
              <w:lang w:val="en-US" w:eastAsia="zh-CN"/>
            </w:rPr>
            <w:t>淹溺</w:t>
          </w:r>
          <w:r>
            <w:rPr>
              <w:rFonts w:hint="eastAsia" w:ascii="Times New Roman" w:hAnsi="Times New Roman" w:cs="Times New Roman"/>
              <w:lang w:val="en-US" w:eastAsia="zh-CN"/>
            </w:rPr>
            <w:t>危险性分析</w:t>
          </w:r>
          <w:r>
            <w:tab/>
          </w:r>
          <w:r>
            <w:fldChar w:fldCharType="begin"/>
          </w:r>
          <w:r>
            <w:instrText xml:space="preserve"> PAGEREF _Toc8560 \h </w:instrText>
          </w:r>
          <w:r>
            <w:fldChar w:fldCharType="separate"/>
          </w:r>
          <w:r>
            <w:t>48</w:t>
          </w:r>
          <w:r>
            <w:fldChar w:fldCharType="end"/>
          </w:r>
          <w:r>
            <w:rPr>
              <w:color w:val="000000" w:themeColor="text1"/>
              <w14:textFill>
                <w14:solidFill>
                  <w14:schemeClr w14:val="tx1"/>
                </w14:solidFill>
              </w14:textFill>
            </w:rPr>
            <w:fldChar w:fldCharType="end"/>
          </w:r>
        </w:p>
        <w:p w14:paraId="0507AF46">
          <w:pPr>
            <w:pStyle w:val="28"/>
            <w:tabs>
              <w:tab w:val="right" w:leader="dot" w:pos="8504"/>
            </w:tabs>
          </w:pPr>
          <w:r>
            <w:rPr>
              <w:color w:val="000000" w:themeColor="text1"/>
              <w14:textFill>
                <w14:solidFill>
                  <w14:schemeClr w14:val="tx1"/>
                </w14:solidFill>
              </w14:textFill>
            </w:rPr>
            <w:fldChar w:fldCharType="begin"/>
          </w:r>
          <w:r>
            <w:instrText xml:space="preserve"> HYPERLINK \l _Toc7483 </w:instrText>
          </w:r>
          <w:r>
            <w:fldChar w:fldCharType="separate"/>
          </w:r>
          <w:r>
            <w:rPr>
              <w:rFonts w:hint="default" w:ascii="Times New Roman" w:hAnsi="Times New Roman" w:cs="Times New Roman"/>
              <w:lang w:val="en-US" w:eastAsia="zh-CN"/>
            </w:rPr>
            <w:t>3.6.1</w:t>
          </w:r>
          <w:r>
            <w:rPr>
              <w:rFonts w:hint="eastAsia" w:ascii="Times New Roman" w:hAnsi="Times New Roman" w:cs="Times New Roman"/>
              <w:lang w:val="en-US" w:eastAsia="zh-CN"/>
            </w:rPr>
            <w:t>2</w:t>
          </w:r>
          <w:r>
            <w:rPr>
              <w:rFonts w:hint="default" w:ascii="Times New Roman" w:hAnsi="Times New Roman" w:cs="Times New Roman"/>
              <w:lang w:val="en-US" w:eastAsia="zh-CN"/>
            </w:rPr>
            <w:t>其他伤害危险性分析</w:t>
          </w:r>
          <w:r>
            <w:tab/>
          </w:r>
          <w:r>
            <w:fldChar w:fldCharType="begin"/>
          </w:r>
          <w:r>
            <w:instrText xml:space="preserve"> PAGEREF _Toc7483 \h </w:instrText>
          </w:r>
          <w:r>
            <w:fldChar w:fldCharType="separate"/>
          </w:r>
          <w:r>
            <w:t>48</w:t>
          </w:r>
          <w:r>
            <w:fldChar w:fldCharType="end"/>
          </w:r>
          <w:r>
            <w:rPr>
              <w:color w:val="000000" w:themeColor="text1"/>
              <w14:textFill>
                <w14:solidFill>
                  <w14:schemeClr w14:val="tx1"/>
                </w14:solidFill>
              </w14:textFill>
            </w:rPr>
            <w:fldChar w:fldCharType="end"/>
          </w:r>
        </w:p>
        <w:p w14:paraId="629E43E9">
          <w:pPr>
            <w:pStyle w:val="43"/>
            <w:tabs>
              <w:tab w:val="right" w:leader="dot" w:pos="8504"/>
            </w:tabs>
          </w:pPr>
          <w:r>
            <w:rPr>
              <w:color w:val="000000" w:themeColor="text1"/>
              <w14:textFill>
                <w14:solidFill>
                  <w14:schemeClr w14:val="tx1"/>
                </w14:solidFill>
              </w14:textFill>
            </w:rPr>
            <w:fldChar w:fldCharType="begin"/>
          </w:r>
          <w:r>
            <w:instrText xml:space="preserve"> HYPERLINK \l _Toc28594 </w:instrText>
          </w:r>
          <w:r>
            <w:fldChar w:fldCharType="separate"/>
          </w:r>
          <w:r>
            <w:rPr>
              <w:rFonts w:hint="default" w:ascii="Times New Roman" w:hAnsi="Times New Roman" w:eastAsia="楷体" w:cs="Times New Roman"/>
            </w:rPr>
            <w:t>3.7特殊作业危险性分析</w:t>
          </w:r>
          <w:r>
            <w:tab/>
          </w:r>
          <w:r>
            <w:fldChar w:fldCharType="begin"/>
          </w:r>
          <w:r>
            <w:instrText xml:space="preserve"> PAGEREF _Toc28594 \h </w:instrText>
          </w:r>
          <w:r>
            <w:fldChar w:fldCharType="separate"/>
          </w:r>
          <w:r>
            <w:t>49</w:t>
          </w:r>
          <w:r>
            <w:fldChar w:fldCharType="end"/>
          </w:r>
          <w:r>
            <w:rPr>
              <w:color w:val="000000" w:themeColor="text1"/>
              <w14:textFill>
                <w14:solidFill>
                  <w14:schemeClr w14:val="tx1"/>
                </w14:solidFill>
              </w14:textFill>
            </w:rPr>
            <w:fldChar w:fldCharType="end"/>
          </w:r>
        </w:p>
        <w:p w14:paraId="7CB6EE14">
          <w:pPr>
            <w:pStyle w:val="28"/>
            <w:tabs>
              <w:tab w:val="right" w:leader="dot" w:pos="8504"/>
            </w:tabs>
          </w:pPr>
          <w:r>
            <w:rPr>
              <w:color w:val="000000" w:themeColor="text1"/>
              <w14:textFill>
                <w14:solidFill>
                  <w14:schemeClr w14:val="tx1"/>
                </w14:solidFill>
              </w14:textFill>
            </w:rPr>
            <w:fldChar w:fldCharType="begin"/>
          </w:r>
          <w:r>
            <w:instrText xml:space="preserve"> HYPERLINK \l _Toc23799 </w:instrText>
          </w:r>
          <w:r>
            <w:fldChar w:fldCharType="separate"/>
          </w:r>
          <w:r>
            <w:rPr>
              <w:rFonts w:hint="default" w:ascii="Times New Roman" w:hAnsi="Times New Roman" w:cs="Times New Roman"/>
              <w:lang w:val="en-US" w:eastAsia="zh-CN"/>
            </w:rPr>
            <w:t>3.7.</w:t>
          </w:r>
          <w:r>
            <w:rPr>
              <w:rFonts w:hint="eastAsia" w:ascii="Times New Roman" w:hAnsi="Times New Roman" w:cs="Times New Roman"/>
              <w:lang w:val="en-US" w:eastAsia="zh-CN"/>
            </w:rPr>
            <w:t>1</w:t>
          </w:r>
          <w:r>
            <w:rPr>
              <w:rFonts w:hint="default" w:ascii="Times New Roman" w:hAnsi="Times New Roman" w:cs="Times New Roman"/>
              <w:lang w:val="en-US" w:eastAsia="zh-CN"/>
            </w:rPr>
            <w:t>临时用电作业危险、有害因素分析</w:t>
          </w:r>
          <w:r>
            <w:tab/>
          </w:r>
          <w:r>
            <w:fldChar w:fldCharType="begin"/>
          </w:r>
          <w:r>
            <w:instrText xml:space="preserve"> PAGEREF _Toc23799 \h </w:instrText>
          </w:r>
          <w:r>
            <w:fldChar w:fldCharType="separate"/>
          </w:r>
          <w:r>
            <w:t>49</w:t>
          </w:r>
          <w:r>
            <w:fldChar w:fldCharType="end"/>
          </w:r>
          <w:r>
            <w:rPr>
              <w:color w:val="000000" w:themeColor="text1"/>
              <w14:textFill>
                <w14:solidFill>
                  <w14:schemeClr w14:val="tx1"/>
                </w14:solidFill>
              </w14:textFill>
            </w:rPr>
            <w:fldChar w:fldCharType="end"/>
          </w:r>
        </w:p>
        <w:p w14:paraId="2D825EF6">
          <w:pPr>
            <w:pStyle w:val="28"/>
            <w:tabs>
              <w:tab w:val="right" w:leader="dot" w:pos="8504"/>
            </w:tabs>
          </w:pPr>
          <w:r>
            <w:rPr>
              <w:color w:val="000000" w:themeColor="text1"/>
              <w14:textFill>
                <w14:solidFill>
                  <w14:schemeClr w14:val="tx1"/>
                </w14:solidFill>
              </w14:textFill>
            </w:rPr>
            <w:fldChar w:fldCharType="begin"/>
          </w:r>
          <w:r>
            <w:instrText xml:space="preserve"> HYPERLINK \l _Toc1182 </w:instrText>
          </w:r>
          <w:r>
            <w:fldChar w:fldCharType="separate"/>
          </w:r>
          <w:r>
            <w:rPr>
              <w:rFonts w:hint="default" w:ascii="Times New Roman" w:hAnsi="Times New Roman" w:cs="Times New Roman"/>
              <w:lang w:val="en-US" w:eastAsia="zh-CN"/>
            </w:rPr>
            <w:t>3.7.</w:t>
          </w:r>
          <w:r>
            <w:rPr>
              <w:rFonts w:hint="eastAsia" w:ascii="Times New Roman" w:hAnsi="Times New Roman" w:cs="Times New Roman"/>
              <w:lang w:val="en-US" w:eastAsia="zh-CN"/>
            </w:rPr>
            <w:t>2</w:t>
          </w:r>
          <w:r>
            <w:rPr>
              <w:rFonts w:hint="default" w:ascii="Times New Roman" w:hAnsi="Times New Roman" w:cs="Times New Roman"/>
              <w:lang w:val="en-US" w:eastAsia="zh-CN"/>
            </w:rPr>
            <w:t>动火作业危险、有害因素分析</w:t>
          </w:r>
          <w:r>
            <w:tab/>
          </w:r>
          <w:r>
            <w:fldChar w:fldCharType="begin"/>
          </w:r>
          <w:r>
            <w:instrText xml:space="preserve"> PAGEREF _Toc1182 \h </w:instrText>
          </w:r>
          <w:r>
            <w:fldChar w:fldCharType="separate"/>
          </w:r>
          <w:r>
            <w:t>50</w:t>
          </w:r>
          <w:r>
            <w:fldChar w:fldCharType="end"/>
          </w:r>
          <w:r>
            <w:rPr>
              <w:color w:val="000000" w:themeColor="text1"/>
              <w14:textFill>
                <w14:solidFill>
                  <w14:schemeClr w14:val="tx1"/>
                </w14:solidFill>
              </w14:textFill>
            </w:rPr>
            <w:fldChar w:fldCharType="end"/>
          </w:r>
        </w:p>
        <w:p w14:paraId="7BC9BC62">
          <w:pPr>
            <w:pStyle w:val="28"/>
            <w:tabs>
              <w:tab w:val="right" w:leader="dot" w:pos="8504"/>
            </w:tabs>
          </w:pPr>
          <w:r>
            <w:rPr>
              <w:color w:val="000000" w:themeColor="text1"/>
              <w14:textFill>
                <w14:solidFill>
                  <w14:schemeClr w14:val="tx1"/>
                </w14:solidFill>
              </w14:textFill>
            </w:rPr>
            <w:fldChar w:fldCharType="begin"/>
          </w:r>
          <w:r>
            <w:instrText xml:space="preserve"> HYPERLINK \l _Toc9975 </w:instrText>
          </w:r>
          <w:r>
            <w:fldChar w:fldCharType="separate"/>
          </w:r>
          <w:r>
            <w:rPr>
              <w:rFonts w:hint="default" w:ascii="Times New Roman" w:hAnsi="Times New Roman" w:cs="Times New Roman"/>
              <w:lang w:val="en-US" w:eastAsia="zh-CN"/>
            </w:rPr>
            <w:t>3.7.</w:t>
          </w:r>
          <w:r>
            <w:rPr>
              <w:rFonts w:hint="eastAsia" w:ascii="Times New Roman" w:hAnsi="Times New Roman" w:cs="Times New Roman"/>
              <w:lang w:val="en-US" w:eastAsia="zh-CN"/>
            </w:rPr>
            <w:t>3</w:t>
          </w:r>
          <w:r>
            <w:rPr>
              <w:rFonts w:hint="default" w:ascii="Times New Roman" w:hAnsi="Times New Roman" w:cs="Times New Roman"/>
              <w:lang w:val="en-US" w:eastAsia="zh-CN"/>
            </w:rPr>
            <w:t>高处作业危险、有害因素分析</w:t>
          </w:r>
          <w:r>
            <w:tab/>
          </w:r>
          <w:r>
            <w:fldChar w:fldCharType="begin"/>
          </w:r>
          <w:r>
            <w:instrText xml:space="preserve"> PAGEREF _Toc9975 \h </w:instrText>
          </w:r>
          <w:r>
            <w:fldChar w:fldCharType="separate"/>
          </w:r>
          <w:r>
            <w:t>51</w:t>
          </w:r>
          <w:r>
            <w:fldChar w:fldCharType="end"/>
          </w:r>
          <w:r>
            <w:rPr>
              <w:color w:val="000000" w:themeColor="text1"/>
              <w14:textFill>
                <w14:solidFill>
                  <w14:schemeClr w14:val="tx1"/>
                </w14:solidFill>
              </w14:textFill>
            </w:rPr>
            <w:fldChar w:fldCharType="end"/>
          </w:r>
        </w:p>
        <w:p w14:paraId="4F0C9589">
          <w:pPr>
            <w:pStyle w:val="43"/>
            <w:tabs>
              <w:tab w:val="right" w:leader="dot" w:pos="8504"/>
            </w:tabs>
          </w:pPr>
          <w:r>
            <w:rPr>
              <w:color w:val="000000" w:themeColor="text1"/>
              <w14:textFill>
                <w14:solidFill>
                  <w14:schemeClr w14:val="tx1"/>
                </w14:solidFill>
              </w14:textFill>
            </w:rPr>
            <w:fldChar w:fldCharType="begin"/>
          </w:r>
          <w:r>
            <w:instrText xml:space="preserve"> HYPERLINK \l _Toc31986 </w:instrText>
          </w:r>
          <w:r>
            <w:fldChar w:fldCharType="separate"/>
          </w:r>
          <w:r>
            <w:rPr>
              <w:rFonts w:hint="default" w:ascii="Times New Roman" w:hAnsi="Times New Roman" w:eastAsia="楷体" w:cs="Times New Roman"/>
            </w:rPr>
            <w:t>3.8设备检维修过程危险、有害因素分析</w:t>
          </w:r>
          <w:r>
            <w:tab/>
          </w:r>
          <w:r>
            <w:fldChar w:fldCharType="begin"/>
          </w:r>
          <w:r>
            <w:instrText xml:space="preserve"> PAGEREF _Toc31986 \h </w:instrText>
          </w:r>
          <w:r>
            <w:fldChar w:fldCharType="separate"/>
          </w:r>
          <w:r>
            <w:t>51</w:t>
          </w:r>
          <w:r>
            <w:fldChar w:fldCharType="end"/>
          </w:r>
          <w:r>
            <w:rPr>
              <w:color w:val="000000" w:themeColor="text1"/>
              <w14:textFill>
                <w14:solidFill>
                  <w14:schemeClr w14:val="tx1"/>
                </w14:solidFill>
              </w14:textFill>
            </w:rPr>
            <w:fldChar w:fldCharType="end"/>
          </w:r>
        </w:p>
        <w:p w14:paraId="55005ECD">
          <w:pPr>
            <w:pStyle w:val="43"/>
            <w:tabs>
              <w:tab w:val="right" w:leader="dot" w:pos="8504"/>
            </w:tabs>
          </w:pPr>
          <w:r>
            <w:rPr>
              <w:color w:val="000000" w:themeColor="text1"/>
              <w14:textFill>
                <w14:solidFill>
                  <w14:schemeClr w14:val="tx1"/>
                </w14:solidFill>
              </w14:textFill>
            </w:rPr>
            <w:fldChar w:fldCharType="begin"/>
          </w:r>
          <w:r>
            <w:instrText xml:space="preserve"> HYPERLINK \l _Toc26907 </w:instrText>
          </w:r>
          <w:r>
            <w:fldChar w:fldCharType="separate"/>
          </w:r>
          <w:r>
            <w:rPr>
              <w:rFonts w:hint="default" w:ascii="Times New Roman" w:hAnsi="Times New Roman" w:eastAsia="楷体" w:cs="Times New Roman"/>
            </w:rPr>
            <w:t>3.9安全管理危险性分析</w:t>
          </w:r>
          <w:r>
            <w:tab/>
          </w:r>
          <w:r>
            <w:fldChar w:fldCharType="begin"/>
          </w:r>
          <w:r>
            <w:instrText xml:space="preserve"> PAGEREF _Toc26907 \h </w:instrText>
          </w:r>
          <w:r>
            <w:fldChar w:fldCharType="separate"/>
          </w:r>
          <w:r>
            <w:t>52</w:t>
          </w:r>
          <w:r>
            <w:fldChar w:fldCharType="end"/>
          </w:r>
          <w:r>
            <w:rPr>
              <w:color w:val="000000" w:themeColor="text1"/>
              <w14:textFill>
                <w14:solidFill>
                  <w14:schemeClr w14:val="tx1"/>
                </w14:solidFill>
              </w14:textFill>
            </w:rPr>
            <w:fldChar w:fldCharType="end"/>
          </w:r>
        </w:p>
        <w:p w14:paraId="1586C8FF">
          <w:pPr>
            <w:pStyle w:val="28"/>
            <w:tabs>
              <w:tab w:val="right" w:leader="dot" w:pos="8504"/>
            </w:tabs>
          </w:pPr>
          <w:r>
            <w:rPr>
              <w:color w:val="000000" w:themeColor="text1"/>
              <w14:textFill>
                <w14:solidFill>
                  <w14:schemeClr w14:val="tx1"/>
                </w14:solidFill>
              </w14:textFill>
            </w:rPr>
            <w:fldChar w:fldCharType="begin"/>
          </w:r>
          <w:r>
            <w:instrText xml:space="preserve"> HYPERLINK \l _Toc10947 </w:instrText>
          </w:r>
          <w:r>
            <w:fldChar w:fldCharType="separate"/>
          </w:r>
          <w:r>
            <w:rPr>
              <w:rFonts w:hint="default" w:ascii="Times New Roman" w:hAnsi="Times New Roman" w:cs="Times New Roman"/>
              <w:lang w:val="en-US" w:eastAsia="zh-CN"/>
            </w:rPr>
            <w:t>3.9.1安全管理组织体系方面危险性分析</w:t>
          </w:r>
          <w:r>
            <w:tab/>
          </w:r>
          <w:r>
            <w:fldChar w:fldCharType="begin"/>
          </w:r>
          <w:r>
            <w:instrText xml:space="preserve"> PAGEREF _Toc10947 \h </w:instrText>
          </w:r>
          <w:r>
            <w:fldChar w:fldCharType="separate"/>
          </w:r>
          <w:r>
            <w:t>52</w:t>
          </w:r>
          <w:r>
            <w:fldChar w:fldCharType="end"/>
          </w:r>
          <w:r>
            <w:rPr>
              <w:color w:val="000000" w:themeColor="text1"/>
              <w14:textFill>
                <w14:solidFill>
                  <w14:schemeClr w14:val="tx1"/>
                </w14:solidFill>
              </w14:textFill>
            </w:rPr>
            <w:fldChar w:fldCharType="end"/>
          </w:r>
        </w:p>
        <w:p w14:paraId="6D5C5AB3">
          <w:pPr>
            <w:pStyle w:val="28"/>
            <w:tabs>
              <w:tab w:val="right" w:leader="dot" w:pos="8504"/>
            </w:tabs>
          </w:pPr>
          <w:r>
            <w:rPr>
              <w:color w:val="000000" w:themeColor="text1"/>
              <w14:textFill>
                <w14:solidFill>
                  <w14:schemeClr w14:val="tx1"/>
                </w14:solidFill>
              </w14:textFill>
            </w:rPr>
            <w:fldChar w:fldCharType="begin"/>
          </w:r>
          <w:r>
            <w:instrText xml:space="preserve"> HYPERLINK \l _Toc8721 </w:instrText>
          </w:r>
          <w:r>
            <w:fldChar w:fldCharType="separate"/>
          </w:r>
          <w:r>
            <w:rPr>
              <w:rFonts w:hint="default" w:ascii="Times New Roman" w:hAnsi="Times New Roman" w:cs="Times New Roman"/>
              <w:lang w:val="en-US" w:eastAsia="zh-CN"/>
            </w:rPr>
            <w:t>3.9.2安全管理制度方面危险性分析</w:t>
          </w:r>
          <w:r>
            <w:tab/>
          </w:r>
          <w:r>
            <w:fldChar w:fldCharType="begin"/>
          </w:r>
          <w:r>
            <w:instrText xml:space="preserve"> PAGEREF _Toc8721 \h </w:instrText>
          </w:r>
          <w:r>
            <w:fldChar w:fldCharType="separate"/>
          </w:r>
          <w:r>
            <w:t>53</w:t>
          </w:r>
          <w:r>
            <w:fldChar w:fldCharType="end"/>
          </w:r>
          <w:r>
            <w:rPr>
              <w:color w:val="000000" w:themeColor="text1"/>
              <w14:textFill>
                <w14:solidFill>
                  <w14:schemeClr w14:val="tx1"/>
                </w14:solidFill>
              </w14:textFill>
            </w:rPr>
            <w:fldChar w:fldCharType="end"/>
          </w:r>
        </w:p>
        <w:p w14:paraId="617C4FA9">
          <w:pPr>
            <w:pStyle w:val="28"/>
            <w:tabs>
              <w:tab w:val="right" w:leader="dot" w:pos="8504"/>
            </w:tabs>
          </w:pPr>
          <w:r>
            <w:rPr>
              <w:color w:val="000000" w:themeColor="text1"/>
              <w14:textFill>
                <w14:solidFill>
                  <w14:schemeClr w14:val="tx1"/>
                </w14:solidFill>
              </w14:textFill>
            </w:rPr>
            <w:fldChar w:fldCharType="begin"/>
          </w:r>
          <w:r>
            <w:instrText xml:space="preserve"> HYPERLINK \l _Toc23370 </w:instrText>
          </w:r>
          <w:r>
            <w:fldChar w:fldCharType="separate"/>
          </w:r>
          <w:r>
            <w:rPr>
              <w:rFonts w:hint="default" w:ascii="Times New Roman" w:hAnsi="Times New Roman" w:cs="Times New Roman"/>
              <w:lang w:val="en-US" w:eastAsia="zh-CN"/>
            </w:rPr>
            <w:t>3.9.3事故应急方面危险性分析</w:t>
          </w:r>
          <w:r>
            <w:tab/>
          </w:r>
          <w:r>
            <w:fldChar w:fldCharType="begin"/>
          </w:r>
          <w:r>
            <w:instrText xml:space="preserve"> PAGEREF _Toc23370 \h </w:instrText>
          </w:r>
          <w:r>
            <w:fldChar w:fldCharType="separate"/>
          </w:r>
          <w:r>
            <w:t>54</w:t>
          </w:r>
          <w:r>
            <w:fldChar w:fldCharType="end"/>
          </w:r>
          <w:r>
            <w:rPr>
              <w:color w:val="000000" w:themeColor="text1"/>
              <w14:textFill>
                <w14:solidFill>
                  <w14:schemeClr w14:val="tx1"/>
                </w14:solidFill>
              </w14:textFill>
            </w:rPr>
            <w:fldChar w:fldCharType="end"/>
          </w:r>
        </w:p>
        <w:p w14:paraId="242E1B3E">
          <w:pPr>
            <w:pStyle w:val="43"/>
            <w:tabs>
              <w:tab w:val="right" w:leader="dot" w:pos="8504"/>
            </w:tabs>
          </w:pPr>
          <w:r>
            <w:rPr>
              <w:color w:val="000000" w:themeColor="text1"/>
              <w14:textFill>
                <w14:solidFill>
                  <w14:schemeClr w14:val="tx1"/>
                </w14:solidFill>
              </w14:textFill>
            </w:rPr>
            <w:fldChar w:fldCharType="begin"/>
          </w:r>
          <w:r>
            <w:instrText xml:space="preserve"> HYPERLINK \l _Toc5732 </w:instrText>
          </w:r>
          <w:r>
            <w:fldChar w:fldCharType="separate"/>
          </w:r>
          <w:r>
            <w:rPr>
              <w:rFonts w:hint="default" w:ascii="Times New Roman" w:hAnsi="Times New Roman" w:eastAsia="楷体" w:cs="Times New Roman"/>
            </w:rPr>
            <w:t>3.10重大危险源辨识</w:t>
          </w:r>
          <w:r>
            <w:tab/>
          </w:r>
          <w:r>
            <w:fldChar w:fldCharType="begin"/>
          </w:r>
          <w:r>
            <w:instrText xml:space="preserve"> PAGEREF _Toc5732 \h </w:instrText>
          </w:r>
          <w:r>
            <w:fldChar w:fldCharType="separate"/>
          </w:r>
          <w:r>
            <w:t>54</w:t>
          </w:r>
          <w:r>
            <w:fldChar w:fldCharType="end"/>
          </w:r>
          <w:r>
            <w:rPr>
              <w:color w:val="000000" w:themeColor="text1"/>
              <w14:textFill>
                <w14:solidFill>
                  <w14:schemeClr w14:val="tx1"/>
                </w14:solidFill>
              </w14:textFill>
            </w:rPr>
            <w:fldChar w:fldCharType="end"/>
          </w:r>
        </w:p>
        <w:p w14:paraId="0CE35B3B">
          <w:pPr>
            <w:pStyle w:val="28"/>
            <w:tabs>
              <w:tab w:val="right" w:leader="dot" w:pos="8504"/>
            </w:tabs>
          </w:pPr>
          <w:r>
            <w:rPr>
              <w:color w:val="000000" w:themeColor="text1"/>
              <w14:textFill>
                <w14:solidFill>
                  <w14:schemeClr w14:val="tx1"/>
                </w14:solidFill>
              </w14:textFill>
            </w:rPr>
            <w:fldChar w:fldCharType="begin"/>
          </w:r>
          <w:r>
            <w:instrText xml:space="preserve"> HYPERLINK \l _Toc9268 </w:instrText>
          </w:r>
          <w:r>
            <w:fldChar w:fldCharType="separate"/>
          </w:r>
          <w:r>
            <w:rPr>
              <w:rFonts w:hint="default" w:ascii="Times New Roman" w:hAnsi="Times New Roman" w:cs="Times New Roman"/>
              <w:lang w:val="en-US" w:eastAsia="zh-CN"/>
            </w:rPr>
            <w:t>3.10.1方法介绍</w:t>
          </w:r>
          <w:r>
            <w:tab/>
          </w:r>
          <w:r>
            <w:fldChar w:fldCharType="begin"/>
          </w:r>
          <w:r>
            <w:instrText xml:space="preserve"> PAGEREF _Toc9268 \h </w:instrText>
          </w:r>
          <w:r>
            <w:fldChar w:fldCharType="separate"/>
          </w:r>
          <w:r>
            <w:t>54</w:t>
          </w:r>
          <w:r>
            <w:fldChar w:fldCharType="end"/>
          </w:r>
          <w:r>
            <w:rPr>
              <w:color w:val="000000" w:themeColor="text1"/>
              <w14:textFill>
                <w14:solidFill>
                  <w14:schemeClr w14:val="tx1"/>
                </w14:solidFill>
              </w14:textFill>
            </w:rPr>
            <w:fldChar w:fldCharType="end"/>
          </w:r>
        </w:p>
        <w:p w14:paraId="49610B74">
          <w:pPr>
            <w:pStyle w:val="28"/>
            <w:tabs>
              <w:tab w:val="right" w:leader="dot" w:pos="8504"/>
            </w:tabs>
          </w:pPr>
          <w:r>
            <w:rPr>
              <w:color w:val="000000" w:themeColor="text1"/>
              <w14:textFill>
                <w14:solidFill>
                  <w14:schemeClr w14:val="tx1"/>
                </w14:solidFill>
              </w14:textFill>
            </w:rPr>
            <w:fldChar w:fldCharType="begin"/>
          </w:r>
          <w:r>
            <w:instrText xml:space="preserve"> HYPERLINK \l _Toc8987 </w:instrText>
          </w:r>
          <w:r>
            <w:fldChar w:fldCharType="separate"/>
          </w:r>
          <w:r>
            <w:rPr>
              <w:rFonts w:hint="default" w:ascii="Times New Roman" w:hAnsi="Times New Roman" w:cs="Times New Roman"/>
              <w:lang w:val="en-US" w:eastAsia="zh-CN"/>
            </w:rPr>
            <w:t>3.10.2辨识过程及结果</w:t>
          </w:r>
          <w:r>
            <w:tab/>
          </w:r>
          <w:r>
            <w:fldChar w:fldCharType="begin"/>
          </w:r>
          <w:r>
            <w:instrText xml:space="preserve"> PAGEREF _Toc8987 \h </w:instrText>
          </w:r>
          <w:r>
            <w:fldChar w:fldCharType="separate"/>
          </w:r>
          <w:r>
            <w:t>55</w:t>
          </w:r>
          <w:r>
            <w:fldChar w:fldCharType="end"/>
          </w:r>
          <w:r>
            <w:rPr>
              <w:color w:val="000000" w:themeColor="text1"/>
              <w14:textFill>
                <w14:solidFill>
                  <w14:schemeClr w14:val="tx1"/>
                </w14:solidFill>
              </w14:textFill>
            </w:rPr>
            <w:fldChar w:fldCharType="end"/>
          </w:r>
        </w:p>
        <w:p w14:paraId="00DA78FD">
          <w:pPr>
            <w:pStyle w:val="35"/>
            <w:tabs>
              <w:tab w:val="right" w:leader="dot" w:pos="8504"/>
            </w:tabs>
          </w:pPr>
          <w:r>
            <w:rPr>
              <w:color w:val="000000" w:themeColor="text1"/>
              <w14:textFill>
                <w14:solidFill>
                  <w14:schemeClr w14:val="tx1"/>
                </w14:solidFill>
              </w14:textFill>
            </w:rPr>
            <w:fldChar w:fldCharType="begin"/>
          </w:r>
          <w:r>
            <w:instrText xml:space="preserve"> HYPERLINK \l _Toc15440 </w:instrText>
          </w:r>
          <w:r>
            <w:fldChar w:fldCharType="separate"/>
          </w:r>
          <w:r>
            <w:rPr>
              <w:rFonts w:hint="default" w:ascii="Times New Roman" w:hAnsi="Times New Roman" w:eastAsia="黑体" w:cs="Times New Roman"/>
            </w:rPr>
            <w:t>第4章  评价单元划分及评价方法选择</w:t>
          </w:r>
          <w:r>
            <w:tab/>
          </w:r>
          <w:r>
            <w:fldChar w:fldCharType="begin"/>
          </w:r>
          <w:r>
            <w:instrText xml:space="preserve"> PAGEREF _Toc15440 \h </w:instrText>
          </w:r>
          <w:r>
            <w:fldChar w:fldCharType="separate"/>
          </w:r>
          <w:r>
            <w:t>57</w:t>
          </w:r>
          <w:r>
            <w:fldChar w:fldCharType="end"/>
          </w:r>
          <w:r>
            <w:rPr>
              <w:color w:val="000000" w:themeColor="text1"/>
              <w14:textFill>
                <w14:solidFill>
                  <w14:schemeClr w14:val="tx1"/>
                </w14:solidFill>
              </w14:textFill>
            </w:rPr>
            <w:fldChar w:fldCharType="end"/>
          </w:r>
        </w:p>
        <w:p w14:paraId="3D0576F5">
          <w:pPr>
            <w:pStyle w:val="43"/>
            <w:tabs>
              <w:tab w:val="right" w:leader="dot" w:pos="8504"/>
            </w:tabs>
          </w:pPr>
          <w:r>
            <w:rPr>
              <w:color w:val="000000" w:themeColor="text1"/>
              <w14:textFill>
                <w14:solidFill>
                  <w14:schemeClr w14:val="tx1"/>
                </w14:solidFill>
              </w14:textFill>
            </w:rPr>
            <w:fldChar w:fldCharType="begin"/>
          </w:r>
          <w:r>
            <w:instrText xml:space="preserve"> HYPERLINK \l _Toc16929 </w:instrText>
          </w:r>
          <w:r>
            <w:fldChar w:fldCharType="separate"/>
          </w:r>
          <w:r>
            <w:rPr>
              <w:rFonts w:hint="default" w:ascii="Times New Roman" w:hAnsi="Times New Roman" w:eastAsia="楷体" w:cs="Times New Roman"/>
            </w:rPr>
            <w:t>4.1</w:t>
          </w:r>
          <w:r>
            <w:rPr>
              <w:rFonts w:hint="eastAsia" w:ascii="Times New Roman" w:hAnsi="Times New Roman" w:cs="Times New Roman"/>
              <w:lang w:val="en-US" w:eastAsia="zh-CN"/>
            </w:rPr>
            <w:t xml:space="preserve"> </w:t>
          </w:r>
          <w:r>
            <w:rPr>
              <w:rFonts w:hint="default" w:ascii="Times New Roman" w:hAnsi="Times New Roman" w:eastAsia="楷体" w:cs="Times New Roman"/>
            </w:rPr>
            <w:t>安全评价单元划分</w:t>
          </w:r>
          <w:r>
            <w:tab/>
          </w:r>
          <w:r>
            <w:fldChar w:fldCharType="begin"/>
          </w:r>
          <w:r>
            <w:instrText xml:space="preserve"> PAGEREF _Toc16929 \h </w:instrText>
          </w:r>
          <w:r>
            <w:fldChar w:fldCharType="separate"/>
          </w:r>
          <w:r>
            <w:t>57</w:t>
          </w:r>
          <w:r>
            <w:fldChar w:fldCharType="end"/>
          </w:r>
          <w:r>
            <w:rPr>
              <w:color w:val="000000" w:themeColor="text1"/>
              <w14:textFill>
                <w14:solidFill>
                  <w14:schemeClr w14:val="tx1"/>
                </w14:solidFill>
              </w14:textFill>
            </w:rPr>
            <w:fldChar w:fldCharType="end"/>
          </w:r>
        </w:p>
        <w:p w14:paraId="3556E0CB">
          <w:pPr>
            <w:pStyle w:val="28"/>
            <w:tabs>
              <w:tab w:val="right" w:leader="dot" w:pos="8504"/>
            </w:tabs>
          </w:pPr>
          <w:r>
            <w:rPr>
              <w:color w:val="000000" w:themeColor="text1"/>
              <w14:textFill>
                <w14:solidFill>
                  <w14:schemeClr w14:val="tx1"/>
                </w14:solidFill>
              </w14:textFill>
            </w:rPr>
            <w:fldChar w:fldCharType="begin"/>
          </w:r>
          <w:r>
            <w:instrText xml:space="preserve"> HYPERLINK \l _Toc17104 </w:instrText>
          </w:r>
          <w:r>
            <w:fldChar w:fldCharType="separate"/>
          </w:r>
          <w:r>
            <w:rPr>
              <w:rFonts w:hint="default" w:ascii="Times New Roman" w:hAnsi="Times New Roman" w:eastAsia="黑体" w:cs="Times New Roman"/>
              <w:lang w:val="en-US" w:eastAsia="zh-CN"/>
            </w:rPr>
            <w:t>4.1.1</w:t>
          </w:r>
          <w:r>
            <w:rPr>
              <w:rFonts w:hint="eastAsia" w:ascii="Times New Roman" w:hAnsi="Times New Roman" w:cs="Times New Roman"/>
              <w:lang w:val="en-US" w:eastAsia="zh-CN"/>
            </w:rPr>
            <w:t xml:space="preserve"> </w:t>
          </w:r>
          <w:r>
            <w:rPr>
              <w:rFonts w:hint="default" w:ascii="Times New Roman" w:hAnsi="Times New Roman" w:eastAsia="黑体" w:cs="Times New Roman"/>
              <w:lang w:val="en-US" w:eastAsia="zh-CN"/>
            </w:rPr>
            <w:t>评价单元划分原则</w:t>
          </w:r>
          <w:r>
            <w:tab/>
          </w:r>
          <w:r>
            <w:fldChar w:fldCharType="begin"/>
          </w:r>
          <w:r>
            <w:instrText xml:space="preserve"> PAGEREF _Toc17104 \h </w:instrText>
          </w:r>
          <w:r>
            <w:fldChar w:fldCharType="separate"/>
          </w:r>
          <w:r>
            <w:t>57</w:t>
          </w:r>
          <w:r>
            <w:fldChar w:fldCharType="end"/>
          </w:r>
          <w:r>
            <w:rPr>
              <w:color w:val="000000" w:themeColor="text1"/>
              <w14:textFill>
                <w14:solidFill>
                  <w14:schemeClr w14:val="tx1"/>
                </w14:solidFill>
              </w14:textFill>
            </w:rPr>
            <w:fldChar w:fldCharType="end"/>
          </w:r>
        </w:p>
        <w:p w14:paraId="36E09F57">
          <w:pPr>
            <w:pStyle w:val="28"/>
            <w:tabs>
              <w:tab w:val="right" w:leader="dot" w:pos="8504"/>
            </w:tabs>
          </w:pPr>
          <w:r>
            <w:rPr>
              <w:color w:val="000000" w:themeColor="text1"/>
              <w14:textFill>
                <w14:solidFill>
                  <w14:schemeClr w14:val="tx1"/>
                </w14:solidFill>
              </w14:textFill>
            </w:rPr>
            <w:fldChar w:fldCharType="begin"/>
          </w:r>
          <w:r>
            <w:instrText xml:space="preserve"> HYPERLINK \l _Toc14089 </w:instrText>
          </w:r>
          <w:r>
            <w:fldChar w:fldCharType="separate"/>
          </w:r>
          <w:r>
            <w:rPr>
              <w:rFonts w:hint="default" w:ascii="Times New Roman" w:hAnsi="Times New Roman" w:eastAsia="黑体" w:cs="Times New Roman"/>
              <w:lang w:val="en-US" w:eastAsia="zh-CN"/>
            </w:rPr>
            <w:t>4.1.2评价单元划分方法</w:t>
          </w:r>
          <w:r>
            <w:tab/>
          </w:r>
          <w:r>
            <w:fldChar w:fldCharType="begin"/>
          </w:r>
          <w:r>
            <w:instrText xml:space="preserve"> PAGEREF _Toc14089 \h </w:instrText>
          </w:r>
          <w:r>
            <w:fldChar w:fldCharType="separate"/>
          </w:r>
          <w:r>
            <w:t>57</w:t>
          </w:r>
          <w:r>
            <w:fldChar w:fldCharType="end"/>
          </w:r>
          <w:r>
            <w:rPr>
              <w:color w:val="000000" w:themeColor="text1"/>
              <w14:textFill>
                <w14:solidFill>
                  <w14:schemeClr w14:val="tx1"/>
                </w14:solidFill>
              </w14:textFill>
            </w:rPr>
            <w:fldChar w:fldCharType="end"/>
          </w:r>
        </w:p>
        <w:p w14:paraId="655647C5">
          <w:pPr>
            <w:pStyle w:val="43"/>
            <w:tabs>
              <w:tab w:val="right" w:leader="dot" w:pos="8504"/>
            </w:tabs>
          </w:pPr>
          <w:r>
            <w:rPr>
              <w:color w:val="000000" w:themeColor="text1"/>
              <w14:textFill>
                <w14:solidFill>
                  <w14:schemeClr w14:val="tx1"/>
                </w14:solidFill>
              </w14:textFill>
            </w:rPr>
            <w:fldChar w:fldCharType="begin"/>
          </w:r>
          <w:r>
            <w:instrText xml:space="preserve"> HYPERLINK \l _Toc12670 </w:instrText>
          </w:r>
          <w:r>
            <w:fldChar w:fldCharType="separate"/>
          </w:r>
          <w:r>
            <w:rPr>
              <w:rFonts w:hint="default" w:ascii="Times New Roman" w:hAnsi="Times New Roman" w:eastAsia="楷体" w:cs="Times New Roman"/>
            </w:rPr>
            <w:t>4.2</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评价单元划分结果</w:t>
          </w:r>
          <w:r>
            <w:tab/>
          </w:r>
          <w:r>
            <w:fldChar w:fldCharType="begin"/>
          </w:r>
          <w:r>
            <w:instrText xml:space="preserve"> PAGEREF _Toc12670 \h </w:instrText>
          </w:r>
          <w:r>
            <w:fldChar w:fldCharType="separate"/>
          </w:r>
          <w:r>
            <w:t>58</w:t>
          </w:r>
          <w:r>
            <w:fldChar w:fldCharType="end"/>
          </w:r>
          <w:r>
            <w:rPr>
              <w:color w:val="000000" w:themeColor="text1"/>
              <w14:textFill>
                <w14:solidFill>
                  <w14:schemeClr w14:val="tx1"/>
                </w14:solidFill>
              </w14:textFill>
            </w:rPr>
            <w:fldChar w:fldCharType="end"/>
          </w:r>
        </w:p>
        <w:p w14:paraId="7C60412C">
          <w:pPr>
            <w:pStyle w:val="43"/>
            <w:tabs>
              <w:tab w:val="right" w:leader="dot" w:pos="8504"/>
            </w:tabs>
          </w:pPr>
          <w:r>
            <w:rPr>
              <w:color w:val="000000" w:themeColor="text1"/>
              <w14:textFill>
                <w14:solidFill>
                  <w14:schemeClr w14:val="tx1"/>
                </w14:solidFill>
              </w14:textFill>
            </w:rPr>
            <w:fldChar w:fldCharType="begin"/>
          </w:r>
          <w:r>
            <w:instrText xml:space="preserve"> HYPERLINK \l _Toc20212 </w:instrText>
          </w:r>
          <w:r>
            <w:fldChar w:fldCharType="separate"/>
          </w:r>
          <w:r>
            <w:rPr>
              <w:rFonts w:hint="default" w:ascii="Times New Roman" w:hAnsi="Times New Roman" w:eastAsia="楷体" w:cs="Times New Roman"/>
            </w:rPr>
            <w:t>4.3</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评价方法的确定</w:t>
          </w:r>
          <w:r>
            <w:tab/>
          </w:r>
          <w:r>
            <w:fldChar w:fldCharType="begin"/>
          </w:r>
          <w:r>
            <w:instrText xml:space="preserve"> PAGEREF _Toc20212 \h </w:instrText>
          </w:r>
          <w:r>
            <w:fldChar w:fldCharType="separate"/>
          </w:r>
          <w:r>
            <w:t>58</w:t>
          </w:r>
          <w:r>
            <w:fldChar w:fldCharType="end"/>
          </w:r>
          <w:r>
            <w:rPr>
              <w:color w:val="000000" w:themeColor="text1"/>
              <w14:textFill>
                <w14:solidFill>
                  <w14:schemeClr w14:val="tx1"/>
                </w14:solidFill>
              </w14:textFill>
            </w:rPr>
            <w:fldChar w:fldCharType="end"/>
          </w:r>
        </w:p>
        <w:p w14:paraId="6533758D">
          <w:pPr>
            <w:pStyle w:val="43"/>
            <w:tabs>
              <w:tab w:val="right" w:leader="dot" w:pos="8504"/>
            </w:tabs>
          </w:pPr>
          <w:r>
            <w:rPr>
              <w:color w:val="000000" w:themeColor="text1"/>
              <w14:textFill>
                <w14:solidFill>
                  <w14:schemeClr w14:val="tx1"/>
                </w14:solidFill>
              </w14:textFill>
            </w:rPr>
            <w:fldChar w:fldCharType="begin"/>
          </w:r>
          <w:r>
            <w:instrText xml:space="preserve"> HYPERLINK \l _Toc22919 </w:instrText>
          </w:r>
          <w:r>
            <w:fldChar w:fldCharType="separate"/>
          </w:r>
          <w:r>
            <w:rPr>
              <w:rFonts w:hint="default" w:ascii="Times New Roman" w:hAnsi="Times New Roman" w:eastAsia="楷体" w:cs="Times New Roman"/>
            </w:rPr>
            <w:t>4.4</w:t>
          </w:r>
          <w:r>
            <w:rPr>
              <w:rFonts w:hint="eastAsia" w:ascii="Times New Roman" w:hAnsi="Times New Roman" w:cs="Times New Roman"/>
              <w:lang w:val="en-US" w:eastAsia="zh-CN"/>
            </w:rPr>
            <w:t xml:space="preserve"> </w:t>
          </w:r>
          <w:r>
            <w:rPr>
              <w:rFonts w:hint="default" w:ascii="Times New Roman" w:hAnsi="Times New Roman" w:eastAsia="楷体" w:cs="Times New Roman"/>
            </w:rPr>
            <w:t>评价方法介绍</w:t>
          </w:r>
          <w:r>
            <w:tab/>
          </w:r>
          <w:r>
            <w:fldChar w:fldCharType="begin"/>
          </w:r>
          <w:r>
            <w:instrText xml:space="preserve"> PAGEREF _Toc22919 \h </w:instrText>
          </w:r>
          <w:r>
            <w:fldChar w:fldCharType="separate"/>
          </w:r>
          <w:r>
            <w:t>59</w:t>
          </w:r>
          <w:r>
            <w:fldChar w:fldCharType="end"/>
          </w:r>
          <w:r>
            <w:rPr>
              <w:color w:val="000000" w:themeColor="text1"/>
              <w14:textFill>
                <w14:solidFill>
                  <w14:schemeClr w14:val="tx1"/>
                </w14:solidFill>
              </w14:textFill>
            </w:rPr>
            <w:fldChar w:fldCharType="end"/>
          </w:r>
        </w:p>
        <w:p w14:paraId="1522272D">
          <w:pPr>
            <w:pStyle w:val="28"/>
            <w:tabs>
              <w:tab w:val="right" w:leader="dot" w:pos="8504"/>
            </w:tabs>
          </w:pPr>
          <w:r>
            <w:rPr>
              <w:color w:val="000000" w:themeColor="text1"/>
              <w14:textFill>
                <w14:solidFill>
                  <w14:schemeClr w14:val="tx1"/>
                </w14:solidFill>
              </w14:textFill>
            </w:rPr>
            <w:fldChar w:fldCharType="begin"/>
          </w:r>
          <w:r>
            <w:instrText xml:space="preserve"> HYPERLINK \l _Toc13470 </w:instrText>
          </w:r>
          <w:r>
            <w:fldChar w:fldCharType="separate"/>
          </w:r>
          <w:r>
            <w:rPr>
              <w:rFonts w:hint="default" w:ascii="Times New Roman" w:hAnsi="Times New Roman" w:eastAsia="黑体" w:cs="Times New Roman"/>
              <w:lang w:val="en-US" w:eastAsia="zh-CN"/>
            </w:rPr>
            <w:t>4.</w:t>
          </w:r>
          <w:r>
            <w:rPr>
              <w:rFonts w:hint="eastAsia" w:ascii="Times New Roman" w:hAnsi="Times New Roman" w:cs="Times New Roman"/>
              <w:lang w:val="en-US" w:eastAsia="zh-CN"/>
            </w:rPr>
            <w:t>4.</w:t>
          </w:r>
          <w:r>
            <w:rPr>
              <w:rFonts w:hint="default" w:ascii="Times New Roman" w:hAnsi="Times New Roman" w:eastAsia="黑体" w:cs="Times New Roman"/>
              <w:lang w:val="en-US" w:eastAsia="zh-CN"/>
            </w:rPr>
            <w:t>1安全检查表法（SCA）</w:t>
          </w:r>
          <w:r>
            <w:tab/>
          </w:r>
          <w:r>
            <w:fldChar w:fldCharType="begin"/>
          </w:r>
          <w:r>
            <w:instrText xml:space="preserve"> PAGEREF _Toc13470 \h </w:instrText>
          </w:r>
          <w:r>
            <w:fldChar w:fldCharType="separate"/>
          </w:r>
          <w:r>
            <w:t>59</w:t>
          </w:r>
          <w:r>
            <w:fldChar w:fldCharType="end"/>
          </w:r>
          <w:r>
            <w:rPr>
              <w:color w:val="000000" w:themeColor="text1"/>
              <w14:textFill>
                <w14:solidFill>
                  <w14:schemeClr w14:val="tx1"/>
                </w14:solidFill>
              </w14:textFill>
            </w:rPr>
            <w:fldChar w:fldCharType="end"/>
          </w:r>
        </w:p>
        <w:p w14:paraId="228A1EDB">
          <w:pPr>
            <w:pStyle w:val="28"/>
            <w:tabs>
              <w:tab w:val="right" w:leader="dot" w:pos="8504"/>
            </w:tabs>
          </w:pPr>
          <w:r>
            <w:rPr>
              <w:color w:val="000000" w:themeColor="text1"/>
              <w14:textFill>
                <w14:solidFill>
                  <w14:schemeClr w14:val="tx1"/>
                </w14:solidFill>
              </w14:textFill>
            </w:rPr>
            <w:fldChar w:fldCharType="begin"/>
          </w:r>
          <w:r>
            <w:instrText xml:space="preserve"> HYPERLINK \l _Toc2007 </w:instrText>
          </w:r>
          <w:r>
            <w:fldChar w:fldCharType="separate"/>
          </w:r>
          <w:r>
            <w:rPr>
              <w:rFonts w:hint="default"/>
              <w:lang w:val="en-US" w:eastAsia="zh-CN"/>
            </w:rPr>
            <w:t>4.</w:t>
          </w:r>
          <w:r>
            <w:rPr>
              <w:rFonts w:hint="eastAsia"/>
              <w:lang w:val="en-US" w:eastAsia="zh-CN"/>
            </w:rPr>
            <w:t>4</w:t>
          </w:r>
          <w:r>
            <w:rPr>
              <w:rFonts w:hint="default"/>
              <w:lang w:val="en-US" w:eastAsia="zh-CN"/>
            </w:rPr>
            <w:t>.</w:t>
          </w:r>
          <w:r>
            <w:rPr>
              <w:rFonts w:hint="eastAsia"/>
              <w:lang w:val="en-US" w:eastAsia="zh-CN"/>
            </w:rPr>
            <w:t>2</w:t>
          </w:r>
          <w:r>
            <w:rPr>
              <w:rFonts w:hint="default"/>
              <w:lang w:val="en-US" w:eastAsia="zh-CN"/>
            </w:rPr>
            <w:t>作业条件危险性评价法（LEC）</w:t>
          </w:r>
          <w:r>
            <w:tab/>
          </w:r>
          <w:r>
            <w:fldChar w:fldCharType="begin"/>
          </w:r>
          <w:r>
            <w:instrText xml:space="preserve"> PAGEREF _Toc2007 \h </w:instrText>
          </w:r>
          <w:r>
            <w:fldChar w:fldCharType="separate"/>
          </w:r>
          <w:r>
            <w:t>59</w:t>
          </w:r>
          <w:r>
            <w:fldChar w:fldCharType="end"/>
          </w:r>
          <w:r>
            <w:rPr>
              <w:color w:val="000000" w:themeColor="text1"/>
              <w14:textFill>
                <w14:solidFill>
                  <w14:schemeClr w14:val="tx1"/>
                </w14:solidFill>
              </w14:textFill>
            </w:rPr>
            <w:fldChar w:fldCharType="end"/>
          </w:r>
        </w:p>
        <w:p w14:paraId="7CB18854">
          <w:pPr>
            <w:pStyle w:val="43"/>
            <w:tabs>
              <w:tab w:val="right" w:leader="dot" w:pos="8504"/>
            </w:tabs>
          </w:pPr>
          <w:r>
            <w:rPr>
              <w:color w:val="000000" w:themeColor="text1"/>
              <w14:textFill>
                <w14:solidFill>
                  <w14:schemeClr w14:val="tx1"/>
                </w14:solidFill>
              </w14:textFill>
            </w:rPr>
            <w:fldChar w:fldCharType="begin"/>
          </w:r>
          <w:r>
            <w:instrText xml:space="preserve"> HYPERLINK \l _Toc8672 </w:instrText>
          </w:r>
          <w:r>
            <w:fldChar w:fldCharType="separate"/>
          </w:r>
          <w:r>
            <w:rPr>
              <w:rFonts w:hint="eastAsia" w:ascii="Times New Roman" w:hAnsi="Times New Roman" w:eastAsia="楷体" w:cs="Times New Roman"/>
              <w:lang w:val="en-US" w:eastAsia="zh-CN"/>
            </w:rPr>
            <w:t>4.5</w:t>
          </w:r>
          <w:r>
            <w:rPr>
              <w:rFonts w:hint="eastAsia" w:ascii="Times New Roman" w:hAnsi="Times New Roman" w:eastAsia="楷体" w:cs="Times New Roman"/>
            </w:rPr>
            <w:t>评价方法选择理由</w:t>
          </w:r>
          <w:r>
            <w:tab/>
          </w:r>
          <w:r>
            <w:fldChar w:fldCharType="begin"/>
          </w:r>
          <w:r>
            <w:instrText xml:space="preserve"> PAGEREF _Toc8672 \h </w:instrText>
          </w:r>
          <w:r>
            <w:fldChar w:fldCharType="separate"/>
          </w:r>
          <w:r>
            <w:t>62</w:t>
          </w:r>
          <w:r>
            <w:fldChar w:fldCharType="end"/>
          </w:r>
          <w:r>
            <w:rPr>
              <w:color w:val="000000" w:themeColor="text1"/>
              <w14:textFill>
                <w14:solidFill>
                  <w14:schemeClr w14:val="tx1"/>
                </w14:solidFill>
              </w14:textFill>
            </w:rPr>
            <w:fldChar w:fldCharType="end"/>
          </w:r>
        </w:p>
        <w:p w14:paraId="29165BBE">
          <w:pPr>
            <w:pStyle w:val="35"/>
            <w:tabs>
              <w:tab w:val="right" w:leader="dot" w:pos="8504"/>
            </w:tabs>
          </w:pPr>
          <w:r>
            <w:rPr>
              <w:color w:val="000000" w:themeColor="text1"/>
              <w14:textFill>
                <w14:solidFill>
                  <w14:schemeClr w14:val="tx1"/>
                </w14:solidFill>
              </w14:textFill>
            </w:rPr>
            <w:fldChar w:fldCharType="begin"/>
          </w:r>
          <w:r>
            <w:instrText xml:space="preserve"> HYPERLINK \l _Toc5401 </w:instrText>
          </w:r>
          <w:r>
            <w:fldChar w:fldCharType="separate"/>
          </w:r>
          <w:r>
            <w:rPr>
              <w:rFonts w:hint="default" w:ascii="Times New Roman" w:hAnsi="Times New Roman" w:eastAsia="黑体" w:cs="Times New Roman"/>
            </w:rPr>
            <w:t>第5章  定性、定量评价</w:t>
          </w:r>
          <w:r>
            <w:tab/>
          </w:r>
          <w:r>
            <w:fldChar w:fldCharType="begin"/>
          </w:r>
          <w:r>
            <w:instrText xml:space="preserve"> PAGEREF _Toc5401 \h </w:instrText>
          </w:r>
          <w:r>
            <w:fldChar w:fldCharType="separate"/>
          </w:r>
          <w:r>
            <w:t>63</w:t>
          </w:r>
          <w:r>
            <w:fldChar w:fldCharType="end"/>
          </w:r>
          <w:r>
            <w:rPr>
              <w:color w:val="000000" w:themeColor="text1"/>
              <w14:textFill>
                <w14:solidFill>
                  <w14:schemeClr w14:val="tx1"/>
                </w14:solidFill>
              </w14:textFill>
            </w:rPr>
            <w:fldChar w:fldCharType="end"/>
          </w:r>
        </w:p>
        <w:p w14:paraId="6BA50C12">
          <w:pPr>
            <w:pStyle w:val="43"/>
            <w:tabs>
              <w:tab w:val="right" w:leader="dot" w:pos="8504"/>
            </w:tabs>
          </w:pPr>
          <w:r>
            <w:rPr>
              <w:color w:val="000000" w:themeColor="text1"/>
              <w14:textFill>
                <w14:solidFill>
                  <w14:schemeClr w14:val="tx1"/>
                </w14:solidFill>
              </w14:textFill>
            </w:rPr>
            <w:fldChar w:fldCharType="begin"/>
          </w:r>
          <w:r>
            <w:instrText xml:space="preserve"> HYPERLINK \l _Toc16932 </w:instrText>
          </w:r>
          <w:r>
            <w:fldChar w:fldCharType="separate"/>
          </w:r>
          <w:r>
            <w:rPr>
              <w:rFonts w:hint="default" w:ascii="Times New Roman" w:hAnsi="Times New Roman" w:eastAsia="楷体" w:cs="Times New Roman"/>
            </w:rPr>
            <w:t>5.1</w:t>
          </w:r>
          <w:r>
            <w:rPr>
              <w:rFonts w:hint="eastAsia" w:ascii="Times New Roman" w:hAnsi="Times New Roman" w:cs="Times New Roman"/>
              <w:lang w:val="en-US" w:eastAsia="zh-CN"/>
            </w:rPr>
            <w:t xml:space="preserve"> </w:t>
          </w:r>
          <w:r>
            <w:rPr>
              <w:rFonts w:hint="default" w:ascii="Times New Roman" w:hAnsi="Times New Roman" w:eastAsia="楷体" w:cs="Times New Roman"/>
            </w:rPr>
            <w:t>厂址及总平面布置评价单元</w:t>
          </w:r>
          <w:r>
            <w:tab/>
          </w:r>
          <w:r>
            <w:fldChar w:fldCharType="begin"/>
          </w:r>
          <w:r>
            <w:instrText xml:space="preserve"> PAGEREF _Toc16932 \h </w:instrText>
          </w:r>
          <w:r>
            <w:fldChar w:fldCharType="separate"/>
          </w:r>
          <w:r>
            <w:t>63</w:t>
          </w:r>
          <w:r>
            <w:fldChar w:fldCharType="end"/>
          </w:r>
          <w:r>
            <w:rPr>
              <w:color w:val="000000" w:themeColor="text1"/>
              <w14:textFill>
                <w14:solidFill>
                  <w14:schemeClr w14:val="tx1"/>
                </w14:solidFill>
              </w14:textFill>
            </w:rPr>
            <w:fldChar w:fldCharType="end"/>
          </w:r>
        </w:p>
        <w:p w14:paraId="5A84D7C3">
          <w:pPr>
            <w:pStyle w:val="28"/>
            <w:tabs>
              <w:tab w:val="right" w:leader="dot" w:pos="8504"/>
            </w:tabs>
          </w:pPr>
          <w:r>
            <w:rPr>
              <w:color w:val="000000" w:themeColor="text1"/>
              <w14:textFill>
                <w14:solidFill>
                  <w14:schemeClr w14:val="tx1"/>
                </w14:solidFill>
              </w14:textFill>
            </w:rPr>
            <w:fldChar w:fldCharType="begin"/>
          </w:r>
          <w:r>
            <w:instrText xml:space="preserve"> HYPERLINK \l _Toc1741 </w:instrText>
          </w:r>
          <w:r>
            <w:fldChar w:fldCharType="separate"/>
          </w:r>
          <w:r>
            <w:rPr>
              <w:rFonts w:hint="default" w:ascii="Times New Roman" w:hAnsi="Times New Roman" w:eastAsia="黑体" w:cs="Times New Roman"/>
              <w:lang w:val="en-US" w:eastAsia="zh-CN"/>
            </w:rPr>
            <w:t>5.1.1厂址及总平面布置安全检查表</w:t>
          </w:r>
          <w:r>
            <w:tab/>
          </w:r>
          <w:r>
            <w:fldChar w:fldCharType="begin"/>
          </w:r>
          <w:r>
            <w:instrText xml:space="preserve"> PAGEREF _Toc1741 \h </w:instrText>
          </w:r>
          <w:r>
            <w:fldChar w:fldCharType="separate"/>
          </w:r>
          <w:r>
            <w:t>63</w:t>
          </w:r>
          <w:r>
            <w:fldChar w:fldCharType="end"/>
          </w:r>
          <w:r>
            <w:rPr>
              <w:color w:val="000000" w:themeColor="text1"/>
              <w14:textFill>
                <w14:solidFill>
                  <w14:schemeClr w14:val="tx1"/>
                </w14:solidFill>
              </w14:textFill>
            </w:rPr>
            <w:fldChar w:fldCharType="end"/>
          </w:r>
        </w:p>
        <w:p w14:paraId="27111955">
          <w:pPr>
            <w:pStyle w:val="28"/>
            <w:tabs>
              <w:tab w:val="right" w:leader="dot" w:pos="8504"/>
            </w:tabs>
          </w:pPr>
          <w:r>
            <w:rPr>
              <w:color w:val="000000" w:themeColor="text1"/>
              <w14:textFill>
                <w14:solidFill>
                  <w14:schemeClr w14:val="tx1"/>
                </w14:solidFill>
              </w14:textFill>
            </w:rPr>
            <w:fldChar w:fldCharType="begin"/>
          </w:r>
          <w:r>
            <w:instrText xml:space="preserve"> HYPERLINK \l _Toc30114 </w:instrText>
          </w:r>
          <w:r>
            <w:fldChar w:fldCharType="separate"/>
          </w:r>
          <w:r>
            <w:rPr>
              <w:rFonts w:hint="default" w:ascii="Times New Roman" w:hAnsi="Times New Roman" w:eastAsia="黑体" w:cs="Times New Roman"/>
              <w:lang w:val="en-US" w:eastAsia="zh-CN"/>
            </w:rPr>
            <w:t>5.1.2</w:t>
          </w:r>
          <w:r>
            <w:rPr>
              <w:rFonts w:hint="eastAsia" w:ascii="Times New Roman" w:hAnsi="Times New Roman" w:cs="Times New Roman"/>
              <w:lang w:val="en-US" w:eastAsia="zh-CN"/>
            </w:rPr>
            <w:t xml:space="preserve"> </w:t>
          </w:r>
          <w:r>
            <w:rPr>
              <w:rFonts w:hint="default" w:ascii="Times New Roman" w:hAnsi="Times New Roman" w:eastAsia="黑体" w:cs="Times New Roman"/>
              <w:lang w:val="en-US" w:eastAsia="zh-CN"/>
            </w:rPr>
            <w:t>评价小结</w:t>
          </w:r>
          <w:r>
            <w:tab/>
          </w:r>
          <w:r>
            <w:fldChar w:fldCharType="begin"/>
          </w:r>
          <w:r>
            <w:instrText xml:space="preserve"> PAGEREF _Toc30114 \h </w:instrText>
          </w:r>
          <w:r>
            <w:fldChar w:fldCharType="separate"/>
          </w:r>
          <w:r>
            <w:t>69</w:t>
          </w:r>
          <w:r>
            <w:fldChar w:fldCharType="end"/>
          </w:r>
          <w:r>
            <w:rPr>
              <w:color w:val="000000" w:themeColor="text1"/>
              <w14:textFill>
                <w14:solidFill>
                  <w14:schemeClr w14:val="tx1"/>
                </w14:solidFill>
              </w14:textFill>
            </w:rPr>
            <w:fldChar w:fldCharType="end"/>
          </w:r>
        </w:p>
        <w:p w14:paraId="4196D6FE">
          <w:pPr>
            <w:pStyle w:val="43"/>
            <w:tabs>
              <w:tab w:val="right" w:leader="dot" w:pos="8504"/>
            </w:tabs>
          </w:pPr>
          <w:r>
            <w:rPr>
              <w:color w:val="000000" w:themeColor="text1"/>
              <w14:textFill>
                <w14:solidFill>
                  <w14:schemeClr w14:val="tx1"/>
                </w14:solidFill>
              </w14:textFill>
            </w:rPr>
            <w:fldChar w:fldCharType="begin"/>
          </w:r>
          <w:r>
            <w:instrText xml:space="preserve"> HYPERLINK \l _Toc21024 </w:instrText>
          </w:r>
          <w:r>
            <w:fldChar w:fldCharType="separate"/>
          </w:r>
          <w:r>
            <w:rPr>
              <w:rFonts w:hint="default" w:ascii="Times New Roman" w:hAnsi="Times New Roman" w:eastAsia="楷体" w:cs="Times New Roman"/>
            </w:rPr>
            <w:t>5.2</w:t>
          </w:r>
          <w:r>
            <w:rPr>
              <w:rFonts w:hint="eastAsia" w:ascii="Times New Roman" w:hAnsi="Times New Roman" w:cs="Times New Roman"/>
              <w:lang w:val="en-US" w:eastAsia="zh-CN"/>
            </w:rPr>
            <w:t xml:space="preserve"> 生产</w:t>
          </w:r>
          <w:r>
            <w:rPr>
              <w:rFonts w:hint="default" w:ascii="Times New Roman" w:hAnsi="Times New Roman" w:eastAsia="楷体" w:cs="Times New Roman"/>
            </w:rPr>
            <w:t>工艺</w:t>
          </w:r>
          <w:r>
            <w:rPr>
              <w:rFonts w:hint="eastAsia" w:ascii="Times New Roman" w:hAnsi="Times New Roman" w:cs="Times New Roman"/>
              <w:lang w:val="en-US" w:eastAsia="zh-CN"/>
            </w:rPr>
            <w:t>及设备设施</w:t>
          </w:r>
          <w:r>
            <w:rPr>
              <w:rFonts w:hint="default" w:ascii="Times New Roman" w:hAnsi="Times New Roman" w:eastAsia="楷体" w:cs="Times New Roman"/>
            </w:rPr>
            <w:t>评价单元</w:t>
          </w:r>
          <w:r>
            <w:tab/>
          </w:r>
          <w:r>
            <w:fldChar w:fldCharType="begin"/>
          </w:r>
          <w:r>
            <w:instrText xml:space="preserve"> PAGEREF _Toc21024 \h </w:instrText>
          </w:r>
          <w:r>
            <w:fldChar w:fldCharType="separate"/>
          </w:r>
          <w:r>
            <w:t>69</w:t>
          </w:r>
          <w:r>
            <w:fldChar w:fldCharType="end"/>
          </w:r>
          <w:r>
            <w:rPr>
              <w:color w:val="000000" w:themeColor="text1"/>
              <w14:textFill>
                <w14:solidFill>
                  <w14:schemeClr w14:val="tx1"/>
                </w14:solidFill>
              </w14:textFill>
            </w:rPr>
            <w:fldChar w:fldCharType="end"/>
          </w:r>
        </w:p>
        <w:p w14:paraId="4BB7C4BB">
          <w:pPr>
            <w:pStyle w:val="28"/>
            <w:tabs>
              <w:tab w:val="right" w:leader="dot" w:pos="8504"/>
            </w:tabs>
          </w:pPr>
          <w:r>
            <w:rPr>
              <w:color w:val="000000" w:themeColor="text1"/>
              <w14:textFill>
                <w14:solidFill>
                  <w14:schemeClr w14:val="tx1"/>
                </w14:solidFill>
              </w14:textFill>
            </w:rPr>
            <w:fldChar w:fldCharType="begin"/>
          </w:r>
          <w:r>
            <w:instrText xml:space="preserve"> HYPERLINK \l _Toc25440 </w:instrText>
          </w:r>
          <w:r>
            <w:fldChar w:fldCharType="separate"/>
          </w:r>
          <w:r>
            <w:rPr>
              <w:rFonts w:hint="default" w:ascii="Times New Roman" w:hAnsi="Times New Roman" w:eastAsia="黑体" w:cs="Times New Roman"/>
              <w:lang w:val="en-US" w:eastAsia="zh-CN"/>
            </w:rPr>
            <w:t>5.2.1</w:t>
          </w:r>
          <w:r>
            <w:rPr>
              <w:rFonts w:hint="eastAsia" w:ascii="Times New Roman" w:hAnsi="Times New Roman" w:cs="Times New Roman"/>
              <w:lang w:val="en-US" w:eastAsia="zh-CN"/>
            </w:rPr>
            <w:t xml:space="preserve"> </w:t>
          </w:r>
          <w:r>
            <w:rPr>
              <w:rFonts w:hint="default" w:ascii="Times New Roman" w:hAnsi="Times New Roman" w:eastAsia="黑体" w:cs="Times New Roman"/>
              <w:lang w:val="en-US" w:eastAsia="zh-CN"/>
            </w:rPr>
            <w:t>安全检查表</w:t>
          </w:r>
          <w:r>
            <w:tab/>
          </w:r>
          <w:r>
            <w:fldChar w:fldCharType="begin"/>
          </w:r>
          <w:r>
            <w:instrText xml:space="preserve"> PAGEREF _Toc25440 \h </w:instrText>
          </w:r>
          <w:r>
            <w:fldChar w:fldCharType="separate"/>
          </w:r>
          <w:r>
            <w:t>69</w:t>
          </w:r>
          <w:r>
            <w:fldChar w:fldCharType="end"/>
          </w:r>
          <w:r>
            <w:rPr>
              <w:color w:val="000000" w:themeColor="text1"/>
              <w14:textFill>
                <w14:solidFill>
                  <w14:schemeClr w14:val="tx1"/>
                </w14:solidFill>
              </w14:textFill>
            </w:rPr>
            <w:fldChar w:fldCharType="end"/>
          </w:r>
        </w:p>
        <w:p w14:paraId="7F86E712">
          <w:pPr>
            <w:pStyle w:val="28"/>
            <w:tabs>
              <w:tab w:val="right" w:leader="dot" w:pos="8504"/>
            </w:tabs>
          </w:pPr>
          <w:r>
            <w:rPr>
              <w:color w:val="000000" w:themeColor="text1"/>
              <w14:textFill>
                <w14:solidFill>
                  <w14:schemeClr w14:val="tx1"/>
                </w14:solidFill>
              </w14:textFill>
            </w:rPr>
            <w:fldChar w:fldCharType="begin"/>
          </w:r>
          <w:r>
            <w:instrText xml:space="preserve"> HYPERLINK \l _Toc5731 </w:instrText>
          </w:r>
          <w:r>
            <w:fldChar w:fldCharType="separate"/>
          </w:r>
          <w:r>
            <w:rPr>
              <w:rFonts w:hint="default" w:ascii="Times New Roman" w:hAnsi="Times New Roman" w:eastAsia="黑体" w:cs="Times New Roman"/>
              <w:lang w:val="en-US" w:eastAsia="zh-CN"/>
            </w:rPr>
            <w:t>5.2.2作业条件危险性分析</w:t>
          </w:r>
          <w:r>
            <w:tab/>
          </w:r>
          <w:r>
            <w:fldChar w:fldCharType="begin"/>
          </w:r>
          <w:r>
            <w:instrText xml:space="preserve"> PAGEREF _Toc5731 \h </w:instrText>
          </w:r>
          <w:r>
            <w:fldChar w:fldCharType="separate"/>
          </w:r>
          <w:r>
            <w:t>72</w:t>
          </w:r>
          <w:r>
            <w:fldChar w:fldCharType="end"/>
          </w:r>
          <w:r>
            <w:rPr>
              <w:color w:val="000000" w:themeColor="text1"/>
              <w14:textFill>
                <w14:solidFill>
                  <w14:schemeClr w14:val="tx1"/>
                </w14:solidFill>
              </w14:textFill>
            </w:rPr>
            <w:fldChar w:fldCharType="end"/>
          </w:r>
        </w:p>
        <w:p w14:paraId="5A07A3DE">
          <w:pPr>
            <w:pStyle w:val="28"/>
            <w:tabs>
              <w:tab w:val="right" w:leader="dot" w:pos="8504"/>
            </w:tabs>
          </w:pPr>
          <w:r>
            <w:rPr>
              <w:color w:val="000000" w:themeColor="text1"/>
              <w14:textFill>
                <w14:solidFill>
                  <w14:schemeClr w14:val="tx1"/>
                </w14:solidFill>
              </w14:textFill>
            </w:rPr>
            <w:fldChar w:fldCharType="begin"/>
          </w:r>
          <w:r>
            <w:instrText xml:space="preserve"> HYPERLINK \l _Toc30789 </w:instrText>
          </w:r>
          <w:r>
            <w:fldChar w:fldCharType="separate"/>
          </w:r>
          <w:r>
            <w:rPr>
              <w:rFonts w:hint="default" w:ascii="Times New Roman" w:hAnsi="Times New Roman" w:eastAsia="黑体" w:cs="Times New Roman"/>
              <w:lang w:val="en-US" w:eastAsia="zh-CN"/>
            </w:rPr>
            <w:t>5.2.3单元小结</w:t>
          </w:r>
          <w:r>
            <w:tab/>
          </w:r>
          <w:r>
            <w:fldChar w:fldCharType="begin"/>
          </w:r>
          <w:r>
            <w:instrText xml:space="preserve"> PAGEREF _Toc30789 \h </w:instrText>
          </w:r>
          <w:r>
            <w:fldChar w:fldCharType="separate"/>
          </w:r>
          <w:r>
            <w:t>74</w:t>
          </w:r>
          <w:r>
            <w:fldChar w:fldCharType="end"/>
          </w:r>
          <w:r>
            <w:rPr>
              <w:color w:val="000000" w:themeColor="text1"/>
              <w14:textFill>
                <w14:solidFill>
                  <w14:schemeClr w14:val="tx1"/>
                </w14:solidFill>
              </w14:textFill>
            </w:rPr>
            <w:fldChar w:fldCharType="end"/>
          </w:r>
        </w:p>
        <w:p w14:paraId="188AC3F3">
          <w:pPr>
            <w:pStyle w:val="43"/>
            <w:tabs>
              <w:tab w:val="right" w:leader="dot" w:pos="8504"/>
            </w:tabs>
          </w:pPr>
          <w:r>
            <w:rPr>
              <w:color w:val="000000" w:themeColor="text1"/>
              <w14:textFill>
                <w14:solidFill>
                  <w14:schemeClr w14:val="tx1"/>
                </w14:solidFill>
              </w14:textFill>
            </w:rPr>
            <w:fldChar w:fldCharType="begin"/>
          </w:r>
          <w:r>
            <w:instrText xml:space="preserve"> HYPERLINK \l _Toc5201 </w:instrText>
          </w:r>
          <w:r>
            <w:fldChar w:fldCharType="separate"/>
          </w:r>
          <w:r>
            <w:rPr>
              <w:rFonts w:hint="default" w:ascii="Times New Roman" w:hAnsi="Times New Roman" w:eastAsia="楷体" w:cs="Times New Roman"/>
            </w:rPr>
            <w:t>5.3安全防护设施评价单元</w:t>
          </w:r>
          <w:r>
            <w:tab/>
          </w:r>
          <w:r>
            <w:fldChar w:fldCharType="begin"/>
          </w:r>
          <w:r>
            <w:instrText xml:space="preserve"> PAGEREF _Toc5201 \h </w:instrText>
          </w:r>
          <w:r>
            <w:fldChar w:fldCharType="separate"/>
          </w:r>
          <w:r>
            <w:t>74</w:t>
          </w:r>
          <w:r>
            <w:fldChar w:fldCharType="end"/>
          </w:r>
          <w:r>
            <w:rPr>
              <w:color w:val="000000" w:themeColor="text1"/>
              <w14:textFill>
                <w14:solidFill>
                  <w14:schemeClr w14:val="tx1"/>
                </w14:solidFill>
              </w14:textFill>
            </w:rPr>
            <w:fldChar w:fldCharType="end"/>
          </w:r>
        </w:p>
        <w:p w14:paraId="00D00A74">
          <w:pPr>
            <w:pStyle w:val="28"/>
            <w:tabs>
              <w:tab w:val="right" w:leader="dot" w:pos="8504"/>
            </w:tabs>
          </w:pPr>
          <w:r>
            <w:rPr>
              <w:color w:val="000000" w:themeColor="text1"/>
              <w14:textFill>
                <w14:solidFill>
                  <w14:schemeClr w14:val="tx1"/>
                </w14:solidFill>
              </w14:textFill>
            </w:rPr>
            <w:fldChar w:fldCharType="begin"/>
          </w:r>
          <w:r>
            <w:instrText xml:space="preserve"> HYPERLINK \l _Toc9157 </w:instrText>
          </w:r>
          <w:r>
            <w:fldChar w:fldCharType="separate"/>
          </w:r>
          <w:r>
            <w:rPr>
              <w:rFonts w:hint="default" w:ascii="Times New Roman" w:hAnsi="Times New Roman" w:eastAsia="黑体" w:cs="Times New Roman"/>
              <w:lang w:val="en-US" w:eastAsia="zh-CN"/>
            </w:rPr>
            <w:t>5.3.1常规防护设施和措施安全检查表法</w:t>
          </w:r>
          <w:r>
            <w:tab/>
          </w:r>
          <w:r>
            <w:fldChar w:fldCharType="begin"/>
          </w:r>
          <w:r>
            <w:instrText xml:space="preserve"> PAGEREF _Toc9157 \h </w:instrText>
          </w:r>
          <w:r>
            <w:fldChar w:fldCharType="separate"/>
          </w:r>
          <w:r>
            <w:t>74</w:t>
          </w:r>
          <w:r>
            <w:fldChar w:fldCharType="end"/>
          </w:r>
          <w:r>
            <w:rPr>
              <w:color w:val="000000" w:themeColor="text1"/>
              <w14:textFill>
                <w14:solidFill>
                  <w14:schemeClr w14:val="tx1"/>
                </w14:solidFill>
              </w14:textFill>
            </w:rPr>
            <w:fldChar w:fldCharType="end"/>
          </w:r>
        </w:p>
        <w:p w14:paraId="6DB0571A">
          <w:pPr>
            <w:pStyle w:val="28"/>
            <w:tabs>
              <w:tab w:val="right" w:leader="dot" w:pos="8504"/>
            </w:tabs>
          </w:pPr>
          <w:r>
            <w:rPr>
              <w:color w:val="000000" w:themeColor="text1"/>
              <w14:textFill>
                <w14:solidFill>
                  <w14:schemeClr w14:val="tx1"/>
                </w14:solidFill>
              </w14:textFill>
            </w:rPr>
            <w:fldChar w:fldCharType="begin"/>
          </w:r>
          <w:r>
            <w:instrText xml:space="preserve"> HYPERLINK \l _Toc4239 </w:instrText>
          </w:r>
          <w:r>
            <w:fldChar w:fldCharType="separate"/>
          </w:r>
          <w:r>
            <w:rPr>
              <w:rFonts w:hint="default" w:ascii="Times New Roman" w:hAnsi="Times New Roman" w:eastAsia="黑体" w:cs="Times New Roman"/>
              <w:lang w:val="en-US" w:eastAsia="zh-CN"/>
            </w:rPr>
            <w:t>5.3.2防雷、防静电安全评价子单元安全检查表</w:t>
          </w:r>
          <w:r>
            <w:tab/>
          </w:r>
          <w:r>
            <w:fldChar w:fldCharType="begin"/>
          </w:r>
          <w:r>
            <w:instrText xml:space="preserve"> PAGEREF _Toc4239 \h </w:instrText>
          </w:r>
          <w:r>
            <w:fldChar w:fldCharType="separate"/>
          </w:r>
          <w:r>
            <w:t>78</w:t>
          </w:r>
          <w:r>
            <w:fldChar w:fldCharType="end"/>
          </w:r>
          <w:r>
            <w:rPr>
              <w:color w:val="000000" w:themeColor="text1"/>
              <w14:textFill>
                <w14:solidFill>
                  <w14:schemeClr w14:val="tx1"/>
                </w14:solidFill>
              </w14:textFill>
            </w:rPr>
            <w:fldChar w:fldCharType="end"/>
          </w:r>
        </w:p>
        <w:p w14:paraId="701D4C7B">
          <w:pPr>
            <w:pStyle w:val="28"/>
            <w:tabs>
              <w:tab w:val="right" w:leader="dot" w:pos="8504"/>
            </w:tabs>
          </w:pPr>
          <w:r>
            <w:rPr>
              <w:color w:val="000000" w:themeColor="text1"/>
              <w14:textFill>
                <w14:solidFill>
                  <w14:schemeClr w14:val="tx1"/>
                </w14:solidFill>
              </w14:textFill>
            </w:rPr>
            <w:fldChar w:fldCharType="begin"/>
          </w:r>
          <w:r>
            <w:instrText xml:space="preserve"> HYPERLINK \l _Toc26353 </w:instrText>
          </w:r>
          <w:r>
            <w:fldChar w:fldCharType="separate"/>
          </w:r>
          <w:r>
            <w:rPr>
              <w:rFonts w:hint="default" w:ascii="Times New Roman" w:hAnsi="Times New Roman" w:eastAsia="黑体" w:cs="Times New Roman"/>
              <w:lang w:val="en-US" w:eastAsia="zh-CN"/>
            </w:rPr>
            <w:t>5.3.3单元评价小结</w:t>
          </w:r>
          <w:r>
            <w:tab/>
          </w:r>
          <w:r>
            <w:fldChar w:fldCharType="begin"/>
          </w:r>
          <w:r>
            <w:instrText xml:space="preserve"> PAGEREF _Toc26353 \h </w:instrText>
          </w:r>
          <w:r>
            <w:fldChar w:fldCharType="separate"/>
          </w:r>
          <w:r>
            <w:t>79</w:t>
          </w:r>
          <w:r>
            <w:fldChar w:fldCharType="end"/>
          </w:r>
          <w:r>
            <w:rPr>
              <w:color w:val="000000" w:themeColor="text1"/>
              <w14:textFill>
                <w14:solidFill>
                  <w14:schemeClr w14:val="tx1"/>
                </w14:solidFill>
              </w14:textFill>
            </w:rPr>
            <w:fldChar w:fldCharType="end"/>
          </w:r>
        </w:p>
        <w:p w14:paraId="17E259CC">
          <w:pPr>
            <w:pStyle w:val="43"/>
            <w:tabs>
              <w:tab w:val="right" w:leader="dot" w:pos="8504"/>
            </w:tabs>
          </w:pPr>
          <w:r>
            <w:rPr>
              <w:color w:val="000000" w:themeColor="text1"/>
              <w14:textFill>
                <w14:solidFill>
                  <w14:schemeClr w14:val="tx1"/>
                </w14:solidFill>
              </w14:textFill>
            </w:rPr>
            <w:fldChar w:fldCharType="begin"/>
          </w:r>
          <w:r>
            <w:instrText xml:space="preserve"> HYPERLINK \l _Toc767 </w:instrText>
          </w:r>
          <w:r>
            <w:fldChar w:fldCharType="separate"/>
          </w:r>
          <w:r>
            <w:rPr>
              <w:rFonts w:hint="default" w:ascii="Times New Roman" w:hAnsi="Times New Roman" w:eastAsia="楷体" w:cs="Times New Roman"/>
            </w:rPr>
            <w:t>5.</w:t>
          </w:r>
          <w:r>
            <w:rPr>
              <w:rFonts w:hint="eastAsia" w:ascii="Times New Roman" w:hAnsi="Times New Roman" w:cs="Times New Roman"/>
              <w:lang w:val="en-US" w:eastAsia="zh-CN"/>
            </w:rPr>
            <w:t>4</w:t>
          </w:r>
          <w:r>
            <w:rPr>
              <w:rFonts w:hint="default" w:ascii="Times New Roman" w:hAnsi="Times New Roman" w:eastAsia="楷体" w:cs="Times New Roman"/>
            </w:rPr>
            <w:t>公用工程及辅助设施评价单元</w:t>
          </w:r>
          <w:r>
            <w:tab/>
          </w:r>
          <w:r>
            <w:fldChar w:fldCharType="begin"/>
          </w:r>
          <w:r>
            <w:instrText xml:space="preserve"> PAGEREF _Toc767 \h </w:instrText>
          </w:r>
          <w:r>
            <w:fldChar w:fldCharType="separate"/>
          </w:r>
          <w:r>
            <w:t>79</w:t>
          </w:r>
          <w:r>
            <w:fldChar w:fldCharType="end"/>
          </w:r>
          <w:r>
            <w:rPr>
              <w:color w:val="000000" w:themeColor="text1"/>
              <w14:textFill>
                <w14:solidFill>
                  <w14:schemeClr w14:val="tx1"/>
                </w14:solidFill>
              </w14:textFill>
            </w:rPr>
            <w:fldChar w:fldCharType="end"/>
          </w:r>
        </w:p>
        <w:p w14:paraId="31AE94BF">
          <w:pPr>
            <w:pStyle w:val="28"/>
            <w:tabs>
              <w:tab w:val="right" w:leader="dot" w:pos="8504"/>
            </w:tabs>
          </w:pPr>
          <w:r>
            <w:rPr>
              <w:color w:val="000000" w:themeColor="text1"/>
              <w14:textFill>
                <w14:solidFill>
                  <w14:schemeClr w14:val="tx1"/>
                </w14:solidFill>
              </w14:textFill>
            </w:rPr>
            <w:fldChar w:fldCharType="begin"/>
          </w:r>
          <w:r>
            <w:instrText xml:space="preserve"> HYPERLINK \l _Toc12520 </w:instrText>
          </w:r>
          <w:r>
            <w:fldChar w:fldCharType="separate"/>
          </w:r>
          <w:r>
            <w:rPr>
              <w:rFonts w:hint="default" w:ascii="Times New Roman" w:hAnsi="Times New Roman" w:eastAsia="黑体" w:cs="Times New Roman"/>
              <w:lang w:val="en-US" w:eastAsia="zh-CN"/>
            </w:rPr>
            <w:t>5.</w:t>
          </w:r>
          <w:r>
            <w:rPr>
              <w:rFonts w:hint="eastAsia" w:ascii="Times New Roman" w:hAnsi="Times New Roman" w:cs="Times New Roman"/>
              <w:lang w:val="en-US" w:eastAsia="zh-CN"/>
            </w:rPr>
            <w:t>4</w:t>
          </w:r>
          <w:r>
            <w:rPr>
              <w:rFonts w:hint="default" w:ascii="Times New Roman" w:hAnsi="Times New Roman" w:eastAsia="黑体" w:cs="Times New Roman"/>
              <w:lang w:val="en-US" w:eastAsia="zh-CN"/>
            </w:rPr>
            <w:t>.1</w:t>
          </w:r>
          <w:r>
            <w:rPr>
              <w:rFonts w:hint="eastAsia" w:ascii="Times New Roman" w:hAnsi="Times New Roman" w:cs="Times New Roman"/>
              <w:lang w:val="en-US" w:eastAsia="zh-CN"/>
            </w:rPr>
            <w:t xml:space="preserve"> 供配电系统</w:t>
          </w:r>
          <w:r>
            <w:rPr>
              <w:rFonts w:hint="default" w:ascii="Times New Roman" w:hAnsi="Times New Roman" w:eastAsia="黑体" w:cs="Times New Roman"/>
              <w:lang w:val="en-US" w:eastAsia="zh-CN"/>
            </w:rPr>
            <w:t>安全检查表</w:t>
          </w:r>
          <w:r>
            <w:tab/>
          </w:r>
          <w:r>
            <w:fldChar w:fldCharType="begin"/>
          </w:r>
          <w:r>
            <w:instrText xml:space="preserve"> PAGEREF _Toc12520 \h </w:instrText>
          </w:r>
          <w:r>
            <w:fldChar w:fldCharType="separate"/>
          </w:r>
          <w:r>
            <w:t>79</w:t>
          </w:r>
          <w:r>
            <w:fldChar w:fldCharType="end"/>
          </w:r>
          <w:r>
            <w:rPr>
              <w:color w:val="000000" w:themeColor="text1"/>
              <w14:textFill>
                <w14:solidFill>
                  <w14:schemeClr w14:val="tx1"/>
                </w14:solidFill>
              </w14:textFill>
            </w:rPr>
            <w:fldChar w:fldCharType="end"/>
          </w:r>
        </w:p>
        <w:p w14:paraId="27C7F027">
          <w:pPr>
            <w:pStyle w:val="28"/>
            <w:tabs>
              <w:tab w:val="right" w:leader="dot" w:pos="8504"/>
            </w:tabs>
          </w:pPr>
          <w:r>
            <w:rPr>
              <w:color w:val="000000" w:themeColor="text1"/>
              <w14:textFill>
                <w14:solidFill>
                  <w14:schemeClr w14:val="tx1"/>
                </w14:solidFill>
              </w14:textFill>
            </w:rPr>
            <w:fldChar w:fldCharType="begin"/>
          </w:r>
          <w:r>
            <w:instrText xml:space="preserve"> HYPERLINK \l _Toc16866 </w:instrText>
          </w:r>
          <w:r>
            <w:fldChar w:fldCharType="separate"/>
          </w:r>
          <w:r>
            <w:rPr>
              <w:rFonts w:hint="default" w:ascii="Times New Roman" w:hAnsi="Times New Roman" w:eastAsia="黑体" w:cs="Times New Roman"/>
              <w:lang w:val="en-US" w:eastAsia="zh-CN"/>
            </w:rPr>
            <w:t>5.</w:t>
          </w:r>
          <w:r>
            <w:rPr>
              <w:rFonts w:hint="eastAsia" w:ascii="Times New Roman" w:hAnsi="Times New Roman" w:cs="Times New Roman"/>
              <w:lang w:val="en-US" w:eastAsia="zh-CN"/>
            </w:rPr>
            <w:t>4.</w:t>
          </w:r>
          <w:r>
            <w:rPr>
              <w:rFonts w:hint="default" w:ascii="Times New Roman" w:hAnsi="Times New Roman" w:eastAsia="黑体" w:cs="Times New Roman"/>
              <w:lang w:val="en-US" w:eastAsia="zh-CN"/>
            </w:rPr>
            <w:t>2</w:t>
          </w:r>
          <w:r>
            <w:rPr>
              <w:rFonts w:hint="eastAsia" w:ascii="Times New Roman" w:hAnsi="Times New Roman" w:eastAsia="黑体" w:cs="Times New Roman"/>
              <w:lang w:val="en-US" w:eastAsia="zh-CN"/>
            </w:rPr>
            <w:t xml:space="preserve"> </w:t>
          </w:r>
          <w:r>
            <w:rPr>
              <w:rFonts w:hint="default" w:ascii="Times New Roman" w:hAnsi="Times New Roman" w:eastAsia="黑体" w:cs="Times New Roman"/>
              <w:lang w:val="en-US" w:eastAsia="zh-CN"/>
            </w:rPr>
            <w:t>给排水系统</w:t>
          </w:r>
          <w:r>
            <w:rPr>
              <w:rFonts w:hint="eastAsia" w:ascii="Times New Roman" w:hAnsi="Times New Roman" w:cs="Times New Roman"/>
              <w:lang w:val="en-US" w:eastAsia="zh-CN"/>
            </w:rPr>
            <w:t>安全检查表</w:t>
          </w:r>
          <w:r>
            <w:tab/>
          </w:r>
          <w:r>
            <w:fldChar w:fldCharType="begin"/>
          </w:r>
          <w:r>
            <w:instrText xml:space="preserve"> PAGEREF _Toc16866 \h </w:instrText>
          </w:r>
          <w:r>
            <w:fldChar w:fldCharType="separate"/>
          </w:r>
          <w:r>
            <w:t>80</w:t>
          </w:r>
          <w:r>
            <w:fldChar w:fldCharType="end"/>
          </w:r>
          <w:r>
            <w:rPr>
              <w:color w:val="000000" w:themeColor="text1"/>
              <w14:textFill>
                <w14:solidFill>
                  <w14:schemeClr w14:val="tx1"/>
                </w14:solidFill>
              </w14:textFill>
            </w:rPr>
            <w:fldChar w:fldCharType="end"/>
          </w:r>
        </w:p>
        <w:p w14:paraId="520CE2A4">
          <w:pPr>
            <w:pStyle w:val="28"/>
            <w:tabs>
              <w:tab w:val="right" w:leader="dot" w:pos="8504"/>
            </w:tabs>
          </w:pPr>
          <w:r>
            <w:rPr>
              <w:color w:val="000000" w:themeColor="text1"/>
              <w14:textFill>
                <w14:solidFill>
                  <w14:schemeClr w14:val="tx1"/>
                </w14:solidFill>
              </w14:textFill>
            </w:rPr>
            <w:fldChar w:fldCharType="begin"/>
          </w:r>
          <w:r>
            <w:instrText xml:space="preserve"> HYPERLINK \l _Toc7172 </w:instrText>
          </w:r>
          <w:r>
            <w:fldChar w:fldCharType="separate"/>
          </w:r>
          <w:r>
            <w:rPr>
              <w:rFonts w:hint="default" w:ascii="Times New Roman" w:hAnsi="Times New Roman" w:eastAsia="黑体" w:cs="Times New Roman"/>
              <w:lang w:val="en-US" w:eastAsia="zh-CN"/>
            </w:rPr>
            <w:t>5.</w:t>
          </w:r>
          <w:r>
            <w:rPr>
              <w:rFonts w:hint="eastAsia" w:ascii="Times New Roman" w:hAnsi="Times New Roman" w:cs="Times New Roman"/>
              <w:lang w:val="en-US" w:eastAsia="zh-CN"/>
            </w:rPr>
            <w:t>4</w:t>
          </w:r>
          <w:r>
            <w:rPr>
              <w:rFonts w:hint="default" w:ascii="Times New Roman" w:hAnsi="Times New Roman" w:eastAsia="黑体" w:cs="Times New Roman"/>
              <w:lang w:val="en-US" w:eastAsia="zh-CN"/>
            </w:rPr>
            <w:t>.</w:t>
          </w:r>
          <w:r>
            <w:rPr>
              <w:rFonts w:hint="eastAsia" w:ascii="Times New Roman" w:hAnsi="Times New Roman" w:cs="Times New Roman"/>
              <w:lang w:val="en-US" w:eastAsia="zh-CN"/>
            </w:rPr>
            <w:t>3</w:t>
          </w:r>
          <w:r>
            <w:rPr>
              <w:rFonts w:hint="eastAsia" w:ascii="Times New Roman" w:hAnsi="Times New Roman" w:eastAsia="黑体" w:cs="Times New Roman"/>
              <w:lang w:val="en-US" w:eastAsia="zh-CN"/>
            </w:rPr>
            <w:t xml:space="preserve"> </w:t>
          </w:r>
          <w:r>
            <w:rPr>
              <w:rFonts w:hint="default" w:ascii="Times New Roman" w:hAnsi="Times New Roman" w:eastAsia="黑体" w:cs="Times New Roman"/>
              <w:lang w:val="en-US" w:eastAsia="zh-CN"/>
            </w:rPr>
            <w:t>消防</w:t>
          </w:r>
          <w:r>
            <w:rPr>
              <w:rFonts w:hint="eastAsia" w:ascii="Times New Roman" w:hAnsi="Times New Roman" w:eastAsia="黑体" w:cs="Times New Roman"/>
              <w:lang w:val="en-US" w:eastAsia="zh-CN"/>
            </w:rPr>
            <w:t>系统</w:t>
          </w:r>
          <w:r>
            <w:rPr>
              <w:rFonts w:hint="eastAsia" w:ascii="Times New Roman" w:hAnsi="Times New Roman" w:cs="Times New Roman"/>
              <w:lang w:val="en-US" w:eastAsia="zh-CN"/>
            </w:rPr>
            <w:t>安全检查表</w:t>
          </w:r>
          <w:r>
            <w:tab/>
          </w:r>
          <w:r>
            <w:fldChar w:fldCharType="begin"/>
          </w:r>
          <w:r>
            <w:instrText xml:space="preserve"> PAGEREF _Toc7172 \h </w:instrText>
          </w:r>
          <w:r>
            <w:fldChar w:fldCharType="separate"/>
          </w:r>
          <w:r>
            <w:t>80</w:t>
          </w:r>
          <w:r>
            <w:fldChar w:fldCharType="end"/>
          </w:r>
          <w:r>
            <w:rPr>
              <w:color w:val="000000" w:themeColor="text1"/>
              <w14:textFill>
                <w14:solidFill>
                  <w14:schemeClr w14:val="tx1"/>
                </w14:solidFill>
              </w14:textFill>
            </w:rPr>
            <w:fldChar w:fldCharType="end"/>
          </w:r>
        </w:p>
        <w:p w14:paraId="57F71365">
          <w:pPr>
            <w:pStyle w:val="28"/>
            <w:tabs>
              <w:tab w:val="right" w:leader="dot" w:pos="8504"/>
            </w:tabs>
          </w:pPr>
          <w:r>
            <w:rPr>
              <w:color w:val="000000" w:themeColor="text1"/>
              <w14:textFill>
                <w14:solidFill>
                  <w14:schemeClr w14:val="tx1"/>
                </w14:solidFill>
              </w14:textFill>
            </w:rPr>
            <w:fldChar w:fldCharType="begin"/>
          </w:r>
          <w:r>
            <w:instrText xml:space="preserve"> HYPERLINK \l _Toc3808 </w:instrText>
          </w:r>
          <w:r>
            <w:fldChar w:fldCharType="separate"/>
          </w:r>
          <w:r>
            <w:rPr>
              <w:rFonts w:hint="default" w:ascii="Times New Roman" w:hAnsi="Times New Roman" w:eastAsia="黑体" w:cs="Times New Roman"/>
              <w:lang w:val="en-US" w:eastAsia="zh-CN"/>
            </w:rPr>
            <w:t>5.</w:t>
          </w:r>
          <w:r>
            <w:rPr>
              <w:rFonts w:hint="eastAsia" w:ascii="Times New Roman" w:hAnsi="Times New Roman" w:cs="Times New Roman"/>
              <w:lang w:val="en-US" w:eastAsia="zh-CN"/>
            </w:rPr>
            <w:t>4</w:t>
          </w:r>
          <w:r>
            <w:rPr>
              <w:rFonts w:hint="default" w:ascii="Times New Roman" w:hAnsi="Times New Roman" w:eastAsia="黑体" w:cs="Times New Roman"/>
              <w:lang w:val="en-US" w:eastAsia="zh-CN"/>
            </w:rPr>
            <w:t>.</w:t>
          </w:r>
          <w:r>
            <w:rPr>
              <w:rFonts w:hint="eastAsia" w:ascii="Times New Roman" w:hAnsi="Times New Roman" w:cs="Times New Roman"/>
              <w:lang w:val="en-US" w:eastAsia="zh-CN"/>
            </w:rPr>
            <w:t xml:space="preserve">4 </w:t>
          </w:r>
          <w:r>
            <w:rPr>
              <w:rFonts w:hint="default" w:ascii="Times New Roman" w:hAnsi="Times New Roman" w:eastAsia="黑体" w:cs="Times New Roman"/>
              <w:lang w:val="en-US" w:eastAsia="zh-CN"/>
            </w:rPr>
            <w:t>单元小结</w:t>
          </w:r>
          <w:r>
            <w:tab/>
          </w:r>
          <w:r>
            <w:fldChar w:fldCharType="begin"/>
          </w:r>
          <w:r>
            <w:instrText xml:space="preserve"> PAGEREF _Toc3808 \h </w:instrText>
          </w:r>
          <w:r>
            <w:fldChar w:fldCharType="separate"/>
          </w:r>
          <w:r>
            <w:t>81</w:t>
          </w:r>
          <w:r>
            <w:fldChar w:fldCharType="end"/>
          </w:r>
          <w:r>
            <w:rPr>
              <w:color w:val="000000" w:themeColor="text1"/>
              <w14:textFill>
                <w14:solidFill>
                  <w14:schemeClr w14:val="tx1"/>
                </w14:solidFill>
              </w14:textFill>
            </w:rPr>
            <w:fldChar w:fldCharType="end"/>
          </w:r>
        </w:p>
        <w:p w14:paraId="5395C15A">
          <w:pPr>
            <w:pStyle w:val="43"/>
            <w:tabs>
              <w:tab w:val="right" w:leader="dot" w:pos="8504"/>
            </w:tabs>
          </w:pPr>
          <w:r>
            <w:rPr>
              <w:color w:val="000000" w:themeColor="text1"/>
              <w14:textFill>
                <w14:solidFill>
                  <w14:schemeClr w14:val="tx1"/>
                </w14:solidFill>
              </w14:textFill>
            </w:rPr>
            <w:fldChar w:fldCharType="begin"/>
          </w:r>
          <w:r>
            <w:instrText xml:space="preserve"> HYPERLINK \l _Toc31028 </w:instrText>
          </w:r>
          <w:r>
            <w:fldChar w:fldCharType="separate"/>
          </w:r>
          <w:r>
            <w:rPr>
              <w:rFonts w:hint="default" w:ascii="Times New Roman" w:hAnsi="Times New Roman" w:eastAsia="楷体" w:cs="Times New Roman"/>
            </w:rPr>
            <w:t>5.5</w:t>
          </w:r>
          <w:r>
            <w:rPr>
              <w:rFonts w:hint="eastAsia" w:ascii="Times New Roman" w:hAnsi="Times New Roman" w:cs="Times New Roman"/>
              <w:lang w:val="en-US" w:eastAsia="zh-CN"/>
            </w:rPr>
            <w:t xml:space="preserve"> </w:t>
          </w:r>
          <w:r>
            <w:rPr>
              <w:rFonts w:hint="default" w:ascii="Times New Roman" w:hAnsi="Times New Roman" w:eastAsia="楷体" w:cs="Times New Roman"/>
            </w:rPr>
            <w:t>安全生产管理评价单元</w:t>
          </w:r>
          <w:r>
            <w:tab/>
          </w:r>
          <w:r>
            <w:fldChar w:fldCharType="begin"/>
          </w:r>
          <w:r>
            <w:instrText xml:space="preserve"> PAGEREF _Toc31028 \h </w:instrText>
          </w:r>
          <w:r>
            <w:fldChar w:fldCharType="separate"/>
          </w:r>
          <w:r>
            <w:t>82</w:t>
          </w:r>
          <w:r>
            <w:fldChar w:fldCharType="end"/>
          </w:r>
          <w:r>
            <w:rPr>
              <w:color w:val="000000" w:themeColor="text1"/>
              <w14:textFill>
                <w14:solidFill>
                  <w14:schemeClr w14:val="tx1"/>
                </w14:solidFill>
              </w14:textFill>
            </w:rPr>
            <w:fldChar w:fldCharType="end"/>
          </w:r>
        </w:p>
        <w:p w14:paraId="213787F1">
          <w:pPr>
            <w:pStyle w:val="28"/>
            <w:tabs>
              <w:tab w:val="right" w:leader="dot" w:pos="8504"/>
            </w:tabs>
          </w:pPr>
          <w:r>
            <w:rPr>
              <w:color w:val="000000" w:themeColor="text1"/>
              <w14:textFill>
                <w14:solidFill>
                  <w14:schemeClr w14:val="tx1"/>
                </w14:solidFill>
              </w14:textFill>
            </w:rPr>
            <w:fldChar w:fldCharType="begin"/>
          </w:r>
          <w:r>
            <w:instrText xml:space="preserve"> HYPERLINK \l _Toc23914 </w:instrText>
          </w:r>
          <w:r>
            <w:fldChar w:fldCharType="separate"/>
          </w:r>
          <w:r>
            <w:rPr>
              <w:rFonts w:hint="default" w:ascii="Times New Roman" w:hAnsi="Times New Roman" w:eastAsia="黑体" w:cs="Times New Roman"/>
              <w:lang w:val="en-US" w:eastAsia="zh-CN"/>
            </w:rPr>
            <w:t>5.5.1安全管理检查表</w:t>
          </w:r>
          <w:r>
            <w:tab/>
          </w:r>
          <w:r>
            <w:fldChar w:fldCharType="begin"/>
          </w:r>
          <w:r>
            <w:instrText xml:space="preserve"> PAGEREF _Toc23914 \h </w:instrText>
          </w:r>
          <w:r>
            <w:fldChar w:fldCharType="separate"/>
          </w:r>
          <w:r>
            <w:t>82</w:t>
          </w:r>
          <w:r>
            <w:fldChar w:fldCharType="end"/>
          </w:r>
          <w:r>
            <w:rPr>
              <w:color w:val="000000" w:themeColor="text1"/>
              <w14:textFill>
                <w14:solidFill>
                  <w14:schemeClr w14:val="tx1"/>
                </w14:solidFill>
              </w14:textFill>
            </w:rPr>
            <w:fldChar w:fldCharType="end"/>
          </w:r>
        </w:p>
        <w:p w14:paraId="2807F9C2">
          <w:pPr>
            <w:pStyle w:val="28"/>
            <w:tabs>
              <w:tab w:val="right" w:leader="dot" w:pos="8504"/>
            </w:tabs>
          </w:pPr>
          <w:r>
            <w:rPr>
              <w:color w:val="000000" w:themeColor="text1"/>
              <w14:textFill>
                <w14:solidFill>
                  <w14:schemeClr w14:val="tx1"/>
                </w14:solidFill>
              </w14:textFill>
            </w:rPr>
            <w:fldChar w:fldCharType="begin"/>
          </w:r>
          <w:r>
            <w:instrText xml:space="preserve"> HYPERLINK \l _Toc17251 </w:instrText>
          </w:r>
          <w:r>
            <w:fldChar w:fldCharType="separate"/>
          </w:r>
          <w:r>
            <w:rPr>
              <w:rFonts w:hint="eastAsia" w:ascii="Times New Roman" w:hAnsi="Times New Roman" w:eastAsia="黑体" w:cs="Times New Roman"/>
              <w:lang w:val="en-US" w:eastAsia="zh-CN"/>
            </w:rPr>
            <w:t>5.5.2 应急救援预案</w:t>
          </w:r>
          <w:r>
            <w:tab/>
          </w:r>
          <w:r>
            <w:fldChar w:fldCharType="begin"/>
          </w:r>
          <w:r>
            <w:instrText xml:space="preserve"> PAGEREF _Toc17251 \h </w:instrText>
          </w:r>
          <w:r>
            <w:fldChar w:fldCharType="separate"/>
          </w:r>
          <w:r>
            <w:t>86</w:t>
          </w:r>
          <w:r>
            <w:fldChar w:fldCharType="end"/>
          </w:r>
          <w:r>
            <w:rPr>
              <w:color w:val="000000" w:themeColor="text1"/>
              <w14:textFill>
                <w14:solidFill>
                  <w14:schemeClr w14:val="tx1"/>
                </w14:solidFill>
              </w14:textFill>
            </w:rPr>
            <w:fldChar w:fldCharType="end"/>
          </w:r>
        </w:p>
        <w:p w14:paraId="16B47C77">
          <w:pPr>
            <w:pStyle w:val="28"/>
            <w:tabs>
              <w:tab w:val="right" w:leader="dot" w:pos="8504"/>
            </w:tabs>
          </w:pPr>
          <w:r>
            <w:rPr>
              <w:color w:val="000000" w:themeColor="text1"/>
              <w14:textFill>
                <w14:solidFill>
                  <w14:schemeClr w14:val="tx1"/>
                </w14:solidFill>
              </w14:textFill>
            </w:rPr>
            <w:fldChar w:fldCharType="begin"/>
          </w:r>
          <w:r>
            <w:instrText xml:space="preserve"> HYPERLINK \l _Toc9492 </w:instrText>
          </w:r>
          <w:r>
            <w:fldChar w:fldCharType="separate"/>
          </w:r>
          <w:r>
            <w:rPr>
              <w:rFonts w:hint="eastAsia" w:ascii="Times New Roman" w:hAnsi="Times New Roman" w:eastAsia="黑体" w:cs="Times New Roman"/>
              <w:lang w:val="en-US" w:eastAsia="zh-CN"/>
            </w:rPr>
            <w:t>5.5.3 单元小结</w:t>
          </w:r>
          <w:r>
            <w:tab/>
          </w:r>
          <w:r>
            <w:fldChar w:fldCharType="begin"/>
          </w:r>
          <w:r>
            <w:instrText xml:space="preserve"> PAGEREF _Toc9492 \h </w:instrText>
          </w:r>
          <w:r>
            <w:fldChar w:fldCharType="separate"/>
          </w:r>
          <w:r>
            <w:t>87</w:t>
          </w:r>
          <w:r>
            <w:fldChar w:fldCharType="end"/>
          </w:r>
          <w:r>
            <w:rPr>
              <w:color w:val="000000" w:themeColor="text1"/>
              <w14:textFill>
                <w14:solidFill>
                  <w14:schemeClr w14:val="tx1"/>
                </w14:solidFill>
              </w14:textFill>
            </w:rPr>
            <w:fldChar w:fldCharType="end"/>
          </w:r>
        </w:p>
        <w:p w14:paraId="74D9ACD1">
          <w:pPr>
            <w:pStyle w:val="43"/>
            <w:tabs>
              <w:tab w:val="right" w:leader="dot" w:pos="8504"/>
            </w:tabs>
          </w:pPr>
          <w:r>
            <w:rPr>
              <w:color w:val="000000" w:themeColor="text1"/>
              <w14:textFill>
                <w14:solidFill>
                  <w14:schemeClr w14:val="tx1"/>
                </w14:solidFill>
              </w14:textFill>
            </w:rPr>
            <w:fldChar w:fldCharType="begin"/>
          </w:r>
          <w:r>
            <w:instrText xml:space="preserve"> HYPERLINK \l _Toc8927 </w:instrText>
          </w:r>
          <w:r>
            <w:fldChar w:fldCharType="separate"/>
          </w:r>
          <w:r>
            <w:rPr>
              <w:rFonts w:hint="default" w:ascii="Times New Roman" w:hAnsi="Times New Roman" w:eastAsia="楷体" w:cs="Times New Roman"/>
            </w:rPr>
            <w:t>5.6 重大事故隐患</w:t>
          </w:r>
          <w:r>
            <w:rPr>
              <w:rFonts w:hint="default" w:ascii="Times New Roman" w:hAnsi="Times New Roman" w:eastAsia="楷体" w:cs="Times New Roman"/>
              <w:lang w:val="en-US" w:eastAsia="zh-CN"/>
            </w:rPr>
            <w:t>评价</w:t>
          </w:r>
          <w:r>
            <w:rPr>
              <w:rFonts w:hint="default" w:ascii="Times New Roman" w:hAnsi="Times New Roman" w:eastAsia="楷体" w:cs="Times New Roman"/>
            </w:rPr>
            <w:t>单元</w:t>
          </w:r>
          <w:r>
            <w:tab/>
          </w:r>
          <w:r>
            <w:fldChar w:fldCharType="begin"/>
          </w:r>
          <w:r>
            <w:instrText xml:space="preserve"> PAGEREF _Toc8927 \h </w:instrText>
          </w:r>
          <w:r>
            <w:fldChar w:fldCharType="separate"/>
          </w:r>
          <w:r>
            <w:t>88</w:t>
          </w:r>
          <w:r>
            <w:fldChar w:fldCharType="end"/>
          </w:r>
          <w:r>
            <w:rPr>
              <w:color w:val="000000" w:themeColor="text1"/>
              <w14:textFill>
                <w14:solidFill>
                  <w14:schemeClr w14:val="tx1"/>
                </w14:solidFill>
              </w14:textFill>
            </w:rPr>
            <w:fldChar w:fldCharType="end"/>
          </w:r>
        </w:p>
        <w:p w14:paraId="77C6568B">
          <w:pPr>
            <w:pStyle w:val="35"/>
            <w:tabs>
              <w:tab w:val="right" w:leader="dot" w:pos="8504"/>
            </w:tabs>
          </w:pPr>
          <w:r>
            <w:rPr>
              <w:color w:val="000000" w:themeColor="text1"/>
              <w14:textFill>
                <w14:solidFill>
                  <w14:schemeClr w14:val="tx1"/>
                </w14:solidFill>
              </w14:textFill>
            </w:rPr>
            <w:fldChar w:fldCharType="begin"/>
          </w:r>
          <w:r>
            <w:instrText xml:space="preserve"> HYPERLINK \l _Toc26584 </w:instrText>
          </w:r>
          <w:r>
            <w:fldChar w:fldCharType="separate"/>
          </w:r>
          <w:r>
            <w:rPr>
              <w:rFonts w:hint="default" w:ascii="Times New Roman" w:hAnsi="Times New Roman" w:eastAsia="黑体" w:cs="Times New Roman"/>
            </w:rPr>
            <w:t>第6章  主要存在问题及安全对策措施建议</w:t>
          </w:r>
          <w:r>
            <w:tab/>
          </w:r>
          <w:r>
            <w:fldChar w:fldCharType="begin"/>
          </w:r>
          <w:r>
            <w:instrText xml:space="preserve"> PAGEREF _Toc26584 \h </w:instrText>
          </w:r>
          <w:r>
            <w:fldChar w:fldCharType="separate"/>
          </w:r>
          <w:r>
            <w:t>90</w:t>
          </w:r>
          <w:r>
            <w:fldChar w:fldCharType="end"/>
          </w:r>
          <w:r>
            <w:rPr>
              <w:color w:val="000000" w:themeColor="text1"/>
              <w14:textFill>
                <w14:solidFill>
                  <w14:schemeClr w14:val="tx1"/>
                </w14:solidFill>
              </w14:textFill>
            </w:rPr>
            <w:fldChar w:fldCharType="end"/>
          </w:r>
        </w:p>
        <w:p w14:paraId="3A7E1467">
          <w:pPr>
            <w:pStyle w:val="43"/>
            <w:tabs>
              <w:tab w:val="right" w:leader="dot" w:pos="8504"/>
            </w:tabs>
          </w:pPr>
          <w:r>
            <w:rPr>
              <w:color w:val="000000" w:themeColor="text1"/>
              <w14:textFill>
                <w14:solidFill>
                  <w14:schemeClr w14:val="tx1"/>
                </w14:solidFill>
              </w14:textFill>
            </w:rPr>
            <w:fldChar w:fldCharType="begin"/>
          </w:r>
          <w:r>
            <w:instrText xml:space="preserve"> HYPERLINK \l _Toc10515 </w:instrText>
          </w:r>
          <w:r>
            <w:fldChar w:fldCharType="separate"/>
          </w:r>
          <w:r>
            <w:rPr>
              <w:rFonts w:hint="default" w:ascii="Times New Roman" w:hAnsi="Times New Roman" w:eastAsia="楷体" w:cs="Times New Roman"/>
            </w:rPr>
            <w:t>6.1</w:t>
          </w:r>
          <w:r>
            <w:rPr>
              <w:rFonts w:hint="eastAsia" w:ascii="Times New Roman" w:hAnsi="Times New Roman" w:cs="Times New Roman"/>
              <w:lang w:val="en-US" w:eastAsia="zh-CN"/>
            </w:rPr>
            <w:t xml:space="preserve"> </w:t>
          </w:r>
          <w:r>
            <w:rPr>
              <w:rFonts w:hint="default" w:ascii="Times New Roman" w:hAnsi="Times New Roman" w:eastAsia="楷体" w:cs="Times New Roman"/>
            </w:rPr>
            <w:t>主要存在问题</w:t>
          </w:r>
          <w:r>
            <w:tab/>
          </w:r>
          <w:r>
            <w:fldChar w:fldCharType="begin"/>
          </w:r>
          <w:r>
            <w:instrText xml:space="preserve"> PAGEREF _Toc10515 \h </w:instrText>
          </w:r>
          <w:r>
            <w:fldChar w:fldCharType="separate"/>
          </w:r>
          <w:r>
            <w:t>90</w:t>
          </w:r>
          <w:r>
            <w:fldChar w:fldCharType="end"/>
          </w:r>
          <w:r>
            <w:rPr>
              <w:color w:val="000000" w:themeColor="text1"/>
              <w14:textFill>
                <w14:solidFill>
                  <w14:schemeClr w14:val="tx1"/>
                </w14:solidFill>
              </w14:textFill>
            </w:rPr>
            <w:fldChar w:fldCharType="end"/>
          </w:r>
        </w:p>
        <w:p w14:paraId="130B9C3A">
          <w:pPr>
            <w:pStyle w:val="43"/>
            <w:tabs>
              <w:tab w:val="right" w:leader="dot" w:pos="8504"/>
            </w:tabs>
          </w:pPr>
          <w:r>
            <w:rPr>
              <w:color w:val="000000" w:themeColor="text1"/>
              <w14:textFill>
                <w14:solidFill>
                  <w14:schemeClr w14:val="tx1"/>
                </w14:solidFill>
              </w14:textFill>
            </w:rPr>
            <w:fldChar w:fldCharType="begin"/>
          </w:r>
          <w:r>
            <w:instrText xml:space="preserve"> HYPERLINK \l _Toc4963 </w:instrText>
          </w:r>
          <w:r>
            <w:fldChar w:fldCharType="separate"/>
          </w:r>
          <w:r>
            <w:rPr>
              <w:rFonts w:hint="default" w:ascii="Times New Roman" w:hAnsi="Times New Roman" w:eastAsia="楷体" w:cs="Times New Roman"/>
            </w:rPr>
            <w:t>6.2</w:t>
          </w:r>
          <w:r>
            <w:rPr>
              <w:rFonts w:hint="eastAsia" w:ascii="Times New Roman" w:hAnsi="Times New Roman" w:cs="Times New Roman"/>
              <w:lang w:val="en-US" w:eastAsia="zh-CN"/>
            </w:rPr>
            <w:t xml:space="preserve"> </w:t>
          </w:r>
          <w:r>
            <w:rPr>
              <w:rFonts w:hint="default" w:ascii="Times New Roman" w:hAnsi="Times New Roman" w:eastAsia="楷体" w:cs="Times New Roman"/>
            </w:rPr>
            <w:t>安全技术对策措施建议</w:t>
          </w:r>
          <w:r>
            <w:tab/>
          </w:r>
          <w:r>
            <w:fldChar w:fldCharType="begin"/>
          </w:r>
          <w:r>
            <w:instrText xml:space="preserve"> PAGEREF _Toc4963 \h </w:instrText>
          </w:r>
          <w:r>
            <w:fldChar w:fldCharType="separate"/>
          </w:r>
          <w:r>
            <w:t>90</w:t>
          </w:r>
          <w:r>
            <w:fldChar w:fldCharType="end"/>
          </w:r>
          <w:r>
            <w:rPr>
              <w:color w:val="000000" w:themeColor="text1"/>
              <w14:textFill>
                <w14:solidFill>
                  <w14:schemeClr w14:val="tx1"/>
                </w14:solidFill>
              </w14:textFill>
            </w:rPr>
            <w:fldChar w:fldCharType="end"/>
          </w:r>
        </w:p>
        <w:p w14:paraId="07FC9495">
          <w:pPr>
            <w:pStyle w:val="43"/>
            <w:tabs>
              <w:tab w:val="right" w:leader="dot" w:pos="8504"/>
            </w:tabs>
          </w:pPr>
          <w:r>
            <w:rPr>
              <w:color w:val="000000" w:themeColor="text1"/>
              <w14:textFill>
                <w14:solidFill>
                  <w14:schemeClr w14:val="tx1"/>
                </w14:solidFill>
              </w14:textFill>
            </w:rPr>
            <w:fldChar w:fldCharType="begin"/>
          </w:r>
          <w:r>
            <w:instrText xml:space="preserve"> HYPERLINK \l _Toc28444 </w:instrText>
          </w:r>
          <w:r>
            <w:fldChar w:fldCharType="separate"/>
          </w:r>
          <w:r>
            <w:rPr>
              <w:rFonts w:hint="default" w:ascii="Times New Roman" w:hAnsi="Times New Roman" w:eastAsia="楷体" w:cs="Times New Roman"/>
            </w:rPr>
            <w:t>6.3</w:t>
          </w:r>
          <w:r>
            <w:rPr>
              <w:rFonts w:hint="eastAsia" w:ascii="Times New Roman" w:hAnsi="Times New Roman" w:cs="Times New Roman"/>
              <w:lang w:val="en-US" w:eastAsia="zh-CN"/>
            </w:rPr>
            <w:t xml:space="preserve"> </w:t>
          </w:r>
          <w:r>
            <w:rPr>
              <w:rFonts w:hint="default" w:ascii="Times New Roman" w:hAnsi="Times New Roman" w:eastAsia="楷体" w:cs="Times New Roman"/>
            </w:rPr>
            <w:t>安全生产管理建议</w:t>
          </w:r>
          <w:r>
            <w:tab/>
          </w:r>
          <w:r>
            <w:fldChar w:fldCharType="begin"/>
          </w:r>
          <w:r>
            <w:instrText xml:space="preserve"> PAGEREF _Toc28444 \h </w:instrText>
          </w:r>
          <w:r>
            <w:fldChar w:fldCharType="separate"/>
          </w:r>
          <w:r>
            <w:t>92</w:t>
          </w:r>
          <w:r>
            <w:fldChar w:fldCharType="end"/>
          </w:r>
          <w:r>
            <w:rPr>
              <w:color w:val="000000" w:themeColor="text1"/>
              <w14:textFill>
                <w14:solidFill>
                  <w14:schemeClr w14:val="tx1"/>
                </w14:solidFill>
              </w14:textFill>
            </w:rPr>
            <w:fldChar w:fldCharType="end"/>
          </w:r>
        </w:p>
        <w:p w14:paraId="3CBC4877">
          <w:pPr>
            <w:pStyle w:val="35"/>
            <w:tabs>
              <w:tab w:val="right" w:leader="dot" w:pos="8504"/>
            </w:tabs>
          </w:pPr>
          <w:r>
            <w:rPr>
              <w:color w:val="000000" w:themeColor="text1"/>
              <w14:textFill>
                <w14:solidFill>
                  <w14:schemeClr w14:val="tx1"/>
                </w14:solidFill>
              </w14:textFill>
            </w:rPr>
            <w:fldChar w:fldCharType="begin"/>
          </w:r>
          <w:r>
            <w:instrText xml:space="preserve"> HYPERLINK \l _Toc24030 </w:instrText>
          </w:r>
          <w:r>
            <w:fldChar w:fldCharType="separate"/>
          </w:r>
          <w:r>
            <w:rPr>
              <w:rFonts w:hint="default" w:ascii="Times New Roman" w:hAnsi="Times New Roman" w:eastAsia="黑体" w:cs="Times New Roman"/>
            </w:rPr>
            <w:t>第7章  安全现状评价结论</w:t>
          </w:r>
          <w:r>
            <w:tab/>
          </w:r>
          <w:r>
            <w:fldChar w:fldCharType="begin"/>
          </w:r>
          <w:r>
            <w:instrText xml:space="preserve"> PAGEREF _Toc24030 \h </w:instrText>
          </w:r>
          <w:r>
            <w:fldChar w:fldCharType="separate"/>
          </w:r>
          <w:r>
            <w:t>96</w:t>
          </w:r>
          <w:r>
            <w:fldChar w:fldCharType="end"/>
          </w:r>
          <w:r>
            <w:rPr>
              <w:color w:val="000000" w:themeColor="text1"/>
              <w14:textFill>
                <w14:solidFill>
                  <w14:schemeClr w14:val="tx1"/>
                </w14:solidFill>
              </w14:textFill>
            </w:rPr>
            <w:fldChar w:fldCharType="end"/>
          </w:r>
        </w:p>
        <w:p w14:paraId="742E2DF8">
          <w:pPr>
            <w:pStyle w:val="43"/>
            <w:tabs>
              <w:tab w:val="right" w:leader="dot" w:pos="8504"/>
            </w:tabs>
          </w:pPr>
          <w:r>
            <w:rPr>
              <w:color w:val="000000" w:themeColor="text1"/>
              <w14:textFill>
                <w14:solidFill>
                  <w14:schemeClr w14:val="tx1"/>
                </w14:solidFill>
              </w14:textFill>
            </w:rPr>
            <w:fldChar w:fldCharType="begin"/>
          </w:r>
          <w:r>
            <w:instrText xml:space="preserve"> HYPERLINK \l _Toc22019 </w:instrText>
          </w:r>
          <w:r>
            <w:fldChar w:fldCharType="separate"/>
          </w:r>
          <w:r>
            <w:rPr>
              <w:rFonts w:hint="default" w:ascii="Times New Roman" w:hAnsi="Times New Roman" w:eastAsia="楷体" w:cs="Times New Roman"/>
            </w:rPr>
            <w:t>7.1</w:t>
          </w:r>
          <w:r>
            <w:rPr>
              <w:rFonts w:hint="eastAsia" w:ascii="Times New Roman" w:hAnsi="Times New Roman" w:cs="Times New Roman"/>
              <w:lang w:val="en-US" w:eastAsia="zh-CN"/>
            </w:rPr>
            <w:t xml:space="preserve"> </w:t>
          </w:r>
          <w:r>
            <w:rPr>
              <w:rFonts w:hint="default" w:ascii="Times New Roman" w:hAnsi="Times New Roman" w:eastAsia="楷体" w:cs="Times New Roman"/>
            </w:rPr>
            <w:t>主要危险、有害因素评价结果</w:t>
          </w:r>
          <w:r>
            <w:tab/>
          </w:r>
          <w:r>
            <w:fldChar w:fldCharType="begin"/>
          </w:r>
          <w:r>
            <w:instrText xml:space="preserve"> PAGEREF _Toc22019 \h </w:instrText>
          </w:r>
          <w:r>
            <w:fldChar w:fldCharType="separate"/>
          </w:r>
          <w:r>
            <w:t>96</w:t>
          </w:r>
          <w:r>
            <w:fldChar w:fldCharType="end"/>
          </w:r>
          <w:r>
            <w:rPr>
              <w:color w:val="000000" w:themeColor="text1"/>
              <w14:textFill>
                <w14:solidFill>
                  <w14:schemeClr w14:val="tx1"/>
                </w14:solidFill>
              </w14:textFill>
            </w:rPr>
            <w:fldChar w:fldCharType="end"/>
          </w:r>
        </w:p>
        <w:p w14:paraId="4BC3BDE4">
          <w:pPr>
            <w:pStyle w:val="28"/>
            <w:tabs>
              <w:tab w:val="right" w:leader="dot" w:pos="8504"/>
            </w:tabs>
          </w:pPr>
          <w:r>
            <w:rPr>
              <w:color w:val="000000" w:themeColor="text1"/>
              <w14:textFill>
                <w14:solidFill>
                  <w14:schemeClr w14:val="tx1"/>
                </w14:solidFill>
              </w14:textFill>
            </w:rPr>
            <w:fldChar w:fldCharType="begin"/>
          </w:r>
          <w:r>
            <w:instrText xml:space="preserve"> HYPERLINK \l _Toc455 </w:instrText>
          </w:r>
          <w:r>
            <w:fldChar w:fldCharType="separate"/>
          </w:r>
          <w:r>
            <w:rPr>
              <w:rFonts w:hint="default" w:ascii="Times New Roman" w:hAnsi="Times New Roman" w:eastAsia="黑体" w:cs="Times New Roman"/>
              <w:lang w:val="en-US" w:eastAsia="zh-CN"/>
            </w:rPr>
            <w:t>7.1.1</w:t>
          </w:r>
          <w:r>
            <w:rPr>
              <w:rFonts w:hint="eastAsia" w:ascii="Times New Roman" w:hAnsi="Times New Roman" w:cs="Times New Roman"/>
              <w:lang w:val="en-US" w:eastAsia="zh-CN"/>
            </w:rPr>
            <w:t xml:space="preserve"> </w:t>
          </w:r>
          <w:r>
            <w:rPr>
              <w:rFonts w:hint="default" w:ascii="Times New Roman" w:hAnsi="Times New Roman" w:eastAsia="黑体" w:cs="Times New Roman"/>
              <w:lang w:val="en-US" w:eastAsia="zh-CN"/>
            </w:rPr>
            <w:t>主要危险、有害因素</w:t>
          </w:r>
          <w:r>
            <w:tab/>
          </w:r>
          <w:r>
            <w:fldChar w:fldCharType="begin"/>
          </w:r>
          <w:r>
            <w:instrText xml:space="preserve"> PAGEREF _Toc455 \h </w:instrText>
          </w:r>
          <w:r>
            <w:fldChar w:fldCharType="separate"/>
          </w:r>
          <w:r>
            <w:t>96</w:t>
          </w:r>
          <w:r>
            <w:fldChar w:fldCharType="end"/>
          </w:r>
          <w:r>
            <w:rPr>
              <w:color w:val="000000" w:themeColor="text1"/>
              <w14:textFill>
                <w14:solidFill>
                  <w14:schemeClr w14:val="tx1"/>
                </w14:solidFill>
              </w14:textFill>
            </w:rPr>
            <w:fldChar w:fldCharType="end"/>
          </w:r>
        </w:p>
        <w:p w14:paraId="7A63261B">
          <w:pPr>
            <w:pStyle w:val="28"/>
            <w:tabs>
              <w:tab w:val="right" w:leader="dot" w:pos="8504"/>
            </w:tabs>
          </w:pPr>
          <w:r>
            <w:rPr>
              <w:color w:val="000000" w:themeColor="text1"/>
              <w14:textFill>
                <w14:solidFill>
                  <w14:schemeClr w14:val="tx1"/>
                </w14:solidFill>
              </w14:textFill>
            </w:rPr>
            <w:fldChar w:fldCharType="begin"/>
          </w:r>
          <w:r>
            <w:instrText xml:space="preserve"> HYPERLINK \l _Toc23955 </w:instrText>
          </w:r>
          <w:r>
            <w:fldChar w:fldCharType="separate"/>
          </w:r>
          <w:r>
            <w:rPr>
              <w:rFonts w:hint="default" w:ascii="Times New Roman" w:hAnsi="Times New Roman" w:eastAsia="黑体" w:cs="Times New Roman"/>
              <w:lang w:val="en-US" w:eastAsia="zh-CN"/>
            </w:rPr>
            <w:t>7.1.2</w:t>
          </w:r>
          <w:r>
            <w:rPr>
              <w:rFonts w:hint="eastAsia" w:ascii="Times New Roman" w:hAnsi="Times New Roman" w:cs="Times New Roman"/>
              <w:lang w:val="en-US" w:eastAsia="zh-CN"/>
            </w:rPr>
            <w:t xml:space="preserve"> </w:t>
          </w:r>
          <w:r>
            <w:rPr>
              <w:rFonts w:hint="default" w:ascii="Times New Roman" w:hAnsi="Times New Roman" w:eastAsia="黑体" w:cs="Times New Roman"/>
              <w:lang w:val="en-US" w:eastAsia="zh-CN"/>
            </w:rPr>
            <w:t>本项目存在的主要危险、有害因素及存在部位</w:t>
          </w:r>
          <w:r>
            <w:tab/>
          </w:r>
          <w:r>
            <w:fldChar w:fldCharType="begin"/>
          </w:r>
          <w:r>
            <w:instrText xml:space="preserve"> PAGEREF _Toc23955 \h </w:instrText>
          </w:r>
          <w:r>
            <w:fldChar w:fldCharType="separate"/>
          </w:r>
          <w:r>
            <w:t>96</w:t>
          </w:r>
          <w:r>
            <w:fldChar w:fldCharType="end"/>
          </w:r>
          <w:r>
            <w:rPr>
              <w:color w:val="000000" w:themeColor="text1"/>
              <w14:textFill>
                <w14:solidFill>
                  <w14:schemeClr w14:val="tx1"/>
                </w14:solidFill>
              </w14:textFill>
            </w:rPr>
            <w:fldChar w:fldCharType="end"/>
          </w:r>
        </w:p>
        <w:p w14:paraId="7CBE0F10">
          <w:pPr>
            <w:pStyle w:val="43"/>
            <w:tabs>
              <w:tab w:val="right" w:leader="dot" w:pos="8504"/>
            </w:tabs>
          </w:pPr>
          <w:r>
            <w:rPr>
              <w:color w:val="000000" w:themeColor="text1"/>
              <w14:textFill>
                <w14:solidFill>
                  <w14:schemeClr w14:val="tx1"/>
                </w14:solidFill>
              </w14:textFill>
            </w:rPr>
            <w:fldChar w:fldCharType="begin"/>
          </w:r>
          <w:r>
            <w:instrText xml:space="preserve"> HYPERLINK \l _Toc6619 </w:instrText>
          </w:r>
          <w:r>
            <w:fldChar w:fldCharType="separate"/>
          </w:r>
          <w:r>
            <w:rPr>
              <w:rFonts w:hint="default" w:ascii="Times New Roman" w:hAnsi="Times New Roman" w:eastAsia="楷体" w:cs="Times New Roman"/>
            </w:rPr>
            <w:t>7.2</w:t>
          </w:r>
          <w:r>
            <w:rPr>
              <w:rFonts w:hint="eastAsia" w:ascii="Times New Roman" w:hAnsi="Times New Roman" w:cs="Times New Roman"/>
              <w:lang w:val="en-US" w:eastAsia="zh-CN"/>
            </w:rPr>
            <w:t xml:space="preserve"> </w:t>
          </w:r>
          <w:r>
            <w:rPr>
              <w:rFonts w:hint="default" w:ascii="Times New Roman" w:hAnsi="Times New Roman" w:eastAsia="楷体" w:cs="Times New Roman"/>
            </w:rPr>
            <w:t>需要重点防范和控制的危险、有害因素</w:t>
          </w:r>
          <w:r>
            <w:tab/>
          </w:r>
          <w:r>
            <w:fldChar w:fldCharType="begin"/>
          </w:r>
          <w:r>
            <w:instrText xml:space="preserve"> PAGEREF _Toc6619 \h </w:instrText>
          </w:r>
          <w:r>
            <w:fldChar w:fldCharType="separate"/>
          </w:r>
          <w:r>
            <w:t>97</w:t>
          </w:r>
          <w:r>
            <w:fldChar w:fldCharType="end"/>
          </w:r>
          <w:r>
            <w:rPr>
              <w:color w:val="000000" w:themeColor="text1"/>
              <w14:textFill>
                <w14:solidFill>
                  <w14:schemeClr w14:val="tx1"/>
                </w14:solidFill>
              </w14:textFill>
            </w:rPr>
            <w:fldChar w:fldCharType="end"/>
          </w:r>
        </w:p>
        <w:p w14:paraId="2831FE95">
          <w:pPr>
            <w:pStyle w:val="43"/>
            <w:tabs>
              <w:tab w:val="right" w:leader="dot" w:pos="8504"/>
            </w:tabs>
          </w:pPr>
          <w:r>
            <w:rPr>
              <w:color w:val="000000" w:themeColor="text1"/>
              <w14:textFill>
                <w14:solidFill>
                  <w14:schemeClr w14:val="tx1"/>
                </w14:solidFill>
              </w14:textFill>
            </w:rPr>
            <w:fldChar w:fldCharType="begin"/>
          </w:r>
          <w:r>
            <w:instrText xml:space="preserve"> HYPERLINK \l _Toc28460 </w:instrText>
          </w:r>
          <w:r>
            <w:fldChar w:fldCharType="separate"/>
          </w:r>
          <w:r>
            <w:rPr>
              <w:rFonts w:hint="default" w:ascii="Times New Roman" w:hAnsi="Times New Roman" w:eastAsia="楷体" w:cs="Times New Roman"/>
            </w:rPr>
            <w:t>7.3</w:t>
          </w:r>
          <w:r>
            <w:rPr>
              <w:rFonts w:hint="eastAsia" w:ascii="Times New Roman" w:hAnsi="Times New Roman" w:cs="Times New Roman"/>
              <w:lang w:val="en-US" w:eastAsia="zh-CN"/>
            </w:rPr>
            <w:t xml:space="preserve"> </w:t>
          </w:r>
          <w:r>
            <w:rPr>
              <w:rFonts w:hint="default" w:ascii="Times New Roman" w:hAnsi="Times New Roman" w:eastAsia="楷体" w:cs="Times New Roman"/>
            </w:rPr>
            <w:t>安全评价结论</w:t>
          </w:r>
          <w:r>
            <w:tab/>
          </w:r>
          <w:r>
            <w:fldChar w:fldCharType="begin"/>
          </w:r>
          <w:r>
            <w:instrText xml:space="preserve"> PAGEREF _Toc28460 \h </w:instrText>
          </w:r>
          <w:r>
            <w:fldChar w:fldCharType="separate"/>
          </w:r>
          <w:r>
            <w:t>97</w:t>
          </w:r>
          <w:r>
            <w:fldChar w:fldCharType="end"/>
          </w:r>
          <w:r>
            <w:rPr>
              <w:color w:val="000000" w:themeColor="text1"/>
              <w14:textFill>
                <w14:solidFill>
                  <w14:schemeClr w14:val="tx1"/>
                </w14:solidFill>
              </w14:textFill>
            </w:rPr>
            <w:fldChar w:fldCharType="end"/>
          </w:r>
        </w:p>
        <w:p w14:paraId="43BA066A">
          <w:pPr>
            <w:pStyle w:val="35"/>
            <w:tabs>
              <w:tab w:val="right" w:leader="dot" w:pos="8504"/>
            </w:tabs>
          </w:pPr>
          <w:r>
            <w:rPr>
              <w:color w:val="000000" w:themeColor="text1"/>
              <w14:textFill>
                <w14:solidFill>
                  <w14:schemeClr w14:val="tx1"/>
                </w14:solidFill>
              </w14:textFill>
            </w:rPr>
            <w:fldChar w:fldCharType="begin"/>
          </w:r>
          <w:r>
            <w:instrText xml:space="preserve"> HYPERLINK \l _Toc9514 </w:instrText>
          </w:r>
          <w:r>
            <w:fldChar w:fldCharType="separate"/>
          </w:r>
          <w:r>
            <w:rPr>
              <w:rFonts w:hint="default" w:ascii="Times New Roman" w:hAnsi="Times New Roman" w:eastAsia="黑体" w:cs="Times New Roman"/>
            </w:rPr>
            <w:t>第8章  与企业交换的意见</w:t>
          </w:r>
          <w:r>
            <w:tab/>
          </w:r>
          <w:r>
            <w:fldChar w:fldCharType="begin"/>
          </w:r>
          <w:r>
            <w:instrText xml:space="preserve"> PAGEREF _Toc9514 \h </w:instrText>
          </w:r>
          <w:r>
            <w:fldChar w:fldCharType="separate"/>
          </w:r>
          <w:r>
            <w:t>99</w:t>
          </w:r>
          <w:r>
            <w:fldChar w:fldCharType="end"/>
          </w:r>
          <w:r>
            <w:rPr>
              <w:color w:val="000000" w:themeColor="text1"/>
              <w14:textFill>
                <w14:solidFill>
                  <w14:schemeClr w14:val="tx1"/>
                </w14:solidFill>
              </w14:textFill>
            </w:rPr>
            <w:fldChar w:fldCharType="end"/>
          </w:r>
        </w:p>
        <w:p w14:paraId="326F4A5A">
          <w:pPr>
            <w:pStyle w:val="43"/>
            <w:tabs>
              <w:tab w:val="right" w:leader="dot" w:pos="8504"/>
            </w:tabs>
          </w:pPr>
          <w:r>
            <w:rPr>
              <w:color w:val="000000" w:themeColor="text1"/>
              <w14:textFill>
                <w14:solidFill>
                  <w14:schemeClr w14:val="tx1"/>
                </w14:solidFill>
              </w14:textFill>
            </w:rPr>
            <w:fldChar w:fldCharType="begin"/>
          </w:r>
          <w:r>
            <w:instrText xml:space="preserve"> HYPERLINK \l _Toc9230 </w:instrText>
          </w:r>
          <w:r>
            <w:fldChar w:fldCharType="separate"/>
          </w:r>
          <w:r>
            <w:rPr>
              <w:rFonts w:hint="eastAsia" w:ascii="宋体" w:hAnsi="宋体" w:eastAsia="宋体" w:cs="宋体"/>
              <w:szCs w:val="28"/>
            </w:rPr>
            <w:t>附件</w:t>
          </w:r>
          <w:r>
            <w:tab/>
          </w:r>
          <w:r>
            <w:fldChar w:fldCharType="begin"/>
          </w:r>
          <w:r>
            <w:instrText xml:space="preserve"> PAGEREF _Toc9230 \h </w:instrText>
          </w:r>
          <w:r>
            <w:fldChar w:fldCharType="separate"/>
          </w:r>
          <w:r>
            <w:t>100</w:t>
          </w:r>
          <w:r>
            <w:fldChar w:fldCharType="end"/>
          </w:r>
          <w:r>
            <w:rPr>
              <w:color w:val="000000" w:themeColor="text1"/>
              <w14:textFill>
                <w14:solidFill>
                  <w14:schemeClr w14:val="tx1"/>
                </w14:solidFill>
              </w14:textFill>
            </w:rPr>
            <w:fldChar w:fldCharType="end"/>
          </w:r>
        </w:p>
        <w:p w14:paraId="421EBF02">
          <w:pPr>
            <w:pStyle w:val="43"/>
            <w:tabs>
              <w:tab w:val="right" w:leader="dot" w:pos="8504"/>
            </w:tabs>
          </w:pPr>
          <w:r>
            <w:rPr>
              <w:color w:val="000000" w:themeColor="text1"/>
              <w14:textFill>
                <w14:solidFill>
                  <w14:schemeClr w14:val="tx1"/>
                </w14:solidFill>
              </w14:textFill>
            </w:rPr>
            <w:fldChar w:fldCharType="begin"/>
          </w:r>
          <w:r>
            <w:instrText xml:space="preserve"> HYPERLINK \l _Toc15546 </w:instrText>
          </w:r>
          <w:r>
            <w:fldChar w:fldCharType="separate"/>
          </w:r>
          <w:r>
            <w:rPr>
              <w:rFonts w:hint="eastAsia" w:ascii="宋体" w:hAnsi="宋体" w:eastAsia="宋体" w:cs="宋体"/>
              <w:szCs w:val="28"/>
            </w:rPr>
            <w:t>附图</w:t>
          </w:r>
          <w:r>
            <w:tab/>
          </w:r>
          <w:r>
            <w:fldChar w:fldCharType="begin"/>
          </w:r>
          <w:r>
            <w:instrText xml:space="preserve"> PAGEREF _Toc15546 \h </w:instrText>
          </w:r>
          <w:r>
            <w:fldChar w:fldCharType="separate"/>
          </w:r>
          <w:r>
            <w:t>100</w:t>
          </w:r>
          <w:r>
            <w:fldChar w:fldCharType="end"/>
          </w:r>
          <w:r>
            <w:rPr>
              <w:color w:val="000000" w:themeColor="text1"/>
              <w14:textFill>
                <w14:solidFill>
                  <w14:schemeClr w14:val="tx1"/>
                </w14:solidFill>
              </w14:textFill>
            </w:rPr>
            <w:fldChar w:fldCharType="end"/>
          </w:r>
        </w:p>
        <w:p w14:paraId="6650BDEA">
          <w:pPr>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1DD9B92F">
      <w:pPr>
        <w:pStyle w:val="4"/>
        <w:spacing w:before="165" w:after="165"/>
        <w:rPr>
          <w:rFonts w:ascii="Times New Roman" w:hAnsi="Times New Roman"/>
          <w:color w:val="000000" w:themeColor="text1"/>
          <w14:textFill>
            <w14:solidFill>
              <w14:schemeClr w14:val="tx1"/>
            </w14:solidFill>
          </w14:textFill>
        </w:rPr>
        <w:sectPr>
          <w:footerReference r:id="rId5" w:type="default"/>
          <w:pgSz w:w="11906" w:h="16838"/>
          <w:pgMar w:top="1587" w:right="1701" w:bottom="1701" w:left="1701" w:header="851" w:footer="992" w:gutter="0"/>
          <w:pgBorders>
            <w:top w:val="none" w:sz="0" w:space="0"/>
            <w:left w:val="none" w:sz="0" w:space="0"/>
            <w:bottom w:val="none" w:sz="0" w:space="0"/>
            <w:right w:val="none" w:sz="0" w:space="0"/>
          </w:pgBorders>
          <w:pgNumType w:fmt="upperRoman" w:start="1"/>
          <w:cols w:space="720" w:num="1"/>
          <w:docGrid w:type="lines" w:linePitch="330" w:charSpace="0"/>
        </w:sectPr>
      </w:pPr>
    </w:p>
    <w:p w14:paraId="7D317F15">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eastAsia" w:ascii="黑体" w:hAnsi="黑体" w:eastAsia="黑体" w:cs="黑体"/>
          <w:color w:val="000000" w:themeColor="text1"/>
          <w14:textFill>
            <w14:solidFill>
              <w14:schemeClr w14:val="tx1"/>
            </w14:solidFill>
          </w14:textFill>
        </w:rPr>
      </w:pPr>
      <w:bookmarkStart w:id="11" w:name="_Toc18799"/>
      <w:r>
        <w:rPr>
          <w:rFonts w:hint="eastAsia" w:ascii="黑体" w:hAnsi="黑体" w:eastAsia="黑体" w:cs="黑体"/>
          <w:color w:val="000000" w:themeColor="text1"/>
          <w14:textFill>
            <w14:solidFill>
              <w14:schemeClr w14:val="tx1"/>
            </w14:solidFill>
          </w14:textFill>
        </w:rPr>
        <w:t>第</w:t>
      </w:r>
      <w:r>
        <w:rPr>
          <w:rFonts w:hint="default" w:ascii="Times New Roman" w:hAnsi="Times New Roman" w:eastAsia="黑体" w:cs="Times New Roman"/>
          <w:color w:val="000000" w:themeColor="text1"/>
          <w14:textFill>
            <w14:solidFill>
              <w14:schemeClr w14:val="tx1"/>
            </w14:solidFill>
          </w14:textFill>
        </w:rPr>
        <w:t>1</w:t>
      </w:r>
      <w:r>
        <w:rPr>
          <w:rFonts w:hint="eastAsia" w:ascii="黑体" w:hAnsi="黑体" w:eastAsia="黑体" w:cs="黑体"/>
          <w:color w:val="000000" w:themeColor="text1"/>
          <w14:textFill>
            <w14:solidFill>
              <w14:schemeClr w14:val="tx1"/>
            </w14:solidFill>
          </w14:textFill>
        </w:rPr>
        <w:t>章  编制说明</w:t>
      </w:r>
      <w:bookmarkEnd w:id="11"/>
    </w:p>
    <w:p w14:paraId="4278DE0B">
      <w:pPr>
        <w:pStyle w:val="5"/>
        <w:keepNext/>
        <w:keepLines/>
        <w:pageBreakBefore w:val="0"/>
        <w:widowControl w:val="0"/>
        <w:kinsoku/>
        <w:wordWrap/>
        <w:overflowPunct/>
        <w:topLinePunct w:val="0"/>
        <w:autoSpaceDE/>
        <w:autoSpaceDN/>
        <w:bidi w:val="0"/>
        <w:adjustRightInd/>
        <w:snapToGrid w:val="0"/>
        <w:jc w:val="both"/>
        <w:textAlignment w:val="auto"/>
        <w:rPr>
          <w:rFonts w:hint="eastAsia" w:ascii="楷体" w:hAnsi="楷体" w:eastAsia="楷体" w:cs="楷体"/>
          <w:color w:val="000000" w:themeColor="text1"/>
          <w14:textFill>
            <w14:solidFill>
              <w14:schemeClr w14:val="tx1"/>
            </w14:solidFill>
          </w14:textFill>
        </w:rPr>
      </w:pPr>
      <w:bookmarkStart w:id="12" w:name="_Toc20457"/>
      <w:bookmarkStart w:id="13" w:name="_Toc768"/>
      <w:bookmarkStart w:id="14" w:name="_Toc335926124"/>
      <w:bookmarkStart w:id="15" w:name="_Toc313453419"/>
      <w:bookmarkStart w:id="16" w:name="_Toc4521"/>
      <w:r>
        <w:rPr>
          <w:rFonts w:hint="default" w:ascii="Times New Roman" w:hAnsi="Times New Roman" w:eastAsia="楷体" w:cs="Times New Roman"/>
          <w:color w:val="000000" w:themeColor="text1"/>
          <w14:textFill>
            <w14:solidFill>
              <w14:schemeClr w14:val="tx1"/>
            </w14:solidFill>
          </w14:textFill>
        </w:rPr>
        <w:t>1.1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安全评价的目的</w:t>
      </w:r>
      <w:bookmarkEnd w:id="12"/>
      <w:bookmarkEnd w:id="13"/>
      <w:bookmarkEnd w:id="14"/>
      <w:bookmarkEnd w:id="15"/>
      <w:bookmarkEnd w:id="16"/>
    </w:p>
    <w:p w14:paraId="19FB6E7A">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hint="eastAsia" w:asciiTheme="minorEastAsia" w:hAnsiTheme="minorEastAsia" w:eastAsiaTheme="minorEastAsia" w:cstheme="minorEastAsia"/>
          <w:snapToGrid w:val="0"/>
          <w:color w:val="000000" w:themeColor="text1"/>
          <w:sz w:val="28"/>
          <w14:textFill>
            <w14:solidFill>
              <w14:schemeClr w14:val="tx1"/>
            </w14:solidFill>
          </w14:textFill>
        </w:rPr>
      </w:pPr>
      <w:bookmarkStart w:id="17" w:name="_Toc23496"/>
      <w:bookmarkStart w:id="18" w:name="_Toc121910185"/>
      <w:r>
        <w:rPr>
          <w:rFonts w:hint="eastAsia" w:asciiTheme="minorEastAsia" w:hAnsiTheme="minorEastAsia" w:eastAsiaTheme="minorEastAsia" w:cstheme="minorEastAsia"/>
          <w:snapToGrid w:val="0"/>
          <w:color w:val="000000" w:themeColor="text1"/>
          <w:sz w:val="28"/>
          <w14:textFill>
            <w14:solidFill>
              <w14:schemeClr w14:val="tx1"/>
            </w14:solidFill>
          </w14:textFill>
        </w:rPr>
        <w:t>为监管部门提供检查依据；</w:t>
      </w:r>
      <w:bookmarkEnd w:id="17"/>
    </w:p>
    <w:p w14:paraId="346DCA11">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asciiTheme="minorEastAsia" w:hAnsiTheme="minorEastAsia" w:eastAsiaTheme="minorEastAsia" w:cstheme="minorEastAsia"/>
          <w:snapToGrid w:val="0"/>
          <w:color w:val="000000" w:themeColor="text1"/>
          <w:sz w:val="28"/>
          <w14:textFill>
            <w14:solidFill>
              <w14:schemeClr w14:val="tx1"/>
            </w14:solidFill>
          </w14:textFill>
        </w:rPr>
      </w:pPr>
      <w:r>
        <w:rPr>
          <w:rFonts w:hint="eastAsia" w:asciiTheme="minorEastAsia" w:hAnsiTheme="minorEastAsia" w:eastAsiaTheme="minorEastAsia" w:cstheme="minorEastAsia"/>
          <w:snapToGrid w:val="0"/>
          <w:color w:val="000000" w:themeColor="text1"/>
          <w:sz w:val="28"/>
          <w14:textFill>
            <w14:solidFill>
              <w14:schemeClr w14:val="tx1"/>
            </w14:solidFill>
          </w14:textFill>
        </w:rPr>
        <w:t>企业通过评价确认在用的设备或设施的安全状态，确认该状态是否可以接受；</w:t>
      </w:r>
    </w:p>
    <w:p w14:paraId="392C74B2">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asciiTheme="minorEastAsia" w:hAnsiTheme="minorEastAsia" w:eastAsiaTheme="minorEastAsia" w:cstheme="minorEastAsia"/>
          <w:snapToGrid w:val="0"/>
          <w:color w:val="000000" w:themeColor="text1"/>
          <w:sz w:val="28"/>
          <w14:textFill>
            <w14:solidFill>
              <w14:schemeClr w14:val="tx1"/>
            </w14:solidFill>
          </w14:textFill>
        </w:rPr>
      </w:pPr>
      <w:r>
        <w:rPr>
          <w:rFonts w:hint="eastAsia" w:asciiTheme="minorEastAsia" w:hAnsiTheme="minorEastAsia" w:eastAsiaTheme="minorEastAsia" w:cstheme="minorEastAsia"/>
          <w:snapToGrid w:val="0"/>
          <w:color w:val="000000" w:themeColor="text1"/>
          <w:sz w:val="28"/>
          <w14:textFill>
            <w14:solidFill>
              <w14:schemeClr w14:val="tx1"/>
            </w14:solidFill>
          </w14:textFill>
        </w:rPr>
        <w:t>通过安全评价，促进企业的安全管理，发现和整改事故隐患，提高企业生产经营的本质安全</w:t>
      </w:r>
      <w:r>
        <w:rPr>
          <w:rFonts w:hint="eastAsia" w:asciiTheme="minorEastAsia" w:hAnsiTheme="minorEastAsia" w:eastAsiaTheme="minorEastAsia" w:cstheme="minorEastAsia"/>
          <w:snapToGrid w:val="0"/>
          <w:color w:val="000000" w:themeColor="text1"/>
          <w:sz w:val="28"/>
          <w:lang w:eastAsia="zh-CN"/>
          <w14:textFill>
            <w14:solidFill>
              <w14:schemeClr w14:val="tx1"/>
            </w14:solidFill>
          </w14:textFill>
        </w:rPr>
        <w:t>程</w:t>
      </w:r>
      <w:r>
        <w:rPr>
          <w:rFonts w:hint="eastAsia" w:asciiTheme="minorEastAsia" w:hAnsiTheme="minorEastAsia" w:eastAsiaTheme="minorEastAsia" w:cstheme="minorEastAsia"/>
          <w:snapToGrid w:val="0"/>
          <w:color w:val="000000" w:themeColor="text1"/>
          <w:sz w:val="28"/>
          <w14:textFill>
            <w14:solidFill>
              <w14:schemeClr w14:val="tx1"/>
            </w14:solidFill>
          </w14:textFill>
        </w:rPr>
        <w:t>度；</w:t>
      </w:r>
    </w:p>
    <w:p w14:paraId="4477BC71">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asciiTheme="minorEastAsia" w:hAnsiTheme="minorEastAsia" w:eastAsiaTheme="minorEastAsia" w:cstheme="minorEastAsia"/>
          <w:snapToGrid w:val="0"/>
          <w:color w:val="000000" w:themeColor="text1"/>
          <w:sz w:val="28"/>
          <w14:textFill>
            <w14:solidFill>
              <w14:schemeClr w14:val="tx1"/>
            </w14:solidFill>
          </w14:textFill>
        </w:rPr>
      </w:pPr>
      <w:r>
        <w:rPr>
          <w:rFonts w:hint="eastAsia" w:asciiTheme="minorEastAsia" w:hAnsiTheme="minorEastAsia" w:eastAsiaTheme="minorEastAsia" w:cstheme="minorEastAsia"/>
          <w:snapToGrid w:val="0"/>
          <w:color w:val="000000" w:themeColor="text1"/>
          <w:sz w:val="28"/>
          <w14:textFill>
            <w14:solidFill>
              <w14:schemeClr w14:val="tx1"/>
            </w14:solidFill>
          </w14:textFill>
        </w:rPr>
        <w:t>通过对该公司生产过程中的危险、有害因素辨识，</w:t>
      </w:r>
      <w:r>
        <w:rPr>
          <w:rFonts w:hint="eastAsia" w:asciiTheme="minorEastAsia" w:hAnsiTheme="minorEastAsia" w:eastAsiaTheme="minorEastAsia" w:cstheme="minorEastAsia"/>
          <w:color w:val="000000" w:themeColor="text1"/>
          <w:sz w:val="28"/>
          <w:szCs w:val="28"/>
          <w14:textFill>
            <w14:solidFill>
              <w14:schemeClr w14:val="tx1"/>
            </w14:solidFill>
          </w14:textFill>
        </w:rPr>
        <w:t>分析出可能存在的主要危险、有害因素及其产生危险、危害后果的主要条件；</w:t>
      </w:r>
      <w:r>
        <w:rPr>
          <w:rFonts w:hint="eastAsia" w:asciiTheme="minorEastAsia" w:hAnsiTheme="minorEastAsia" w:eastAsiaTheme="minorEastAsia" w:cstheme="minorEastAsia"/>
          <w:snapToGrid w:val="0"/>
          <w:color w:val="000000" w:themeColor="text1"/>
          <w:sz w:val="28"/>
          <w14:textFill>
            <w14:solidFill>
              <w14:schemeClr w14:val="tx1"/>
            </w14:solidFill>
          </w14:textFill>
        </w:rPr>
        <w:t>预测发生事故的可能性及其严重程度，并提出科学、合理、可行的安全对策措施建议；</w:t>
      </w:r>
    </w:p>
    <w:p w14:paraId="1978FE86">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asciiTheme="minorEastAsia" w:hAnsiTheme="minorEastAsia" w:eastAsiaTheme="minorEastAsia" w:cstheme="minorEastAsia"/>
          <w:snapToGrid w:val="0"/>
          <w:color w:val="000000" w:themeColor="text1"/>
          <w:sz w:val="28"/>
          <w14:textFill>
            <w14:solidFill>
              <w14:schemeClr w14:val="tx1"/>
            </w14:solidFill>
          </w14:textFill>
        </w:rPr>
      </w:pPr>
      <w:r>
        <w:rPr>
          <w:rFonts w:hint="eastAsia" w:asciiTheme="minorEastAsia" w:hAnsiTheme="minorEastAsia" w:eastAsiaTheme="minorEastAsia" w:cstheme="minorEastAsia"/>
          <w:snapToGrid w:val="0"/>
          <w:color w:val="000000" w:themeColor="text1"/>
          <w:sz w:val="28"/>
          <w14:textFill>
            <w14:solidFill>
              <w14:schemeClr w14:val="tx1"/>
            </w14:solidFill>
          </w14:textFill>
        </w:rPr>
        <w:t>通过安全评价，该企业可进一步全面了解和掌握企业安全生产条件和安全管理状况，并通过完善安全措施，提高企业本质安全程度，预防事故发生，保障人员的生命安全及企业的财产安全；</w:t>
      </w:r>
    </w:p>
    <w:p w14:paraId="71D00BEC">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560" w:firstLineChars="200"/>
        <w:textAlignment w:val="auto"/>
        <w:rPr>
          <w:rFonts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为该企业生产运行以及日常管理提供依据，</w:t>
      </w:r>
      <w:r>
        <w:rPr>
          <w:rFonts w:hint="eastAsia" w:asciiTheme="minorEastAsia" w:hAnsiTheme="minorEastAsia" w:eastAsiaTheme="minorEastAsia" w:cstheme="minorEastAsia"/>
          <w:snapToGrid w:val="0"/>
          <w:color w:val="000000" w:themeColor="text1"/>
          <w:sz w:val="28"/>
          <w:szCs w:val="28"/>
          <w14:textFill>
            <w14:solidFill>
              <w14:schemeClr w14:val="tx1"/>
            </w14:solidFill>
          </w14:textFill>
        </w:rPr>
        <w:t>为实现企业安全技术、安全管理的标准化和科学化创造条件，</w:t>
      </w:r>
      <w:r>
        <w:rPr>
          <w:rFonts w:hint="eastAsia" w:asciiTheme="minorEastAsia" w:hAnsiTheme="minorEastAsia" w:eastAsiaTheme="minorEastAsia" w:cstheme="minorEastAsia"/>
          <w:color w:val="000000" w:themeColor="text1"/>
          <w:sz w:val="28"/>
          <w14:textFill>
            <w14:solidFill>
              <w14:schemeClr w14:val="tx1"/>
            </w14:solidFill>
          </w14:textFill>
        </w:rPr>
        <w:t>并为各级应急管理部门和行业主管部门实行安全监察、监督提供依据。</w:t>
      </w:r>
      <w:bookmarkEnd w:id="18"/>
    </w:p>
    <w:p w14:paraId="14F18240">
      <w:pPr>
        <w:pStyle w:val="5"/>
        <w:keepNext/>
        <w:keepLines/>
        <w:pageBreakBefore w:val="0"/>
        <w:widowControl w:val="0"/>
        <w:kinsoku/>
        <w:wordWrap/>
        <w:overflowPunct/>
        <w:topLinePunct w:val="0"/>
        <w:autoSpaceDE/>
        <w:autoSpaceDN/>
        <w:bidi w:val="0"/>
        <w:adjustRightInd/>
        <w:snapToGrid w:val="0"/>
        <w:jc w:val="both"/>
        <w:textAlignment w:val="auto"/>
        <w:rPr>
          <w:rFonts w:hint="eastAsia" w:ascii="楷体" w:hAnsi="楷体" w:eastAsia="楷体" w:cs="楷体"/>
          <w:color w:val="000000" w:themeColor="text1"/>
          <w14:textFill>
            <w14:solidFill>
              <w14:schemeClr w14:val="tx1"/>
            </w14:solidFill>
          </w14:textFill>
        </w:rPr>
      </w:pPr>
      <w:bookmarkStart w:id="19" w:name="_Toc22448"/>
      <w:bookmarkStart w:id="20" w:name="_Toc16599"/>
      <w:bookmarkStart w:id="21" w:name="_Toc313453420"/>
      <w:bookmarkStart w:id="22" w:name="_Toc335926125"/>
      <w:bookmarkStart w:id="23" w:name="_Toc10629"/>
      <w:r>
        <w:rPr>
          <w:rFonts w:hint="default" w:ascii="Times New Roman" w:hAnsi="Times New Roman" w:eastAsia="楷体" w:cs="Times New Roman"/>
          <w:color w:val="000000" w:themeColor="text1"/>
          <w14:textFill>
            <w14:solidFill>
              <w14:schemeClr w14:val="tx1"/>
            </w14:solidFill>
          </w14:textFill>
        </w:rPr>
        <w:t>1.2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安全评价依据</w:t>
      </w:r>
      <w:bookmarkEnd w:id="19"/>
      <w:bookmarkEnd w:id="20"/>
      <w:bookmarkEnd w:id="21"/>
      <w:bookmarkEnd w:id="22"/>
      <w:bookmarkEnd w:id="23"/>
    </w:p>
    <w:p w14:paraId="050F5239">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黑体" w:hAnsi="黑体" w:eastAsia="黑体" w:cs="黑体"/>
          <w:color w:val="000000" w:themeColor="text1"/>
          <w14:textFill>
            <w14:solidFill>
              <w14:schemeClr w14:val="tx1"/>
            </w14:solidFill>
          </w14:textFill>
        </w:rPr>
      </w:pPr>
      <w:bookmarkStart w:id="24" w:name="_Toc20860"/>
      <w:bookmarkStart w:id="25" w:name="_Toc313453421"/>
      <w:bookmarkStart w:id="26" w:name="_Toc335926126"/>
      <w:bookmarkStart w:id="27" w:name="_Toc25627"/>
      <w:bookmarkStart w:id="28" w:name="_Toc21765"/>
      <w:r>
        <w:rPr>
          <w:rFonts w:hint="default" w:ascii="Times New Roman" w:hAnsi="Times New Roman" w:eastAsia="黑体" w:cs="Times New Roman"/>
          <w:color w:val="000000" w:themeColor="text1"/>
          <w14:textFill>
            <w14:solidFill>
              <w14:schemeClr w14:val="tx1"/>
            </w14:solidFill>
          </w14:textFill>
        </w:rPr>
        <w:t>1</w:t>
      </w:r>
      <w:r>
        <w:rPr>
          <w:rFonts w:hint="default" w:ascii="Times New Roman" w:hAnsi="Times New Roman" w:eastAsia="黑体" w:cs="Times New Roman"/>
          <w:color w:val="000000" w:themeColor="text1"/>
          <w:szCs w:val="36"/>
          <w14:textFill>
            <w14:solidFill>
              <w14:schemeClr w14:val="tx1"/>
            </w14:solidFill>
          </w14:textFill>
        </w:rPr>
        <w:t>.</w:t>
      </w:r>
      <w:r>
        <w:rPr>
          <w:rFonts w:hint="default" w:ascii="Times New Roman" w:hAnsi="Times New Roman" w:eastAsia="黑体" w:cs="Times New Roman"/>
          <w:color w:val="000000" w:themeColor="text1"/>
          <w14:textFill>
            <w14:solidFill>
              <w14:schemeClr w14:val="tx1"/>
            </w14:solidFill>
          </w14:textFill>
        </w:rPr>
        <w:t>2</w:t>
      </w:r>
      <w:r>
        <w:rPr>
          <w:rFonts w:hint="default" w:ascii="Times New Roman" w:hAnsi="Times New Roman" w:eastAsia="黑体" w:cs="Times New Roman"/>
          <w:color w:val="000000" w:themeColor="text1"/>
          <w:szCs w:val="36"/>
          <w14:textFill>
            <w14:solidFill>
              <w14:schemeClr w14:val="tx1"/>
            </w14:solidFill>
          </w14:textFill>
        </w:rPr>
        <w:t>.</w:t>
      </w:r>
      <w:r>
        <w:rPr>
          <w:rFonts w:hint="default" w:ascii="Times New Roman" w:hAnsi="Times New Roman" w:eastAsia="黑体"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法律法规</w:t>
      </w:r>
      <w:bookmarkEnd w:id="24"/>
      <w:bookmarkEnd w:id="25"/>
      <w:bookmarkEnd w:id="26"/>
      <w:bookmarkEnd w:id="27"/>
      <w:bookmarkEnd w:id="28"/>
    </w:p>
    <w:p w14:paraId="5D60C2D8">
      <w:pPr>
        <w:pStyle w:val="320"/>
        <w:keepNext w:val="0"/>
        <w:keepLines w:val="0"/>
        <w:pageBreakBefore w:val="0"/>
        <w:widowControl w:val="0"/>
        <w:kinsoku/>
        <w:wordWrap/>
        <w:overflowPunct/>
        <w:topLinePunct w:val="0"/>
        <w:autoSpaceDE/>
        <w:autoSpaceDN/>
        <w:bidi w:val="0"/>
        <w:adjustRightInd/>
        <w:snapToGrid/>
        <w:spacing w:line="520" w:lineRule="exact"/>
        <w:ind w:left="0" w:firstLine="56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1.《中华人民共和国安全生产法》（中华人员共和国主席令第88号，全国人民代表大会常务委员会关于修改</w:t>
      </w:r>
      <w:r>
        <w:rPr>
          <w:rFonts w:hint="default"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中华人民共和国安全生产法</w:t>
      </w:r>
      <w:r>
        <w:rPr>
          <w:rFonts w:hint="default"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的决定，已由中华人民共和国第十三届全国人民代表大会常务委员会第二十九次会议于2021年6月10日通过，现予公布，自2021年9月1日起施行）；</w:t>
      </w:r>
    </w:p>
    <w:p w14:paraId="1657908D">
      <w:pPr>
        <w:pStyle w:val="320"/>
        <w:keepNext w:val="0"/>
        <w:keepLines w:val="0"/>
        <w:pageBreakBefore w:val="0"/>
        <w:widowControl w:val="0"/>
        <w:kinsoku/>
        <w:wordWrap/>
        <w:overflowPunct/>
        <w:topLinePunct w:val="0"/>
        <w:autoSpaceDE/>
        <w:autoSpaceDN/>
        <w:bidi w:val="0"/>
        <w:adjustRightInd/>
        <w:snapToGrid/>
        <w:spacing w:line="520" w:lineRule="exact"/>
        <w:ind w:left="0" w:firstLine="56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2.《中华人民共和国劳动法》（中华人民共和国主席令第28号，2018年12月29日第二次修改）；</w:t>
      </w:r>
    </w:p>
    <w:p w14:paraId="6A1E9E9F">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3.《中华人民共和国环境保护法》（中华人民共和国主席令第9号，自2015年1月1日起施行）；</w:t>
      </w:r>
    </w:p>
    <w:p w14:paraId="2D9427E2">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textAlignment w:val="auto"/>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4.《中华人民共和国职业病防治法》（中华人民共和国主席令第24号，2018年12月29日第三次修正）</w:t>
      </w:r>
      <w:r>
        <w:rPr>
          <w:rFonts w:hint="eastAsia" w:ascii="Times New Roman" w:cs="Times New Roman"/>
          <w:color w:val="000000" w:themeColor="text1"/>
          <w:sz w:val="28"/>
          <w:szCs w:val="28"/>
          <w:lang w:eastAsia="zh-CN"/>
          <w14:textFill>
            <w14:solidFill>
              <w14:schemeClr w14:val="tx1"/>
            </w14:solidFill>
          </w14:textFill>
        </w:rPr>
        <w:t>；</w:t>
      </w:r>
    </w:p>
    <w:p w14:paraId="3CFCE9A2">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5.《中华人民共和国突发事件应对法》（国家主席令第</w:t>
      </w:r>
      <w:r>
        <w:rPr>
          <w:rFonts w:hint="eastAsia" w:ascii="Times New Roman" w:cs="Times New Roman"/>
          <w:color w:val="000000" w:themeColor="text1"/>
          <w:sz w:val="28"/>
          <w:szCs w:val="28"/>
          <w:lang w:val="en-US" w:eastAsia="zh-CN"/>
          <w14:textFill>
            <w14:solidFill>
              <w14:schemeClr w14:val="tx1"/>
            </w14:solidFill>
          </w14:textFill>
        </w:rPr>
        <w:t>25</w:t>
      </w:r>
      <w:r>
        <w:rPr>
          <w:rFonts w:hint="default" w:ascii="Times New Roman" w:hAnsi="Times New Roman" w:cs="Times New Roman"/>
          <w:color w:val="000000" w:themeColor="text1"/>
          <w:sz w:val="28"/>
          <w:szCs w:val="28"/>
          <w14:textFill>
            <w14:solidFill>
              <w14:schemeClr w14:val="tx1"/>
            </w14:solidFill>
          </w14:textFill>
        </w:rPr>
        <w:t>号，自20</w:t>
      </w:r>
      <w:r>
        <w:rPr>
          <w:rFonts w:hint="eastAsia" w:ascii="Times New Roman" w:cs="Times New Roman"/>
          <w:color w:val="000000" w:themeColor="text1"/>
          <w:sz w:val="28"/>
          <w:szCs w:val="28"/>
          <w:lang w:val="en-US" w:eastAsia="zh-CN"/>
          <w14:textFill>
            <w14:solidFill>
              <w14:schemeClr w14:val="tx1"/>
            </w14:solidFill>
          </w14:textFill>
        </w:rPr>
        <w:t>24</w:t>
      </w:r>
      <w:r>
        <w:rPr>
          <w:rFonts w:hint="default" w:ascii="Times New Roman" w:hAnsi="Times New Roman" w:cs="Times New Roman"/>
          <w:color w:val="000000" w:themeColor="text1"/>
          <w:sz w:val="28"/>
          <w:szCs w:val="28"/>
          <w14:textFill>
            <w14:solidFill>
              <w14:schemeClr w14:val="tx1"/>
            </w14:solidFill>
          </w14:textFill>
        </w:rPr>
        <w:t>年11月1日起施行）；</w:t>
      </w:r>
    </w:p>
    <w:p w14:paraId="14FBC522">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textAlignment w:val="auto"/>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6.《中华人民共和国消防法》（国家主席令</w:t>
      </w:r>
      <w:r>
        <w:rPr>
          <w:rFonts w:hint="default" w:ascii="Times New Roman" w:hAnsi="Times New Roman" w:cs="Times New Roman"/>
          <w:color w:val="000000" w:themeColor="text1"/>
          <w:sz w:val="28"/>
          <w:szCs w:val="28"/>
          <w:lang w:val="en-US" w:eastAsia="zh-CN"/>
          <w14:textFill>
            <w14:solidFill>
              <w14:schemeClr w14:val="tx1"/>
            </w14:solidFill>
          </w14:textFill>
        </w:rPr>
        <w:t>81</w:t>
      </w:r>
      <w:r>
        <w:rPr>
          <w:rFonts w:hint="default" w:ascii="Times New Roman" w:hAnsi="Times New Roman" w:cs="Times New Roman"/>
          <w:color w:val="000000" w:themeColor="text1"/>
          <w:sz w:val="28"/>
          <w:szCs w:val="28"/>
          <w14:textFill>
            <w14:solidFill>
              <w14:schemeClr w14:val="tx1"/>
            </w14:solidFill>
          </w14:textFill>
        </w:rPr>
        <w:t>号，自2021年4月2</w:t>
      </w:r>
      <w:r>
        <w:rPr>
          <w:rFonts w:hint="default" w:ascii="Times New Roman" w:hAnsi="Times New Roman" w:cs="Times New Roman"/>
          <w:color w:val="000000" w:themeColor="text1"/>
          <w:sz w:val="28"/>
          <w:szCs w:val="28"/>
          <w:lang w:val="en-US" w:eastAsia="zh-CN"/>
          <w14:textFill>
            <w14:solidFill>
              <w14:schemeClr w14:val="tx1"/>
            </w14:solidFill>
          </w14:textFill>
        </w:rPr>
        <w:t>9</w:t>
      </w:r>
      <w:r>
        <w:rPr>
          <w:rFonts w:hint="default" w:ascii="Times New Roman" w:hAnsi="Times New Roman" w:cs="Times New Roman"/>
          <w:color w:val="000000" w:themeColor="text1"/>
          <w:sz w:val="28"/>
          <w:szCs w:val="28"/>
          <w14:textFill>
            <w14:solidFill>
              <w14:schemeClr w14:val="tx1"/>
            </w14:solidFill>
          </w14:textFill>
        </w:rPr>
        <w:t>日起施行）</w:t>
      </w:r>
      <w:r>
        <w:rPr>
          <w:rFonts w:hint="eastAsia" w:ascii="Times New Roman" w:cs="Times New Roman"/>
          <w:color w:val="000000" w:themeColor="text1"/>
          <w:sz w:val="28"/>
          <w:szCs w:val="28"/>
          <w:lang w:eastAsia="zh-CN"/>
          <w14:textFill>
            <w14:solidFill>
              <w14:schemeClr w14:val="tx1"/>
            </w14:solidFill>
          </w14:textFill>
        </w:rPr>
        <w:t>；</w:t>
      </w:r>
    </w:p>
    <w:p w14:paraId="15B36B43">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val="en-US" w:eastAsia="zh-CN"/>
          <w14:textFill>
            <w14:solidFill>
              <w14:schemeClr w14:val="tx1"/>
            </w14:solidFill>
          </w14:textFill>
        </w:rPr>
        <w:t>7.</w:t>
      </w:r>
      <w:r>
        <w:rPr>
          <w:rFonts w:hint="default" w:ascii="Times New Roman" w:hAnsi="Times New Roman" w:cs="Times New Roman"/>
          <w:color w:val="000000" w:themeColor="text1"/>
          <w:sz w:val="28"/>
          <w:szCs w:val="28"/>
          <w14:textFill>
            <w14:solidFill>
              <w14:schemeClr w14:val="tx1"/>
            </w14:solidFill>
          </w14:textFill>
        </w:rPr>
        <w:t>《中华人民共和国特种设备安全法》（中华人民共和国主席令第</w:t>
      </w:r>
      <w:r>
        <w:rPr>
          <w:rFonts w:hint="eastAsia" w:ascii="Times New Roman" w:cs="Times New Roman"/>
          <w:color w:val="000000" w:themeColor="text1"/>
          <w:sz w:val="28"/>
          <w:szCs w:val="28"/>
          <w:lang w:val="en-US" w:eastAsia="zh-CN"/>
          <w14:textFill>
            <w14:solidFill>
              <w14:schemeClr w14:val="tx1"/>
            </w14:solidFill>
          </w14:textFill>
        </w:rPr>
        <w:t>4</w:t>
      </w:r>
      <w:r>
        <w:rPr>
          <w:rFonts w:hint="default" w:ascii="Times New Roman" w:hAnsi="Times New Roman" w:cs="Times New Roman"/>
          <w:color w:val="000000" w:themeColor="text1"/>
          <w:sz w:val="28"/>
          <w:szCs w:val="28"/>
          <w14:textFill>
            <w14:solidFill>
              <w14:schemeClr w14:val="tx1"/>
            </w14:solidFill>
          </w14:textFill>
        </w:rPr>
        <w:t>号</w:t>
      </w:r>
      <w:r>
        <w:rPr>
          <w:rFonts w:hint="eastAsia" w:ascii="Times New Roman" w:cs="Times New Roman"/>
          <w:color w:val="000000" w:themeColor="text1"/>
          <w:sz w:val="28"/>
          <w:szCs w:val="28"/>
          <w:lang w:eastAsia="zh-CN"/>
          <w14:textFill>
            <w14:solidFill>
              <w14:schemeClr w14:val="tx1"/>
            </w14:solidFill>
          </w14:textFill>
        </w:rPr>
        <w:t>，自2014年1月1日起施行</w:t>
      </w:r>
      <w:r>
        <w:rPr>
          <w:rFonts w:hint="default" w:ascii="Times New Roman" w:hAnsi="Times New Roman" w:cs="Times New Roman"/>
          <w:color w:val="000000" w:themeColor="text1"/>
          <w:sz w:val="28"/>
          <w:szCs w:val="28"/>
          <w14:textFill>
            <w14:solidFill>
              <w14:schemeClr w14:val="tx1"/>
            </w14:solidFill>
          </w14:textFill>
        </w:rPr>
        <w:t>）。</w:t>
      </w:r>
    </w:p>
    <w:p w14:paraId="08EF2A8C">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黑体" w:hAnsi="黑体" w:eastAsia="黑体" w:cs="黑体"/>
          <w:color w:val="000000" w:themeColor="text1"/>
          <w14:textFill>
            <w14:solidFill>
              <w14:schemeClr w14:val="tx1"/>
            </w14:solidFill>
          </w14:textFill>
        </w:rPr>
      </w:pPr>
      <w:bookmarkStart w:id="29" w:name="_Toc313453422"/>
      <w:bookmarkStart w:id="30" w:name="_Toc13385"/>
      <w:bookmarkStart w:id="31" w:name="_Toc24894"/>
      <w:bookmarkStart w:id="32" w:name="_Toc335926127"/>
      <w:bookmarkStart w:id="33" w:name="_Toc27450"/>
      <w:r>
        <w:rPr>
          <w:rFonts w:hint="default" w:ascii="Times New Roman" w:hAnsi="Times New Roman" w:eastAsia="黑体" w:cs="Times New Roman"/>
          <w:color w:val="000000" w:themeColor="text1"/>
          <w14:textFill>
            <w14:solidFill>
              <w14:schemeClr w14:val="tx1"/>
            </w14:solidFill>
          </w14:textFill>
        </w:rPr>
        <w:t>1.2.2</w:t>
      </w:r>
      <w:bookmarkEnd w:id="29"/>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行政法规</w:t>
      </w:r>
      <w:bookmarkEnd w:id="30"/>
      <w:bookmarkEnd w:id="31"/>
      <w:bookmarkEnd w:id="32"/>
      <w:bookmarkEnd w:id="33"/>
    </w:p>
    <w:p w14:paraId="49716A07">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1．《国务院关于进一步加强企业安全生产工作的通知》（国发〔2010〕23号）；</w:t>
      </w:r>
    </w:p>
    <w:p w14:paraId="44FC92CD">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2．《工伤保险条例》（中华人民共和国国务院令第586号修订，自2011年1月1日起施行）；</w:t>
      </w:r>
    </w:p>
    <w:p w14:paraId="0901C62E">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3．《特种设备安全监察条例》（国务院令第549号，2009年5月1日施行）；</w:t>
      </w:r>
    </w:p>
    <w:p w14:paraId="37315180">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8"/>
          <w:szCs w:val="28"/>
          <w14:textFill>
            <w14:solidFill>
              <w14:schemeClr w14:val="tx1"/>
            </w14:solidFill>
          </w14:textFill>
        </w:rPr>
        <w:t>．《生产安全事故报告和调查处理条例》（国务院令第493号</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2007年6月1日起施行</w:t>
      </w:r>
      <w:r>
        <w:rPr>
          <w:rFonts w:hint="default" w:ascii="Times New Roman" w:hAnsi="Times New Roman" w:cs="Times New Roman" w:eastAsiaTheme="minorEastAsia"/>
          <w:color w:val="000000" w:themeColor="text1"/>
          <w:sz w:val="28"/>
          <w:szCs w:val="28"/>
          <w14:textFill>
            <w14:solidFill>
              <w14:schemeClr w14:val="tx1"/>
            </w14:solidFill>
          </w14:textFill>
        </w:rPr>
        <w:t>）；</w:t>
      </w:r>
    </w:p>
    <w:p w14:paraId="0912FB7B">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5.《危险化学品安全管理条例》(2002年1月26日中华人民共和国国务院令第344号公布</w:t>
      </w:r>
      <w:r>
        <w:rPr>
          <w:rFonts w:hint="eastAsia" w:ascii="Times New Roman" w:cs="Times New Roman" w:eastAsiaTheme="minorEastAsia"/>
          <w:color w:val="000000" w:themeColor="text1"/>
          <w:sz w:val="28"/>
          <w:szCs w:val="28"/>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2013年12月7日修订)</w:t>
      </w:r>
      <w:r>
        <w:rPr>
          <w:rFonts w:hint="eastAsia" w:ascii="Times New Roman" w:cs="Times New Roman" w:eastAsiaTheme="minorEastAsia"/>
          <w:color w:val="000000" w:themeColor="text1"/>
          <w:sz w:val="28"/>
          <w:szCs w:val="28"/>
          <w:lang w:val="en-US" w:eastAsia="zh-CN"/>
          <w14:textFill>
            <w14:solidFill>
              <w14:schemeClr w14:val="tx1"/>
            </w14:solidFill>
          </w14:textFill>
        </w:rPr>
        <w:t>；</w:t>
      </w:r>
    </w:p>
    <w:p w14:paraId="3BC44EC7">
      <w:pPr>
        <w:keepNext w:val="0"/>
        <w:keepLines w:val="0"/>
        <w:pageBreakBefore w:val="0"/>
        <w:widowControl w:val="0"/>
        <w:tabs>
          <w:tab w:val="left" w:pos="0"/>
          <w:tab w:val="left" w:pos="630"/>
          <w:tab w:val="left" w:pos="720"/>
        </w:tabs>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6.《生产安全事故应急条例》（国务院令第708号，2019年4月1日起实施）。</w:t>
      </w:r>
    </w:p>
    <w:p w14:paraId="1F7A5AEA">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34" w:name="_Toc19541"/>
      <w:bookmarkStart w:id="35" w:name="_Toc353"/>
      <w:bookmarkStart w:id="36" w:name="_Toc18606"/>
      <w:r>
        <w:rPr>
          <w:rFonts w:hint="default" w:ascii="Times New Roman" w:hAnsi="Times New Roman" w:eastAsia="黑体" w:cs="Times New Roman"/>
          <w:color w:val="000000" w:themeColor="text1"/>
          <w14:textFill>
            <w14:solidFill>
              <w14:schemeClr w14:val="tx1"/>
            </w14:solidFill>
          </w14:textFill>
        </w:rPr>
        <w:t>1.2.3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部门规章</w:t>
      </w:r>
      <w:bookmarkEnd w:id="34"/>
      <w:bookmarkEnd w:id="35"/>
      <w:bookmarkEnd w:id="36"/>
    </w:p>
    <w:p w14:paraId="60DBAD45">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工贸企业重大事故隐患判定标准</w:t>
      </w:r>
      <w:r>
        <w:rPr>
          <w:rFonts w:hint="eastAsia" w:ascii="Times New Roman" w:cs="Times New Roman"/>
          <w:color w:val="000000" w:themeColor="text1"/>
          <w:sz w:val="28"/>
          <w:szCs w:val="28"/>
          <w:lang w:eastAsia="zh-CN"/>
          <w14:textFill>
            <w14:solidFill>
              <w14:schemeClr w14:val="tx1"/>
            </w14:solidFill>
          </w14:textFill>
        </w:rPr>
        <w:t>》（应急管理部令第10号公布，自2023年5月15日起施行）；</w:t>
      </w:r>
    </w:p>
    <w:p w14:paraId="0FC09038">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《危险化学品目录（2015版）》</w:t>
      </w: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国家安全生产监督管理总局2015年第5号</w:t>
      </w:r>
      <w:r>
        <w:rPr>
          <w:rFonts w:hint="eastAsia" w:ascii="Times New Roman" w:cs="Times New Roman"/>
          <w:color w:val="000000" w:themeColor="text1"/>
          <w:sz w:val="28"/>
          <w:szCs w:val="28"/>
          <w:lang w:eastAsia="zh-CN"/>
          <w14:textFill>
            <w14:solidFill>
              <w14:schemeClr w14:val="tx1"/>
            </w14:solidFill>
          </w14:textFill>
        </w:rPr>
        <w:t>公告，</w:t>
      </w:r>
      <w:r>
        <w:rPr>
          <w:rFonts w:hint="default" w:ascii="Times New Roman" w:hAnsi="Times New Roman" w:eastAsia="宋体" w:cs="Times New Roman"/>
          <w:color w:val="000000" w:themeColor="text1"/>
          <w:sz w:val="28"/>
          <w:szCs w:val="28"/>
          <w14:textFill>
            <w14:solidFill>
              <w14:schemeClr w14:val="tx1"/>
            </w14:solidFill>
          </w14:textFill>
        </w:rPr>
        <w:t>2015年5月1日起施行</w:t>
      </w:r>
      <w:r>
        <w:rPr>
          <w:rFonts w:hint="eastAsia" w:ascii="Times New Roman" w:cs="Times New Roman"/>
          <w:color w:val="000000" w:themeColor="text1"/>
          <w:sz w:val="28"/>
          <w:szCs w:val="28"/>
          <w:lang w:eastAsia="zh-CN"/>
          <w14:textFill>
            <w14:solidFill>
              <w14:schemeClr w14:val="tx1"/>
            </w14:solidFill>
          </w14:textFill>
        </w:rPr>
        <w:t>）；</w:t>
      </w:r>
    </w:p>
    <w:p w14:paraId="4931B199">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应急管理部办公厅关于修改</w:t>
      </w:r>
      <w:r>
        <w:rPr>
          <w:rFonts w:hint="eastAsia" w:ascii="Times New Roman" w:cs="Times New Roman"/>
          <w:color w:val="000000" w:themeColor="text1"/>
          <w:sz w:val="28"/>
          <w:szCs w:val="28"/>
          <w:lang w:val="en-US" w:eastAsia="zh-CN"/>
          <w14:textFill>
            <w14:solidFill>
              <w14:schemeClr w14:val="tx1"/>
            </w14:solidFill>
          </w14:textFill>
        </w:rPr>
        <w:t>&lt;</w:t>
      </w:r>
      <w:r>
        <w:rPr>
          <w:rFonts w:hint="default" w:ascii="Times New Roman" w:hAnsi="Times New Roman" w:eastAsia="宋体" w:cs="Times New Roman"/>
          <w:color w:val="000000" w:themeColor="text1"/>
          <w:sz w:val="28"/>
          <w:szCs w:val="28"/>
          <w14:textFill>
            <w14:solidFill>
              <w14:schemeClr w14:val="tx1"/>
            </w14:solidFill>
          </w14:textFill>
        </w:rPr>
        <w:t>危险化学品目录（2015版）实施指南（试行）</w:t>
      </w:r>
      <w:r>
        <w:rPr>
          <w:rFonts w:hint="eastAsia" w:ascii="Times New Roman" w:cs="Times New Roman"/>
          <w:color w:val="000000" w:themeColor="text1"/>
          <w:sz w:val="28"/>
          <w:szCs w:val="28"/>
          <w:lang w:val="en-US" w:eastAsia="zh-CN"/>
          <w14:textFill>
            <w14:solidFill>
              <w14:schemeClr w14:val="tx1"/>
            </w14:solidFill>
          </w14:textFill>
        </w:rPr>
        <w:t>&gt;</w:t>
      </w:r>
      <w:r>
        <w:rPr>
          <w:rFonts w:hint="default" w:ascii="Times New Roman" w:hAnsi="Times New Roman" w:eastAsia="宋体" w:cs="Times New Roman"/>
          <w:color w:val="000000" w:themeColor="text1"/>
          <w:sz w:val="28"/>
          <w:szCs w:val="28"/>
          <w14:textFill>
            <w14:solidFill>
              <w14:schemeClr w14:val="tx1"/>
            </w14:solidFill>
          </w14:textFill>
        </w:rPr>
        <w:t>涉及柴油部分内容的通知</w:t>
      </w:r>
      <w:r>
        <w:rPr>
          <w:rFonts w:hint="eastAsia" w:ascii="Times New Roman" w:cs="Times New Roman"/>
          <w:color w:val="000000" w:themeColor="text1"/>
          <w:sz w:val="28"/>
          <w:szCs w:val="28"/>
          <w:lang w:eastAsia="zh-CN"/>
          <w14:textFill>
            <w14:solidFill>
              <w14:schemeClr w14:val="tx1"/>
            </w14:solidFill>
          </w14:textFill>
        </w:rPr>
        <w:t>》</w:t>
      </w:r>
      <w:r>
        <w:rPr>
          <w:rFonts w:hint="eastAsia" w:ascii="Times New Roman" w:cs="Times New Roman"/>
          <w:color w:val="000000" w:themeColor="text1"/>
          <w:sz w:val="28"/>
          <w:szCs w:val="28"/>
          <w:lang w:val="en-US" w:eastAsia="zh-CN"/>
          <w14:textFill>
            <w14:solidFill>
              <w14:schemeClr w14:val="tx1"/>
            </w14:solidFill>
          </w14:textFill>
        </w:rPr>
        <w:t>（</w:t>
      </w:r>
      <w:r>
        <w:rPr>
          <w:rFonts w:hint="eastAsia" w:ascii="Times New Roman" w:cs="Times New Roman"/>
          <w:color w:val="000000" w:themeColor="text1"/>
          <w:sz w:val="28"/>
          <w:szCs w:val="28"/>
          <w:lang w:eastAsia="zh-CN"/>
          <w14:textFill>
            <w14:solidFill>
              <w14:schemeClr w14:val="tx1"/>
            </w14:solidFill>
          </w14:textFill>
        </w:rPr>
        <w:t>自2023年1月1日起实施</w:t>
      </w:r>
      <w:r>
        <w:rPr>
          <w:rFonts w:hint="eastAsia" w:ascii="Times New Roman" w:cs="Times New Roman"/>
          <w:color w:val="000000" w:themeColor="text1"/>
          <w:sz w:val="28"/>
          <w:szCs w:val="28"/>
          <w:lang w:val="en-US" w:eastAsia="zh-CN"/>
          <w14:textFill>
            <w14:solidFill>
              <w14:schemeClr w14:val="tx1"/>
            </w14:solidFill>
          </w14:textFill>
        </w:rPr>
        <w:t>）；</w:t>
      </w:r>
    </w:p>
    <w:p w14:paraId="79B1B589">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《企业安全生产费用提取和使用管理办法》（财</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资</w:t>
      </w:r>
      <w:r>
        <w:rPr>
          <w:rFonts w:hint="default" w:ascii="Times New Roman" w:hAnsi="Times New Roman" w:eastAsia="宋体" w:cs="Times New Roman"/>
          <w:color w:val="000000" w:themeColor="text1"/>
          <w:sz w:val="28"/>
          <w:szCs w:val="28"/>
          <w14:textFill>
            <w14:solidFill>
              <w14:schemeClr w14:val="tx1"/>
            </w14:solidFill>
          </w14:textFill>
        </w:rPr>
        <w:t>〔20</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22</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136</w:t>
      </w:r>
      <w:r>
        <w:rPr>
          <w:rFonts w:hint="default" w:ascii="Times New Roman" w:hAnsi="Times New Roman" w:eastAsia="宋体" w:cs="Times New Roman"/>
          <w:color w:val="000000" w:themeColor="text1"/>
          <w:sz w:val="28"/>
          <w:szCs w:val="28"/>
          <w14:textFill>
            <w14:solidFill>
              <w14:schemeClr w14:val="tx1"/>
            </w14:solidFill>
          </w14:textFill>
        </w:rPr>
        <w:t>号）；</w:t>
      </w:r>
    </w:p>
    <w:p w14:paraId="35100563">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bookmarkStart w:id="37" w:name="OLE_LINK4"/>
      <w:r>
        <w:rPr>
          <w:rFonts w:hint="default" w:ascii="Times New Roman" w:hAnsi="Times New Roman" w:eastAsia="宋体" w:cs="Times New Roman"/>
          <w:color w:val="000000" w:themeColor="text1"/>
          <w:sz w:val="28"/>
          <w:szCs w:val="28"/>
          <w14:textFill>
            <w14:solidFill>
              <w14:schemeClr w14:val="tx1"/>
            </w14:solidFill>
          </w14:textFill>
        </w:rPr>
        <w:t>《生产经营单位安全培训规定》（国家安全生产监督管理总局令第3号，根据国家安全监管总局令第63号修正；根据国家安全监管总局令第80号修正）</w:t>
      </w:r>
      <w:bookmarkEnd w:id="37"/>
      <w:r>
        <w:rPr>
          <w:rFonts w:hint="default" w:ascii="Times New Roman" w:hAnsi="Times New Roman" w:eastAsia="宋体" w:cs="Times New Roman"/>
          <w:color w:val="000000" w:themeColor="text1"/>
          <w:sz w:val="28"/>
          <w:szCs w:val="28"/>
          <w14:textFill>
            <w14:solidFill>
              <w14:schemeClr w14:val="tx1"/>
            </w14:solidFill>
          </w14:textFill>
        </w:rPr>
        <w:t>；</w:t>
      </w:r>
    </w:p>
    <w:p w14:paraId="18CD1397">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生产安全事故罚款处罚规定</w:t>
      </w:r>
      <w:r>
        <w:rPr>
          <w:rFonts w:hint="eastAsia" w:ascii="Times New Roman" w:cs="Times New Roman"/>
          <w:color w:val="000000" w:themeColor="text1"/>
          <w:sz w:val="28"/>
          <w:szCs w:val="28"/>
          <w:lang w:eastAsia="zh-CN"/>
          <w14:textFill>
            <w14:solidFill>
              <w14:schemeClr w14:val="tx1"/>
            </w14:solidFill>
          </w14:textFill>
        </w:rPr>
        <w:t>》（中华人民共和国应急管理部令第1</w:t>
      </w:r>
      <w:r>
        <w:rPr>
          <w:rFonts w:hint="eastAsia" w:ascii="Times New Roman" w:cs="Times New Roman"/>
          <w:color w:val="000000" w:themeColor="text1"/>
          <w:sz w:val="28"/>
          <w:szCs w:val="28"/>
          <w:lang w:val="en-US" w:eastAsia="zh-CN"/>
          <w14:textFill>
            <w14:solidFill>
              <w14:schemeClr w14:val="tx1"/>
            </w14:solidFill>
          </w14:textFill>
        </w:rPr>
        <w:t>4</w:t>
      </w:r>
      <w:r>
        <w:rPr>
          <w:rFonts w:hint="eastAsia" w:ascii="Times New Roman" w:cs="Times New Roman"/>
          <w:color w:val="000000" w:themeColor="text1"/>
          <w:sz w:val="28"/>
          <w:szCs w:val="28"/>
          <w:lang w:eastAsia="zh-CN"/>
          <w14:textFill>
            <w14:solidFill>
              <w14:schemeClr w14:val="tx1"/>
            </w14:solidFill>
          </w14:textFill>
        </w:rPr>
        <w:t>号，</w:t>
      </w:r>
      <w:r>
        <w:rPr>
          <w:rFonts w:hint="default" w:ascii="Times New Roman" w:hAnsi="Times New Roman" w:eastAsia="宋体" w:cs="Times New Roman"/>
          <w:color w:val="000000" w:themeColor="text1"/>
          <w:sz w:val="28"/>
          <w:szCs w:val="28"/>
          <w14:textFill>
            <w14:solidFill>
              <w14:schemeClr w14:val="tx1"/>
            </w14:solidFill>
          </w14:textFill>
        </w:rPr>
        <w:t>自20</w:t>
      </w:r>
      <w:r>
        <w:rPr>
          <w:rFonts w:hint="eastAsia" w:ascii="Times New Roman" w:cs="Times New Roman"/>
          <w:color w:val="000000" w:themeColor="text1"/>
          <w:sz w:val="28"/>
          <w:szCs w:val="28"/>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14:textFill>
            <w14:solidFill>
              <w14:schemeClr w14:val="tx1"/>
            </w14:solidFill>
          </w14:textFill>
        </w:rPr>
        <w:t>年</w:t>
      </w:r>
      <w:r>
        <w:rPr>
          <w:rFonts w:hint="eastAsia" w:ascii="Times New Roman" w:cs="Times New Roman"/>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14:textFill>
            <w14:solidFill>
              <w14:schemeClr w14:val="tx1"/>
            </w14:solidFill>
          </w14:textFill>
        </w:rPr>
        <w:t>月1日起施行</w:t>
      </w: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w:t>
      </w:r>
    </w:p>
    <w:p w14:paraId="27BD6B7E">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《安全生产违法行为行政处罚办法》（国家安全生产监督管理总局令第15号）；</w:t>
      </w:r>
    </w:p>
    <w:p w14:paraId="501DA9B6">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《安全生产事故隐患排查治理暂行规定》（国家安全生产监督管理总局令第16号）；</w:t>
      </w:r>
    </w:p>
    <w:p w14:paraId="5D414156">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《生产安全事故应急预案管理办法》（国家安全生产监督管理总局令第88号，应急管理部第2号修改，2019年9月1日起实施）；</w:t>
      </w:r>
    </w:p>
    <w:p w14:paraId="328B2038">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《特种作业人员安全技术培训考核管理规定》（修订）（国家安全生产监督管理总局令第30号发布，根据国家安全监管总局令第63号修正，根据国家安全监管总局令第80号修正）；</w:t>
      </w:r>
    </w:p>
    <w:p w14:paraId="1D1F288B">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《安全生产培训管理办法》（国家安全生产监督管理总局令第44号，根据国家安全监管总局令第63号第一次修正，根据国家安全监管总局令第80号第二次修正）；</w:t>
      </w:r>
    </w:p>
    <w:p w14:paraId="2C9EBFB1">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工贸企业有限空间作业安全规定</w:t>
      </w: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（应急管理部令第13号公布，自2024年1月1日起施行）；</w:t>
      </w:r>
    </w:p>
    <w:p w14:paraId="7545B182">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《国家安全监管总局关于修改〈生产经营单位安全培训规定〉等11件规章的决定》（国家安全生产监督管理总局令第63号）；</w:t>
      </w:r>
    </w:p>
    <w:p w14:paraId="2B9C9862">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《国家安全监管总局关于修改</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生产安全事故报告和调查处理条例</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罚款处罚暂行规定等四部规章的决定》（国家安全生产监督管理总局令第77号）；</w:t>
      </w:r>
    </w:p>
    <w:p w14:paraId="717FC61C">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《消防监督检查规定》（中华人民共和国公安部令第120号）；</w:t>
      </w:r>
    </w:p>
    <w:p w14:paraId="4888F4C8">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《质检总局关于修订《特种设备目录》的公告》（国家质量监督检验检疫总局2014年第114号）；</w:t>
      </w:r>
    </w:p>
    <w:p w14:paraId="72E1A824">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《国家质量监督检验检疫总局关于修改</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特种设备作业人员监督管理办法</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的决定》（国家质量监督检验检疫总局第140号）；</w:t>
      </w:r>
    </w:p>
    <w:p w14:paraId="6439869C">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《国家发展改革委关于修改</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产业结构调整指导目录（20</w:t>
      </w:r>
      <w:r>
        <w:rPr>
          <w:rFonts w:hint="eastAsia" w:ascii="Times New Roman" w:cs="Times New Roman"/>
          <w:color w:val="000000" w:themeColor="text1"/>
          <w:sz w:val="28"/>
          <w:szCs w:val="28"/>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14:textFill>
            <w14:solidFill>
              <w14:schemeClr w14:val="tx1"/>
            </w14:solidFill>
          </w14:textFill>
        </w:rPr>
        <w:t>年本）</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有关条款的决定》（中华人民共和国国家发展和改革委员会令第</w:t>
      </w:r>
      <w:r>
        <w:rPr>
          <w:rFonts w:hint="eastAsia" w:ascii="Times New Roman" w:cs="Times New Roman"/>
          <w:color w:val="000000" w:themeColor="text1"/>
          <w:sz w:val="28"/>
          <w:szCs w:val="28"/>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14:textFill>
            <w14:solidFill>
              <w14:schemeClr w14:val="tx1"/>
            </w14:solidFill>
          </w14:textFill>
        </w:rPr>
        <w:t>号）</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自2024年2月1日起施行</w:t>
      </w:r>
      <w:r>
        <w:rPr>
          <w:rFonts w:hint="default" w:ascii="Times New Roman" w:hAnsi="Times New Roman" w:eastAsia="宋体" w:cs="Times New Roman"/>
          <w:color w:val="000000" w:themeColor="text1"/>
          <w:sz w:val="28"/>
          <w:szCs w:val="28"/>
          <w14:textFill>
            <w14:solidFill>
              <w14:schemeClr w14:val="tx1"/>
            </w14:solidFill>
          </w14:textFill>
        </w:rPr>
        <w:t>；</w:t>
      </w:r>
    </w:p>
    <w:p w14:paraId="46D61140">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《部分工业行业淘汰落后生产工艺装备和产品指导目录（2010年本）》（中华人民共和国工业和信息化部公告工产业〔2010〕第122号）；</w:t>
      </w:r>
    </w:p>
    <w:p w14:paraId="4597F17E">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《防雷减灾管理办法》（中国气象局〔</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2013</w:t>
      </w:r>
      <w:r>
        <w:rPr>
          <w:rFonts w:hint="default" w:ascii="Times New Roman" w:hAnsi="Times New Roman" w:eastAsia="宋体" w:cs="Times New Roman"/>
          <w:color w:val="000000" w:themeColor="text1"/>
          <w:sz w:val="28"/>
          <w:szCs w:val="28"/>
          <w14:textFill>
            <w14:solidFill>
              <w14:schemeClr w14:val="tx1"/>
            </w14:solidFill>
          </w14:textFill>
        </w:rPr>
        <w:t>〕第24号）</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14:paraId="3F80B8E3">
      <w:pPr>
        <w:keepNext w:val="0"/>
        <w:keepLines w:val="0"/>
        <w:pageBreakBefore w:val="0"/>
        <w:widowControl w:val="0"/>
        <w:numPr>
          <w:ilvl w:val="0"/>
          <w:numId w:val="3"/>
        </w:numPr>
        <w:tabs>
          <w:tab w:val="left" w:pos="0"/>
          <w:tab w:val="left" w:pos="630"/>
          <w:tab w:val="left" w:pos="720"/>
        </w:tabs>
        <w:kinsoku/>
        <w:wordWrap/>
        <w:overflowPunct/>
        <w:topLinePunct w:val="0"/>
        <w:autoSpaceDE/>
        <w:autoSpaceDN/>
        <w:bidi w:val="0"/>
        <w:adjustRightInd/>
        <w:snapToGrid w:val="0"/>
        <w:spacing w:line="520" w:lineRule="exact"/>
        <w:ind w:left="0" w:firstLine="560" w:firstLineChars="200"/>
        <w:textAlignment w:val="auto"/>
        <w:rPr>
          <w:rFonts w:hint="eastAsia"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lang w:val="en-US" w:eastAsia="zh-CN"/>
          <w14:textFill>
            <w14:solidFill>
              <w14:schemeClr w14:val="tx1"/>
            </w14:solidFill>
          </w14:textFill>
        </w:rPr>
        <w:t>《生产安全事故罚款处罚规定》（中华人民共和国应急管理部令第14号）。</w:t>
      </w:r>
    </w:p>
    <w:p w14:paraId="7B00EFC9">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38" w:name="_Toc309682388"/>
      <w:bookmarkStart w:id="39" w:name="_Toc327017722"/>
      <w:bookmarkStart w:id="40" w:name="_Toc18270"/>
      <w:bookmarkStart w:id="41" w:name="_Toc23977"/>
      <w:bookmarkStart w:id="42" w:name="_Toc335926128"/>
      <w:bookmarkStart w:id="43" w:name="_Toc20875"/>
      <w:bookmarkStart w:id="44" w:name="_Toc313453423"/>
      <w:r>
        <w:rPr>
          <w:rFonts w:hint="default" w:ascii="Times New Roman" w:hAnsi="Times New Roman" w:eastAsia="黑体" w:cs="Times New Roman"/>
          <w:color w:val="000000" w:themeColor="text1"/>
          <w14:textFill>
            <w14:solidFill>
              <w14:schemeClr w14:val="tx1"/>
            </w14:solidFill>
          </w14:textFill>
        </w:rPr>
        <w:t>1.2.4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地方有关法规</w:t>
      </w:r>
      <w:bookmarkEnd w:id="38"/>
      <w:bookmarkEnd w:id="39"/>
      <w:r>
        <w:rPr>
          <w:rFonts w:hint="default" w:ascii="Times New Roman" w:hAnsi="Times New Roman" w:eastAsia="黑体" w:cs="Times New Roman"/>
          <w:color w:val="000000" w:themeColor="text1"/>
          <w14:textFill>
            <w14:solidFill>
              <w14:schemeClr w14:val="tx1"/>
            </w14:solidFill>
          </w14:textFill>
        </w:rPr>
        <w:t>文件</w:t>
      </w:r>
      <w:bookmarkEnd w:id="40"/>
      <w:bookmarkEnd w:id="41"/>
      <w:bookmarkEnd w:id="42"/>
      <w:bookmarkEnd w:id="43"/>
    </w:p>
    <w:p w14:paraId="2EA095F6">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《云南省安全生产条例》（云南省第十二届人民代表大会常务委员会第三十八次会议于2017年11月30日修订通过，2018年1月1日起施行）；</w:t>
      </w:r>
    </w:p>
    <w:p w14:paraId="6115362E">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《云南省消防条例》（云南省十一届人大常委会公告第31号，自2011年1月1日起施行）；</w:t>
      </w:r>
    </w:p>
    <w:p w14:paraId="7CBF4115">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《云南省安全生产事故调查暂行规定》（云南省人民政府办公厅2005年12月30日印发）；</w:t>
      </w:r>
    </w:p>
    <w:p w14:paraId="35617E3F">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《云南省人民政府贯彻落实国务院关于进一步加强企业安全生产工作通知的实施意见》（云政发〔2010〕157号）；</w:t>
      </w:r>
    </w:p>
    <w:p w14:paraId="39A61DF9">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《云南省人民政府关于进一步加强安全生产工作的决定》（云政发〔2011〕229号）；</w:t>
      </w:r>
    </w:p>
    <w:p w14:paraId="4A1EEC82">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bookmarkStart w:id="45" w:name="OLE_LINK3"/>
      <w:r>
        <w:rPr>
          <w:rFonts w:hint="default" w:ascii="Times New Roman" w:hAnsi="Times New Roman" w:eastAsia="宋体" w:cs="Times New Roman"/>
          <w:color w:val="000000" w:themeColor="text1"/>
          <w:sz w:val="28"/>
          <w:szCs w:val="28"/>
          <w14:textFill>
            <w14:solidFill>
              <w14:schemeClr w14:val="tx1"/>
            </w14:solidFill>
          </w14:textFill>
        </w:rPr>
        <w:t>《云南省安全生产监督管理局关于全面推进全省冶金等工贸行业企业安全生产标准化建设的实施意见》（云安监管（2013）29号）</w:t>
      </w:r>
      <w:bookmarkEnd w:id="45"/>
      <w:r>
        <w:rPr>
          <w:rFonts w:hint="eastAsia" w:ascii="Times New Roman" w:cs="Times New Roman"/>
          <w:color w:val="000000" w:themeColor="text1"/>
          <w:sz w:val="28"/>
          <w:szCs w:val="28"/>
          <w:lang w:eastAsia="zh-CN"/>
          <w14:textFill>
            <w14:solidFill>
              <w14:schemeClr w14:val="tx1"/>
            </w14:solidFill>
          </w14:textFill>
        </w:rPr>
        <w:t>；</w:t>
      </w:r>
    </w:p>
    <w:p w14:paraId="10E34ECF">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云南省生产经营单位安全生产主体责任规定</w:t>
      </w:r>
      <w:r>
        <w:rPr>
          <w:rFonts w:hint="eastAsia" w:ascii="Times New Roman" w:cs="Times New Roman"/>
          <w:color w:val="000000" w:themeColor="text1"/>
          <w:sz w:val="28"/>
          <w:szCs w:val="28"/>
          <w:lang w:eastAsia="zh-CN"/>
          <w14:textFill>
            <w14:solidFill>
              <w14:schemeClr w14:val="tx1"/>
            </w14:solidFill>
          </w14:textFill>
        </w:rPr>
        <w:t>》（云政规〔2022〕）4号；</w:t>
      </w:r>
    </w:p>
    <w:p w14:paraId="29B88733">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cs="Times New Roman"/>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sz w:val="28"/>
          <w:szCs w:val="28"/>
          <w:lang w:eastAsia="zh-CN"/>
          <w14:textFill>
            <w14:solidFill>
              <w14:schemeClr w14:val="tx1"/>
            </w14:solidFill>
          </w14:textFill>
        </w:rPr>
        <w:t>《云南省应急管理厅关于印发云南省工贸行业重大事故隐患专项排查整治2023行动实施方案的通知》（云应急函〔2023〕104号）</w:t>
      </w:r>
      <w:r>
        <w:rPr>
          <w:rFonts w:hint="eastAsia" w:ascii="Times New Roman" w:hAnsi="Times New Roman" w:cs="Times New Roman"/>
          <w:color w:val="000000" w:themeColor="text1"/>
          <w:sz w:val="28"/>
          <w:szCs w:val="28"/>
          <w:lang w:eastAsia="zh-CN"/>
          <w14:textFill>
            <w14:solidFill>
              <w14:schemeClr w14:val="tx1"/>
            </w14:solidFill>
          </w14:textFill>
        </w:rPr>
        <w:t>；</w:t>
      </w:r>
    </w:p>
    <w:p w14:paraId="30EAC638">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eastAsia="zh-CN"/>
          <w14:textFill>
            <w14:solidFill>
              <w14:schemeClr w14:val="tx1"/>
            </w14:solidFill>
          </w14:textFill>
        </w:rPr>
        <w:t>《云南省2023年工贸重点企业有限空间作业专家指导服务工作实施方案》（云应急办函〔2023〕19号）</w:t>
      </w:r>
      <w:r>
        <w:rPr>
          <w:rFonts w:hint="eastAsia" w:ascii="Times New Roman" w:cs="Times New Roman"/>
          <w:color w:val="000000" w:themeColor="text1"/>
          <w:sz w:val="28"/>
          <w:szCs w:val="28"/>
          <w:lang w:eastAsia="zh-CN"/>
          <w14:textFill>
            <w14:solidFill>
              <w14:schemeClr w14:val="tx1"/>
            </w14:solidFill>
          </w14:textFill>
        </w:rPr>
        <w:t>；</w:t>
      </w:r>
    </w:p>
    <w:p w14:paraId="50821061">
      <w:pPr>
        <w:keepNext w:val="0"/>
        <w:keepLines w:val="0"/>
        <w:pageBreakBefore w:val="0"/>
        <w:widowControl w:val="0"/>
        <w:numPr>
          <w:ilvl w:val="0"/>
          <w:numId w:val="4"/>
        </w:numPr>
        <w:tabs>
          <w:tab w:val="left" w:pos="0"/>
          <w:tab w:val="left" w:pos="630"/>
          <w:tab w:val="left" w:pos="720"/>
          <w:tab w:val="left" w:pos="945"/>
        </w:tabs>
        <w:kinsoku/>
        <w:wordWrap/>
        <w:overflowPunct/>
        <w:topLinePunct w:val="0"/>
        <w:autoSpaceDE/>
        <w:autoSpaceDN/>
        <w:bidi w:val="0"/>
        <w:adjustRightInd/>
        <w:snapToGrid w:val="0"/>
        <w:spacing w:line="520" w:lineRule="exact"/>
        <w:ind w:firstLine="560" w:firstLineChars="200"/>
        <w:textAlignment w:val="auto"/>
        <w:rPr>
          <w:rFonts w:hint="eastAsia" w:ascii="Times New Roman" w:hAnsi="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《云南省生产安全事故应急办法》（云政令227号）。</w:t>
      </w:r>
    </w:p>
    <w:p w14:paraId="6A3B3F7F">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46" w:name="_Toc335926129"/>
      <w:bookmarkStart w:id="47" w:name="_Toc3281"/>
      <w:bookmarkStart w:id="48" w:name="_Toc31498"/>
      <w:bookmarkStart w:id="49" w:name="_Toc3828"/>
      <w:r>
        <w:rPr>
          <w:rFonts w:hint="default" w:ascii="Times New Roman" w:hAnsi="Times New Roman" w:eastAsia="黑体" w:cs="Times New Roman"/>
          <w:color w:val="000000" w:themeColor="text1"/>
          <w14:textFill>
            <w14:solidFill>
              <w14:schemeClr w14:val="tx1"/>
            </w14:solidFill>
          </w14:textFill>
        </w:rPr>
        <w:t>1.2.5</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国家标准</w:t>
      </w:r>
      <w:bookmarkEnd w:id="44"/>
      <w:bookmarkEnd w:id="46"/>
      <w:bookmarkEnd w:id="47"/>
      <w:bookmarkEnd w:id="48"/>
      <w:bookmarkEnd w:id="49"/>
    </w:p>
    <w:p w14:paraId="05CC2AE6">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《工业企业设计卫生标准》（GBZ1-2010）；</w:t>
      </w:r>
    </w:p>
    <w:p w14:paraId="55DD0A5A">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《工业企业总平面设计规范》（GB50187-2012）；</w:t>
      </w:r>
    </w:p>
    <w:p w14:paraId="5E114754">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《工业企业厂内铁路、道路运输安全规程》（GB4387-2008）；</w:t>
      </w:r>
    </w:p>
    <w:p w14:paraId="278E8327">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《工业车辆 使用、操作与维护安全规范》（GB/T 36507-2023）</w:t>
      </w:r>
    </w:p>
    <w:p w14:paraId="7FF7667A">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《工业企业噪声控制设计规范》（GB/T50087-2013）；</w:t>
      </w:r>
    </w:p>
    <w:p w14:paraId="4A97E7C1">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《工业建筑防腐蚀设计</w:t>
      </w:r>
      <w:r>
        <w:rPr>
          <w:rFonts w:hint="eastAsia" w:ascii="Times New Roman" w:hAnsi="Times New Roman" w:eastAsia="宋体" w:cs="Times New Roman"/>
          <w:color w:val="000000" w:themeColor="text1"/>
          <w:sz w:val="28"/>
          <w:szCs w:val="28"/>
          <w:lang w:eastAsia="zh-CN"/>
          <w14:textFill>
            <w14:solidFill>
              <w14:schemeClr w14:val="tx1"/>
            </w14:solidFill>
          </w14:textFill>
        </w:rPr>
        <w:t>标准</w:t>
      </w:r>
      <w:r>
        <w:rPr>
          <w:rFonts w:hint="default" w:ascii="Times New Roman" w:hAnsi="Times New Roman" w:eastAsia="宋体" w:cs="Times New Roman"/>
          <w:color w:val="000000" w:themeColor="text1"/>
          <w:sz w:val="28"/>
          <w:szCs w:val="28"/>
          <w14:textFill>
            <w14:solidFill>
              <w14:schemeClr w14:val="tx1"/>
            </w14:solidFill>
          </w14:textFill>
        </w:rPr>
        <w:t>》（GB</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/T</w:t>
      </w:r>
      <w:r>
        <w:rPr>
          <w:rFonts w:hint="default" w:ascii="Times New Roman" w:hAnsi="Times New Roman" w:eastAsia="宋体" w:cs="Times New Roman"/>
          <w:color w:val="000000" w:themeColor="text1"/>
          <w:sz w:val="28"/>
          <w:szCs w:val="28"/>
          <w14:textFill>
            <w14:solidFill>
              <w14:schemeClr w14:val="tx1"/>
            </w14:solidFill>
          </w14:textFill>
        </w:rPr>
        <w:t>50046-2018）；</w:t>
      </w:r>
    </w:p>
    <w:p w14:paraId="366A25C3">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《建筑照明设计标准》（GB</w:t>
      </w:r>
      <w:r>
        <w:rPr>
          <w:rFonts w:hint="eastAsia" w:ascii="Times New Roman" w:hAnsi="Times New Roman" w:eastAsia="宋体" w:cs="Times New Roman"/>
          <w:color w:val="000000" w:themeColor="text1"/>
          <w:sz w:val="28"/>
          <w:szCs w:val="28"/>
          <w14:textFill>
            <w14:solidFill>
              <w14:schemeClr w14:val="tx1"/>
            </w14:solidFill>
          </w14:textFill>
        </w:rPr>
        <w:t>/T</w:t>
      </w:r>
      <w:r>
        <w:rPr>
          <w:rFonts w:hint="default" w:ascii="Times New Roman" w:hAnsi="Times New Roman" w:eastAsia="宋体" w:cs="Times New Roman"/>
          <w:color w:val="000000" w:themeColor="text1"/>
          <w:sz w:val="28"/>
          <w:szCs w:val="28"/>
          <w14:textFill>
            <w14:solidFill>
              <w14:schemeClr w14:val="tx1"/>
            </w14:solidFill>
          </w14:textFill>
        </w:rPr>
        <w:t>50034-20</w:t>
      </w:r>
      <w:r>
        <w:rPr>
          <w:rFonts w:hint="eastAsia" w:ascii="Times New Roman" w:hAnsi="Times New Roman" w:eastAsia="宋体" w:cs="Times New Roman"/>
          <w:color w:val="000000" w:themeColor="text1"/>
          <w:sz w:val="28"/>
          <w:szCs w:val="28"/>
          <w14:textFill>
            <w14:solidFill>
              <w14:schemeClr w14:val="tx1"/>
            </w14:solidFill>
          </w14:textFill>
        </w:rPr>
        <w:t>24</w:t>
      </w:r>
      <w:r>
        <w:rPr>
          <w:rFonts w:hint="default" w:ascii="Times New Roman" w:hAnsi="Times New Roman" w:eastAsia="宋体" w:cs="Times New Roman"/>
          <w:color w:val="000000" w:themeColor="text1"/>
          <w:sz w:val="28"/>
          <w:szCs w:val="28"/>
          <w14:textFill>
            <w14:solidFill>
              <w14:schemeClr w14:val="tx1"/>
            </w14:solidFill>
          </w14:textFill>
        </w:rPr>
        <w:t>）；</w:t>
      </w:r>
    </w:p>
    <w:p w14:paraId="53EB1083">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《企业职工伤亡事故分类》（GB6441-1986）；</w:t>
      </w:r>
    </w:p>
    <w:p w14:paraId="786A8150">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《生产过程危险和有害因素分类与代码》（GB/T13861-</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2022</w:t>
      </w:r>
      <w:r>
        <w:rPr>
          <w:rFonts w:hint="default" w:ascii="Times New Roman" w:hAnsi="Times New Roman" w:eastAsia="宋体" w:cs="Times New Roman"/>
          <w:color w:val="000000" w:themeColor="text1"/>
          <w:sz w:val="28"/>
          <w:szCs w:val="28"/>
          <w14:textFill>
            <w14:solidFill>
              <w14:schemeClr w14:val="tx1"/>
            </w14:solidFill>
          </w14:textFill>
        </w:rPr>
        <w:t>）；</w:t>
      </w:r>
    </w:p>
    <w:p w14:paraId="19E9DA7C">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《建筑设计防火规范（2018</w:t>
      </w:r>
      <w:r>
        <w:rPr>
          <w:rFonts w:hint="default" w:ascii="Times New Roman" w:hAnsi="Times New Roman" w:eastAsia="宋体" w:cs="Times New Roman"/>
          <w:color w:val="000000" w:themeColor="text1"/>
          <w:sz w:val="28"/>
          <w:szCs w:val="28"/>
          <w:lang w:eastAsia="zh-CN"/>
          <w14:textFill>
            <w14:solidFill>
              <w14:schemeClr w14:val="tx1"/>
            </w14:solidFill>
          </w14:textFill>
        </w:rPr>
        <w:t>年</w:t>
      </w:r>
      <w:r>
        <w:rPr>
          <w:rFonts w:hint="default" w:ascii="Times New Roman" w:hAnsi="Times New Roman" w:eastAsia="宋体" w:cs="Times New Roman"/>
          <w:color w:val="000000" w:themeColor="text1"/>
          <w:sz w:val="28"/>
          <w:szCs w:val="28"/>
          <w14:textFill>
            <w14:solidFill>
              <w14:schemeClr w14:val="tx1"/>
            </w14:solidFill>
          </w14:textFill>
        </w:rPr>
        <w:t>版）》（GB50016-2014）；</w:t>
      </w:r>
    </w:p>
    <w:p w14:paraId="55FEBABC">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《建筑物防雷设计规范》（GB50057-2010）；</w:t>
      </w:r>
    </w:p>
    <w:p w14:paraId="549EFFBB">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《建筑灭火器配置设计规范》（GB50140-2005）；</w:t>
      </w:r>
    </w:p>
    <w:p w14:paraId="294F50D3">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《建筑抗震设计规范（20</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14:textFill>
            <w14:solidFill>
              <w14:schemeClr w14:val="tx1"/>
            </w14:solidFill>
          </w14:textFill>
        </w:rPr>
        <w:t>年版）》（GB 50011-2010）；</w:t>
      </w:r>
    </w:p>
    <w:p w14:paraId="7BF5E8F0">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《密闭空间作业职业危害防护规范》（GBZ/T205-2007）；</w:t>
      </w:r>
    </w:p>
    <w:p w14:paraId="4F2B5DF2">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《构筑物抗震设计规范》（GB50191-2012）；</w:t>
      </w:r>
    </w:p>
    <w:p w14:paraId="28FECE2F">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《室外排水设计</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标</w:t>
      </w:r>
      <w:r>
        <w:rPr>
          <w:rFonts w:hint="eastAsia" w:ascii="Times New Roman" w:cs="Times New Roman"/>
          <w:color w:val="000000" w:themeColor="text1"/>
          <w:sz w:val="28"/>
          <w:szCs w:val="28"/>
          <w:lang w:val="en-US" w:eastAsia="zh-CN"/>
          <w14:textFill>
            <w14:solidFill>
              <w14:schemeClr w14:val="tx1"/>
            </w14:solidFill>
          </w14:textFill>
        </w:rPr>
        <w:t>准</w:t>
      </w:r>
      <w:r>
        <w:rPr>
          <w:rFonts w:hint="default" w:ascii="Times New Roman" w:hAnsi="Times New Roman" w:eastAsia="宋体" w:cs="Times New Roman"/>
          <w:color w:val="000000" w:themeColor="text1"/>
          <w:sz w:val="28"/>
          <w:szCs w:val="28"/>
          <w14:textFill>
            <w14:solidFill>
              <w14:schemeClr w14:val="tx1"/>
            </w14:solidFill>
          </w14:textFill>
        </w:rPr>
        <w:t>》（GB50014-20</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21</w:t>
      </w:r>
      <w:r>
        <w:rPr>
          <w:rFonts w:hint="default" w:ascii="Times New Roman" w:hAnsi="Times New Roman" w:eastAsia="宋体" w:cs="Times New Roman"/>
          <w:color w:val="000000" w:themeColor="text1"/>
          <w:sz w:val="28"/>
          <w:szCs w:val="28"/>
          <w14:textFill>
            <w14:solidFill>
              <w14:schemeClr w14:val="tx1"/>
            </w14:solidFill>
          </w14:textFill>
        </w:rPr>
        <w:t>）；</w:t>
      </w:r>
    </w:p>
    <w:p w14:paraId="1C5723F9">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《危险化学品重大危险源辨识》（GB18218-2018）；</w:t>
      </w:r>
    </w:p>
    <w:p w14:paraId="54812F2A">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《安全色》（GB2893-2008）；</w:t>
      </w:r>
    </w:p>
    <w:p w14:paraId="6A17A440">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《安全标志及其使用导则》（GB2894-2008）；</w:t>
      </w:r>
    </w:p>
    <w:p w14:paraId="69CBBC2C">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《消防安全标志 第1部分：标志》（GB 13495.1-2015）</w:t>
      </w:r>
    </w:p>
    <w:p w14:paraId="343D3C40">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《消防安全标志设置要求》（GB15630-1995）；</w:t>
      </w:r>
    </w:p>
    <w:p w14:paraId="4E7440D6">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《用电安全导则》（GB/T 13869-2017）；</w:t>
      </w:r>
    </w:p>
    <w:p w14:paraId="2AF18A33">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《电气设备安全设计导则》（GB</w:t>
      </w:r>
      <w:r>
        <w:rPr>
          <w:rFonts w:hint="eastAsia" w:ascii="Times New Roman" w:cs="Times New Roman"/>
          <w:color w:val="000000" w:themeColor="text1"/>
          <w:sz w:val="28"/>
          <w:szCs w:val="28"/>
          <w:lang w:val="en-US" w:eastAsia="zh-CN"/>
          <w14:textFill>
            <w14:solidFill>
              <w14:schemeClr w14:val="tx1"/>
            </w14:solidFill>
          </w14:textFill>
        </w:rPr>
        <w:t>/T</w:t>
      </w:r>
      <w:r>
        <w:rPr>
          <w:rFonts w:hint="default" w:ascii="Times New Roman" w:hAnsi="Times New Roman" w:eastAsia="宋体" w:cs="Times New Roman"/>
          <w:color w:val="000000" w:themeColor="text1"/>
          <w:sz w:val="28"/>
          <w:szCs w:val="28"/>
          <w14:textFill>
            <w14:solidFill>
              <w14:schemeClr w14:val="tx1"/>
            </w14:solidFill>
          </w14:textFill>
        </w:rPr>
        <w:t>25295-2010）；</w:t>
      </w:r>
    </w:p>
    <w:p w14:paraId="7574C476">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《通用用电设备配电设计规范》（GB50055-2011）；</w:t>
      </w:r>
    </w:p>
    <w:p w14:paraId="622393FE">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《供配电系统设计规范》（GB50052-2009）；</w:t>
      </w:r>
    </w:p>
    <w:p w14:paraId="281DE860">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《低压配电设计规范》（GB50054-2011）；</w:t>
      </w:r>
    </w:p>
    <w:p w14:paraId="0F01D584">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《防止静电事故通用导则》（GB12158-2006）；</w:t>
      </w:r>
    </w:p>
    <w:p w14:paraId="49AD76BE">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《机械安全 防护装置 固定式和活动式防护装置设计与制造一般要求》（GB/T 8196-20</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18</w:t>
      </w:r>
      <w:r>
        <w:rPr>
          <w:rFonts w:hint="default" w:ascii="Times New Roman" w:hAnsi="Times New Roman" w:eastAsia="宋体" w:cs="Times New Roman"/>
          <w:color w:val="000000" w:themeColor="text1"/>
          <w:sz w:val="28"/>
          <w:szCs w:val="28"/>
          <w14:textFill>
            <w14:solidFill>
              <w14:schemeClr w14:val="tx1"/>
            </w14:solidFill>
          </w14:textFill>
        </w:rPr>
        <w:t>）；</w:t>
      </w:r>
    </w:p>
    <w:p w14:paraId="72A8EC21">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《起重机械安全规程 第1部分：总则》（GB</w:t>
      </w:r>
      <w:r>
        <w:rPr>
          <w:rFonts w:hint="eastAsia" w:ascii="Times New Roman" w:cs="Times New Roman"/>
          <w:color w:val="000000" w:themeColor="text1"/>
          <w:sz w:val="28"/>
          <w:szCs w:val="28"/>
          <w:lang w:val="en-US" w:eastAsia="zh-CN"/>
          <w14:textFill>
            <w14:solidFill>
              <w14:schemeClr w14:val="tx1"/>
            </w14:solidFill>
          </w14:textFill>
        </w:rPr>
        <w:t>/T</w:t>
      </w:r>
      <w:r>
        <w:rPr>
          <w:rFonts w:hint="default" w:ascii="Times New Roman" w:hAnsi="Times New Roman" w:eastAsia="宋体" w:cs="Times New Roman"/>
          <w:color w:val="000000" w:themeColor="text1"/>
          <w:sz w:val="28"/>
          <w:szCs w:val="28"/>
          <w14:textFill>
            <w14:solidFill>
              <w14:schemeClr w14:val="tx1"/>
            </w14:solidFill>
          </w14:textFill>
        </w:rPr>
        <w:t>6067.1-2010）；</w:t>
      </w:r>
    </w:p>
    <w:p w14:paraId="18616136">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《生产经营单位生产安全事故应急预案编制导则》（GB/T29639-2020）</w:t>
      </w:r>
      <w:r>
        <w:rPr>
          <w:rFonts w:hint="eastAsia" w:ascii="Times New Roman" w:cs="Times New Roman"/>
          <w:color w:val="000000" w:themeColor="text1"/>
          <w:sz w:val="28"/>
          <w:szCs w:val="28"/>
          <w:lang w:eastAsia="zh-CN"/>
          <w14:textFill>
            <w14:solidFill>
              <w14:schemeClr w14:val="tx1"/>
            </w14:solidFill>
          </w14:textFill>
        </w:rPr>
        <w:t>；</w:t>
      </w:r>
    </w:p>
    <w:p w14:paraId="4C8809A8">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带式输送机》（GB/T 10595-2017）；</w:t>
      </w:r>
    </w:p>
    <w:p w14:paraId="4388B1FB">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《带式输送机 安全规范》（GB 14784-2013）</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14:paraId="58CACC09">
      <w:pPr>
        <w:keepNext w:val="0"/>
        <w:keepLines w:val="0"/>
        <w:pageBreakBefore w:val="0"/>
        <w:widowControl w:val="0"/>
        <w:numPr>
          <w:ilvl w:val="0"/>
          <w:numId w:val="5"/>
        </w:numPr>
        <w:tabs>
          <w:tab w:val="left" w:pos="0"/>
          <w:tab w:val="left" w:pos="567"/>
          <w:tab w:val="left" w:pos="630"/>
          <w:tab w:val="left" w:pos="72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《生产设备安全卫生设计总则》（</w:t>
      </w:r>
      <w:r>
        <w:rPr>
          <w:rFonts w:hint="eastAsia" w:ascii="Times New Roman" w:hAnsi="Times New Roman" w:eastAsia="宋体" w:cs="Times New Roman"/>
          <w:color w:val="000000" w:themeColor="text1"/>
          <w:sz w:val="28"/>
          <w:szCs w:val="28"/>
          <w14:textFill>
            <w14:solidFill>
              <w14:schemeClr w14:val="tx1"/>
            </w14:solidFill>
          </w14:textFill>
        </w:rPr>
        <w:t>GB5083-2023</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14:paraId="71EC2C4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50" w:name="_Toc1315"/>
      <w:bookmarkStart w:id="51" w:name="_Toc26320"/>
      <w:bookmarkStart w:id="52" w:name="_Toc23470"/>
      <w:r>
        <w:rPr>
          <w:rFonts w:hint="default" w:ascii="Times New Roman" w:hAnsi="Times New Roman" w:eastAsia="黑体" w:cs="Times New Roman"/>
          <w:color w:val="000000" w:themeColor="text1"/>
          <w14:textFill>
            <w14:solidFill>
              <w14:schemeClr w14:val="tx1"/>
            </w14:solidFill>
          </w14:textFill>
        </w:rPr>
        <w:t>1.2.6</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行业标准</w:t>
      </w:r>
      <w:bookmarkEnd w:id="50"/>
      <w:bookmarkEnd w:id="51"/>
      <w:bookmarkEnd w:id="52"/>
    </w:p>
    <w:p w14:paraId="7B96590E">
      <w:pPr>
        <w:keepNext w:val="0"/>
        <w:keepLines w:val="0"/>
        <w:pageBreakBefore w:val="0"/>
        <w:widowControl w:val="0"/>
        <w:numPr>
          <w:ilvl w:val="0"/>
          <w:numId w:val="6"/>
        </w:numPr>
        <w:tabs>
          <w:tab w:val="left" w:pos="0"/>
          <w:tab w:val="left" w:pos="630"/>
          <w:tab w:val="left" w:pos="720"/>
          <w:tab w:val="left" w:pos="84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1"/>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《安全评价通则》（AQ8001-2007）；</w:t>
      </w:r>
    </w:p>
    <w:p w14:paraId="1F521333">
      <w:pPr>
        <w:keepNext w:val="0"/>
        <w:keepLines w:val="0"/>
        <w:pageBreakBefore w:val="0"/>
        <w:widowControl w:val="0"/>
        <w:numPr>
          <w:ilvl w:val="0"/>
          <w:numId w:val="6"/>
        </w:numPr>
        <w:tabs>
          <w:tab w:val="left" w:pos="0"/>
          <w:tab w:val="left" w:pos="630"/>
          <w:tab w:val="left" w:pos="720"/>
          <w:tab w:val="left" w:pos="84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1"/>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生产安全事故应急演练基本规范</w:t>
      </w:r>
      <w:r>
        <w:rPr>
          <w:rFonts w:hint="default" w:ascii="Times New Roman" w:hAnsi="Times New Roman" w:eastAsia="宋体" w:cs="Times New Roman"/>
          <w:color w:val="000000" w:themeColor="text1"/>
          <w:sz w:val="28"/>
          <w:szCs w:val="21"/>
          <w14:textFill>
            <w14:solidFill>
              <w14:schemeClr w14:val="tx1"/>
            </w14:solidFill>
          </w14:textFill>
        </w:rPr>
        <w:t>》（AQ/T9007-2019）</w:t>
      </w:r>
      <w:r>
        <w:rPr>
          <w:rFonts w:hint="default" w:ascii="Times New Roman" w:hAnsi="Times New Roman" w:eastAsia="宋体" w:cs="Times New Roman"/>
          <w:color w:val="000000" w:themeColor="text1"/>
          <w:sz w:val="28"/>
          <w:szCs w:val="28"/>
          <w14:textFill>
            <w14:solidFill>
              <w14:schemeClr w14:val="tx1"/>
            </w14:solidFill>
          </w14:textFill>
        </w:rPr>
        <w:t>；</w:t>
      </w:r>
    </w:p>
    <w:p w14:paraId="3F9E5345">
      <w:pPr>
        <w:keepNext w:val="0"/>
        <w:keepLines w:val="0"/>
        <w:pageBreakBefore w:val="0"/>
        <w:widowControl w:val="0"/>
        <w:numPr>
          <w:ilvl w:val="0"/>
          <w:numId w:val="6"/>
        </w:numPr>
        <w:tabs>
          <w:tab w:val="left" w:pos="0"/>
          <w:tab w:val="left" w:pos="630"/>
          <w:tab w:val="left" w:pos="720"/>
          <w:tab w:val="left" w:pos="84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1"/>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《特种设备作业人员考核规则》（TSG Z6001-20</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19</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default" w:ascii="Times New Roman" w:hAnsi="Times New Roman" w:eastAsia="宋体" w:cs="Times New Roman"/>
          <w:color w:val="000000" w:themeColor="text1"/>
          <w:sz w:val="28"/>
          <w:szCs w:val="21"/>
          <w:lang w:eastAsia="zh-CN"/>
          <w14:textFill>
            <w14:solidFill>
              <w14:schemeClr w14:val="tx1"/>
            </w14:solidFill>
          </w14:textFill>
        </w:rPr>
        <w:t>；</w:t>
      </w:r>
    </w:p>
    <w:p w14:paraId="05EFF7CE">
      <w:pPr>
        <w:keepNext w:val="0"/>
        <w:keepLines w:val="0"/>
        <w:pageBreakBefore w:val="0"/>
        <w:widowControl w:val="0"/>
        <w:numPr>
          <w:ilvl w:val="0"/>
          <w:numId w:val="6"/>
        </w:numPr>
        <w:tabs>
          <w:tab w:val="left" w:pos="0"/>
          <w:tab w:val="left" w:pos="630"/>
          <w:tab w:val="left" w:pos="720"/>
          <w:tab w:val="left" w:pos="840"/>
        </w:tabs>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1"/>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其他有关的国家标准、规范</w:t>
      </w:r>
      <w:r>
        <w:rPr>
          <w:rFonts w:hint="default" w:ascii="Times New Roman" w:hAnsi="Times New Roman" w:eastAsia="宋体" w:cs="Times New Roman"/>
          <w:color w:val="000000" w:themeColor="text1"/>
          <w:sz w:val="28"/>
          <w:szCs w:val="21"/>
          <w14:textFill>
            <w14:solidFill>
              <w14:schemeClr w14:val="tx1"/>
            </w14:solidFill>
          </w14:textFill>
        </w:rPr>
        <w:t>。</w:t>
      </w:r>
    </w:p>
    <w:p w14:paraId="1C7F1492">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53" w:name="_Toc15678"/>
      <w:bookmarkStart w:id="54" w:name="_Toc903"/>
      <w:bookmarkStart w:id="55" w:name="_Toc32721"/>
      <w:r>
        <w:rPr>
          <w:rFonts w:hint="default" w:ascii="Times New Roman" w:hAnsi="Times New Roman" w:eastAsia="黑体" w:cs="Times New Roman"/>
          <w:color w:val="000000" w:themeColor="text1"/>
          <w14:textFill>
            <w14:solidFill>
              <w14:schemeClr w14:val="tx1"/>
            </w14:solidFill>
          </w14:textFill>
        </w:rPr>
        <w:t>1.2.7</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项目技术资料</w:t>
      </w:r>
      <w:bookmarkEnd w:id="53"/>
      <w:bookmarkEnd w:id="54"/>
      <w:bookmarkEnd w:id="55"/>
    </w:p>
    <w:p w14:paraId="057FEE2C">
      <w:pPr>
        <w:keepNext w:val="0"/>
        <w:keepLines w:val="0"/>
        <w:pageBreakBefore w:val="0"/>
        <w:widowControl w:val="0"/>
        <w:numPr>
          <w:ilvl w:val="0"/>
          <w:numId w:val="7"/>
        </w:numPr>
        <w:kinsoku w:val="0"/>
        <w:wordWrap/>
        <w:overflowPunct/>
        <w:topLinePunct/>
        <w:autoSpaceDE/>
        <w:autoSpaceDN/>
        <w:bidi w:val="0"/>
        <w:adjustRightInd/>
        <w:snapToGrid/>
        <w:spacing w:line="520" w:lineRule="exact"/>
        <w:ind w:left="0" w:leftChars="0" w:firstLine="560" w:firstLineChars="200"/>
        <w:textAlignment w:val="auto"/>
        <w:rPr>
          <w:rFonts w:hint="default" w:ascii="Times New Roman" w:hAnsi="Times New Roman" w:eastAsia="宋体" w:cs="Times New Roman"/>
          <w:color w:val="000000" w:themeColor="text1"/>
          <w:spacing w:val="-10"/>
          <w:sz w:val="28"/>
          <w14:textFill>
            <w14:solidFill>
              <w14:schemeClr w14:val="tx1"/>
            </w14:solidFill>
          </w14:textFill>
        </w:rPr>
      </w:pP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default" w:ascii="Times New Roman" w:hAnsi="Times New Roman" w:eastAsia="宋体" w:cs="Times New Roman"/>
          <w:color w:val="000000" w:themeColor="text1"/>
          <w:sz w:val="28"/>
          <w:szCs w:val="28"/>
          <w14:textFill>
            <w14:solidFill>
              <w14:schemeClr w14:val="tx1"/>
            </w14:solidFill>
          </w14:textFill>
        </w:rPr>
        <w:t>的</w:t>
      </w:r>
      <w:r>
        <w:rPr>
          <w:rFonts w:hint="default" w:ascii="Times New Roman" w:hAnsi="Times New Roman" w:eastAsia="宋体" w:cs="Times New Roman"/>
          <w:color w:val="000000" w:themeColor="text1"/>
          <w:spacing w:val="-10"/>
          <w:sz w:val="28"/>
          <w14:textFill>
            <w14:solidFill>
              <w14:schemeClr w14:val="tx1"/>
            </w14:solidFill>
          </w14:textFill>
        </w:rPr>
        <w:t>安全评价委托书；</w:t>
      </w:r>
    </w:p>
    <w:p w14:paraId="2D64C5A6">
      <w:pPr>
        <w:keepNext w:val="0"/>
        <w:keepLines w:val="0"/>
        <w:pageBreakBefore w:val="0"/>
        <w:widowControl w:val="0"/>
        <w:numPr>
          <w:ilvl w:val="0"/>
          <w:numId w:val="7"/>
        </w:numPr>
        <w:wordWrap/>
        <w:overflowPunct/>
        <w:autoSpaceDE/>
        <w:autoSpaceDN/>
        <w:bidi w:val="0"/>
        <w:adjustRightInd/>
        <w:snapToGrid/>
        <w:spacing w:line="520" w:lineRule="exact"/>
        <w:ind w:left="0" w:leftChars="0" w:firstLine="560" w:firstLineChars="200"/>
        <w:textAlignment w:val="auto"/>
        <w:rPr>
          <w:rFonts w:hint="default" w:ascii="Times New Roman" w:hAnsi="Times New Roman" w:eastAsia="宋体" w:cs="Times New Roman"/>
          <w:color w:val="000000" w:themeColor="text1"/>
          <w:sz w:val="28"/>
          <w14:textFill>
            <w14:solidFill>
              <w14:schemeClr w14:val="tx1"/>
            </w14:solidFill>
          </w14:textFill>
        </w:rPr>
      </w:pP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default" w:ascii="Times New Roman" w:hAnsi="Times New Roman" w:eastAsia="宋体" w:cs="Times New Roman"/>
          <w:color w:val="000000" w:themeColor="text1"/>
          <w:sz w:val="28"/>
          <w:szCs w:val="28"/>
          <w14:textFill>
            <w14:solidFill>
              <w14:schemeClr w14:val="tx1"/>
            </w14:solidFill>
          </w14:textFill>
        </w:rPr>
        <w:t>提供的技术和管理资料</w:t>
      </w:r>
      <w:bookmarkStart w:id="56" w:name="_Toc102279997"/>
      <w:r>
        <w:rPr>
          <w:rFonts w:hint="default" w:ascii="Times New Roman" w:hAnsi="Times New Roman" w:eastAsia="宋体" w:cs="Times New Roman"/>
          <w:color w:val="000000" w:themeColor="text1"/>
          <w:sz w:val="28"/>
          <w:szCs w:val="28"/>
          <w:lang w:eastAsia="zh-CN"/>
          <w14:textFill>
            <w14:solidFill>
              <w14:schemeClr w14:val="tx1"/>
            </w14:solidFill>
          </w14:textFill>
        </w:rPr>
        <w:t>；</w:t>
      </w:r>
    </w:p>
    <w:p w14:paraId="027429A3">
      <w:pPr>
        <w:keepNext w:val="0"/>
        <w:keepLines w:val="0"/>
        <w:pageBreakBefore w:val="0"/>
        <w:widowControl w:val="0"/>
        <w:numPr>
          <w:ilvl w:val="0"/>
          <w:numId w:val="7"/>
        </w:numPr>
        <w:wordWrap/>
        <w:overflowPunct/>
        <w:autoSpaceDE/>
        <w:autoSpaceDN/>
        <w:bidi w:val="0"/>
        <w:adjustRightInd/>
        <w:snapToGrid/>
        <w:spacing w:line="520" w:lineRule="exact"/>
        <w:ind w:left="0" w:leftChars="0" w:firstLine="560" w:firstLineChars="200"/>
        <w:textAlignment w:val="auto"/>
        <w:rPr>
          <w:rFonts w:hint="default" w:ascii="Times New Roman" w:hAnsi="Times New Roman" w:eastAsia="宋体" w:cs="Times New Roman"/>
          <w:color w:val="000000" w:themeColor="text1"/>
          <w:sz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其它企业提供相关的资料</w:t>
      </w:r>
      <w:bookmarkEnd w:id="56"/>
      <w:bookmarkStart w:id="57" w:name="_Toc230711671"/>
      <w:bookmarkStart w:id="58" w:name="_Toc149127031"/>
      <w:bookmarkStart w:id="59" w:name="_Toc149082110"/>
      <w:bookmarkStart w:id="60" w:name="_Toc230711560"/>
      <w:bookmarkStart w:id="61" w:name="_Toc138301573"/>
      <w:bookmarkStart w:id="62" w:name="_Toc255571907"/>
      <w:bookmarkStart w:id="63" w:name="_Toc255568549"/>
      <w:bookmarkStart w:id="64" w:name="_Toc107981096"/>
      <w:bookmarkStart w:id="65" w:name="_Toc137691696"/>
      <w:bookmarkStart w:id="66" w:name="_Toc230712133"/>
      <w:bookmarkStart w:id="67" w:name="_Toc235953615"/>
      <w:bookmarkStart w:id="68" w:name="_Toc138472017"/>
      <w:r>
        <w:rPr>
          <w:rFonts w:hint="default" w:ascii="Times New Roman" w:hAnsi="Times New Roman" w:eastAsia="宋体" w:cs="Times New Roman"/>
          <w:color w:val="000000" w:themeColor="text1"/>
          <w:sz w:val="28"/>
          <w:szCs w:val="28"/>
          <w14:textFill>
            <w14:solidFill>
              <w14:schemeClr w14:val="tx1"/>
            </w14:solidFill>
          </w14:textFill>
        </w:rPr>
        <w:t>。</w:t>
      </w:r>
    </w:p>
    <w:bookmarkEnd w:id="57"/>
    <w:bookmarkEnd w:id="58"/>
    <w:bookmarkEnd w:id="59"/>
    <w:bookmarkEnd w:id="60"/>
    <w:bookmarkEnd w:id="61"/>
    <w:bookmarkEnd w:id="62"/>
    <w:bookmarkEnd w:id="63"/>
    <w:bookmarkEnd w:id="64"/>
    <w:bookmarkEnd w:id="65"/>
    <w:bookmarkEnd w:id="66"/>
    <w:bookmarkEnd w:id="67"/>
    <w:bookmarkEnd w:id="68"/>
    <w:p w14:paraId="604317A6">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69" w:name="_Toc313453426"/>
      <w:bookmarkStart w:id="70" w:name="_Toc335926131"/>
      <w:bookmarkStart w:id="71" w:name="_Toc23141"/>
      <w:bookmarkStart w:id="72" w:name="_Toc19395"/>
      <w:bookmarkStart w:id="73" w:name="_Toc26848"/>
      <w:r>
        <w:rPr>
          <w:rFonts w:hint="default" w:ascii="Times New Roman" w:hAnsi="Times New Roman" w:eastAsia="楷体" w:cs="Times New Roman"/>
          <w:color w:val="000000" w:themeColor="text1"/>
          <w14:textFill>
            <w14:solidFill>
              <w14:schemeClr w14:val="tx1"/>
            </w14:solidFill>
          </w14:textFill>
        </w:rPr>
        <w:t>1.3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评价对象及范围</w:t>
      </w:r>
      <w:bookmarkEnd w:id="69"/>
      <w:bookmarkEnd w:id="70"/>
      <w:bookmarkEnd w:id="71"/>
      <w:bookmarkEnd w:id="72"/>
      <w:bookmarkEnd w:id="73"/>
    </w:p>
    <w:p w14:paraId="63D2329D">
      <w:pPr>
        <w:pStyle w:val="327"/>
        <w:keepNext w:val="0"/>
        <w:keepLines w:val="0"/>
        <w:pageBreakBefore w:val="0"/>
        <w:widowControl w:val="0"/>
        <w:kinsoku/>
        <w:wordWrap/>
        <w:overflowPunct/>
        <w:topLinePunct w:val="0"/>
        <w:autoSpaceDE/>
        <w:autoSpaceDN/>
        <w:bidi w:val="0"/>
        <w:adjustRightInd/>
        <w:snapToGrid/>
        <w:spacing w:after="0" w:line="520" w:lineRule="exact"/>
        <w:ind w:right="0" w:rightChars="0" w:firstLine="560" w:firstLineChars="200"/>
        <w:jc w:val="both"/>
        <w:textAlignment w:val="baseline"/>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评价对象：</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年产</w:t>
      </w:r>
      <w:r>
        <w:rPr>
          <w:rFonts w:hint="eastAsia" w:cs="Times New Roman"/>
          <w:color w:val="000000" w:themeColor="text1"/>
          <w:sz w:val="28"/>
          <w:szCs w:val="28"/>
          <w:lang w:val="en-US" w:eastAsia="zh-CN"/>
          <w14:textFill>
            <w14:solidFill>
              <w14:schemeClr w14:val="tx1"/>
            </w14:solidFill>
          </w14:textFill>
        </w:rPr>
        <w:t>3万吨洗涤用品项目。</w:t>
      </w:r>
    </w:p>
    <w:p w14:paraId="0A882446">
      <w:pPr>
        <w:pStyle w:val="327"/>
        <w:keepNext w:val="0"/>
        <w:keepLines w:val="0"/>
        <w:pageBreakBefore w:val="0"/>
        <w:widowControl w:val="0"/>
        <w:kinsoku/>
        <w:wordWrap/>
        <w:overflowPunct/>
        <w:topLinePunct w:val="0"/>
        <w:autoSpaceDE/>
        <w:autoSpaceDN/>
        <w:bidi w:val="0"/>
        <w:adjustRightInd/>
        <w:snapToGrid/>
        <w:spacing w:after="0" w:line="520" w:lineRule="exact"/>
        <w:ind w:right="0" w:rightChars="0" w:firstLine="560" w:firstLineChars="200"/>
        <w:jc w:val="both"/>
        <w:textAlignment w:val="baseline"/>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本次评价的范围：</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年产</w:t>
      </w:r>
      <w:r>
        <w:rPr>
          <w:rFonts w:hint="eastAsia" w:cs="Times New Roman"/>
          <w:color w:val="000000" w:themeColor="text1"/>
          <w:sz w:val="28"/>
          <w:szCs w:val="28"/>
          <w:lang w:val="en-US" w:eastAsia="zh-CN"/>
          <w14:textFill>
            <w14:solidFill>
              <w14:schemeClr w14:val="tx1"/>
            </w14:solidFill>
          </w14:textFill>
        </w:rPr>
        <w:t>3万吨洗涤用品</w:t>
      </w:r>
      <w:r>
        <w:rPr>
          <w:rFonts w:hint="default" w:ascii="Times New Roman" w:hAnsi="Times New Roman" w:eastAsia="宋体" w:cs="Times New Roman"/>
          <w:color w:val="000000" w:themeColor="text1"/>
          <w:sz w:val="28"/>
          <w:szCs w:val="28"/>
          <w14:textFill>
            <w14:solidFill>
              <w14:schemeClr w14:val="tx1"/>
            </w14:solidFill>
          </w14:textFill>
        </w:rPr>
        <w:t>项目</w:t>
      </w:r>
      <w:r>
        <w:rPr>
          <w:rFonts w:hint="default" w:ascii="Times New Roman" w:hAnsi="Times New Roman" w:cs="Times New Roman"/>
          <w:color w:val="000000" w:themeColor="text1"/>
          <w:sz w:val="28"/>
          <w:szCs w:val="28"/>
          <w14:textFill>
            <w14:solidFill>
              <w14:schemeClr w14:val="tx1"/>
            </w14:solidFill>
          </w14:textFill>
        </w:rPr>
        <w:t>的周边环境、总平面布置、生产工艺及设备设施、公用工程及安全管理等。</w:t>
      </w:r>
    </w:p>
    <w:p w14:paraId="0A3D67D4">
      <w:pPr>
        <w:pStyle w:val="29"/>
        <w:keepNext w:val="0"/>
        <w:keepLines w:val="0"/>
        <w:pageBreakBefore w:val="0"/>
        <w:widowControl w:val="0"/>
        <w:kinsoku/>
        <w:wordWrap/>
        <w:overflowPunct/>
        <w:topLinePunct w:val="0"/>
        <w:autoSpaceDE/>
        <w:autoSpaceDN/>
        <w:bidi w:val="0"/>
        <w:snapToGrid/>
        <w:spacing w:line="520" w:lineRule="exact"/>
        <w:ind w:right="0" w:rightChars="0" w:firstLine="600" w:firstLineChars="200"/>
        <w:textAlignment w:val="baseline"/>
        <w:rPr>
          <w:rFonts w:hint="default" w:ascii="Times New Roman" w:hAnsi="Times New Roman" w:eastAsia="宋体" w:cs="Times New Roman"/>
          <w:color w:val="000000" w:themeColor="text1"/>
          <w:szCs w:val="28"/>
          <w14:textFill>
            <w14:solidFill>
              <w14:schemeClr w14:val="tx1"/>
            </w14:solidFill>
          </w14:textFill>
        </w:rPr>
      </w:pPr>
      <w:bookmarkStart w:id="74" w:name="_Toc144146159"/>
      <w:bookmarkStart w:id="75" w:name="_Toc121371435"/>
      <w:bookmarkStart w:id="76" w:name="_Toc144566413"/>
      <w:r>
        <w:rPr>
          <w:rFonts w:hint="default" w:ascii="Times New Roman" w:hAnsi="Times New Roman" w:eastAsia="宋体" w:cs="Times New Roman"/>
          <w:color w:val="000000" w:themeColor="text1"/>
          <w:spacing w:val="10"/>
          <w:szCs w:val="28"/>
          <w14:textFill>
            <w14:solidFill>
              <w14:schemeClr w14:val="tx1"/>
            </w14:solidFill>
          </w14:textFill>
        </w:rPr>
        <w:t>凡涉及</w:t>
      </w:r>
      <w:r>
        <w:rPr>
          <w:rFonts w:hint="default" w:ascii="Times New Roman" w:hAnsi="Times New Roman" w:eastAsia="宋体" w:cs="Times New Roman"/>
          <w:color w:val="000000" w:themeColor="text1"/>
          <w:szCs w:val="28"/>
          <w14:textFill>
            <w14:solidFill>
              <w14:schemeClr w14:val="tx1"/>
            </w14:solidFill>
          </w14:textFill>
        </w:rPr>
        <w:t>项目的环境保护、职业卫生、消防、原辅材料和成品的厂外运输不在本次评价范围内</w:t>
      </w:r>
      <w:bookmarkEnd w:id="74"/>
      <w:bookmarkEnd w:id="75"/>
      <w:bookmarkEnd w:id="76"/>
      <w:r>
        <w:rPr>
          <w:rFonts w:hint="default" w:ascii="Times New Roman" w:hAnsi="Times New Roman" w:eastAsia="宋体" w:cs="Times New Roman"/>
          <w:color w:val="000000" w:themeColor="text1"/>
          <w:szCs w:val="28"/>
          <w14:textFill>
            <w14:solidFill>
              <w14:schemeClr w14:val="tx1"/>
            </w14:solidFill>
          </w14:textFill>
        </w:rPr>
        <w:t>，</w:t>
      </w:r>
      <w:r>
        <w:rPr>
          <w:rFonts w:hint="default" w:ascii="Times New Roman" w:hAnsi="Times New Roman" w:eastAsia="宋体" w:cs="Times New Roman"/>
          <w:color w:val="000000" w:themeColor="text1"/>
          <w:spacing w:val="10"/>
          <w:szCs w:val="28"/>
          <w14:textFill>
            <w14:solidFill>
              <w14:schemeClr w14:val="tx1"/>
            </w14:solidFill>
          </w14:textFill>
        </w:rPr>
        <w:t>但在评价过程中会有所提及。</w:t>
      </w:r>
      <w:r>
        <w:rPr>
          <w:rFonts w:hint="default" w:ascii="Times New Roman" w:hAnsi="Times New Roman" w:eastAsia="宋体" w:cs="Times New Roman"/>
          <w:color w:val="000000" w:themeColor="text1"/>
          <w:szCs w:val="28"/>
          <w14:textFill>
            <w14:solidFill>
              <w14:schemeClr w14:val="tx1"/>
            </w14:solidFill>
          </w14:textFill>
        </w:rPr>
        <w:t>有关这些方面的问题，企业在建设和生产过程中应严格执行国家相关法律、法规、标准和规范要求。</w:t>
      </w:r>
    </w:p>
    <w:p w14:paraId="65AD5661">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77" w:name="_Toc19134"/>
      <w:bookmarkStart w:id="78" w:name="_Toc30838"/>
      <w:bookmarkStart w:id="79" w:name="_Toc335926132"/>
      <w:bookmarkStart w:id="80" w:name="_Toc313453427"/>
      <w:bookmarkStart w:id="81" w:name="_Toc4089"/>
      <w:r>
        <w:rPr>
          <w:rFonts w:hint="default" w:ascii="Times New Roman" w:hAnsi="Times New Roman" w:eastAsia="楷体" w:cs="Times New Roman"/>
          <w:color w:val="000000" w:themeColor="text1"/>
          <w14:textFill>
            <w14:solidFill>
              <w14:schemeClr w14:val="tx1"/>
            </w14:solidFill>
          </w14:textFill>
        </w:rPr>
        <w:t>1.4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评价原则</w:t>
      </w:r>
      <w:bookmarkEnd w:id="77"/>
      <w:bookmarkEnd w:id="78"/>
      <w:bookmarkEnd w:id="79"/>
      <w:bookmarkEnd w:id="80"/>
      <w:bookmarkEnd w:id="81"/>
    </w:p>
    <w:p w14:paraId="541071D0">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cs="Times New Roman"/>
          <w:color w:val="000000" w:themeColor="text1"/>
          <w:sz w:val="28"/>
          <w14:textFill>
            <w14:solidFill>
              <w14:schemeClr w14:val="tx1"/>
            </w14:solidFill>
          </w14:textFill>
        </w:rPr>
      </w:pPr>
      <w:bookmarkStart w:id="82" w:name="_Toc105675477"/>
      <w:bookmarkStart w:id="83" w:name="_Toc105675957"/>
      <w:bookmarkStart w:id="84" w:name="_Toc105730322"/>
      <w:bookmarkStart w:id="85" w:name="_Toc105674759"/>
      <w:bookmarkStart w:id="86" w:name="_Toc28236"/>
      <w:bookmarkStart w:id="87" w:name="_Toc335926133"/>
      <w:bookmarkStart w:id="88" w:name="_Toc313453428"/>
      <w:r>
        <w:rPr>
          <w:rFonts w:hint="default" w:ascii="Times New Roman" w:hAnsi="Times New Roman" w:cs="Times New Roman"/>
          <w:color w:val="000000" w:themeColor="text1"/>
          <w:sz w:val="28"/>
          <w14:textFill>
            <w14:solidFill>
              <w14:schemeClr w14:val="tx1"/>
            </w14:solidFill>
          </w14:textFill>
        </w:rPr>
        <w:t>昭通市鼎安科技有限公司在对该项目进行安全现状评价工作中，始终坚持以下原则：</w:t>
      </w:r>
    </w:p>
    <w:p w14:paraId="302AAFD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1.严格执行国家现行有关法律法规、标准、规章和规范的要求，对该企业进行科学、客观、公正、独立的安全评价；</w:t>
      </w:r>
    </w:p>
    <w:p w14:paraId="58C0FD79">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2.采用可靠、适用的评价技术和评价方法对项目进行定性、定量评价，遵循针对性、技术可行性、经济合理性、可操作性的原则，提出消除或减弱危险、有害因素的技术和管理对策措施建议；</w:t>
      </w:r>
    </w:p>
    <w:p w14:paraId="0ABBF078">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3.真实、准确地做出评价结论，并对在当时条件下做出的安全评价结果承担法律责任；</w:t>
      </w:r>
    </w:p>
    <w:p w14:paraId="5B4D99F1">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4.遵纪守法、恪守职业道德、诚实守信，对被评价对象的技术和商业秘密保密。</w:t>
      </w:r>
      <w:bookmarkEnd w:id="82"/>
      <w:bookmarkEnd w:id="83"/>
      <w:bookmarkEnd w:id="84"/>
      <w:bookmarkEnd w:id="85"/>
    </w:p>
    <w:p w14:paraId="14196FF3">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9" w:name="_Toc11236"/>
      <w:bookmarkStart w:id="90" w:name="_Toc3024"/>
      <w:r>
        <w:rPr>
          <w:rFonts w:hint="default" w:ascii="Times New Roman" w:hAnsi="Times New Roman" w:eastAsia="楷体" w:cs="Times New Roman"/>
          <w:color w:val="000000" w:themeColor="text1"/>
          <w14:textFill>
            <w14:solidFill>
              <w14:schemeClr w14:val="tx1"/>
            </w14:solidFill>
          </w14:textFill>
        </w:rPr>
        <w:t>1.5</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评价程序</w:t>
      </w:r>
      <w:bookmarkEnd w:id="86"/>
      <w:bookmarkEnd w:id="87"/>
      <w:bookmarkEnd w:id="88"/>
      <w:bookmarkEnd w:id="89"/>
      <w:bookmarkEnd w:id="90"/>
    </w:p>
    <w:p w14:paraId="6CCDC98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bookmarkStart w:id="91" w:name="_Toc313453429"/>
      <w:r>
        <w:rPr>
          <w:rFonts w:hint="default" w:ascii="Times New Roman" w:hAnsi="Times New Roman" w:eastAsia="宋体" w:cs="Times New Roman"/>
          <w:color w:val="000000" w:themeColor="text1"/>
          <w:sz w:val="28"/>
          <w:szCs w:val="28"/>
          <w14:textFill>
            <w14:solidFill>
              <w14:schemeClr w14:val="tx1"/>
            </w14:solidFill>
          </w14:textFill>
        </w:rPr>
        <w:t>本项目安全现状评价工作程序如图1-1所示。评价工作分为三个阶段：</w:t>
      </w:r>
    </w:p>
    <w:p w14:paraId="6B906F6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第一阶段为准备阶段，主要收集有关资料，进行初步的危险、危害因素识别，选择评价方法，编制评价大纲；</w:t>
      </w:r>
    </w:p>
    <w:p w14:paraId="0D240BF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第二阶段为实施评价阶段，对工程安全情况进行类比调查，运用合适的评价方法进行定性及定量分析，提出安全对策措施；</w:t>
      </w:r>
    </w:p>
    <w:p w14:paraId="2708F2B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第三阶段为安全评价报告的编制阶段，主要是汇总第二阶段所得到的各种资料、数据，综合分析提出结论与建议，完成本项目安全现状评价报告的编制。</w:t>
      </w:r>
    </w:p>
    <w:p w14:paraId="743EB0D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安全评价的程序见下图所示：</w:t>
      </w:r>
    </w:p>
    <w:p w14:paraId="0D566551">
      <w:pPr>
        <w:spacing w:line="360" w:lineRule="auto"/>
        <w:jc w:val="center"/>
        <w:rPr>
          <w:rFonts w:ascii="Times New Roman"/>
          <w:color w:val="000000" w:themeColor="text1"/>
          <w:szCs w:val="28"/>
          <w:lang w:val="zh-CN"/>
          <w14:textFill>
            <w14:solidFill>
              <w14:schemeClr w14:val="tx1"/>
            </w14:solidFill>
          </w14:textFill>
        </w:rPr>
      </w:pPr>
      <w:r>
        <w:rPr>
          <w:rFonts w:ascii="Times New Roman"/>
          <w:color w:val="000000" w:themeColor="text1"/>
          <w:szCs w:val="28"/>
          <w:lang w:val="zh-CN"/>
          <w14:textFill>
            <w14:solidFill>
              <w14:schemeClr w14:val="tx1"/>
            </w14:solidFill>
          </w14:textFill>
        </w:rPr>
        <w:object>
          <v:shape id="_x0000_i1025" o:spt="75" type="#_x0000_t75" style="height:264.75pt;width:151.5pt;" o:ole="t" filled="f" o:preferrelative="t" stroked="f" coordsize="21600,21600">
            <v:path/>
            <v:fill on="f" focussize="0,0"/>
            <v:stroke on="f" joinstyle="miter"/>
            <v:imagedata r:id="rId11" cropleft="22079f" cropright="19837f" o:title=""/>
            <o:lock v:ext="edit" aspectratio="t"/>
            <w10:wrap type="none"/>
            <w10:anchorlock/>
          </v:shape>
          <o:OLEObject Type="Embed" ProgID="AutoCAD.Drawing.16" ShapeID="_x0000_i1025" DrawAspect="Content" ObjectID="_1468075725" r:id="rId10">
            <o:LockedField>false</o:LockedField>
          </o:OLEObject>
        </w:object>
      </w:r>
    </w:p>
    <w:p w14:paraId="0089CB01">
      <w:pPr>
        <w:spacing w:line="360" w:lineRule="auto"/>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图1-1  安全现状评价程序图</w:t>
      </w:r>
    </w:p>
    <w:p w14:paraId="16F217CD">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92" w:name="_Toc24110"/>
      <w:bookmarkStart w:id="93" w:name="_Toc26128"/>
      <w:bookmarkStart w:id="94" w:name="_Toc335926134"/>
      <w:bookmarkStart w:id="95" w:name="_Toc15641"/>
      <w:r>
        <w:rPr>
          <w:rFonts w:hint="default" w:ascii="Times New Roman" w:hAnsi="Times New Roman" w:eastAsia="楷体" w:cs="Times New Roman"/>
          <w:color w:val="000000" w:themeColor="text1"/>
          <w14:textFill>
            <w14:solidFill>
              <w14:schemeClr w14:val="tx1"/>
            </w14:solidFill>
          </w14:textFill>
        </w:rPr>
        <w:t>1.6</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评价基准日</w:t>
      </w:r>
      <w:bookmarkEnd w:id="91"/>
      <w:bookmarkEnd w:id="92"/>
      <w:bookmarkEnd w:id="93"/>
      <w:bookmarkEnd w:id="94"/>
      <w:bookmarkEnd w:id="95"/>
    </w:p>
    <w:p w14:paraId="04E1C52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评价人员</w:t>
      </w:r>
      <w:r>
        <w:rPr>
          <w:rFonts w:hint="eastAsia" w:ascii="宋体" w:hAnsi="宋体" w:eastAsia="宋体" w:cs="宋体"/>
          <w:color w:val="000000" w:themeColor="text1"/>
          <w:sz w:val="28"/>
          <w:highlight w:val="none"/>
          <w14:textFill>
            <w14:solidFill>
              <w14:schemeClr w14:val="tx1"/>
            </w14:solidFill>
          </w14:textFill>
        </w:rPr>
        <w:t>于202</w:t>
      </w:r>
      <w:r>
        <w:rPr>
          <w:rFonts w:hint="eastAsia" w:ascii="宋体" w:hAnsi="宋体" w:eastAsia="宋体" w:cs="宋体"/>
          <w:color w:val="000000" w:themeColor="text1"/>
          <w:sz w:val="28"/>
          <w:highlight w:val="none"/>
          <w:lang w:val="en-US" w:eastAsia="zh-CN"/>
          <w14:textFill>
            <w14:solidFill>
              <w14:schemeClr w14:val="tx1"/>
            </w14:solidFill>
          </w14:textFill>
        </w:rPr>
        <w:t>4</w:t>
      </w:r>
      <w:r>
        <w:rPr>
          <w:rFonts w:hint="eastAsia" w:ascii="宋体" w:hAnsi="宋体" w:eastAsia="宋体" w:cs="宋体"/>
          <w:color w:val="000000" w:themeColor="text1"/>
          <w:sz w:val="28"/>
          <w:highlight w:val="none"/>
          <w14:textFill>
            <w14:solidFill>
              <w14:schemeClr w14:val="tx1"/>
            </w14:solidFill>
          </w14:textFill>
        </w:rPr>
        <w:t>年</w:t>
      </w:r>
      <w:r>
        <w:rPr>
          <w:rFonts w:hint="eastAsia" w:hAnsi="宋体" w:cs="宋体"/>
          <w:color w:val="000000" w:themeColor="text1"/>
          <w:sz w:val="28"/>
          <w:highlight w:val="none"/>
          <w:lang w:val="en-US" w:eastAsia="zh-CN"/>
          <w14:textFill>
            <w14:solidFill>
              <w14:schemeClr w14:val="tx1"/>
            </w14:solidFill>
          </w14:textFill>
        </w:rPr>
        <w:t>9</w:t>
      </w:r>
      <w:r>
        <w:rPr>
          <w:rFonts w:hint="eastAsia" w:ascii="宋体" w:hAnsi="宋体" w:eastAsia="宋体" w:cs="宋体"/>
          <w:color w:val="000000" w:themeColor="text1"/>
          <w:sz w:val="28"/>
          <w:highlight w:val="none"/>
          <w14:textFill>
            <w14:solidFill>
              <w14:schemeClr w14:val="tx1"/>
            </w14:solidFill>
          </w14:textFill>
        </w:rPr>
        <w:t>月</w:t>
      </w:r>
      <w:r>
        <w:rPr>
          <w:rFonts w:hint="eastAsia" w:hAnsi="宋体" w:cs="宋体"/>
          <w:color w:val="000000" w:themeColor="text1"/>
          <w:sz w:val="28"/>
          <w:highlight w:val="none"/>
          <w:lang w:val="en-US" w:eastAsia="zh-CN"/>
          <w14:textFill>
            <w14:solidFill>
              <w14:schemeClr w14:val="tx1"/>
            </w14:solidFill>
          </w14:textFill>
        </w:rPr>
        <w:t>5</w:t>
      </w:r>
      <w:r>
        <w:rPr>
          <w:rFonts w:hint="eastAsia" w:ascii="宋体" w:hAnsi="宋体" w:eastAsia="宋体" w:cs="宋体"/>
          <w:color w:val="000000" w:themeColor="text1"/>
          <w:sz w:val="28"/>
          <w:highlight w:val="none"/>
          <w14:textFill>
            <w14:solidFill>
              <w14:schemeClr w14:val="tx1"/>
            </w14:solidFill>
          </w14:textFill>
        </w:rPr>
        <w:t>日</w:t>
      </w:r>
      <w:r>
        <w:rPr>
          <w:rFonts w:hint="eastAsia" w:ascii="宋体" w:hAnsi="宋体" w:eastAsia="宋体" w:cs="宋体"/>
          <w:color w:val="000000" w:themeColor="text1"/>
          <w:sz w:val="28"/>
          <w14:textFill>
            <w14:solidFill>
              <w14:schemeClr w14:val="tx1"/>
            </w14:solidFill>
          </w14:textFill>
        </w:rPr>
        <w:t>对</w:t>
      </w:r>
      <w:r>
        <w:rPr>
          <w:rFonts w:hint="eastAsia" w:hAnsi="宋体" w:cs="宋体"/>
          <w:color w:val="000000" w:themeColor="text1"/>
          <w:sz w:val="28"/>
          <w:szCs w:val="28"/>
          <w:lang w:val="en-US" w:eastAsia="zh-CN"/>
          <w14:textFill>
            <w14:solidFill>
              <w14:schemeClr w14:val="tx1"/>
            </w14:solidFill>
          </w14:textFill>
        </w:rPr>
        <w:t>云南玉溪洁灵娜精细日化有限责任公司年产3万吨洗涤用品项目</w:t>
      </w:r>
      <w:r>
        <w:rPr>
          <w:rFonts w:hint="eastAsia" w:ascii="宋体" w:hAnsi="宋体" w:eastAsia="宋体" w:cs="宋体"/>
          <w:color w:val="000000" w:themeColor="text1"/>
          <w:sz w:val="28"/>
          <w14:textFill>
            <w14:solidFill>
              <w14:schemeClr w14:val="tx1"/>
            </w14:solidFill>
          </w14:textFill>
        </w:rPr>
        <w:t>进行了初次现场检查，于</w:t>
      </w:r>
      <w:r>
        <w:rPr>
          <w:rFonts w:hint="eastAsia" w:ascii="宋体" w:hAnsi="宋体" w:eastAsia="宋体" w:cs="宋体"/>
          <w:color w:val="000000" w:themeColor="text1"/>
          <w:sz w:val="28"/>
          <w:highlight w:val="none"/>
          <w14:textFill>
            <w14:solidFill>
              <w14:schemeClr w14:val="tx1"/>
            </w14:solidFill>
          </w14:textFill>
        </w:rPr>
        <w:t>202</w:t>
      </w:r>
      <w:r>
        <w:rPr>
          <w:rFonts w:hint="eastAsia" w:ascii="宋体" w:hAnsi="宋体" w:eastAsia="宋体" w:cs="宋体"/>
          <w:color w:val="000000" w:themeColor="text1"/>
          <w:sz w:val="28"/>
          <w:highlight w:val="none"/>
          <w:lang w:val="en-US" w:eastAsia="zh-CN"/>
          <w14:textFill>
            <w14:solidFill>
              <w14:schemeClr w14:val="tx1"/>
            </w14:solidFill>
          </w14:textFill>
        </w:rPr>
        <w:t>4</w:t>
      </w:r>
      <w:r>
        <w:rPr>
          <w:rFonts w:hint="eastAsia" w:ascii="宋体" w:hAnsi="宋体" w:eastAsia="宋体" w:cs="宋体"/>
          <w:color w:val="000000" w:themeColor="text1"/>
          <w:sz w:val="28"/>
          <w:highlight w:val="none"/>
          <w14:textFill>
            <w14:solidFill>
              <w14:schemeClr w14:val="tx1"/>
            </w14:solidFill>
          </w14:textFill>
        </w:rPr>
        <w:t>年</w:t>
      </w:r>
      <w:r>
        <w:rPr>
          <w:rFonts w:hint="eastAsia" w:ascii="宋体" w:hAnsi="宋体" w:eastAsia="宋体" w:cs="宋体"/>
          <w:color w:val="000000" w:themeColor="text1"/>
          <w:sz w:val="28"/>
          <w:highlight w:val="none"/>
          <w:lang w:val="en-US" w:eastAsia="zh-CN"/>
          <w14:textFill>
            <w14:solidFill>
              <w14:schemeClr w14:val="tx1"/>
            </w14:solidFill>
          </w14:textFill>
        </w:rPr>
        <w:t>1</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月</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日对现场隐患进行复核，</w:t>
      </w:r>
      <w:r>
        <w:rPr>
          <w:rFonts w:hint="eastAsia" w:ascii="宋体" w:hAnsi="宋体" w:eastAsia="宋体" w:cs="宋体"/>
          <w:color w:val="000000" w:themeColor="text1"/>
          <w:sz w:val="28"/>
          <w:highlight w:val="none"/>
          <w:lang w:val="en-US" w:eastAsia="zh-CN"/>
          <w14:textFill>
            <w14:solidFill>
              <w14:schemeClr w14:val="tx1"/>
            </w14:solidFill>
          </w14:textFill>
        </w:rPr>
        <w:t>故该</w:t>
      </w:r>
      <w:r>
        <w:rPr>
          <w:rFonts w:hint="eastAsia" w:ascii="宋体" w:hAnsi="宋体" w:eastAsia="宋体" w:cs="宋体"/>
          <w:color w:val="000000" w:themeColor="text1"/>
          <w:sz w:val="28"/>
          <w:highlight w:val="none"/>
          <w14:textFill>
            <w14:solidFill>
              <w14:schemeClr w14:val="tx1"/>
            </w14:solidFill>
          </w14:textFill>
        </w:rPr>
        <w:t>项目评价基准日为202</w:t>
      </w:r>
      <w:r>
        <w:rPr>
          <w:rFonts w:hint="eastAsia" w:ascii="宋体" w:hAnsi="宋体" w:eastAsia="宋体" w:cs="宋体"/>
          <w:color w:val="000000" w:themeColor="text1"/>
          <w:sz w:val="28"/>
          <w:highlight w:val="none"/>
          <w:lang w:val="en-US" w:eastAsia="zh-CN"/>
          <w14:textFill>
            <w14:solidFill>
              <w14:schemeClr w14:val="tx1"/>
            </w14:solidFill>
          </w14:textFill>
        </w:rPr>
        <w:t>4</w:t>
      </w:r>
      <w:r>
        <w:rPr>
          <w:rFonts w:hint="eastAsia" w:ascii="宋体" w:hAnsi="宋体" w:eastAsia="宋体" w:cs="宋体"/>
          <w:color w:val="000000" w:themeColor="text1"/>
          <w:sz w:val="28"/>
          <w:highlight w:val="none"/>
          <w14:textFill>
            <w14:solidFill>
              <w14:schemeClr w14:val="tx1"/>
            </w14:solidFill>
          </w14:textFill>
        </w:rPr>
        <w:t>年</w:t>
      </w:r>
      <w:r>
        <w:rPr>
          <w:rFonts w:hint="eastAsia" w:ascii="宋体" w:hAnsi="宋体" w:eastAsia="宋体" w:cs="宋体"/>
          <w:color w:val="000000" w:themeColor="text1"/>
          <w:sz w:val="28"/>
          <w:highlight w:val="none"/>
          <w:lang w:val="en-US" w:eastAsia="zh-CN"/>
          <w14:textFill>
            <w14:solidFill>
              <w14:schemeClr w14:val="tx1"/>
            </w14:solidFill>
          </w14:textFill>
        </w:rPr>
        <w:t>1</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月</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日。</w:t>
      </w:r>
    </w:p>
    <w:p w14:paraId="1C02EC9F">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96" w:name="_Toc335926135"/>
      <w:bookmarkStart w:id="97" w:name="_Toc19366"/>
      <w:bookmarkStart w:id="98" w:name="_Toc16706"/>
      <w:bookmarkStart w:id="99" w:name="_Toc313453430"/>
      <w:bookmarkStart w:id="100" w:name="_Toc4672"/>
      <w:r>
        <w:rPr>
          <w:rFonts w:hint="default" w:ascii="Times New Roman" w:hAnsi="Times New Roman" w:eastAsia="楷体" w:cs="Times New Roman"/>
          <w:color w:val="000000" w:themeColor="text1"/>
          <w14:textFill>
            <w14:solidFill>
              <w14:schemeClr w14:val="tx1"/>
            </w14:solidFill>
          </w14:textFill>
        </w:rPr>
        <w:t>1.7</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评价报告使用权声明</w:t>
      </w:r>
      <w:bookmarkEnd w:id="96"/>
      <w:bookmarkEnd w:id="97"/>
      <w:bookmarkEnd w:id="98"/>
      <w:bookmarkEnd w:id="99"/>
      <w:bookmarkEnd w:id="100"/>
    </w:p>
    <w:p w14:paraId="23E7B2D9">
      <w:pPr>
        <w:pageBreakBefore w:val="0"/>
        <w:widowControl w:val="0"/>
        <w:kinsoku/>
        <w:wordWrap/>
        <w:overflowPunct/>
        <w:topLinePunct w:val="0"/>
        <w:autoSpaceDE/>
        <w:autoSpaceDN/>
        <w:bidi w:val="0"/>
        <w:adjustRightInd w:val="0"/>
        <w:snapToGrid w:val="0"/>
        <w:spacing w:line="520" w:lineRule="exact"/>
        <w:ind w:right="-101" w:rightChars="-42" w:firstLine="560" w:firstLineChars="200"/>
        <w:jc w:val="both"/>
        <w:textAlignment w:val="auto"/>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评价报告是受</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default" w:ascii="Times New Roman" w:hAnsi="Times New Roman" w:cs="Times New Roman"/>
          <w:color w:val="000000" w:themeColor="text1"/>
          <w:sz w:val="28"/>
          <w:szCs w:val="28"/>
          <w14:textFill>
            <w14:solidFill>
              <w14:schemeClr w14:val="tx1"/>
            </w14:solidFill>
          </w14:textFill>
        </w:rPr>
        <w:t>委托而编制的，专属委托方使用。除按规定上报各级应急管理部门外，</w:t>
      </w:r>
      <w:r>
        <w:rPr>
          <w:rFonts w:hint="eastAsia" w:ascii="Times New Roman" w:hAnsi="Times New Roman" w:cs="Times New Roman"/>
          <w:color w:val="000000" w:themeColor="text1"/>
          <w:sz w:val="28"/>
          <w:szCs w:val="28"/>
          <w:lang w:val="en-US" w:eastAsia="zh-CN"/>
          <w14:textFill>
            <w14:solidFill>
              <w14:schemeClr w14:val="tx1"/>
            </w14:solidFill>
          </w14:textFill>
        </w:rPr>
        <w:t>昭通市鼎安科技有限公司</w:t>
      </w:r>
      <w:r>
        <w:rPr>
          <w:rFonts w:hint="default" w:ascii="Times New Roman" w:hAnsi="Times New Roman" w:cs="Times New Roman"/>
          <w:color w:val="000000" w:themeColor="text1"/>
          <w:sz w:val="28"/>
          <w:szCs w:val="28"/>
          <w14:textFill>
            <w14:solidFill>
              <w14:schemeClr w14:val="tx1"/>
            </w14:solidFill>
          </w14:textFill>
        </w:rPr>
        <w:t>不会将本评价报告内容向其它任何单位和个人提供，也不会将本评价报告的全部或部份内容，在媒体上或以其它形式公开发表（安全评价技术研究成果除外）。</w:t>
      </w:r>
    </w:p>
    <w:p w14:paraId="0725FAA1">
      <w:pPr>
        <w:pageBreakBefore w:val="0"/>
        <w:widowControl w:val="0"/>
        <w:kinsoku/>
        <w:wordWrap/>
        <w:overflowPunct/>
        <w:topLinePunct w:val="0"/>
        <w:autoSpaceDE/>
        <w:autoSpaceDN/>
        <w:bidi w:val="0"/>
        <w:snapToGrid w:val="0"/>
        <w:spacing w:beforeLines="0" w:afterLines="0"/>
        <w:ind w:firstLine="560" w:firstLineChars="200"/>
        <w:jc w:val="both"/>
        <w:textAlignment w:val="auto"/>
        <w:outlineLvl w:val="9"/>
        <w:rPr>
          <w:rFonts w:hint="default" w:ascii="Times New Roman" w:hAnsi="Times New Roman" w:eastAsia="宋体" w:cs="Times New Roman"/>
          <w:color w:val="000000" w:themeColor="text1"/>
          <w:sz w:val="28"/>
          <w:szCs w:val="28"/>
          <w14:textFill>
            <w14:solidFill>
              <w14:schemeClr w14:val="tx1"/>
            </w14:solidFill>
          </w14:textFill>
        </w:rPr>
        <w:sectPr>
          <w:footerReference r:id="rId6" w:type="default"/>
          <w:pgSz w:w="11906" w:h="16838"/>
          <w:pgMar w:top="1587" w:right="1701" w:bottom="1701" w:left="1701" w:header="851" w:footer="992" w:gutter="0"/>
          <w:pgBorders>
            <w:top w:val="none" w:sz="0" w:space="0"/>
            <w:left w:val="none" w:sz="0" w:space="0"/>
            <w:bottom w:val="none" w:sz="0" w:space="0"/>
            <w:right w:val="none" w:sz="0" w:space="0"/>
          </w:pgBorders>
          <w:pgNumType w:fmt="decimal" w:start="1"/>
          <w:cols w:space="720" w:num="1"/>
          <w:docGrid w:type="lines" w:linePitch="330" w:charSpace="0"/>
        </w:sectPr>
      </w:pPr>
    </w:p>
    <w:p w14:paraId="5B30AD5A">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101" w:name="_Toc209840617"/>
      <w:bookmarkStart w:id="102" w:name="_Toc335926136"/>
      <w:bookmarkStart w:id="103" w:name="_Toc19228"/>
      <w:bookmarkStart w:id="104" w:name="_Toc172174191"/>
      <w:bookmarkStart w:id="105" w:name="_Toc313453431"/>
      <w:bookmarkStart w:id="106" w:name="_Toc6063"/>
      <w:bookmarkStart w:id="107" w:name="_Toc4467"/>
      <w:r>
        <w:rPr>
          <w:rFonts w:hint="default" w:ascii="Times New Roman" w:hAnsi="Times New Roman" w:eastAsia="黑体" w:cs="Times New Roman"/>
          <w:color w:val="000000" w:themeColor="text1"/>
          <w14:textFill>
            <w14:solidFill>
              <w14:schemeClr w14:val="tx1"/>
            </w14:solidFill>
          </w14:textFill>
        </w:rPr>
        <w:t>第2章 企业及项目概况</w:t>
      </w:r>
      <w:bookmarkEnd w:id="101"/>
      <w:bookmarkEnd w:id="102"/>
      <w:bookmarkEnd w:id="103"/>
      <w:bookmarkEnd w:id="104"/>
      <w:bookmarkEnd w:id="105"/>
      <w:bookmarkEnd w:id="106"/>
      <w:bookmarkEnd w:id="107"/>
    </w:p>
    <w:p w14:paraId="3DD14FA1">
      <w:pPr>
        <w:pStyle w:val="5"/>
        <w:keepNext/>
        <w:keepLines/>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color w:val="000000" w:themeColor="text1"/>
          <w:sz w:val="28"/>
          <w:szCs w:val="28"/>
          <w:lang w:val="en-US" w:eastAsia="zh-CN"/>
          <w14:textFill>
            <w14:solidFill>
              <w14:schemeClr w14:val="tx1"/>
            </w14:solidFill>
          </w14:textFill>
        </w:rPr>
      </w:pPr>
      <w:bookmarkStart w:id="108" w:name="_Toc209840618"/>
      <w:bookmarkStart w:id="109" w:name="_Toc313453432"/>
      <w:bookmarkStart w:id="110" w:name="_Toc172174192"/>
      <w:bookmarkStart w:id="111" w:name="_Toc335926137"/>
      <w:bookmarkStart w:id="112" w:name="_Toc21222"/>
      <w:bookmarkStart w:id="113" w:name="_Toc29053"/>
      <w:bookmarkStart w:id="114" w:name="_Toc10964"/>
      <w:r>
        <w:rPr>
          <w:rFonts w:hint="default" w:ascii="Times New Roman" w:hAnsi="Times New Roman" w:eastAsia="楷体" w:cs="Times New Roman"/>
          <w:color w:val="000000" w:themeColor="text1"/>
          <w14:textFill>
            <w14:solidFill>
              <w14:schemeClr w14:val="tx1"/>
            </w14:solidFill>
          </w14:textFill>
        </w:rPr>
        <w:t>2.1</w:t>
      </w:r>
      <w:bookmarkEnd w:id="108"/>
      <w:bookmarkEnd w:id="109"/>
      <w:bookmarkEnd w:id="110"/>
      <w:bookmarkEnd w:id="111"/>
      <w:bookmarkEnd w:id="112"/>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企业</w:t>
      </w:r>
      <w:bookmarkEnd w:id="113"/>
      <w:r>
        <w:rPr>
          <w:rFonts w:hint="eastAsia" w:ascii="Times New Roman" w:hAnsi="Times New Roman" w:cs="Times New Roman"/>
          <w:color w:val="000000" w:themeColor="text1"/>
          <w:lang w:val="en-US" w:eastAsia="zh-CN"/>
          <w14:textFill>
            <w14:solidFill>
              <w14:schemeClr w14:val="tx1"/>
            </w14:solidFill>
          </w14:textFill>
        </w:rPr>
        <w:t>概况</w:t>
      </w:r>
      <w:bookmarkEnd w:id="114"/>
      <w:bookmarkStart w:id="115" w:name="_Toc309682398"/>
      <w:bookmarkStart w:id="116" w:name="_Toc278151340"/>
      <w:bookmarkStart w:id="117" w:name="_Toc327017732"/>
      <w:bookmarkStart w:id="118" w:name="_Toc16953"/>
      <w:bookmarkStart w:id="119" w:name="_Toc335926138"/>
      <w:bookmarkStart w:id="120" w:name="_Toc313453446"/>
    </w:p>
    <w:p w14:paraId="5AB86986">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企业名称：</w:t>
      </w:r>
      <w:r>
        <w:rPr>
          <w:rFonts w:hint="eastAsia" w:ascii="宋体" w:hAnsi="宋体" w:cs="宋体"/>
          <w:color w:val="000000" w:themeColor="text1"/>
          <w:sz w:val="28"/>
          <w:szCs w:val="28"/>
          <w:lang w:eastAsia="zh-CN"/>
          <w14:textFill>
            <w14:solidFill>
              <w14:schemeClr w14:val="tx1"/>
            </w14:solidFill>
          </w14:textFill>
        </w:rPr>
        <w:t>云南玉溪洁灵娜精细日化有限责任公司</w:t>
      </w:r>
    </w:p>
    <w:p w14:paraId="2CCEA795">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社会信用代码：</w:t>
      </w:r>
      <w:r>
        <w:rPr>
          <w:rFonts w:hint="eastAsia" w:ascii="宋体" w:hAnsi="宋体" w:eastAsia="宋体" w:cs="宋体"/>
          <w:color w:val="000000" w:themeColor="text1"/>
          <w:sz w:val="28"/>
          <w:szCs w:val="28"/>
          <w:lang w:eastAsia="zh-CN"/>
          <w14:textFill>
            <w14:solidFill>
              <w14:schemeClr w14:val="tx1"/>
            </w14:solidFill>
          </w14:textFill>
        </w:rPr>
        <w:t>91530402713477634U</w:t>
      </w:r>
    </w:p>
    <w:p w14:paraId="014F944A">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法定代表人：葛茂东</w:t>
      </w:r>
    </w:p>
    <w:p w14:paraId="49091D16">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注册资本：壹佰万元整</w:t>
      </w:r>
    </w:p>
    <w:p w14:paraId="65B59503">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成立日期：2000年09月08日</w:t>
      </w:r>
    </w:p>
    <w:p w14:paraId="47E0E9D9">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营业期限：2003年09月08日  至 长期</w:t>
      </w:r>
    </w:p>
    <w:p w14:paraId="6552B976">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类    型：有限责任公司（自然人独资）</w:t>
      </w:r>
    </w:p>
    <w:p w14:paraId="702AF1FF">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住所：云南省玉溪市红塔区研和工业园区哨坡坡脚</w:t>
      </w:r>
    </w:p>
    <w:p w14:paraId="495EBB92">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经营范围：</w:t>
      </w:r>
      <w:r>
        <w:rPr>
          <w:rFonts w:hint="eastAsia" w:ascii="宋体" w:hAnsi="宋体" w:eastAsia="宋体" w:cs="宋体"/>
          <w:color w:val="000000" w:themeColor="text1"/>
          <w:sz w:val="28"/>
          <w:szCs w:val="28"/>
          <w:lang w:eastAsia="zh-CN"/>
          <w14:textFill>
            <w14:solidFill>
              <w14:schemeClr w14:val="tx1"/>
            </w14:solidFill>
          </w14:textFill>
        </w:rPr>
        <w:t>洗涤用品生产、销售；化工原料（不含危险品）、日用品批发、零售；场地、房屋租赁服务。（依法须经批准的项目，经相关部门批准后方可开展经营活动）。</w:t>
      </w:r>
    </w:p>
    <w:bookmarkEnd w:id="115"/>
    <w:bookmarkEnd w:id="116"/>
    <w:bookmarkEnd w:id="117"/>
    <w:bookmarkEnd w:id="118"/>
    <w:bookmarkEnd w:id="119"/>
    <w:p w14:paraId="64715DE7">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121" w:name="_Toc19325"/>
      <w:bookmarkStart w:id="122" w:name="_Toc23292"/>
      <w:bookmarkStart w:id="123" w:name="_Toc8441"/>
      <w:r>
        <w:rPr>
          <w:rFonts w:hint="default" w:ascii="Times New Roman" w:hAnsi="Times New Roman" w:eastAsia="楷体" w:cs="Times New Roman"/>
          <w:color w:val="000000" w:themeColor="text1"/>
          <w14:textFill>
            <w14:solidFill>
              <w14:schemeClr w14:val="tx1"/>
            </w14:solidFill>
          </w14:textFill>
        </w:rPr>
        <w:t>2.2</w:t>
      </w:r>
      <w:bookmarkEnd w:id="121"/>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项目概况</w:t>
      </w:r>
      <w:bookmarkEnd w:id="122"/>
      <w:bookmarkEnd w:id="123"/>
    </w:p>
    <w:p w14:paraId="0095011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24" w:name="_Toc30001346"/>
      <w:bookmarkStart w:id="125" w:name="_Toc61474369"/>
      <w:bookmarkStart w:id="126" w:name="_Toc15217"/>
      <w:bookmarkStart w:id="127" w:name="_Toc1823"/>
      <w:bookmarkStart w:id="128" w:name="_Toc14249"/>
      <w:bookmarkStart w:id="129" w:name="_Toc28479"/>
      <w:bookmarkStart w:id="130" w:name="_Toc8737"/>
      <w:r>
        <w:rPr>
          <w:rFonts w:hint="default" w:ascii="Times New Roman" w:hAnsi="Times New Roman" w:eastAsia="黑体" w:cs="Times New Roman"/>
          <w:color w:val="000000" w:themeColor="text1"/>
          <w14:textFill>
            <w14:solidFill>
              <w14:schemeClr w14:val="tx1"/>
            </w14:solidFill>
          </w14:textFill>
        </w:rPr>
        <w:t>2.2.1项目</w:t>
      </w:r>
      <w:bookmarkEnd w:id="124"/>
      <w:bookmarkEnd w:id="125"/>
      <w:r>
        <w:rPr>
          <w:rFonts w:hint="default" w:ascii="Times New Roman" w:hAnsi="Times New Roman" w:eastAsia="黑体" w:cs="Times New Roman"/>
          <w:color w:val="000000" w:themeColor="text1"/>
          <w14:textFill>
            <w14:solidFill>
              <w14:schemeClr w14:val="tx1"/>
            </w14:solidFill>
          </w14:textFill>
        </w:rPr>
        <w:t>简介</w:t>
      </w:r>
      <w:bookmarkEnd w:id="126"/>
      <w:bookmarkEnd w:id="127"/>
      <w:bookmarkEnd w:id="128"/>
      <w:bookmarkEnd w:id="129"/>
      <w:bookmarkEnd w:id="130"/>
    </w:p>
    <w:p w14:paraId="16C72669">
      <w:pPr>
        <w:pStyle w:val="327"/>
        <w:keepNext w:val="0"/>
        <w:keepLines w:val="0"/>
        <w:pageBreakBefore w:val="0"/>
        <w:widowControl w:val="0"/>
        <w:kinsoku/>
        <w:wordWrap/>
        <w:overflowPunct/>
        <w:topLinePunct w:val="0"/>
        <w:autoSpaceDE/>
        <w:autoSpaceDN/>
        <w:bidi w:val="0"/>
        <w:adjustRightInd/>
        <w:snapToGrid/>
        <w:spacing w:after="0" w:line="500" w:lineRule="exact"/>
        <w:ind w:firstLine="560" w:firstLineChars="200"/>
        <w:jc w:val="both"/>
        <w:textAlignment w:val="baseline"/>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云南玉溪洁灵娜精细日化有限责任公司成立于2000年09月08日。公同现建设有年产3万吨洗涤用品生产线一条，主要生产洗涤用品等。配套建设有综合楼、生产车间、临时用房、厨房、食堂等，现有员工6名。公司现有场地位于云南省玉溪市红塔区研和工业园区哨坡坡脚。</w:t>
      </w:r>
    </w:p>
    <w:p w14:paraId="731837C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31" w:name="_Toc20298"/>
      <w:bookmarkStart w:id="132" w:name="_Toc21644"/>
      <w:bookmarkStart w:id="133" w:name="_Toc335926139"/>
      <w:bookmarkStart w:id="134" w:name="_Toc13455"/>
      <w:r>
        <w:rPr>
          <w:rFonts w:hint="default" w:ascii="Times New Roman" w:hAnsi="Times New Roman" w:eastAsia="黑体" w:cs="Times New Roman"/>
          <w:color w:val="000000" w:themeColor="text1"/>
          <w14:textFill>
            <w14:solidFill>
              <w14:schemeClr w14:val="tx1"/>
            </w14:solidFill>
          </w14:textFill>
        </w:rPr>
        <w:t>2.2.</w:t>
      </w:r>
      <w:r>
        <w:rPr>
          <w:rFonts w:hint="eastAsia" w:ascii="Times New Roman" w:hAnsi="Times New Roman" w:cs="Times New Roman"/>
          <w:color w:val="000000" w:themeColor="text1"/>
          <w:lang w:val="en-US" w:eastAsia="zh-CN"/>
          <w14:textFill>
            <w14:solidFill>
              <w14:schemeClr w14:val="tx1"/>
            </w14:solidFill>
          </w14:textFill>
        </w:rPr>
        <w:t xml:space="preserve">2 </w:t>
      </w:r>
      <w:r>
        <w:rPr>
          <w:rFonts w:hint="default" w:ascii="Times New Roman" w:hAnsi="Times New Roman" w:eastAsia="黑体" w:cs="Times New Roman"/>
          <w:color w:val="000000" w:themeColor="text1"/>
          <w14:textFill>
            <w14:solidFill>
              <w14:schemeClr w14:val="tx1"/>
            </w14:solidFill>
          </w14:textFill>
        </w:rPr>
        <w:t>项目地理位置</w:t>
      </w:r>
      <w:bookmarkEnd w:id="120"/>
      <w:bookmarkEnd w:id="131"/>
      <w:bookmarkEnd w:id="132"/>
      <w:bookmarkEnd w:id="133"/>
      <w:bookmarkEnd w:id="134"/>
    </w:p>
    <w:p w14:paraId="684F5A64">
      <w:pPr>
        <w:pageBreakBefore w:val="0"/>
        <w:widowControl w:val="0"/>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玉溪市，云南省辖地级市，位于云南省中部，地理坐标处于北纬23°19′～24°53′、 东经101°16′～103°09′6之间。北接省会昆明市，西南连普洱市，东南邻红河哈尼族彝族自治州，西北靠楚雄彝族自治州，全市面积约1.5万平方公里。</w:t>
      </w:r>
      <w:r>
        <w:rPr>
          <w:rFonts w:eastAsia="宋体"/>
          <w:sz w:val="28"/>
          <w:szCs w:val="28"/>
          <w:highlight w:val="none"/>
        </w:rPr>
        <w:t>研和街道，隶属于</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"https://baike.baidu.com/item/%E4%BA%91%E5%8D%97%E7%9C%81/18664752?fromModule=lemma_inlink"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云南省</w:t>
      </w:r>
      <w:r>
        <w:rPr>
          <w:rFonts w:hint="default" w:eastAsia="宋体"/>
          <w:sz w:val="28"/>
          <w:szCs w:val="28"/>
          <w:highlight w:val="none"/>
        </w:rPr>
        <w:fldChar w:fldCharType="end"/>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"https://baike.baidu.com/item/%E7%8E%89%E6%BA%AA%E5%B8%82/744471?fromModule=lemma_inlink"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玉溪市</w:t>
      </w:r>
      <w:r>
        <w:rPr>
          <w:rFonts w:hint="default" w:eastAsia="宋体"/>
          <w:sz w:val="28"/>
          <w:szCs w:val="28"/>
          <w:highlight w:val="none"/>
        </w:rPr>
        <w:fldChar w:fldCharType="end"/>
      </w:r>
      <w:r>
        <w:rPr>
          <w:rFonts w:hint="default" w:eastAsia="宋体"/>
          <w:sz w:val="28"/>
          <w:szCs w:val="28"/>
          <w:highlight w:val="none"/>
        </w:rPr>
        <w:t>红塔区，地处</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"https://baike.baidu.com/item/%E7%BA%A2%E5%A1%94%E5%8C%BA/1166754?fromModule=lemma_inlink"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红塔区</w:t>
      </w:r>
      <w:r>
        <w:rPr>
          <w:rFonts w:hint="default" w:eastAsia="宋体"/>
          <w:sz w:val="28"/>
          <w:szCs w:val="28"/>
          <w:highlight w:val="none"/>
        </w:rPr>
        <w:fldChar w:fldCharType="end"/>
      </w:r>
      <w:r>
        <w:rPr>
          <w:rFonts w:hint="default" w:eastAsia="宋体"/>
          <w:sz w:val="28"/>
          <w:szCs w:val="28"/>
          <w:highlight w:val="none"/>
        </w:rPr>
        <w:t>南部，东与</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"https://baike.baidu.com/item/%E9%80%9A%E6%B5%B7%E5%8E%BF/5368305?fromModule=lemma_inlink"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通海县</w:t>
      </w:r>
      <w:r>
        <w:rPr>
          <w:rFonts w:hint="default" w:eastAsia="宋体"/>
          <w:sz w:val="28"/>
          <w:szCs w:val="28"/>
          <w:highlight w:val="none"/>
        </w:rPr>
        <w:fldChar w:fldCharType="end"/>
      </w:r>
      <w:r>
        <w:rPr>
          <w:rFonts w:hint="default" w:eastAsia="宋体"/>
          <w:sz w:val="28"/>
          <w:szCs w:val="28"/>
          <w:highlight w:val="none"/>
        </w:rPr>
        <w:t>相连，南与</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"https://baike.baidu.com/item/%E5%B3%A8%E5%B1%B1%E5%BD%9D%E6%97%8F%E8%87%AA%E6%B2%BB%E5%8E%BF/10538635?fromModule=lemma_inlink"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峨山彝族自治县</w:t>
      </w:r>
      <w:r>
        <w:rPr>
          <w:rFonts w:hint="default" w:eastAsia="宋体"/>
          <w:sz w:val="28"/>
          <w:szCs w:val="28"/>
          <w:highlight w:val="none"/>
        </w:rPr>
        <w:fldChar w:fldCharType="end"/>
      </w:r>
      <w:r>
        <w:rPr>
          <w:rFonts w:hint="default" w:eastAsia="宋体"/>
          <w:sz w:val="28"/>
          <w:szCs w:val="28"/>
          <w:highlight w:val="none"/>
        </w:rPr>
        <w:t>为邻，西倚</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"https://baike.baidu.com/item/%E5%A4%A7%E8%90%A5%E8%A1%97%E8%A1%97%E9%81%93/12017092?fromModule=lemma_inlink"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大营街街道</w:t>
      </w:r>
      <w:r>
        <w:rPr>
          <w:rFonts w:hint="default" w:eastAsia="宋体"/>
          <w:sz w:val="28"/>
          <w:szCs w:val="28"/>
          <w:highlight w:val="none"/>
        </w:rPr>
        <w:fldChar w:fldCharType="end"/>
      </w:r>
      <w:r>
        <w:rPr>
          <w:rFonts w:hint="default" w:eastAsia="宋体"/>
          <w:sz w:val="28"/>
          <w:szCs w:val="28"/>
          <w:highlight w:val="none"/>
        </w:rPr>
        <w:t>，北与</w:t>
      </w:r>
      <w:r>
        <w:rPr>
          <w:rFonts w:hint="default" w:eastAsia="宋体"/>
          <w:sz w:val="28"/>
          <w:szCs w:val="28"/>
          <w:highlight w:val="none"/>
        </w:rPr>
        <w:fldChar w:fldCharType="begin"/>
      </w:r>
      <w:r>
        <w:rPr>
          <w:rFonts w:hint="default" w:eastAsia="宋体"/>
          <w:sz w:val="28"/>
          <w:szCs w:val="28"/>
          <w:highlight w:val="none"/>
        </w:rPr>
        <w:instrText xml:space="preserve"> HYPERLINK "https://baike.baidu.com/item/%E9%AB%98%E4%BB%93%E8%A1%97%E9%81%93/12017145?fromModule=lemma_inlink" \t "https://baike.baidu.com/item/%E7%A0%94%E5%92%8C%E8%A1%97%E9%81%93/_blank" </w:instrText>
      </w:r>
      <w:r>
        <w:rPr>
          <w:rFonts w:hint="default" w:eastAsia="宋体"/>
          <w:sz w:val="28"/>
          <w:szCs w:val="28"/>
          <w:highlight w:val="none"/>
        </w:rPr>
        <w:fldChar w:fldCharType="separate"/>
      </w:r>
      <w:r>
        <w:rPr>
          <w:rFonts w:hint="default" w:eastAsia="宋体"/>
          <w:sz w:val="28"/>
          <w:szCs w:val="28"/>
          <w:highlight w:val="none"/>
        </w:rPr>
        <w:t>高仓街道</w:t>
      </w:r>
      <w:r>
        <w:rPr>
          <w:rFonts w:hint="default" w:eastAsia="宋体"/>
          <w:sz w:val="28"/>
          <w:szCs w:val="28"/>
          <w:highlight w:val="none"/>
        </w:rPr>
        <w:fldChar w:fldCharType="end"/>
      </w:r>
      <w:r>
        <w:rPr>
          <w:rFonts w:hint="default" w:eastAsia="宋体"/>
          <w:sz w:val="28"/>
          <w:szCs w:val="28"/>
          <w:highlight w:val="none"/>
        </w:rPr>
        <w:t>接壤，研和街道办事处北距玉溪市区15千米，北距省会昆明100余千米，区域总面积131.63平方千米， 截至2011年末，研和街道总人口45957人。</w:t>
      </w:r>
    </w:p>
    <w:p w14:paraId="4AD194B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color w:val="000000" w:themeColor="text1"/>
          <w:spacing w:val="-8"/>
          <w:sz w:val="28"/>
          <w:szCs w:val="28"/>
          <w14:textFill>
            <w14:solidFill>
              <w14:schemeClr w14:val="tx1"/>
            </w14:solidFill>
          </w14:textFill>
        </w:rPr>
      </w:pPr>
      <w:r>
        <w:rPr>
          <w:rFonts w:hint="eastAsia" w:ascii="Times New Roman" w:hAnsi="Times New Roman" w:eastAsia="宋体" w:cs="Times New Roman"/>
          <w:kern w:val="2"/>
          <w:sz w:val="28"/>
          <w:szCs w:val="28"/>
          <w:highlight w:val="none"/>
          <w:lang w:val="en-US" w:eastAsia="zh-CN" w:bidi="ar-SA"/>
        </w:rPr>
        <w:t>玉溪国家高新技术产业开发区位于玉溪市西南部，该项目位于玉溪</w:t>
      </w:r>
      <w:r>
        <w:rPr>
          <w:rFonts w:hint="eastAsia" w:cs="Times New Roman"/>
          <w:kern w:val="2"/>
          <w:sz w:val="28"/>
          <w:szCs w:val="28"/>
          <w:highlight w:val="none"/>
          <w:lang w:val="en-US" w:eastAsia="zh-CN" w:bidi="ar-SA"/>
        </w:rPr>
        <w:t>市红塔工业园区研和工业</w:t>
      </w:r>
      <w:r>
        <w:rPr>
          <w:rFonts w:hint="eastAsia" w:ascii="Times New Roman" w:hAnsi="Times New Roman" w:eastAsia="宋体" w:cs="Times New Roman"/>
          <w:kern w:val="2"/>
          <w:sz w:val="28"/>
          <w:szCs w:val="28"/>
          <w:highlight w:val="none"/>
          <w:lang w:val="en-US" w:eastAsia="zh-CN" w:bidi="ar-SA"/>
        </w:rPr>
        <w:t>园；距离项目最近的高速为昆磨高速及</w:t>
      </w:r>
      <w:r>
        <w:rPr>
          <w:rFonts w:hint="eastAsia" w:cs="Times New Roman"/>
          <w:kern w:val="2"/>
          <w:sz w:val="28"/>
          <w:szCs w:val="28"/>
          <w:highlight w:val="none"/>
          <w:lang w:val="en-US" w:eastAsia="zh-CN" w:bidi="ar-SA"/>
        </w:rPr>
        <w:t>102省</w:t>
      </w:r>
      <w:r>
        <w:rPr>
          <w:rFonts w:hint="eastAsia" w:ascii="Times New Roman" w:hAnsi="Times New Roman" w:eastAsia="宋体" w:cs="Times New Roman"/>
          <w:kern w:val="2"/>
          <w:sz w:val="28"/>
          <w:szCs w:val="28"/>
          <w:highlight w:val="none"/>
          <w:lang w:val="en-US" w:eastAsia="zh-CN" w:bidi="ar-SA"/>
        </w:rPr>
        <w:t>道，厂区出入口道路与</w:t>
      </w:r>
      <w:r>
        <w:rPr>
          <w:rFonts w:hint="eastAsia" w:cs="Times New Roman"/>
          <w:kern w:val="2"/>
          <w:sz w:val="28"/>
          <w:szCs w:val="28"/>
          <w:highlight w:val="none"/>
          <w:lang w:val="en-US" w:eastAsia="zh-CN" w:bidi="ar-SA"/>
        </w:rPr>
        <w:t>102省道</w:t>
      </w:r>
      <w:r>
        <w:rPr>
          <w:rFonts w:hint="eastAsia" w:ascii="Times New Roman" w:hAnsi="Times New Roman" w:eastAsia="宋体" w:cs="Times New Roman"/>
          <w:kern w:val="2"/>
          <w:sz w:val="28"/>
          <w:szCs w:val="28"/>
          <w:highlight w:val="none"/>
          <w:lang w:val="en-US" w:eastAsia="zh-CN" w:bidi="ar-SA"/>
        </w:rPr>
        <w:t>相连接，交通便利。中心地理坐标为北纬：</w:t>
      </w:r>
      <w:r>
        <w:rPr>
          <w:rFonts w:hint="default" w:ascii="Times New Roman" w:hAnsi="Times New Roman" w:eastAsia="宋体" w:cs="Times New Roman"/>
          <w:kern w:val="2"/>
          <w:sz w:val="28"/>
          <w:szCs w:val="28"/>
          <w:highlight w:val="none"/>
          <w:lang w:val="en-US" w:eastAsia="zh-CN" w:bidi="ar-SA"/>
        </w:rPr>
        <w:t>24°</w:t>
      </w:r>
      <w:r>
        <w:rPr>
          <w:rFonts w:hint="eastAsia" w:cs="Times New Roman"/>
          <w:kern w:val="2"/>
          <w:sz w:val="28"/>
          <w:szCs w:val="28"/>
          <w:highlight w:val="none"/>
          <w:lang w:val="en-US" w:eastAsia="zh-CN" w:bidi="ar-SA"/>
        </w:rPr>
        <w:t>16</w:t>
      </w:r>
      <w:r>
        <w:rPr>
          <w:rFonts w:hint="default" w:ascii="Times New Roman" w:hAnsi="Times New Roman" w:eastAsia="宋体" w:cs="Times New Roman"/>
          <w:kern w:val="2"/>
          <w:sz w:val="28"/>
          <w:szCs w:val="28"/>
          <w:highlight w:val="none"/>
          <w:lang w:val="en-US" w:eastAsia="zh-CN" w:bidi="ar-SA"/>
        </w:rPr>
        <w:t>′</w:t>
      </w:r>
      <w:r>
        <w:rPr>
          <w:rFonts w:hint="eastAsia" w:cs="Times New Roman"/>
          <w:kern w:val="2"/>
          <w:sz w:val="28"/>
          <w:szCs w:val="28"/>
          <w:highlight w:val="none"/>
          <w:lang w:val="en-US" w:eastAsia="zh-CN" w:bidi="ar-SA"/>
        </w:rPr>
        <w:t>50</w:t>
      </w:r>
      <w:r>
        <w:rPr>
          <w:rFonts w:hint="default" w:ascii="Times New Roman" w:hAnsi="Times New Roman" w:eastAsia="宋体" w:cs="Times New Roman"/>
          <w:kern w:val="2"/>
          <w:sz w:val="28"/>
          <w:szCs w:val="28"/>
          <w:highlight w:val="none"/>
          <w:lang w:val="en-US" w:eastAsia="zh-CN" w:bidi="ar-SA"/>
        </w:rPr>
        <w:t>″，东经：102°</w:t>
      </w:r>
      <w:r>
        <w:rPr>
          <w:rFonts w:hint="eastAsia" w:cs="Times New Roman"/>
          <w:kern w:val="2"/>
          <w:sz w:val="28"/>
          <w:szCs w:val="28"/>
          <w:highlight w:val="none"/>
          <w:lang w:val="en-US" w:eastAsia="zh-CN" w:bidi="ar-SA"/>
        </w:rPr>
        <w:t>29</w:t>
      </w:r>
      <w:r>
        <w:rPr>
          <w:rFonts w:hint="default" w:ascii="Times New Roman" w:hAnsi="Times New Roman" w:eastAsia="宋体" w:cs="Times New Roman"/>
          <w:kern w:val="2"/>
          <w:sz w:val="28"/>
          <w:szCs w:val="28"/>
          <w:highlight w:val="none"/>
          <w:lang w:val="en-US" w:eastAsia="zh-CN" w:bidi="ar-SA"/>
        </w:rPr>
        <w:t>′</w:t>
      </w:r>
      <w:r>
        <w:rPr>
          <w:rFonts w:hint="eastAsia" w:cs="Times New Roman"/>
          <w:kern w:val="2"/>
          <w:sz w:val="28"/>
          <w:szCs w:val="28"/>
          <w:highlight w:val="none"/>
          <w:lang w:val="en-US" w:eastAsia="zh-CN" w:bidi="ar-SA"/>
        </w:rPr>
        <w:t>15</w:t>
      </w:r>
      <w:r>
        <w:rPr>
          <w:rFonts w:hint="default" w:ascii="Times New Roman" w:hAnsi="Times New Roman" w:eastAsia="宋体" w:cs="Times New Roman"/>
          <w:kern w:val="2"/>
          <w:sz w:val="28"/>
          <w:szCs w:val="28"/>
          <w:highlight w:val="none"/>
          <w:lang w:val="en-US" w:eastAsia="zh-CN" w:bidi="ar-SA"/>
        </w:rPr>
        <w:t>″</w:t>
      </w:r>
      <w:r>
        <w:rPr>
          <w:rFonts w:hint="eastAsia" w:ascii="Times New Roman" w:hAnsi="Times New Roman" w:eastAsia="宋体" w:cs="Times New Roman"/>
          <w:kern w:val="2"/>
          <w:sz w:val="28"/>
          <w:szCs w:val="28"/>
          <w:highlight w:val="none"/>
          <w:lang w:val="en-US" w:eastAsia="zh-CN" w:bidi="ar-SA"/>
        </w:rPr>
        <w:t>。</w:t>
      </w:r>
      <w:r>
        <w:rPr>
          <w:rFonts w:hint="eastAsia" w:ascii="宋体" w:hAnsi="宋体" w:eastAsia="宋体" w:cs="宋体"/>
          <w:color w:val="000000" w:themeColor="text1"/>
          <w:sz w:val="28"/>
          <w:szCs w:val="28"/>
          <w14:textFill>
            <w14:solidFill>
              <w14:schemeClr w14:val="tx1"/>
            </w14:solidFill>
          </w14:textFill>
        </w:rPr>
        <w:t>项目地理位置见</w:t>
      </w:r>
      <w:r>
        <w:rPr>
          <w:rFonts w:hint="eastAsia" w:ascii="宋体" w:hAnsi="宋体" w:eastAsia="宋体" w:cs="宋体"/>
          <w:color w:val="000000" w:themeColor="text1"/>
          <w:spacing w:val="-8"/>
          <w:sz w:val="28"/>
          <w:szCs w:val="28"/>
          <w:lang w:eastAsia="zh-CN"/>
          <w14:textFill>
            <w14:solidFill>
              <w14:schemeClr w14:val="tx1"/>
            </w14:solidFill>
          </w14:textFill>
        </w:rPr>
        <w:t>详</w:t>
      </w:r>
      <w:r>
        <w:rPr>
          <w:rFonts w:hint="eastAsia" w:ascii="宋体" w:hAnsi="宋体" w:eastAsia="宋体" w:cs="宋体"/>
          <w:color w:val="000000" w:themeColor="text1"/>
          <w:spacing w:val="-8"/>
          <w:sz w:val="28"/>
          <w:szCs w:val="28"/>
          <w14:textFill>
            <w14:solidFill>
              <w14:schemeClr w14:val="tx1"/>
            </w14:solidFill>
          </w14:textFill>
        </w:rPr>
        <w:t xml:space="preserve">见图 </w:t>
      </w:r>
      <w:r>
        <w:rPr>
          <w:rFonts w:hint="eastAsia" w:ascii="宋体" w:hAnsi="宋体" w:eastAsia="宋体" w:cs="宋体"/>
          <w:color w:val="000000" w:themeColor="text1"/>
          <w:spacing w:val="-8"/>
          <w:sz w:val="28"/>
          <w:szCs w:val="28"/>
          <w:lang w:val="en-US" w:eastAsia="zh-CN"/>
          <w14:textFill>
            <w14:solidFill>
              <w14:schemeClr w14:val="tx1"/>
            </w14:solidFill>
          </w14:textFill>
        </w:rPr>
        <w:t>2</w:t>
      </w:r>
      <w:r>
        <w:rPr>
          <w:rFonts w:hint="eastAsia" w:ascii="宋体" w:hAnsi="宋体" w:eastAsia="宋体" w:cs="宋体"/>
          <w:color w:val="000000" w:themeColor="text1"/>
          <w:spacing w:val="-8"/>
          <w:sz w:val="28"/>
          <w:szCs w:val="28"/>
          <w14:textFill>
            <w14:solidFill>
              <w14:schemeClr w14:val="tx1"/>
            </w14:solidFill>
          </w14:textFill>
        </w:rPr>
        <w:t>-1。</w:t>
      </w:r>
    </w:p>
    <w:p w14:paraId="07B7984B">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000000" w:themeColor="text1"/>
          <w14:textFill>
            <w14:solidFill>
              <w14:schemeClr w14:val="tx1"/>
            </w14:solidFill>
          </w14:textFill>
        </w:rPr>
      </w:pPr>
      <w:r>
        <w:drawing>
          <wp:inline distT="0" distB="0" distL="114300" distR="114300">
            <wp:extent cx="5408295" cy="3596640"/>
            <wp:effectExtent l="0" t="0" r="1905" b="0"/>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12"/>
                    <a:stretch>
                      <a:fillRect/>
                    </a:stretch>
                  </pic:blipFill>
                  <pic:spPr>
                    <a:xfrm>
                      <a:off x="0" y="0"/>
                      <a:ext cx="5408295" cy="3596640"/>
                    </a:xfrm>
                    <a:prstGeom prst="rect">
                      <a:avLst/>
                    </a:prstGeom>
                    <a:noFill/>
                    <a:ln>
                      <a:noFill/>
                    </a:ln>
                  </pic:spPr>
                </pic:pic>
              </a:graphicData>
            </a:graphic>
          </wp:inline>
        </w:drawing>
      </w:r>
    </w:p>
    <w:p w14:paraId="1429B9B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center"/>
        <w:textAlignment w:val="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图2-1 项目交通位置图</w:t>
      </w:r>
    </w:p>
    <w:p w14:paraId="13B62C4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135" w:name="_Toc19442"/>
      <w:bookmarkStart w:id="136" w:name="_Toc313453448"/>
      <w:bookmarkStart w:id="137" w:name="_Toc335926141"/>
      <w:bookmarkStart w:id="138" w:name="_Toc14722"/>
      <w:bookmarkStart w:id="139" w:name="_Toc172174199"/>
      <w:r>
        <w:rPr>
          <w:rFonts w:hint="default" w:ascii="Times New Roman" w:hAnsi="Times New Roman" w:eastAsia="黑体" w:cs="Times New Roman"/>
          <w:color w:val="000000" w:themeColor="text1"/>
          <w14:textFill>
            <w14:solidFill>
              <w14:schemeClr w14:val="tx1"/>
            </w14:solidFill>
          </w14:textFill>
        </w:rPr>
        <w:t>2.2.</w:t>
      </w:r>
      <w:r>
        <w:rPr>
          <w:rFonts w:hint="eastAsia"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eastAsia="黑体" w:cs="Times New Roman"/>
          <w:color w:val="000000" w:themeColor="text1"/>
          <w:highlight w:val="none"/>
          <w14:textFill>
            <w14:solidFill>
              <w14:schemeClr w14:val="tx1"/>
            </w14:solidFill>
          </w14:textFill>
        </w:rPr>
        <w:t>项目周边情况</w:t>
      </w:r>
      <w:bookmarkEnd w:id="135"/>
      <w:bookmarkEnd w:id="136"/>
      <w:bookmarkEnd w:id="137"/>
      <w:bookmarkEnd w:id="138"/>
    </w:p>
    <w:p w14:paraId="38875FF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厂界东</w:t>
      </w:r>
      <w:r>
        <w:rPr>
          <w:rFonts w:hint="eastAsia" w:hAnsi="宋体" w:cs="宋体"/>
          <w:b w:val="0"/>
          <w:bCs w:val="0"/>
          <w:color w:val="000000" w:themeColor="text1"/>
          <w:sz w:val="28"/>
          <w:szCs w:val="28"/>
          <w:lang w:val="en-US" w:eastAsia="zh-CN"/>
          <w14:textFill>
            <w14:solidFill>
              <w14:schemeClr w14:val="tx1"/>
            </w14:solidFill>
          </w14:textFill>
        </w:rPr>
        <w:t>北</w:t>
      </w:r>
      <w:r>
        <w:rPr>
          <w:rFonts w:hint="eastAsia" w:ascii="宋体" w:hAnsi="宋体" w:eastAsia="宋体" w:cs="宋体"/>
          <w:b w:val="0"/>
          <w:bCs w:val="0"/>
          <w:color w:val="000000" w:themeColor="text1"/>
          <w:sz w:val="28"/>
          <w:szCs w:val="28"/>
          <w:lang w:val="en-US" w:eastAsia="zh-CN"/>
          <w14:textFill>
            <w14:solidFill>
              <w14:schemeClr w14:val="tx1"/>
            </w14:solidFill>
          </w14:textFill>
        </w:rPr>
        <w:t>侧</w:t>
      </w:r>
      <w:r>
        <w:rPr>
          <w:rFonts w:hint="eastAsia" w:hAnsi="宋体" w:cs="宋体"/>
          <w:b w:val="0"/>
          <w:bCs w:val="0"/>
          <w:color w:val="000000" w:themeColor="text1"/>
          <w:sz w:val="28"/>
          <w:szCs w:val="28"/>
          <w:lang w:val="en-US" w:eastAsia="zh-CN"/>
          <w14:textFill>
            <w14:solidFill>
              <w14:schemeClr w14:val="tx1"/>
            </w14:solidFill>
          </w14:textFill>
        </w:rPr>
        <w:t>紧邻S102省道，东侧</w:t>
      </w:r>
      <w:r>
        <w:rPr>
          <w:rFonts w:hint="eastAsia" w:ascii="宋体" w:hAnsi="宋体" w:eastAsia="宋体" w:cs="宋体"/>
          <w:b w:val="0"/>
          <w:bCs w:val="0"/>
          <w:color w:val="000000" w:themeColor="text1"/>
          <w:sz w:val="28"/>
          <w:szCs w:val="28"/>
          <w:lang w:val="en-US" w:eastAsia="zh-CN"/>
          <w14:textFill>
            <w14:solidFill>
              <w14:schemeClr w14:val="tx1"/>
            </w14:solidFill>
          </w14:textFill>
        </w:rPr>
        <w:t>约60m处为</w:t>
      </w:r>
      <w:r>
        <w:rPr>
          <w:rFonts w:hint="eastAsia" w:hAnsi="宋体" w:cs="宋体"/>
          <w:b w:val="0"/>
          <w:bCs w:val="0"/>
          <w:color w:val="000000" w:themeColor="text1"/>
          <w:sz w:val="28"/>
          <w:szCs w:val="28"/>
          <w:lang w:val="en-US" w:eastAsia="zh-CN"/>
          <w14:textFill>
            <w14:solidFill>
              <w14:schemeClr w14:val="tx1"/>
            </w14:solidFill>
          </w14:textFill>
        </w:rPr>
        <w:t>玉溪蓝屋自动门制造有限责任公司</w:t>
      </w:r>
      <w:r>
        <w:rPr>
          <w:rFonts w:hint="eastAsia" w:ascii="宋体" w:hAnsi="宋体" w:eastAsia="宋体" w:cs="宋体"/>
          <w:b w:val="0"/>
          <w:bCs w:val="0"/>
          <w:color w:val="000000" w:themeColor="text1"/>
          <w:sz w:val="28"/>
          <w:szCs w:val="28"/>
          <w:lang w:val="en-US" w:eastAsia="zh-CN"/>
          <w14:textFill>
            <w14:solidFill>
              <w14:schemeClr w14:val="tx1"/>
            </w14:solidFill>
          </w14:textFill>
        </w:rPr>
        <w:t>，北侧约</w:t>
      </w:r>
      <w:r>
        <w:rPr>
          <w:rFonts w:hint="eastAsia" w:hAnsi="宋体" w:cs="宋体"/>
          <w:b w:val="0"/>
          <w:bCs w:val="0"/>
          <w:color w:val="000000" w:themeColor="text1"/>
          <w:sz w:val="28"/>
          <w:szCs w:val="28"/>
          <w:lang w:val="en-US" w:eastAsia="zh-CN"/>
          <w14:textFill>
            <w14:solidFill>
              <w14:schemeClr w14:val="tx1"/>
            </w14:solidFill>
          </w14:textFill>
        </w:rPr>
        <w:t>20</w:t>
      </w:r>
      <w:r>
        <w:rPr>
          <w:rFonts w:hint="eastAsia" w:ascii="宋体" w:hAnsi="宋体" w:eastAsia="宋体" w:cs="宋体"/>
          <w:b w:val="0"/>
          <w:bCs w:val="0"/>
          <w:color w:val="000000" w:themeColor="text1"/>
          <w:sz w:val="28"/>
          <w:szCs w:val="28"/>
          <w:lang w:val="en-US" w:eastAsia="zh-CN"/>
          <w14:textFill>
            <w14:solidFill>
              <w14:schemeClr w14:val="tx1"/>
            </w14:solidFill>
          </w14:textFill>
        </w:rPr>
        <w:t>m处为</w:t>
      </w:r>
      <w:r>
        <w:rPr>
          <w:rFonts w:hint="eastAsia" w:hAnsi="宋体" w:cs="宋体"/>
          <w:b w:val="0"/>
          <w:bCs w:val="0"/>
          <w:color w:val="000000" w:themeColor="text1"/>
          <w:sz w:val="28"/>
          <w:szCs w:val="28"/>
          <w:lang w:val="en-US" w:eastAsia="zh-CN"/>
          <w14:textFill>
            <w14:solidFill>
              <w14:schemeClr w14:val="tx1"/>
            </w14:solidFill>
          </w14:textFill>
        </w:rPr>
        <w:t>中石油加油站</w:t>
      </w:r>
      <w:r>
        <w:rPr>
          <w:rFonts w:hint="eastAsia" w:ascii="宋体" w:hAnsi="宋体" w:eastAsia="宋体" w:cs="宋体"/>
          <w:b w:val="0"/>
          <w:bCs w:val="0"/>
          <w:color w:val="000000" w:themeColor="text1"/>
          <w:sz w:val="28"/>
          <w:szCs w:val="28"/>
          <w:lang w:val="en-US" w:eastAsia="zh-CN"/>
          <w14:textFill>
            <w14:solidFill>
              <w14:schemeClr w14:val="tx1"/>
            </w14:solidFill>
          </w14:textFill>
        </w:rPr>
        <w:t>，</w:t>
      </w:r>
      <w:r>
        <w:rPr>
          <w:rFonts w:hint="eastAsia" w:hAnsi="宋体" w:cs="宋体"/>
          <w:b w:val="0"/>
          <w:bCs w:val="0"/>
          <w:color w:val="000000" w:themeColor="text1"/>
          <w:sz w:val="28"/>
          <w:szCs w:val="28"/>
          <w:lang w:val="en-US" w:eastAsia="zh-CN"/>
          <w14:textFill>
            <w14:solidFill>
              <w14:schemeClr w14:val="tx1"/>
            </w14:solidFill>
          </w14:textFill>
        </w:rPr>
        <w:t>西南侧约80m处为火车站货场仓库。</w:t>
      </w:r>
      <w:r>
        <w:rPr>
          <w:rFonts w:hint="eastAsia" w:ascii="宋体" w:hAnsi="宋体" w:eastAsia="宋体" w:cs="宋体"/>
          <w:color w:val="000000" w:themeColor="text1"/>
          <w:kern w:val="0"/>
          <w:sz w:val="28"/>
          <w:szCs w:val="28"/>
          <w14:textFill>
            <w14:solidFill>
              <w14:schemeClr w14:val="tx1"/>
            </w14:solidFill>
          </w14:textFill>
        </w:rPr>
        <w:t>厂址周围无医院、文物古迹、自然保护区、风景名胜区等环境敏感点及国家重要的政治、军事、文化设施</w:t>
      </w:r>
      <w:r>
        <w:rPr>
          <w:rFonts w:hint="eastAsia" w:ascii="宋体" w:hAnsi="宋体" w:eastAsia="宋体" w:cs="宋体"/>
          <w:color w:val="000000" w:themeColor="text1"/>
          <w:sz w:val="28"/>
          <w:szCs w:val="28"/>
          <w14:textFill>
            <w14:solidFill>
              <w14:schemeClr w14:val="tx1"/>
            </w14:solidFill>
          </w14:textFill>
        </w:rPr>
        <w:t>。项目周边</w:t>
      </w:r>
      <w:r>
        <w:rPr>
          <w:rFonts w:hint="eastAsia" w:ascii="宋体" w:hAnsi="宋体" w:eastAsia="宋体" w:cs="宋体"/>
          <w:color w:val="000000" w:themeColor="text1"/>
          <w:kern w:val="0"/>
          <w:sz w:val="28"/>
          <w:szCs w:val="28"/>
          <w14:textFill>
            <w14:solidFill>
              <w14:schemeClr w14:val="tx1"/>
            </w14:solidFill>
          </w14:textFill>
        </w:rPr>
        <w:t>环境</w:t>
      </w:r>
      <w:r>
        <w:rPr>
          <w:rFonts w:hint="eastAsia" w:ascii="宋体" w:hAnsi="宋体" w:eastAsia="宋体" w:cs="宋体"/>
          <w:color w:val="000000" w:themeColor="text1"/>
          <w:sz w:val="28"/>
          <w:szCs w:val="28"/>
          <w14:textFill>
            <w14:solidFill>
              <w14:schemeClr w14:val="tx1"/>
            </w14:solidFill>
          </w14:textFill>
        </w:rPr>
        <w:t>见图2-2。</w:t>
      </w:r>
    </w:p>
    <w:p w14:paraId="018EEFE0">
      <w:pPr>
        <w:bidi w:val="0"/>
        <w:rPr>
          <w:rFonts w:hint="eastAsia"/>
          <w:lang w:val="en-US" w:eastAsia="zh-CN"/>
        </w:rPr>
      </w:pPr>
    </w:p>
    <w:p w14:paraId="3A14B2BD">
      <w:pPr>
        <w:bidi w:val="0"/>
        <w:rPr>
          <w:rFonts w:hint="eastAsia"/>
          <w:lang w:val="en-US" w:eastAsia="zh-CN"/>
        </w:rPr>
      </w:pPr>
    </w:p>
    <w:p w14:paraId="40CE583D">
      <w:pPr>
        <w:bidi w:val="0"/>
        <w:rPr>
          <w:rFonts w:hint="eastAsia"/>
          <w:lang w:val="en-US" w:eastAsia="zh-CN"/>
        </w:rPr>
      </w:pPr>
    </w:p>
    <w:p w14:paraId="64EC99AD">
      <w:pPr>
        <w:bidi w:val="0"/>
        <w:rPr>
          <w:rFonts w:hint="eastAsia"/>
          <w:lang w:val="en-US" w:eastAsia="zh-CN"/>
        </w:rPr>
      </w:pPr>
    </w:p>
    <w:p w14:paraId="5A82327E">
      <w:pPr>
        <w:bidi w:val="0"/>
        <w:jc w:val="center"/>
        <w:rPr>
          <w:rFonts w:hint="eastAsia"/>
          <w:b/>
          <w:bCs/>
          <w:lang w:val="en-US" w:eastAsia="zh-CN"/>
        </w:rPr>
      </w:pPr>
      <w:r>
        <w:rPr>
          <w:rFonts w:hint="eastAsia"/>
          <w:b/>
          <w:bCs/>
          <w:lang w:val="en-US" w:eastAsia="zh-CN"/>
        </w:rPr>
        <w:t>周边环境一览表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992"/>
        <w:gridCol w:w="1236"/>
        <w:gridCol w:w="1236"/>
        <w:gridCol w:w="3174"/>
      </w:tblGrid>
      <w:tr w14:paraId="173B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84" w:type="dxa"/>
            <w:vAlign w:val="center"/>
          </w:tcPr>
          <w:p w14:paraId="74CEDA6E">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方位</w:t>
            </w:r>
          </w:p>
        </w:tc>
        <w:tc>
          <w:tcPr>
            <w:tcW w:w="1992" w:type="dxa"/>
            <w:vAlign w:val="center"/>
          </w:tcPr>
          <w:p w14:paraId="02269DFC">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周边情况</w:t>
            </w:r>
          </w:p>
        </w:tc>
        <w:tc>
          <w:tcPr>
            <w:tcW w:w="1236" w:type="dxa"/>
            <w:shd w:val="clear" w:color="auto" w:fill="auto"/>
            <w:vAlign w:val="center"/>
          </w:tcPr>
          <w:p w14:paraId="29983AD1">
            <w:pPr>
              <w:keepNext w:val="0"/>
              <w:keepLines w:val="0"/>
              <w:widowControl/>
              <w:suppressLineNumbers w:val="0"/>
              <w:jc w:val="center"/>
              <w:rPr>
                <w:rFonts w:hint="eastAsia" w:ascii="宋体" w:hAnsi="宋体" w:eastAsia="宋体" w:cs="宋体"/>
                <w:sz w:val="21"/>
                <w:szCs w:val="21"/>
                <w:vertAlign w:val="baseline"/>
                <w:lang w:val="en-US" w:eastAsia="zh-CN" w:bidi="ar-SA"/>
              </w:rPr>
            </w:pPr>
            <w:r>
              <w:rPr>
                <w:rFonts w:hint="eastAsia" w:ascii="宋体" w:hAnsi="宋体" w:eastAsia="宋体" w:cs="宋体"/>
                <w:b/>
                <w:bCs/>
                <w:color w:val="000000"/>
                <w:kern w:val="0"/>
                <w:sz w:val="21"/>
                <w:szCs w:val="21"/>
                <w:lang w:val="en-US" w:eastAsia="zh-CN" w:bidi="ar"/>
              </w:rPr>
              <w:t>规范要求</w:t>
            </w:r>
          </w:p>
        </w:tc>
        <w:tc>
          <w:tcPr>
            <w:tcW w:w="1236" w:type="dxa"/>
            <w:vAlign w:val="center"/>
          </w:tcPr>
          <w:p w14:paraId="7DDA7CA6">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距离</w:t>
            </w:r>
          </w:p>
        </w:tc>
        <w:tc>
          <w:tcPr>
            <w:tcW w:w="3174" w:type="dxa"/>
            <w:vAlign w:val="center"/>
          </w:tcPr>
          <w:p w14:paraId="4EDDF469">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参考依据</w:t>
            </w:r>
          </w:p>
        </w:tc>
      </w:tr>
      <w:tr w14:paraId="18A1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70925595">
            <w:pPr>
              <w:bidi w:val="0"/>
              <w:jc w:val="center"/>
              <w:rPr>
                <w:rFonts w:hint="default"/>
                <w:sz w:val="21"/>
                <w:szCs w:val="21"/>
                <w:vertAlign w:val="baseline"/>
                <w:lang w:val="en-US" w:eastAsia="zh-CN"/>
              </w:rPr>
            </w:pPr>
            <w:r>
              <w:rPr>
                <w:rFonts w:hint="eastAsia"/>
                <w:sz w:val="21"/>
                <w:szCs w:val="21"/>
                <w:vertAlign w:val="baseline"/>
                <w:lang w:val="en-US" w:eastAsia="zh-CN"/>
              </w:rPr>
              <w:t>东侧</w:t>
            </w:r>
          </w:p>
        </w:tc>
        <w:tc>
          <w:tcPr>
            <w:tcW w:w="1992" w:type="dxa"/>
            <w:vAlign w:val="center"/>
          </w:tcPr>
          <w:p w14:paraId="3410B2E1">
            <w:pPr>
              <w:bidi w:val="0"/>
              <w:jc w:val="center"/>
              <w:rPr>
                <w:rFonts w:hint="default"/>
                <w:sz w:val="21"/>
                <w:szCs w:val="21"/>
                <w:vertAlign w:val="baseline"/>
                <w:lang w:val="en-US" w:eastAsia="zh-CN"/>
              </w:rPr>
            </w:pPr>
            <w:r>
              <w:rPr>
                <w:rFonts w:hint="eastAsia"/>
                <w:sz w:val="21"/>
                <w:szCs w:val="21"/>
                <w:vertAlign w:val="baseline"/>
                <w:lang w:val="en-US" w:eastAsia="zh-CN"/>
              </w:rPr>
              <w:t>玉溪蓝屋自动门制造有限责任公司</w:t>
            </w:r>
          </w:p>
        </w:tc>
        <w:tc>
          <w:tcPr>
            <w:tcW w:w="1236" w:type="dxa"/>
            <w:shd w:val="clear" w:color="auto" w:fill="auto"/>
            <w:vAlign w:val="center"/>
          </w:tcPr>
          <w:p w14:paraId="438A0D8F">
            <w:pPr>
              <w:bidi w:val="0"/>
              <w:jc w:val="center"/>
              <w:rPr>
                <w:rFonts w:hint="eastAsia" w:ascii="宋体" w:hAnsi="Times New Roman" w:eastAsia="宋体" w:cs="Times New Roman"/>
                <w:sz w:val="21"/>
                <w:szCs w:val="21"/>
                <w:vertAlign w:val="baseline"/>
                <w:lang w:val="en-US" w:eastAsia="zh-CN" w:bidi="ar-SA"/>
              </w:rPr>
            </w:pPr>
            <w:r>
              <w:rPr>
                <w:rFonts w:hint="eastAsia"/>
                <w:sz w:val="21"/>
                <w:szCs w:val="21"/>
                <w:vertAlign w:val="baseline"/>
                <w:lang w:val="en-US" w:eastAsia="zh-CN"/>
              </w:rPr>
              <w:t>10m</w:t>
            </w:r>
          </w:p>
        </w:tc>
        <w:tc>
          <w:tcPr>
            <w:tcW w:w="1236" w:type="dxa"/>
            <w:vAlign w:val="center"/>
          </w:tcPr>
          <w:p w14:paraId="10AF8AD1">
            <w:pPr>
              <w:bidi w:val="0"/>
              <w:jc w:val="center"/>
              <w:rPr>
                <w:rFonts w:hint="default"/>
                <w:sz w:val="21"/>
                <w:szCs w:val="21"/>
                <w:vertAlign w:val="baseline"/>
                <w:lang w:val="en-US" w:eastAsia="zh-CN"/>
              </w:rPr>
            </w:pPr>
            <w:r>
              <w:rPr>
                <w:rFonts w:hint="eastAsia"/>
                <w:sz w:val="21"/>
                <w:szCs w:val="21"/>
                <w:vertAlign w:val="baseline"/>
                <w:lang w:val="en-US" w:eastAsia="zh-CN"/>
              </w:rPr>
              <w:t>60m</w:t>
            </w:r>
          </w:p>
        </w:tc>
        <w:tc>
          <w:tcPr>
            <w:tcW w:w="3174" w:type="dxa"/>
            <w:vAlign w:val="center"/>
          </w:tcPr>
          <w:p w14:paraId="22C64039">
            <w:pPr>
              <w:bidi w:val="0"/>
              <w:jc w:val="center"/>
              <w:rPr>
                <w:rFonts w:hint="default"/>
                <w:sz w:val="21"/>
                <w:szCs w:val="21"/>
                <w:vertAlign w:val="baseline"/>
                <w:lang w:val="en-US" w:eastAsia="zh-CN"/>
              </w:rPr>
            </w:pPr>
            <w:r>
              <w:rPr>
                <w:rFonts w:hint="eastAsia"/>
                <w:sz w:val="21"/>
                <w:szCs w:val="21"/>
                <w:vertAlign w:val="baseline"/>
                <w:lang w:val="en-US" w:eastAsia="zh-CN"/>
              </w:rPr>
              <w:t>《建筑设计防火规范（GB50016-2014，2018 年版）第 3.4.1 条</w:t>
            </w:r>
          </w:p>
        </w:tc>
      </w:tr>
      <w:tr w14:paraId="23C1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62A1614D">
            <w:pPr>
              <w:bidi w:val="0"/>
              <w:jc w:val="center"/>
              <w:rPr>
                <w:rFonts w:hint="default"/>
                <w:sz w:val="21"/>
                <w:szCs w:val="21"/>
                <w:vertAlign w:val="baseline"/>
                <w:lang w:val="en-US" w:eastAsia="zh-CN"/>
              </w:rPr>
            </w:pPr>
            <w:r>
              <w:rPr>
                <w:rFonts w:hint="eastAsia"/>
                <w:sz w:val="21"/>
                <w:szCs w:val="21"/>
                <w:vertAlign w:val="baseline"/>
                <w:lang w:val="en-US" w:eastAsia="zh-CN"/>
              </w:rPr>
              <w:t>北侧</w:t>
            </w:r>
          </w:p>
        </w:tc>
        <w:tc>
          <w:tcPr>
            <w:tcW w:w="1992" w:type="dxa"/>
            <w:vAlign w:val="center"/>
          </w:tcPr>
          <w:p w14:paraId="030E75E4">
            <w:pPr>
              <w:bidi w:val="0"/>
              <w:jc w:val="center"/>
              <w:rPr>
                <w:rFonts w:hint="default"/>
                <w:sz w:val="21"/>
                <w:szCs w:val="21"/>
                <w:vertAlign w:val="baseline"/>
                <w:lang w:val="en-US" w:eastAsia="zh-CN"/>
              </w:rPr>
            </w:pPr>
            <w:r>
              <w:rPr>
                <w:rFonts w:hint="eastAsia"/>
                <w:sz w:val="21"/>
                <w:szCs w:val="21"/>
                <w:vertAlign w:val="baseline"/>
                <w:lang w:val="en-US" w:eastAsia="zh-CN"/>
              </w:rPr>
              <w:t>中国石油加油站</w:t>
            </w:r>
          </w:p>
        </w:tc>
        <w:tc>
          <w:tcPr>
            <w:tcW w:w="1236" w:type="dxa"/>
            <w:shd w:val="clear" w:color="auto" w:fill="auto"/>
            <w:vAlign w:val="center"/>
          </w:tcPr>
          <w:p w14:paraId="3B6D8803">
            <w:pPr>
              <w:bidi w:val="0"/>
              <w:jc w:val="center"/>
              <w:rPr>
                <w:rFonts w:hint="eastAsia" w:ascii="宋体" w:hAnsi="Times New Roman" w:eastAsia="宋体" w:cs="Times New Roman"/>
                <w:sz w:val="21"/>
                <w:szCs w:val="21"/>
                <w:vertAlign w:val="baseline"/>
                <w:lang w:val="en-US" w:eastAsia="zh-CN" w:bidi="ar-SA"/>
              </w:rPr>
            </w:pPr>
            <w:r>
              <w:rPr>
                <w:rFonts w:hint="eastAsia"/>
                <w:sz w:val="21"/>
                <w:szCs w:val="21"/>
                <w:vertAlign w:val="baseline"/>
                <w:lang w:val="en-US" w:eastAsia="zh-CN"/>
              </w:rPr>
              <w:t>10.5m</w:t>
            </w:r>
          </w:p>
        </w:tc>
        <w:tc>
          <w:tcPr>
            <w:tcW w:w="1236" w:type="dxa"/>
            <w:vAlign w:val="center"/>
          </w:tcPr>
          <w:p w14:paraId="0D633E82">
            <w:pPr>
              <w:bidi w:val="0"/>
              <w:jc w:val="center"/>
              <w:rPr>
                <w:rFonts w:hint="default"/>
                <w:sz w:val="21"/>
                <w:szCs w:val="21"/>
                <w:vertAlign w:val="baseline"/>
                <w:lang w:val="en-US" w:eastAsia="zh-CN"/>
              </w:rPr>
            </w:pPr>
            <w:r>
              <w:rPr>
                <w:rFonts w:hint="eastAsia"/>
                <w:sz w:val="21"/>
                <w:szCs w:val="21"/>
                <w:vertAlign w:val="baseline"/>
                <w:lang w:val="en-US" w:eastAsia="zh-CN"/>
              </w:rPr>
              <w:t>20m</w:t>
            </w:r>
          </w:p>
        </w:tc>
        <w:tc>
          <w:tcPr>
            <w:tcW w:w="3174" w:type="dxa"/>
            <w:vAlign w:val="center"/>
          </w:tcPr>
          <w:p w14:paraId="4581D046">
            <w:pPr>
              <w:bidi w:val="0"/>
              <w:jc w:val="center"/>
              <w:rPr>
                <w:rFonts w:hint="eastAsia"/>
                <w:sz w:val="21"/>
                <w:szCs w:val="21"/>
                <w:vertAlign w:val="baseline"/>
                <w:lang w:val="en-US" w:eastAsia="zh-CN"/>
              </w:rPr>
            </w:pPr>
            <w:r>
              <w:rPr>
                <w:rFonts w:hint="eastAsia"/>
                <w:sz w:val="21"/>
                <w:szCs w:val="21"/>
                <w:vertAlign w:val="baseline"/>
                <w:lang w:val="en-US" w:eastAsia="zh-CN"/>
              </w:rPr>
              <w:t>《汽车加油加气加氢站技术</w:t>
            </w:r>
            <w:r>
              <w:rPr>
                <w:rFonts w:hint="default"/>
                <w:sz w:val="21"/>
                <w:szCs w:val="21"/>
                <w:vertAlign w:val="baseline"/>
                <w:lang w:val="en-US" w:eastAsia="zh-CN"/>
              </w:rPr>
              <w:t>标准》（GB50156-2021）</w:t>
            </w:r>
          </w:p>
          <w:p w14:paraId="7475E835">
            <w:pPr>
              <w:bidi w:val="0"/>
              <w:jc w:val="center"/>
              <w:rPr>
                <w:rFonts w:hint="default"/>
                <w:sz w:val="21"/>
                <w:szCs w:val="21"/>
                <w:vertAlign w:val="baseline"/>
                <w:lang w:val="en-US" w:eastAsia="zh-CN"/>
              </w:rPr>
            </w:pPr>
            <w:r>
              <w:rPr>
                <w:rFonts w:hint="default"/>
                <w:sz w:val="21"/>
                <w:szCs w:val="21"/>
                <w:vertAlign w:val="baseline"/>
                <w:lang w:val="en-US" w:eastAsia="zh-CN"/>
              </w:rPr>
              <w:t>第 4.0.4 条</w:t>
            </w:r>
          </w:p>
        </w:tc>
      </w:tr>
      <w:tr w14:paraId="54AA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603396C3">
            <w:pPr>
              <w:bidi w:val="0"/>
              <w:jc w:val="center"/>
              <w:rPr>
                <w:rFonts w:hint="default"/>
                <w:sz w:val="21"/>
                <w:szCs w:val="21"/>
                <w:vertAlign w:val="baseline"/>
                <w:lang w:val="en-US" w:eastAsia="zh-CN"/>
              </w:rPr>
            </w:pPr>
            <w:r>
              <w:rPr>
                <w:rFonts w:hint="eastAsia"/>
                <w:sz w:val="21"/>
                <w:szCs w:val="21"/>
                <w:vertAlign w:val="baseline"/>
                <w:lang w:val="en-US" w:eastAsia="zh-CN"/>
              </w:rPr>
              <w:t>西南侧</w:t>
            </w:r>
          </w:p>
        </w:tc>
        <w:tc>
          <w:tcPr>
            <w:tcW w:w="1992" w:type="dxa"/>
            <w:vAlign w:val="center"/>
          </w:tcPr>
          <w:p w14:paraId="0155F3E9">
            <w:pPr>
              <w:bidi w:val="0"/>
              <w:jc w:val="center"/>
              <w:rPr>
                <w:rFonts w:hint="default"/>
                <w:sz w:val="21"/>
                <w:szCs w:val="21"/>
                <w:vertAlign w:val="baseline"/>
                <w:lang w:val="en-US" w:eastAsia="zh-CN"/>
              </w:rPr>
            </w:pPr>
            <w:r>
              <w:rPr>
                <w:rFonts w:hint="eastAsia"/>
                <w:sz w:val="21"/>
                <w:szCs w:val="21"/>
                <w:vertAlign w:val="baseline"/>
                <w:lang w:val="en-US" w:eastAsia="zh-CN"/>
              </w:rPr>
              <w:t>研和火车站南站货场仓库</w:t>
            </w:r>
          </w:p>
        </w:tc>
        <w:tc>
          <w:tcPr>
            <w:tcW w:w="1236" w:type="dxa"/>
            <w:shd w:val="clear" w:color="auto" w:fill="auto"/>
            <w:vAlign w:val="center"/>
          </w:tcPr>
          <w:p w14:paraId="091A20E5">
            <w:pPr>
              <w:bidi w:val="0"/>
              <w:jc w:val="center"/>
              <w:rPr>
                <w:rFonts w:hint="eastAsia" w:ascii="宋体" w:hAnsi="Times New Roman" w:eastAsia="宋体" w:cs="Times New Roman"/>
                <w:sz w:val="21"/>
                <w:szCs w:val="21"/>
                <w:vertAlign w:val="baseline"/>
                <w:lang w:val="en-US" w:eastAsia="zh-CN" w:bidi="ar-SA"/>
              </w:rPr>
            </w:pPr>
            <w:r>
              <w:rPr>
                <w:rFonts w:hint="eastAsia"/>
                <w:sz w:val="21"/>
                <w:szCs w:val="21"/>
                <w:vertAlign w:val="baseline"/>
                <w:lang w:val="en-US" w:eastAsia="zh-CN"/>
              </w:rPr>
              <w:t>10m</w:t>
            </w:r>
          </w:p>
        </w:tc>
        <w:tc>
          <w:tcPr>
            <w:tcW w:w="1236" w:type="dxa"/>
            <w:vAlign w:val="center"/>
          </w:tcPr>
          <w:p w14:paraId="6C6D559F">
            <w:pPr>
              <w:bidi w:val="0"/>
              <w:jc w:val="center"/>
              <w:rPr>
                <w:rFonts w:hint="default"/>
                <w:sz w:val="21"/>
                <w:szCs w:val="21"/>
                <w:vertAlign w:val="baseline"/>
                <w:lang w:val="en-US" w:eastAsia="zh-CN"/>
              </w:rPr>
            </w:pPr>
            <w:r>
              <w:rPr>
                <w:rFonts w:hint="eastAsia"/>
                <w:sz w:val="21"/>
                <w:szCs w:val="21"/>
                <w:vertAlign w:val="baseline"/>
                <w:lang w:val="en-US" w:eastAsia="zh-CN"/>
              </w:rPr>
              <w:t>80m</w:t>
            </w:r>
          </w:p>
        </w:tc>
        <w:tc>
          <w:tcPr>
            <w:tcW w:w="3174" w:type="dxa"/>
            <w:vAlign w:val="center"/>
          </w:tcPr>
          <w:p w14:paraId="3FDBF8BD">
            <w:pPr>
              <w:bidi w:val="0"/>
              <w:jc w:val="center"/>
              <w:rPr>
                <w:rFonts w:hint="default"/>
                <w:sz w:val="21"/>
                <w:szCs w:val="21"/>
                <w:vertAlign w:val="baseline"/>
                <w:lang w:val="en-US" w:eastAsia="zh-CN"/>
              </w:rPr>
            </w:pPr>
            <w:r>
              <w:rPr>
                <w:rFonts w:hint="eastAsia"/>
                <w:sz w:val="21"/>
                <w:szCs w:val="21"/>
                <w:vertAlign w:val="baseline"/>
                <w:lang w:val="en-US" w:eastAsia="zh-CN"/>
              </w:rPr>
              <w:t>《建筑设计防火规范（GB50016-2014，2018 年版）第 3.4.1 条</w:t>
            </w:r>
          </w:p>
        </w:tc>
      </w:tr>
    </w:tbl>
    <w:p w14:paraId="550F19B4">
      <w:pPr>
        <w:widowControl/>
        <w:adjustRightInd w:val="0"/>
        <w:snapToGrid w:val="0"/>
        <w:spacing w:line="360" w:lineRule="auto"/>
        <w:jc w:val="left"/>
        <w:rPr>
          <w:rFonts w:hint="eastAsia" w:eastAsia="宋体"/>
          <w:color w:val="000000" w:themeColor="text1"/>
          <w:lang w:eastAsia="zh-CN"/>
          <w14:textFill>
            <w14:solidFill>
              <w14:schemeClr w14:val="tx1"/>
            </w14:solidFill>
          </w14:textFill>
        </w:rPr>
      </w:pPr>
    </w:p>
    <w:p w14:paraId="1BD608B5">
      <w:pPr>
        <w:bidi w:val="0"/>
        <w:rPr>
          <w:rFonts w:hint="eastAsia"/>
          <w:lang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1726565</wp:posOffset>
                </wp:positionH>
                <wp:positionV relativeFrom="paragraph">
                  <wp:posOffset>1618615</wp:posOffset>
                </wp:positionV>
                <wp:extent cx="396240" cy="278130"/>
                <wp:effectExtent l="4445" t="4445" r="10795" b="6985"/>
                <wp:wrapNone/>
                <wp:docPr id="33" name="文本框 33"/>
                <wp:cNvGraphicFramePr/>
                <a:graphic xmlns:a="http://schemas.openxmlformats.org/drawingml/2006/main">
                  <a:graphicData uri="http://schemas.microsoft.com/office/word/2010/wordprocessingShape">
                    <wps:wsp>
                      <wps:cNvSpPr txBox="1"/>
                      <wps:spPr>
                        <a:xfrm>
                          <a:off x="0" y="0"/>
                          <a:ext cx="396240" cy="27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B1C506">
                            <w:pPr>
                              <w:rPr>
                                <w:rFonts w:hint="default" w:eastAsia="宋体"/>
                                <w:sz w:val="21"/>
                                <w:szCs w:val="21"/>
                                <w:lang w:val="en-US" w:eastAsia="zh-CN"/>
                              </w:rPr>
                            </w:pPr>
                            <w:r>
                              <w:rPr>
                                <w:rFonts w:hint="eastAsia"/>
                                <w:sz w:val="21"/>
                                <w:szCs w:val="21"/>
                                <w:lang w:val="en-US" w:eastAsia="zh-CN"/>
                              </w:rPr>
                              <w:t>20m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95pt;margin-top:127.45pt;height:21.9pt;width:31.2pt;z-index:251684864;mso-width-relative:page;mso-height-relative:page;" fillcolor="#FFFFFF [3201]" filled="t" stroked="t" coordsize="21600,21600" o:gfxdata="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I1DfY&#10;AAAACwEAAA8AAAAAAAAAAQAgAAAAIgAAAGRycy9kb3ducmV2LnhtbFBLAQIUABQAAAAIAIdO4kAc&#10;/V2HWQIAALgEAAAOAAAAAAAAAAEAIAAAACcBAABkcnMvZTJvRG9jLnhtbFBLBQYAAAAABgAGAFkB&#10;AADyBQAAAAA=&#10;">
                <v:fill on="t" focussize="0,0"/>
                <v:stroke weight="0.5pt" color="#000000 [3204]" joinstyle="round"/>
                <v:imagedata o:title=""/>
                <o:lock v:ext="edit" aspectratio="f"/>
                <v:textbox>
                  <w:txbxContent>
                    <w:p w14:paraId="2DB1C506">
                      <w:pPr>
                        <w:rPr>
                          <w:rFonts w:hint="default" w:eastAsia="宋体"/>
                          <w:sz w:val="21"/>
                          <w:szCs w:val="21"/>
                          <w:lang w:val="en-US" w:eastAsia="zh-CN"/>
                        </w:rPr>
                      </w:pPr>
                      <w:r>
                        <w:rPr>
                          <w:rFonts w:hint="eastAsia"/>
                          <w:sz w:val="21"/>
                          <w:szCs w:val="21"/>
                          <w:lang w:val="en-US" w:eastAsia="zh-CN"/>
                        </w:rPr>
                        <w:t>20m</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368935</wp:posOffset>
                </wp:positionH>
                <wp:positionV relativeFrom="paragraph">
                  <wp:posOffset>2595880</wp:posOffset>
                </wp:positionV>
                <wp:extent cx="944880" cy="315595"/>
                <wp:effectExtent l="4445" t="4445" r="10795" b="15240"/>
                <wp:wrapNone/>
                <wp:docPr id="18" name="文本框 18"/>
                <wp:cNvGraphicFramePr/>
                <a:graphic xmlns:a="http://schemas.openxmlformats.org/drawingml/2006/main">
                  <a:graphicData uri="http://schemas.microsoft.com/office/word/2010/wordprocessingShape">
                    <wps:wsp>
                      <wps:cNvSpPr txBox="1"/>
                      <wps:spPr>
                        <a:xfrm>
                          <a:off x="1450975" y="3673475"/>
                          <a:ext cx="94488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325767">
                            <w:pPr>
                              <w:rPr>
                                <w:rFonts w:hint="default" w:eastAsia="宋体"/>
                                <w:b/>
                                <w:bCs/>
                                <w:lang w:val="en-US" w:eastAsia="zh-CN"/>
                              </w:rPr>
                            </w:pPr>
                            <w:r>
                              <w:rPr>
                                <w:rFonts w:hint="eastAsia"/>
                                <w:b/>
                                <w:bCs/>
                                <w:sz w:val="21"/>
                                <w:szCs w:val="21"/>
                                <w:lang w:val="en-US" w:eastAsia="zh-CN"/>
                              </w:rPr>
                              <w:t>火车站仓</w:t>
                            </w:r>
                            <w:r>
                              <w:rPr>
                                <w:rFonts w:hint="eastAsia"/>
                                <w:b/>
                                <w:bCs/>
                                <w:lang w:val="en-US" w:eastAsia="zh-CN"/>
                              </w:rPr>
                              <w:t>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5pt;margin-top:204.4pt;height:24.85pt;width:74.4pt;z-index:251677696;mso-width-relative:page;mso-height-relative:page;" fillcolor="#FFFFFF [3201]" filled="t" stroked="t" coordsize="21600,21600" o:gfxdata="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Nmzll1gAAAAoBAAAPAAAAAAAAAAEAIAAAACIAAABkcnMvZG93bnJldi54bWxQSwECFAAU&#10;AAAACACHTuJAQGy68GUCAADEBAAADgAAAAAAAAABACAAAAAlAQAAZHJzL2Uyb0RvYy54bWxQSwUG&#10;AAAAAAYABgBZAQAA/AUAAAAA&#10;">
                <v:fill on="t" focussize="0,0"/>
                <v:stroke weight="0.5pt" color="#000000 [3204]" joinstyle="round"/>
                <v:imagedata o:title=""/>
                <o:lock v:ext="edit" aspectratio="f"/>
                <v:textbox>
                  <w:txbxContent>
                    <w:p w14:paraId="05325767">
                      <w:pPr>
                        <w:rPr>
                          <w:rFonts w:hint="default" w:eastAsia="宋体"/>
                          <w:b/>
                          <w:bCs/>
                          <w:lang w:val="en-US" w:eastAsia="zh-CN"/>
                        </w:rPr>
                      </w:pPr>
                      <w:r>
                        <w:rPr>
                          <w:rFonts w:hint="eastAsia"/>
                          <w:b/>
                          <w:bCs/>
                          <w:sz w:val="21"/>
                          <w:szCs w:val="21"/>
                          <w:lang w:val="en-US" w:eastAsia="zh-CN"/>
                        </w:rPr>
                        <w:t>火车站仓</w:t>
                      </w:r>
                      <w:r>
                        <w:rPr>
                          <w:rFonts w:hint="eastAsia"/>
                          <w:b/>
                          <w:bCs/>
                          <w:lang w:val="en-US" w:eastAsia="zh-CN"/>
                        </w:rPr>
                        <w:t>库</w:t>
                      </w:r>
                    </w:p>
                  </w:txbxContent>
                </v:textbox>
              </v:shape>
            </w:pict>
          </mc:Fallback>
        </mc:AlternateContent>
      </w:r>
      <w:r>
        <w:rPr>
          <w:rFonts w:hint="eastAsia"/>
          <w:lang w:eastAsia="zh-CN"/>
        </w:rPr>
        <w:drawing>
          <wp:inline distT="0" distB="0" distL="114300" distR="114300">
            <wp:extent cx="5179695" cy="3391535"/>
            <wp:effectExtent l="0" t="0" r="1905" b="6985"/>
            <wp:docPr id="1" name="图片 1" descr="1d7ac3bc962dfda59730ec9a14d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7ac3bc962dfda59730ec9a14d0320"/>
                    <pic:cNvPicPr>
                      <a:picLocks noChangeAspect="1"/>
                    </pic:cNvPicPr>
                  </pic:nvPicPr>
                  <pic:blipFill>
                    <a:blip r:embed="rId13"/>
                    <a:stretch>
                      <a:fillRect/>
                    </a:stretch>
                  </pic:blipFill>
                  <pic:spPr>
                    <a:xfrm>
                      <a:off x="0" y="0"/>
                      <a:ext cx="5179695" cy="3391535"/>
                    </a:xfrm>
                    <a:prstGeom prst="rect">
                      <a:avLst/>
                    </a:prstGeom>
                  </pic:spPr>
                </pic:pic>
              </a:graphicData>
            </a:graphic>
          </wp:inline>
        </w:drawing>
      </w:r>
      <w:r>
        <w:drawing>
          <wp:anchor distT="0" distB="0" distL="114300" distR="114300" simplePos="0" relativeHeight="251685888" behindDoc="0" locked="0" layoutInCell="1" allowOverlap="1">
            <wp:simplePos x="0" y="0"/>
            <wp:positionH relativeFrom="column">
              <wp:posOffset>4404360</wp:posOffset>
            </wp:positionH>
            <wp:positionV relativeFrom="paragraph">
              <wp:posOffset>99060</wp:posOffset>
            </wp:positionV>
            <wp:extent cx="835025" cy="721995"/>
            <wp:effectExtent l="0" t="0" r="0" b="9525"/>
            <wp:wrapNone/>
            <wp:docPr id="36" name="图片 36"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n4"/>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835025" cy="721995"/>
                    </a:xfrm>
                    <a:prstGeom prst="rect">
                      <a:avLst/>
                    </a:prstGeom>
                  </pic:spPr>
                </pic:pic>
              </a:graphicData>
            </a:graphic>
          </wp:anchor>
        </w:drawing>
      </w:r>
      <w:r>
        <w:rPr>
          <w:sz w:val="24"/>
        </w:rPr>
        <mc:AlternateContent>
          <mc:Choice Requires="wps">
            <w:drawing>
              <wp:anchor distT="0" distB="0" distL="114300" distR="114300" simplePos="0" relativeHeight="251683840" behindDoc="0" locked="0" layoutInCell="1" allowOverlap="1">
                <wp:simplePos x="0" y="0"/>
                <wp:positionH relativeFrom="column">
                  <wp:posOffset>2182495</wp:posOffset>
                </wp:positionH>
                <wp:positionV relativeFrom="paragraph">
                  <wp:posOffset>1662430</wp:posOffset>
                </wp:positionV>
                <wp:extent cx="234315" cy="180975"/>
                <wp:effectExtent l="0" t="0" r="9525" b="17145"/>
                <wp:wrapNone/>
                <wp:docPr id="31" name="直接箭头连接符 31"/>
                <wp:cNvGraphicFramePr/>
                <a:graphic xmlns:a="http://schemas.openxmlformats.org/drawingml/2006/main">
                  <a:graphicData uri="http://schemas.microsoft.com/office/word/2010/wordprocessingShape">
                    <wps:wsp>
                      <wps:cNvCnPr/>
                      <wps:spPr>
                        <a:xfrm flipH="1" flipV="1">
                          <a:off x="0" y="0"/>
                          <a:ext cx="234315" cy="1809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71.85pt;margin-top:130.9pt;height:14.25pt;width:18.45pt;z-index:251683840;mso-width-relative:page;mso-height-relative:page;" filled="f" stroked="t" coordsize="21600,21600" o:gfxdata="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o06q3aAAAACwEAAA8AAAAAAAAAAQAg&#10;AAAAIgAAAGRycy9kb3ducmV2LnhtbFBLAQIUABQAAAAIAIdO4kAYohjXDAIAAOIDAAAOAAAAAAAA&#10;AAEAIAAAACkBAABkcnMvZTJvRG9jLnhtbFBLBQYAAAAABgAGAFkBAACnBQ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1391285</wp:posOffset>
                </wp:positionH>
                <wp:positionV relativeFrom="paragraph">
                  <wp:posOffset>2480310</wp:posOffset>
                </wp:positionV>
                <wp:extent cx="424815" cy="273685"/>
                <wp:effectExtent l="40005" t="113665" r="53340" b="115570"/>
                <wp:wrapNone/>
                <wp:docPr id="30" name="文本框 30"/>
                <wp:cNvGraphicFramePr/>
                <a:graphic xmlns:a="http://schemas.openxmlformats.org/drawingml/2006/main">
                  <a:graphicData uri="http://schemas.microsoft.com/office/word/2010/wordprocessingShape">
                    <wps:wsp>
                      <wps:cNvSpPr txBox="1"/>
                      <wps:spPr>
                        <a:xfrm rot="18960000">
                          <a:off x="0" y="0"/>
                          <a:ext cx="424815"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ED28CE">
                            <w:pPr>
                              <w:rPr>
                                <w:rFonts w:hint="default" w:eastAsia="宋体"/>
                                <w:lang w:val="en-US" w:eastAsia="zh-CN"/>
                              </w:rPr>
                            </w:pPr>
                            <w:r>
                              <w:rPr>
                                <w:rFonts w:hint="eastAsia"/>
                                <w:lang w:val="en-US" w:eastAsia="zh-CN"/>
                              </w:rPr>
                              <w:t>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55pt;margin-top:195.3pt;height:21.55pt;width:33.45pt;rotation:-2883584f;z-index:251682816;mso-width-relative:page;mso-height-relative:page;" fillcolor="#FFFFFF [3201]" filled="t" stroked="t" coordsize="21600,21600" o:gfxdata="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cJatLbAAAACwEAAA8AAAAAAAAAAQAgAAAAIgAAAGRycy9kb3ducmV2LnhtbFBLAQIU&#10;ABQAAAAIAIdO4kCDb9iuYgIAAMcEAAAOAAAAAAAAAAEAIAAAACoBAABkcnMvZTJvRG9jLnhtbFBL&#10;BQYAAAAABgAGAFkBAAD+BQAAAAA=&#10;">
                <v:fill on="t" focussize="0,0"/>
                <v:stroke weight="0.5pt" color="#000000 [3204]" joinstyle="round"/>
                <v:imagedata o:title=""/>
                <o:lock v:ext="edit" aspectratio="f"/>
                <v:textbox>
                  <w:txbxContent>
                    <w:p w14:paraId="02ED28CE">
                      <w:pPr>
                        <w:rPr>
                          <w:rFonts w:hint="default" w:eastAsia="宋体"/>
                          <w:lang w:val="en-US" w:eastAsia="zh-CN"/>
                        </w:rPr>
                      </w:pPr>
                      <w:r>
                        <w:rPr>
                          <w:rFonts w:hint="eastAsia"/>
                          <w:lang w:val="en-US" w:eastAsia="zh-CN"/>
                        </w:rPr>
                        <w:t>80m</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1717675</wp:posOffset>
                </wp:positionH>
                <wp:positionV relativeFrom="paragraph">
                  <wp:posOffset>1982470</wp:posOffset>
                </wp:positionV>
                <wp:extent cx="640080" cy="876300"/>
                <wp:effectExtent l="0" t="7620" r="15240" b="0"/>
                <wp:wrapNone/>
                <wp:docPr id="23" name="直接箭头连接符 23"/>
                <wp:cNvGraphicFramePr/>
                <a:graphic xmlns:a="http://schemas.openxmlformats.org/drawingml/2006/main">
                  <a:graphicData uri="http://schemas.microsoft.com/office/word/2010/wordprocessingShape">
                    <wps:wsp>
                      <wps:cNvCnPr/>
                      <wps:spPr>
                        <a:xfrm flipH="1">
                          <a:off x="0" y="0"/>
                          <a:ext cx="640080" cy="8763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5.25pt;margin-top:156.1pt;height:69pt;width:50.4pt;z-index:251681792;mso-width-relative:page;mso-height-relative:page;" filled="f" stroked="t" coordsize="21600,21600" o:gfxdata="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HbaAAAACwEAAA8AAAAAAAAAAQAgAAAAIgAA&#10;AGRycy9kb3ducmV2LnhtbFBLAQIUABQAAAAIAIdO4kCCTvDnBgIAANgDAAAOAAAAAAAAAAEAIAAA&#10;ACkBAABkcnMvZTJvRG9jLnhtbFBLBQYAAAAABgAGAFkBAAChBQ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2923540</wp:posOffset>
                </wp:positionH>
                <wp:positionV relativeFrom="paragraph">
                  <wp:posOffset>1071245</wp:posOffset>
                </wp:positionV>
                <wp:extent cx="439420" cy="272415"/>
                <wp:effectExtent l="43180" t="106045" r="50800" b="109220"/>
                <wp:wrapNone/>
                <wp:docPr id="10" name="文本框 10"/>
                <wp:cNvGraphicFramePr/>
                <a:graphic xmlns:a="http://schemas.openxmlformats.org/drawingml/2006/main">
                  <a:graphicData uri="http://schemas.microsoft.com/office/word/2010/wordprocessingShape">
                    <wps:wsp>
                      <wps:cNvSpPr txBox="1"/>
                      <wps:spPr>
                        <a:xfrm rot="19500000">
                          <a:off x="0" y="0"/>
                          <a:ext cx="439420"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B8847A">
                            <w:pPr>
                              <w:spacing w:line="240" w:lineRule="auto"/>
                              <w:rPr>
                                <w:rFonts w:hint="default" w:eastAsia="宋体"/>
                                <w:sz w:val="21"/>
                                <w:szCs w:val="21"/>
                                <w:lang w:val="en-US" w:eastAsia="zh-CN"/>
                              </w:rPr>
                            </w:pPr>
                            <w:r>
                              <w:rPr>
                                <w:rFonts w:hint="eastAsia"/>
                                <w:sz w:val="21"/>
                                <w:szCs w:val="21"/>
                                <w:lang w:val="en-US" w:eastAsia="zh-CN"/>
                              </w:rPr>
                              <w:t>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2pt;margin-top:84.35pt;height:21.45pt;width:34.6pt;rotation:-2293760f;z-index:251672576;mso-width-relative:page;mso-height-relative:page;" fillcolor="#FFFFFF [3201]" filled="t" stroked="t" coordsize="21600,21600" o:gfxdata="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a1/22gAAAAsBAAAPAAAAAAAAAAEAIAAAACIAAABkcnMvZG93bnJldi54bWxQSwECFAAUAAAA&#10;CACHTuJAYK3PqF4CAADHBAAADgAAAAAAAAABACAAAAApAQAAZHJzL2Uyb0RvYy54bWxQSwUGAAAA&#10;AAYABgBZAQAA+QUAAAAA&#10;">
                <v:fill on="t" focussize="0,0"/>
                <v:stroke weight="0.5pt" color="#000000 [3204]" joinstyle="round"/>
                <v:imagedata o:title=""/>
                <o:lock v:ext="edit" aspectratio="f"/>
                <v:textbox>
                  <w:txbxContent>
                    <w:p w14:paraId="3DB8847A">
                      <w:pPr>
                        <w:spacing w:line="240" w:lineRule="auto"/>
                        <w:rPr>
                          <w:rFonts w:hint="default" w:eastAsia="宋体"/>
                          <w:sz w:val="21"/>
                          <w:szCs w:val="21"/>
                          <w:lang w:val="en-US" w:eastAsia="zh-CN"/>
                        </w:rPr>
                      </w:pPr>
                      <w:r>
                        <w:rPr>
                          <w:rFonts w:hint="eastAsia"/>
                          <w:sz w:val="21"/>
                          <w:szCs w:val="21"/>
                          <w:lang w:val="en-US" w:eastAsia="zh-CN"/>
                        </w:rPr>
                        <w:t>60m</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2534285</wp:posOffset>
                </wp:positionH>
                <wp:positionV relativeFrom="paragraph">
                  <wp:posOffset>1254760</wp:posOffset>
                </wp:positionV>
                <wp:extent cx="915035" cy="531495"/>
                <wp:effectExtent l="6350" t="0" r="8255" b="17145"/>
                <wp:wrapNone/>
                <wp:docPr id="9" name="直接箭头连接符 9"/>
                <wp:cNvGraphicFramePr/>
                <a:graphic xmlns:a="http://schemas.openxmlformats.org/drawingml/2006/main">
                  <a:graphicData uri="http://schemas.microsoft.com/office/word/2010/wordprocessingShape">
                    <wps:wsp>
                      <wps:cNvCnPr/>
                      <wps:spPr>
                        <a:xfrm flipV="1">
                          <a:off x="0" y="0"/>
                          <a:ext cx="915035" cy="5314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9.55pt;margin-top:98.8pt;height:41.85pt;width:72.05pt;z-index:251671552;mso-width-relative:page;mso-height-relative:page;" filled="f" stroked="t" coordsize="21600,21600" o:gfxdata="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ooG9sAAAALAQAADwAAAAAAAAABACAAAAAi&#10;AAAAZHJzL2Rvd25yZXYueG1sUEsBAhQAFAAAAAgAh07iQIEkAygHAgAA1gMAAA4AAAAAAAAAAQAg&#10;AAAAKgEAAGRycy9lMm9Eb2MueG1sUEsFBgAAAAAGAAYAWQEAAKM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2329180</wp:posOffset>
                </wp:positionH>
                <wp:positionV relativeFrom="paragraph">
                  <wp:posOffset>1782445</wp:posOffset>
                </wp:positionV>
                <wp:extent cx="342265" cy="288925"/>
                <wp:effectExtent l="0" t="0" r="8255" b="635"/>
                <wp:wrapNone/>
                <wp:docPr id="15" name="五角星 15"/>
                <wp:cNvGraphicFramePr/>
                <a:graphic xmlns:a="http://schemas.openxmlformats.org/drawingml/2006/main">
                  <a:graphicData uri="http://schemas.microsoft.com/office/word/2010/wordprocessingShape">
                    <wps:wsp>
                      <wps:cNvSpPr/>
                      <wps:spPr>
                        <a:xfrm>
                          <a:off x="0" y="0"/>
                          <a:ext cx="342265" cy="288925"/>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3.4pt;margin-top:140.35pt;height:22.75pt;width:26.95pt;z-index:251675648;v-text-anchor:middle;mso-width-relative:page;mso-height-relative:page;" fillcolor="#FF0000" filled="t" stroked="f" coordsize="342265,288925" o:gfxdata="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5LPD2QAAAAsBAAAPAAAAAAAAAAEAIAAAACIAAABkcnMvZG93bnJldi54bWxQSwEC&#10;FAAUAAAACACHTuJA+YGIMmUCAAC5BAAADgAAAAAAAAABACAAAAAoAQAAZHJzL2Uyb0RvYy54bWxQ&#10;SwUGAAAAAAYABgBZAQAA/wUAAAAA&#10;" path="m0,110359l130734,110360,171132,0,211530,110360,342264,110359,236498,178564,276897,288924,171132,220717,65367,288924,105766,178564xe">
                <v:path o:connectlocs="171132,0;0,110359;65367,288924;276897,288924;342264,110359" o:connectangles="247,164,82,82,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2546350</wp:posOffset>
                </wp:positionH>
                <wp:positionV relativeFrom="paragraph">
                  <wp:posOffset>69215</wp:posOffset>
                </wp:positionV>
                <wp:extent cx="470535" cy="3094990"/>
                <wp:effectExtent l="837565" t="0" r="840740" b="0"/>
                <wp:wrapNone/>
                <wp:docPr id="22" name="文本框 22"/>
                <wp:cNvGraphicFramePr/>
                <a:graphic xmlns:a="http://schemas.openxmlformats.org/drawingml/2006/main">
                  <a:graphicData uri="http://schemas.microsoft.com/office/word/2010/wordprocessingShape">
                    <wps:wsp>
                      <wps:cNvSpPr txBox="1"/>
                      <wps:spPr>
                        <a:xfrm rot="19560000">
                          <a:off x="2944495" y="1242695"/>
                          <a:ext cx="470535" cy="3094990"/>
                        </a:xfrm>
                        <a:prstGeom prst="rect">
                          <a:avLst/>
                        </a:prstGeom>
                        <a:ln>
                          <a:solidFill>
                            <a:srgbClr val="92D050"/>
                          </a:solidFill>
                        </a:ln>
                      </wps:spPr>
                      <wps:style>
                        <a:lnRef idx="2">
                          <a:schemeClr val="accent1"/>
                        </a:lnRef>
                        <a:fillRef idx="0">
                          <a:srgbClr val="FFFFFF"/>
                        </a:fillRef>
                        <a:effectRef idx="0">
                          <a:srgbClr val="FFFFFF"/>
                        </a:effectRef>
                        <a:fontRef idx="minor">
                          <a:schemeClr val="tx1"/>
                        </a:fontRef>
                      </wps:style>
                      <wps:txbx>
                        <w:txbxContent>
                          <w:p w14:paraId="7F791110">
                            <w:pPr>
                              <w:rPr>
                                <w:rFonts w:hint="eastAsia"/>
                                <w:lang w:val="en-US" w:eastAsia="zh-CN"/>
                              </w:rPr>
                            </w:pPr>
                          </w:p>
                          <w:p w14:paraId="1048E625">
                            <w:pPr>
                              <w:rPr>
                                <w:rFonts w:hint="eastAsia"/>
                                <w:lang w:val="en-US" w:eastAsia="zh-CN"/>
                              </w:rPr>
                            </w:pPr>
                          </w:p>
                          <w:p w14:paraId="6070A994">
                            <w:pPr>
                              <w:rPr>
                                <w:rFonts w:hint="eastAsia"/>
                                <w:b/>
                                <w:bCs/>
                                <w:color w:val="FF0000"/>
                                <w:lang w:val="en-US" w:eastAsia="zh-CN"/>
                              </w:rPr>
                            </w:pPr>
                            <w:r>
                              <w:rPr>
                                <w:rFonts w:hint="eastAsia"/>
                                <w:b/>
                                <w:bCs/>
                                <w:color w:val="FF0000"/>
                                <w:lang w:val="en-US" w:eastAsia="zh-CN"/>
                              </w:rPr>
                              <w:t>1</w:t>
                            </w:r>
                          </w:p>
                          <w:p w14:paraId="6791DB3B">
                            <w:pPr>
                              <w:rPr>
                                <w:rFonts w:hint="eastAsia"/>
                                <w:b/>
                                <w:bCs/>
                                <w:color w:val="FF0000"/>
                                <w:lang w:val="en-US" w:eastAsia="zh-CN"/>
                              </w:rPr>
                            </w:pPr>
                            <w:r>
                              <w:rPr>
                                <w:rFonts w:hint="eastAsia"/>
                                <w:b/>
                                <w:bCs/>
                                <w:color w:val="FF0000"/>
                                <w:lang w:val="en-US" w:eastAsia="zh-CN"/>
                              </w:rPr>
                              <w:t>0</w:t>
                            </w:r>
                          </w:p>
                          <w:p w14:paraId="27C4CB1E">
                            <w:pPr>
                              <w:rPr>
                                <w:rFonts w:hint="eastAsia"/>
                                <w:b/>
                                <w:bCs/>
                                <w:color w:val="FF0000"/>
                                <w:lang w:val="en-US" w:eastAsia="zh-CN"/>
                              </w:rPr>
                            </w:pPr>
                            <w:r>
                              <w:rPr>
                                <w:rFonts w:hint="eastAsia"/>
                                <w:b/>
                                <w:bCs/>
                                <w:color w:val="FF0000"/>
                                <w:lang w:val="en-US" w:eastAsia="zh-CN"/>
                              </w:rPr>
                              <w:t>2</w:t>
                            </w:r>
                          </w:p>
                          <w:p w14:paraId="4B07CEBD">
                            <w:pPr>
                              <w:rPr>
                                <w:rFonts w:hint="default" w:eastAsia="宋体"/>
                                <w:lang w:val="en-US" w:eastAsia="zh-CN"/>
                              </w:rPr>
                            </w:pPr>
                            <w:r>
                              <w:rPr>
                                <w:rFonts w:hint="eastAsia"/>
                                <w:b/>
                                <w:bCs/>
                                <w:color w:val="FF0000"/>
                                <w:lang w:val="en-US" w:eastAsia="zh-CN"/>
                              </w:rPr>
                              <w:t>省道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5.45pt;height:243.7pt;width:37.05pt;rotation:-2228224f;z-index:251680768;mso-width-relative:page;mso-height-relative:page;" filled="f" stroked="t" coordsize="21600,21600" o:gfxdata="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OHFzNoAAAAKAQAADwAA&#10;AAAAAAABACAAAAAiAAAAZHJzL2Rvd25yZXYueG1sUEsBAhQAFAAAAAgAh07iQBzSrXCGAgAA5wQA&#10;AA4AAAAAAAAAAQAgAAAAKQEAAGRycy9lMm9Eb2MueG1sUEsFBgAAAAAGAAYAWQEAACEGAAAAAA==&#10;">
                <v:fill on="f" focussize="0,0"/>
                <v:stroke weight="2pt" color="#92D050 [3204]" joinstyle="round"/>
                <v:imagedata o:title=""/>
                <o:lock v:ext="edit" aspectratio="f"/>
                <v:textbox>
                  <w:txbxContent>
                    <w:p w14:paraId="7F791110">
                      <w:pPr>
                        <w:rPr>
                          <w:rFonts w:hint="eastAsia"/>
                          <w:lang w:val="en-US" w:eastAsia="zh-CN"/>
                        </w:rPr>
                      </w:pPr>
                    </w:p>
                    <w:p w14:paraId="1048E625">
                      <w:pPr>
                        <w:rPr>
                          <w:rFonts w:hint="eastAsia"/>
                          <w:lang w:val="en-US" w:eastAsia="zh-CN"/>
                        </w:rPr>
                      </w:pPr>
                    </w:p>
                    <w:p w14:paraId="6070A994">
                      <w:pPr>
                        <w:rPr>
                          <w:rFonts w:hint="eastAsia"/>
                          <w:b/>
                          <w:bCs/>
                          <w:color w:val="FF0000"/>
                          <w:lang w:val="en-US" w:eastAsia="zh-CN"/>
                        </w:rPr>
                      </w:pPr>
                      <w:r>
                        <w:rPr>
                          <w:rFonts w:hint="eastAsia"/>
                          <w:b/>
                          <w:bCs/>
                          <w:color w:val="FF0000"/>
                          <w:lang w:val="en-US" w:eastAsia="zh-CN"/>
                        </w:rPr>
                        <w:t>1</w:t>
                      </w:r>
                    </w:p>
                    <w:p w14:paraId="6791DB3B">
                      <w:pPr>
                        <w:rPr>
                          <w:rFonts w:hint="eastAsia"/>
                          <w:b/>
                          <w:bCs/>
                          <w:color w:val="FF0000"/>
                          <w:lang w:val="en-US" w:eastAsia="zh-CN"/>
                        </w:rPr>
                      </w:pPr>
                      <w:r>
                        <w:rPr>
                          <w:rFonts w:hint="eastAsia"/>
                          <w:b/>
                          <w:bCs/>
                          <w:color w:val="FF0000"/>
                          <w:lang w:val="en-US" w:eastAsia="zh-CN"/>
                        </w:rPr>
                        <w:t>0</w:t>
                      </w:r>
                    </w:p>
                    <w:p w14:paraId="27C4CB1E">
                      <w:pPr>
                        <w:rPr>
                          <w:rFonts w:hint="eastAsia"/>
                          <w:b/>
                          <w:bCs/>
                          <w:color w:val="FF0000"/>
                          <w:lang w:val="en-US" w:eastAsia="zh-CN"/>
                        </w:rPr>
                      </w:pPr>
                      <w:r>
                        <w:rPr>
                          <w:rFonts w:hint="eastAsia"/>
                          <w:b/>
                          <w:bCs/>
                          <w:color w:val="FF0000"/>
                          <w:lang w:val="en-US" w:eastAsia="zh-CN"/>
                        </w:rPr>
                        <w:t>2</w:t>
                      </w:r>
                    </w:p>
                    <w:p w14:paraId="4B07CEBD">
                      <w:pPr>
                        <w:rPr>
                          <w:rFonts w:hint="default" w:eastAsia="宋体"/>
                          <w:lang w:val="en-US" w:eastAsia="zh-CN"/>
                        </w:rPr>
                      </w:pPr>
                      <w:r>
                        <w:rPr>
                          <w:rFonts w:hint="eastAsia"/>
                          <w:b/>
                          <w:bCs/>
                          <w:color w:val="FF0000"/>
                          <w:lang w:val="en-US" w:eastAsia="zh-CN"/>
                        </w:rPr>
                        <w:t>省道</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2618740</wp:posOffset>
                </wp:positionH>
                <wp:positionV relativeFrom="paragraph">
                  <wp:posOffset>481965</wp:posOffset>
                </wp:positionV>
                <wp:extent cx="1443355" cy="289560"/>
                <wp:effectExtent l="0" t="355600" r="0" b="360680"/>
                <wp:wrapNone/>
                <wp:docPr id="21" name="文本框 21"/>
                <wp:cNvGraphicFramePr/>
                <a:graphic xmlns:a="http://schemas.openxmlformats.org/drawingml/2006/main">
                  <a:graphicData uri="http://schemas.microsoft.com/office/word/2010/wordprocessingShape">
                    <wps:wsp>
                      <wps:cNvSpPr txBox="1"/>
                      <wps:spPr>
                        <a:xfrm rot="19740000">
                          <a:off x="3759835" y="1257935"/>
                          <a:ext cx="1443355"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275405">
                            <w:pPr>
                              <w:rPr>
                                <w:rFonts w:hint="default" w:eastAsia="宋体"/>
                                <w:lang w:val="en-US" w:eastAsia="zh-CN"/>
                              </w:rPr>
                            </w:pPr>
                            <w:r>
                              <w:rPr>
                                <w:rFonts w:hint="eastAsia"/>
                                <w:sz w:val="21"/>
                                <w:szCs w:val="21"/>
                                <w:lang w:val="en-US" w:eastAsia="zh-CN"/>
                              </w:rPr>
                              <w:t>蓝屋自动门制造公司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2pt;margin-top:37.95pt;height:22.8pt;width:113.65pt;rotation:-2031616f;z-index:251679744;mso-width-relative:page;mso-height-relative:page;" fillcolor="#FFFFFF [3201]" filled="t" stroked="t" coordsize="21600,21600" o:gfxdata="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FZDCtsAAAAKAQAADwAAAAAAAAABACAAAAAiAAAAZHJzL2Rv&#10;d25yZXYueG1sUEsBAhQAFAAAAAgAh07iQAJZE3pwAgAA1AQAAA4AAAAAAAAAAQAgAAAAKgEAAGRy&#10;cy9lMm9Eb2MueG1sUEsFBgAAAAAGAAYAWQEAAAwGAAAAAA==&#10;">
                <v:fill on="t" focussize="0,0"/>
                <v:stroke weight="0.5pt" color="#000000 [3204]" joinstyle="round"/>
                <v:imagedata o:title=""/>
                <o:lock v:ext="edit" aspectratio="f"/>
                <v:textbox>
                  <w:txbxContent>
                    <w:p w14:paraId="3E275405">
                      <w:pPr>
                        <w:rPr>
                          <w:rFonts w:hint="default" w:eastAsia="宋体"/>
                          <w:lang w:val="en-US" w:eastAsia="zh-CN"/>
                        </w:rPr>
                      </w:pPr>
                      <w:r>
                        <w:rPr>
                          <w:rFonts w:hint="eastAsia"/>
                          <w:sz w:val="21"/>
                          <w:szCs w:val="21"/>
                          <w:lang w:val="en-US" w:eastAsia="zh-CN"/>
                        </w:rPr>
                        <w:t>蓝屋自动门制造公司</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737870</wp:posOffset>
                </wp:positionH>
                <wp:positionV relativeFrom="paragraph">
                  <wp:posOffset>932180</wp:posOffset>
                </wp:positionV>
                <wp:extent cx="1304290" cy="358140"/>
                <wp:effectExtent l="0" t="339090" r="0" b="339090"/>
                <wp:wrapNone/>
                <wp:docPr id="19" name="文本框 19"/>
                <wp:cNvGraphicFramePr/>
                <a:graphic xmlns:a="http://schemas.openxmlformats.org/drawingml/2006/main">
                  <a:graphicData uri="http://schemas.microsoft.com/office/word/2010/wordprocessingShape">
                    <wps:wsp>
                      <wps:cNvSpPr txBox="1"/>
                      <wps:spPr>
                        <a:xfrm rot="19560000">
                          <a:off x="1443355" y="1814195"/>
                          <a:ext cx="1304290" cy="358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9DA9C5">
                            <w:pPr>
                              <w:rPr>
                                <w:rFonts w:hint="default" w:eastAsia="宋体"/>
                                <w:b/>
                                <w:bCs/>
                                <w:lang w:val="en-US" w:eastAsia="zh-CN"/>
                              </w:rPr>
                            </w:pPr>
                            <w:r>
                              <w:rPr>
                                <w:rFonts w:hint="eastAsia"/>
                                <w:b/>
                                <w:bCs/>
                                <w:lang w:val="en-US" w:eastAsia="zh-CN"/>
                              </w:rPr>
                              <w:t>中国石油加油站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1pt;margin-top:73.4pt;height:28.2pt;width:102.7pt;rotation:-2228224f;z-index:251678720;mso-width-relative:page;mso-height-relative:page;" fillcolor="#FFFFFF [3201]" filled="t" stroked="t" coordsize="21600,21600" o:gfxdata="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tVRjvYAAAACwEAAA8AAAAAAAAAAQAgAAAAIgAAAGRycy9kb3ducmV2Lnht&#10;bFBLAQIUABQAAAAIAIdO4kA/DQDAawIAANQEAAAOAAAAAAAAAAEAIAAAACcBAABkcnMvZTJvRG9j&#10;LnhtbFBLBQYAAAAABgAGAFkBAAAEBgAAAAA=&#10;">
                <v:fill on="t" focussize="0,0"/>
                <v:stroke weight="0.5pt" color="#000000 [3204]" joinstyle="round"/>
                <v:imagedata o:title=""/>
                <o:lock v:ext="edit" aspectratio="f"/>
                <v:textbox>
                  <w:txbxContent>
                    <w:p w14:paraId="1E9DA9C5">
                      <w:pPr>
                        <w:rPr>
                          <w:rFonts w:hint="default" w:eastAsia="宋体"/>
                          <w:b/>
                          <w:bCs/>
                          <w:lang w:val="en-US" w:eastAsia="zh-CN"/>
                        </w:rPr>
                      </w:pPr>
                      <w:r>
                        <w:rPr>
                          <w:rFonts w:hint="eastAsia"/>
                          <w:b/>
                          <w:bCs/>
                          <w:lang w:val="en-US" w:eastAsia="zh-CN"/>
                        </w:rPr>
                        <w:t>中国石油加油站</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1517650</wp:posOffset>
                </wp:positionH>
                <wp:positionV relativeFrom="paragraph">
                  <wp:posOffset>2629535</wp:posOffset>
                </wp:positionV>
                <wp:extent cx="453390" cy="1007745"/>
                <wp:effectExtent l="67945" t="143510" r="67310" b="27940"/>
                <wp:wrapNone/>
                <wp:docPr id="17" name="文本框 17"/>
                <wp:cNvGraphicFramePr/>
                <a:graphic xmlns:a="http://schemas.openxmlformats.org/drawingml/2006/main">
                  <a:graphicData uri="http://schemas.microsoft.com/office/word/2010/wordprocessingShape">
                    <wps:wsp>
                      <wps:cNvSpPr txBox="1"/>
                      <wps:spPr>
                        <a:xfrm rot="17700000" flipH="1">
                          <a:off x="0" y="0"/>
                          <a:ext cx="453390" cy="1007745"/>
                        </a:xfrm>
                        <a:custGeom>
                          <a:avLst/>
                          <a:gdLst>
                            <a:gd name="connsiteX0" fmla="*/ 52 w 714"/>
                            <a:gd name="connsiteY0" fmla="*/ 141 h 1587"/>
                            <a:gd name="connsiteX1" fmla="*/ 714 w 714"/>
                            <a:gd name="connsiteY1" fmla="*/ 0 h 1587"/>
                            <a:gd name="connsiteX2" fmla="*/ 468 w 714"/>
                            <a:gd name="connsiteY2" fmla="*/ 1434 h 1587"/>
                            <a:gd name="connsiteX3" fmla="*/ 331 w 714"/>
                            <a:gd name="connsiteY3" fmla="*/ 1529 h 1587"/>
                            <a:gd name="connsiteX4" fmla="*/ 0 w 714"/>
                            <a:gd name="connsiteY4" fmla="*/ 1587 h 1587"/>
                            <a:gd name="connsiteX5" fmla="*/ 52 w 714"/>
                            <a:gd name="connsiteY5" fmla="*/ 141 h 1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4" h="1587">
                              <a:moveTo>
                                <a:pt x="52" y="141"/>
                              </a:moveTo>
                              <a:lnTo>
                                <a:pt x="714" y="0"/>
                              </a:lnTo>
                              <a:lnTo>
                                <a:pt x="468" y="1434"/>
                              </a:lnTo>
                              <a:lnTo>
                                <a:pt x="331" y="1529"/>
                              </a:lnTo>
                              <a:lnTo>
                                <a:pt x="0" y="1587"/>
                              </a:lnTo>
                              <a:lnTo>
                                <a:pt x="52" y="141"/>
                              </a:lnTo>
                              <a:close/>
                            </a:path>
                          </a:pathLst>
                        </a:custGeom>
                        <a:ln w="38100"/>
                      </wps:spPr>
                      <wps:style>
                        <a:lnRef idx="2">
                          <a:schemeClr val="accent1"/>
                        </a:lnRef>
                        <a:fillRef idx="0">
                          <a:srgbClr val="FFFFFF"/>
                        </a:fillRef>
                        <a:effectRef idx="0">
                          <a:srgbClr val="FFFFFF"/>
                        </a:effectRef>
                        <a:fontRef idx="minor">
                          <a:schemeClr val="tx1"/>
                        </a:fontRef>
                      </wps:style>
                      <wps:txbx>
                        <w:txbxContent>
                          <w:p w14:paraId="1E10D35B">
                            <w:pPr>
                              <w:rPr>
                                <w:rFonts w:hint="default" w:eastAsia="宋体"/>
                                <w:b/>
                                <w:bCs/>
                                <w:color w:val="FF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100" style="position:absolute;left:0pt;flip:x;margin-left:119.5pt;margin-top:207.05pt;height:79.35pt;width:35.7pt;rotation:4259840f;z-index:251676672;mso-width-relative:page;mso-height-relative:page;" filled="f" stroked="t" coordsize="714,1587" o:gfxdata="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jVs4L3AAAAAsBAAAPAAAAAAAAAAEAIAAAACIAAABkcnMv&#10;ZG93bnJldi54bWxQSwECFAAUAAAACACHTuJAg2/nxMcDAADtCQAADgAAAAAAAAABACAAAAArAQAA&#10;ZHJzL2Uyb0RvYy54bWxQSwUGAAAAAAYABgBZAQAAZAcAAAAA&#10;" path="m52,141l714,0,468,1434,331,1529,0,1587,52,141xe">
                <v:path textboxrect="0,0,714,1587" o:connectlocs="33020,89535;453390,0;297180,910590;210185,970915;0,1007745;33020,89535" o:connectangles="0,0,0,0,0,0"/>
                <v:fill on="f" focussize="0,0"/>
                <v:stroke weight="3pt" color="#4F81BD [3204]" joinstyle="round"/>
                <v:imagedata o:title=""/>
                <o:lock v:ext="edit" aspectratio="f"/>
                <v:textbox>
                  <w:txbxContent>
                    <w:p w14:paraId="1E10D35B">
                      <w:pPr>
                        <w:rPr>
                          <w:rFonts w:hint="default" w:eastAsia="宋体"/>
                          <w:b/>
                          <w:bCs/>
                          <w:color w:val="FF0000"/>
                          <w:lang w:val="en-US" w:eastAsia="zh-CN"/>
                        </w:rPr>
                      </w:pP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1884045</wp:posOffset>
                </wp:positionH>
                <wp:positionV relativeFrom="paragraph">
                  <wp:posOffset>1826895</wp:posOffset>
                </wp:positionV>
                <wp:extent cx="1092835" cy="1358900"/>
                <wp:effectExtent l="311785" t="171450" r="287020" b="0"/>
                <wp:wrapNone/>
                <wp:docPr id="12" name="文本框 12"/>
                <wp:cNvGraphicFramePr/>
                <a:graphic xmlns:a="http://schemas.openxmlformats.org/drawingml/2006/main">
                  <a:graphicData uri="http://schemas.microsoft.com/office/word/2010/wordprocessingShape">
                    <wps:wsp>
                      <wps:cNvSpPr txBox="1"/>
                      <wps:spPr>
                        <a:xfrm rot="19380000">
                          <a:off x="2725420" y="3239135"/>
                          <a:ext cx="1092835" cy="1358900"/>
                        </a:xfrm>
                        <a:custGeom>
                          <a:avLst/>
                          <a:gdLst>
                            <a:gd name="connsiteX0" fmla="*/ 0 w 1776"/>
                            <a:gd name="connsiteY0" fmla="*/ 0 h 2126"/>
                            <a:gd name="connsiteX1" fmla="*/ 1776 w 1776"/>
                            <a:gd name="connsiteY1" fmla="*/ 65 h 2126"/>
                            <a:gd name="connsiteX2" fmla="*/ 1704 w 1776"/>
                            <a:gd name="connsiteY2" fmla="*/ 2126 h 2126"/>
                            <a:gd name="connsiteX3" fmla="*/ 682 w 1776"/>
                            <a:gd name="connsiteY3" fmla="*/ 1927 h 2126"/>
                            <a:gd name="connsiteX4" fmla="*/ 0 w 1776"/>
                            <a:gd name="connsiteY4" fmla="*/ 0 h 21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6" h="2126">
                              <a:moveTo>
                                <a:pt x="0" y="0"/>
                              </a:moveTo>
                              <a:lnTo>
                                <a:pt x="1776" y="65"/>
                              </a:lnTo>
                              <a:lnTo>
                                <a:pt x="1704" y="2126"/>
                              </a:lnTo>
                              <a:lnTo>
                                <a:pt x="682" y="1927"/>
                              </a:lnTo>
                              <a:lnTo>
                                <a:pt x="0" y="0"/>
                              </a:lnTo>
                              <a:close/>
                            </a:path>
                          </a:pathLst>
                        </a:custGeom>
                        <a:noFill/>
                        <a:ln>
                          <a:solidFill>
                            <a:srgbClr val="FF0000"/>
                          </a:solidFill>
                        </a:ln>
                      </wps:spPr>
                      <wps:style>
                        <a:lnRef idx="2">
                          <a:schemeClr val="accent1"/>
                        </a:lnRef>
                        <a:fillRef idx="0">
                          <a:srgbClr val="FFFFFF"/>
                        </a:fillRef>
                        <a:effectRef idx="0">
                          <a:srgbClr val="FFFFFF"/>
                        </a:effectRef>
                        <a:fontRef idx="minor">
                          <a:schemeClr val="tx1"/>
                        </a:fontRef>
                      </wps:style>
                      <wps:txbx>
                        <w:txbxContent>
                          <w:p w14:paraId="1ABC1B7B">
                            <w:pPr>
                              <w:ind w:firstLine="482" w:firstLineChars="200"/>
                              <w:rPr>
                                <w:rFonts w:hint="eastAsia"/>
                                <w:b/>
                                <w:bCs/>
                                <w:color w:val="FF0000"/>
                                <w:lang w:val="en-US" w:eastAsia="zh-CN"/>
                              </w:rPr>
                            </w:pPr>
                            <w:r>
                              <w:rPr>
                                <w:rFonts w:hint="eastAsia"/>
                                <w:b/>
                                <w:bCs/>
                                <w:color w:val="FF0000"/>
                                <w:lang w:val="en-US" w:eastAsia="zh-CN"/>
                              </w:rPr>
                              <w:t>云南</w:t>
                            </w:r>
                          </w:p>
                          <w:p w14:paraId="4F60B056">
                            <w:pPr>
                              <w:ind w:firstLine="482" w:firstLineChars="200"/>
                              <w:rPr>
                                <w:rFonts w:hint="eastAsia"/>
                                <w:b/>
                                <w:bCs/>
                                <w:color w:val="FF0000"/>
                                <w:lang w:val="en-US" w:eastAsia="zh-CN"/>
                              </w:rPr>
                            </w:pPr>
                            <w:r>
                              <w:rPr>
                                <w:rFonts w:hint="eastAsia"/>
                                <w:b/>
                                <w:bCs/>
                                <w:color w:val="FF0000"/>
                                <w:lang w:val="en-US" w:eastAsia="zh-CN"/>
                              </w:rPr>
                              <w:t>玉溪</w:t>
                            </w:r>
                          </w:p>
                          <w:p w14:paraId="016A25A3">
                            <w:pPr>
                              <w:ind w:firstLine="482" w:firstLineChars="200"/>
                              <w:rPr>
                                <w:rFonts w:hint="eastAsia" w:eastAsia="宋体"/>
                                <w:b/>
                                <w:bCs/>
                                <w:color w:val="FF0000"/>
                                <w:lang w:val="en-US" w:eastAsia="zh-CN"/>
                              </w:rPr>
                            </w:pPr>
                            <w:r>
                              <w:rPr>
                                <w:rFonts w:hint="eastAsia"/>
                                <w:b/>
                                <w:bCs/>
                                <w:color w:val="FF0000"/>
                                <w:lang w:val="en-US" w:eastAsia="zh-CN"/>
                              </w:rPr>
                              <w:t>洁灵娜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100" style="position:absolute;left:0pt;margin-left:148.35pt;margin-top:143.85pt;height:107pt;width:86.05pt;rotation:-2424832f;z-index:251674624;mso-width-relative:page;mso-height-relative:page;" filled="f" stroked="t" coordsize="1776,2126" o:gfxdata="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BbW0tj2AAAAAsB&#10;AAAPAAAAAAAAAAEAIAAAACIAAABkcnMvZG93bnJldi54bWxQSwECFAAUAAAACACHTuJAyZyezKoD&#10;AAAyCQAADgAAAAAAAAABACAAAAAnAQAAZHJzL2Uyb0RvYy54bWxQSwUGAAAAAAYABgBZAQAAQwcA&#10;AAAA&#10;" path="m0,0l1776,65,1704,2126,682,1927,0,0xe">
                <v:path textboxrect="0,0,1776,2126" o:connectlocs="0,0;1092835,41546;1048530,1358900;419658,1231702;0,0" o:connectangles="0,0,0,0,0"/>
                <v:fill on="f" focussize="0,0"/>
                <v:stroke weight="2pt" color="#FF0000 [3204]" joinstyle="round"/>
                <v:imagedata o:title=""/>
                <o:lock v:ext="edit" aspectratio="f"/>
                <v:textbox>
                  <w:txbxContent>
                    <w:p w14:paraId="1ABC1B7B">
                      <w:pPr>
                        <w:ind w:firstLine="482" w:firstLineChars="200"/>
                        <w:rPr>
                          <w:rFonts w:hint="eastAsia"/>
                          <w:b/>
                          <w:bCs/>
                          <w:color w:val="FF0000"/>
                          <w:lang w:val="en-US" w:eastAsia="zh-CN"/>
                        </w:rPr>
                      </w:pPr>
                      <w:r>
                        <w:rPr>
                          <w:rFonts w:hint="eastAsia"/>
                          <w:b/>
                          <w:bCs/>
                          <w:color w:val="FF0000"/>
                          <w:lang w:val="en-US" w:eastAsia="zh-CN"/>
                        </w:rPr>
                        <w:t>云南</w:t>
                      </w:r>
                    </w:p>
                    <w:p w14:paraId="4F60B056">
                      <w:pPr>
                        <w:ind w:firstLine="482" w:firstLineChars="200"/>
                        <w:rPr>
                          <w:rFonts w:hint="eastAsia"/>
                          <w:b/>
                          <w:bCs/>
                          <w:color w:val="FF0000"/>
                          <w:lang w:val="en-US" w:eastAsia="zh-CN"/>
                        </w:rPr>
                      </w:pPr>
                      <w:r>
                        <w:rPr>
                          <w:rFonts w:hint="eastAsia"/>
                          <w:b/>
                          <w:bCs/>
                          <w:color w:val="FF0000"/>
                          <w:lang w:val="en-US" w:eastAsia="zh-CN"/>
                        </w:rPr>
                        <w:t>玉溪</w:t>
                      </w:r>
                    </w:p>
                    <w:p w14:paraId="016A25A3">
                      <w:pPr>
                        <w:ind w:firstLine="482" w:firstLineChars="200"/>
                        <w:rPr>
                          <w:rFonts w:hint="eastAsia" w:eastAsia="宋体"/>
                          <w:b/>
                          <w:bCs/>
                          <w:color w:val="FF0000"/>
                          <w:lang w:val="en-US" w:eastAsia="zh-CN"/>
                        </w:rPr>
                      </w:pPr>
                      <w:r>
                        <w:rPr>
                          <w:rFonts w:hint="eastAsia"/>
                          <w:b/>
                          <w:bCs/>
                          <w:color w:val="FF0000"/>
                          <w:lang w:val="en-US" w:eastAsia="zh-CN"/>
                        </w:rPr>
                        <w:t>洁灵娜</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1256665</wp:posOffset>
                </wp:positionH>
                <wp:positionV relativeFrom="paragraph">
                  <wp:posOffset>1209040</wp:posOffset>
                </wp:positionV>
                <wp:extent cx="1073785" cy="784860"/>
                <wp:effectExtent l="139065" t="237490" r="143510" b="242570"/>
                <wp:wrapNone/>
                <wp:docPr id="11" name="文本框 11"/>
                <wp:cNvGraphicFramePr/>
                <a:graphic xmlns:a="http://schemas.openxmlformats.org/drawingml/2006/main">
                  <a:graphicData uri="http://schemas.microsoft.com/office/word/2010/wordprocessingShape">
                    <wps:wsp>
                      <wps:cNvSpPr txBox="1"/>
                      <wps:spPr>
                        <a:xfrm rot="19680000">
                          <a:off x="0" y="0"/>
                          <a:ext cx="1073785" cy="784860"/>
                        </a:xfrm>
                        <a:prstGeom prst="rect">
                          <a:avLst/>
                        </a:prstGeom>
                      </wps:spPr>
                      <wps:style>
                        <a:lnRef idx="2">
                          <a:schemeClr val="accent1"/>
                        </a:lnRef>
                        <a:fillRef idx="0">
                          <a:srgbClr val="FFFFFF"/>
                        </a:fillRef>
                        <a:effectRef idx="0">
                          <a:srgbClr val="FFFFFF"/>
                        </a:effectRef>
                        <a:fontRef idx="minor">
                          <a:schemeClr val="tx1"/>
                        </a:fontRef>
                      </wps:style>
                      <wps:txbx>
                        <w:txbxContent>
                          <w:p w14:paraId="79C61E30">
                            <w:pPr>
                              <w:rPr>
                                <w:rFonts w:hint="default" w:eastAsia="宋体"/>
                                <w:b/>
                                <w:bCs/>
                                <w:color w:val="FF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95.2pt;height:61.8pt;width:84.55pt;rotation:-2097152f;z-index:251673600;mso-width-relative:page;mso-height-relative:page;" filled="f" stroked="t" coordsize="21600,21600" o:gfxdata="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cSw7vbAAAACwEAAA8AAAAAAAAAAQAg&#10;AAAAIgAAAGRycy9kb3ducmV2LnhtbFBLAQIUABQAAAAIAIdO4kBksCAIfQIAANsEAAAOAAAAAAAA&#10;AAEAIAAAACoBAABkcnMvZTJvRG9jLnhtbFBLBQYAAAAABgAGAFkBAAAZBgAAAAA=&#10;">
                <v:fill on="f" focussize="0,0"/>
                <v:stroke weight="2pt" color="#4F81BD [3204]" joinstyle="round"/>
                <v:imagedata o:title=""/>
                <o:lock v:ext="edit" aspectratio="f"/>
                <v:textbox>
                  <w:txbxContent>
                    <w:p w14:paraId="79C61E30">
                      <w:pPr>
                        <w:rPr>
                          <w:rFonts w:hint="default" w:eastAsia="宋体"/>
                          <w:b/>
                          <w:bCs/>
                          <w:color w:val="FF0000"/>
                          <w:lang w:val="en-US" w:eastAsia="zh-CN"/>
                        </w:rPr>
                      </w:pP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3475990</wp:posOffset>
                </wp:positionH>
                <wp:positionV relativeFrom="paragraph">
                  <wp:posOffset>613410</wp:posOffset>
                </wp:positionV>
                <wp:extent cx="901065" cy="1426210"/>
                <wp:effectExtent l="328295" t="142875" r="340360" b="153035"/>
                <wp:wrapNone/>
                <wp:docPr id="6" name="文本框 6"/>
                <wp:cNvGraphicFramePr/>
                <a:graphic xmlns:a="http://schemas.openxmlformats.org/drawingml/2006/main">
                  <a:graphicData uri="http://schemas.microsoft.com/office/word/2010/wordprocessingShape">
                    <wps:wsp>
                      <wps:cNvSpPr txBox="1"/>
                      <wps:spPr>
                        <a:xfrm rot="19620000">
                          <a:off x="0" y="0"/>
                          <a:ext cx="901065" cy="1426210"/>
                        </a:xfrm>
                        <a:prstGeom prst="rect">
                          <a:avLst/>
                        </a:prstGeom>
                      </wps:spPr>
                      <wps:style>
                        <a:lnRef idx="2">
                          <a:schemeClr val="accent1"/>
                        </a:lnRef>
                        <a:fillRef idx="0">
                          <a:srgbClr val="FFFFFF"/>
                        </a:fillRef>
                        <a:effectRef idx="0">
                          <a:srgbClr val="FFFFFF"/>
                        </a:effectRef>
                        <a:fontRef idx="minor">
                          <a:schemeClr val="tx1"/>
                        </a:fontRef>
                      </wps:style>
                      <wps:txbx>
                        <w:txbxContent>
                          <w:p w14:paraId="24E28F52">
                            <w:pPr>
                              <w:rPr>
                                <w:rFonts w:hint="default" w:eastAsia="宋体"/>
                                <w:b/>
                                <w:bCs/>
                                <w:color w:val="FF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7pt;margin-top:48.3pt;height:112.3pt;width:70.95pt;rotation:-2162688f;z-index:251670528;mso-width-relative:page;mso-height-relative:page;" filled="f" stroked="t" coordsize="21600,21600" o:gfxdata="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4NAc32wAAAAoBAAAPAAAAAAAAAAEAIAAA&#10;ACIAAABkcnMvZG93bnJldi54bWxQSwECFAAUAAAACACHTuJAm/HBI3sCAADZBAAADgAAAAAAAAAB&#10;ACAAAAAqAQAAZHJzL2Uyb0RvYy54bWxQSwUGAAAAAAYABgBZAQAAFwYAAAAA&#10;">
                <v:fill on="f" focussize="0,0"/>
                <v:stroke weight="2pt" color="#4F81BD [3204]" joinstyle="round"/>
                <v:imagedata o:title=""/>
                <o:lock v:ext="edit" aspectratio="f"/>
                <v:textbox>
                  <w:txbxContent>
                    <w:p w14:paraId="24E28F52">
                      <w:pPr>
                        <w:rPr>
                          <w:rFonts w:hint="default" w:eastAsia="宋体"/>
                          <w:b/>
                          <w:bCs/>
                          <w:color w:val="FF0000"/>
                          <w:lang w:val="en-US" w:eastAsia="zh-CN"/>
                        </w:rPr>
                      </w:pPr>
                    </w:p>
                  </w:txbxContent>
                </v:textbox>
              </v:shape>
            </w:pict>
          </mc:Fallback>
        </mc:AlternateContent>
      </w:r>
    </w:p>
    <w:p w14:paraId="5411247D">
      <w:pPr>
        <w:keepNext w:val="0"/>
        <w:keepLines w:val="0"/>
        <w:pageBreakBefore w:val="0"/>
        <w:widowControl w:val="0"/>
        <w:tabs>
          <w:tab w:val="left" w:pos="840"/>
          <w:tab w:val="left" w:pos="900"/>
        </w:tabs>
        <w:kinsoku/>
        <w:wordWrap/>
        <w:overflowPunct/>
        <w:topLinePunct w:val="0"/>
        <w:autoSpaceDE/>
        <w:autoSpaceDN/>
        <w:bidi w:val="0"/>
        <w:adjustRightInd/>
        <w:snapToGrid/>
        <w:spacing w:line="360" w:lineRule="auto"/>
        <w:ind w:left="0"/>
        <w:jc w:val="center"/>
        <w:textAlignment w:val="auto"/>
        <w:rPr>
          <w:rFonts w:hint="default"/>
        </w:rPr>
      </w:pPr>
      <w:r>
        <w:rPr>
          <w:rFonts w:hint="eastAsia"/>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14:textFill>
            <w14:solidFill>
              <w14:schemeClr w14:val="tx1"/>
            </w14:solidFill>
          </w14:textFill>
        </w:rPr>
        <w:t>图2-2 项目周边环境示意图</w:t>
      </w:r>
    </w:p>
    <w:p w14:paraId="4EFA63A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40" w:name="_Toc17782"/>
      <w:bookmarkStart w:id="141" w:name="_Toc29473"/>
      <w:bookmarkStart w:id="142" w:name="_Toc335926142"/>
      <w:bookmarkStart w:id="143" w:name="_Toc313453449"/>
      <w:bookmarkStart w:id="144" w:name="_Toc15396"/>
      <w:r>
        <w:rPr>
          <w:rFonts w:hint="default" w:ascii="Times New Roman" w:hAnsi="Times New Roman" w:eastAsia="黑体" w:cs="Times New Roman"/>
          <w:color w:val="000000" w:themeColor="text1"/>
          <w14:textFill>
            <w14:solidFill>
              <w14:schemeClr w14:val="tx1"/>
            </w14:solidFill>
          </w14:textFill>
        </w:rPr>
        <w:t>2.2.</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14:textFill>
            <w14:solidFill>
              <w14:schemeClr w14:val="tx1"/>
            </w14:solidFill>
          </w14:textFill>
        </w:rPr>
        <w:t>气象条件</w:t>
      </w:r>
      <w:bookmarkEnd w:id="139"/>
      <w:bookmarkEnd w:id="140"/>
      <w:bookmarkEnd w:id="141"/>
      <w:bookmarkEnd w:id="142"/>
      <w:bookmarkEnd w:id="143"/>
      <w:bookmarkEnd w:id="144"/>
    </w:p>
    <w:p w14:paraId="4684424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bookmarkStart w:id="145" w:name="_Toc129520595"/>
      <w:bookmarkStart w:id="146" w:name="_Toc103178261"/>
      <w:bookmarkStart w:id="147" w:name="_Toc51340634"/>
      <w:bookmarkStart w:id="148" w:name="_Toc54294400"/>
      <w:bookmarkStart w:id="149" w:name="_Toc29539"/>
      <w:bookmarkStart w:id="150" w:name="_Toc335926143"/>
      <w:bookmarkStart w:id="151" w:name="_Toc21990"/>
      <w:bookmarkStart w:id="152" w:name="_Toc313453450"/>
      <w:r>
        <w:rPr>
          <w:rFonts w:hint="eastAsia" w:ascii="宋体" w:hAnsi="宋体" w:eastAsia="宋体" w:cs="宋体"/>
          <w:b w:val="0"/>
          <w:bCs w:val="0"/>
          <w:color w:val="000000" w:themeColor="text1"/>
          <w:sz w:val="28"/>
          <w:szCs w:val="28"/>
          <w:lang w:val="en-US" w:eastAsia="zh-CN"/>
          <w14:textFill>
            <w14:solidFill>
              <w14:schemeClr w14:val="tx1"/>
            </w14:solidFill>
          </w14:textFill>
        </w:rPr>
        <w:t>红塔区为中亚热带半湿润冷冬高原季风气候，冬无严寒，夏无酷暑，气候宜人。由于山脉和地势的影响，使红塔区气候的水平差异和垂直差异都较大，首先，山脉对气流的动力抬升作用，使东西部降水量比中部和南部坝区偏多，其次是使气温随海拔升高而降低。因此，坝区气候温和，山区气候冷凉。红塔区地处低纬高原，冬夏半年各受两种性质不同的大气环流交替影响，因此，高原季风气候特点显著，冬半年（即干季11-4月）受南支西风急流控制，空气温暖干燥，因而晴天多，日照充足，太阳辐射强，降水少；同时由于晴朗干燥，夜间辐射冷却亦强，容易形成霜或霜冻。夏半年(即雨季5-10月)，受副热带高压控制，常受来自赤道海洋的西南季风和来自热带海洋的东南季风影响，湿度大、水汽充足、降水多，会形成洪涝灾害，鉴于以上天气特点，红塔区形成了冬暖夏凉，四季如春，夏秋多雨，冬春干旱，雨热同季的气候。</w:t>
      </w:r>
    </w:p>
    <w:p w14:paraId="1F43826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据红塔区气象局资料，全区多年平均气温15.6℃，最冷月（1月）平均温度8.4℃，最热月（7月）平均温度20.7℃，多年极端最低气温-5.5℃，无霜期233天，年平均降水量913.0ｍｍ，年日照时数2185.0小时。2010年全年平均气温17.4℃，极端最高气温32.2℃(5月6日)，极端最低气温0.5℃（12月17日）；全年日照时数为2370.5小时，日照率为54%；霜降从2010年11月3日始，2011年2月23日止，共113天；全年降雨155天，降雨量639.6毫米；平均相对湿度为72%，最小湿度为10%；主要气象灾害有旱灾、冰雹灾等。</w:t>
      </w:r>
      <w:bookmarkEnd w:id="145"/>
      <w:bookmarkEnd w:id="146"/>
      <w:bookmarkEnd w:id="147"/>
      <w:bookmarkEnd w:id="148"/>
      <w:r>
        <w:rPr>
          <w:rFonts w:hint="eastAsia" w:ascii="宋体" w:hAnsi="宋体" w:eastAsia="宋体" w:cs="宋体"/>
          <w:b w:val="0"/>
          <w:bCs w:val="0"/>
          <w:color w:val="000000" w:themeColor="text1"/>
          <w:sz w:val="28"/>
          <w:szCs w:val="28"/>
          <w:lang w:val="en-US" w:eastAsia="zh-CN"/>
          <w14:textFill>
            <w14:solidFill>
              <w14:schemeClr w14:val="tx1"/>
            </w14:solidFill>
          </w14:textFill>
        </w:rPr>
        <w:t>红塔区多年平均雷暴日天数63天，区内常年主导风向西南风，冬季有少量北风。</w:t>
      </w:r>
    </w:p>
    <w:p w14:paraId="4A8856D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lang w:val="en-US" w:eastAsia="zh-CN"/>
        </w:rPr>
      </w:pPr>
      <w:r>
        <w:rPr>
          <w:rFonts w:hint="eastAsia" w:ascii="Times New Roman" w:hAnsi="Times New Roman" w:eastAsia="宋体" w:cs="Times New Roman"/>
          <w:kern w:val="2"/>
          <w:sz w:val="28"/>
          <w:szCs w:val="28"/>
          <w:lang w:val="en-US" w:eastAsia="zh-CN" w:bidi="ar-SA"/>
        </w:rPr>
        <w:t>项目所在地研和街道属于中亚热带半湿润凉冬高原季风气候。冬季，这里的空气温暖，降水量较少，晴天多，日照充足，气候干燥。夏季则空气湿度大，水汽充足，降水和云量多，日照时间较长。霜冻多发于秋末至来年春初，全年无霜期为206天。年平均气温在15—16°C之间，最热月（七月份）平均温度在25—26°C之间，极端最高气温为33.5°C，最冷月（一月份）平均温度在0°C—0.2°C之间，极端最低温度为-4.6°C。镇内年降水量在800—900毫米之间，年日照时数为2265.1小时，日照百分率达到51%。综上所述，研和镇的气候特点是温暖湿润、四季分明，日照充足，降水量适中，适宜农业生产，同时也有利于居民的生活和健康。</w:t>
      </w:r>
    </w:p>
    <w:p w14:paraId="3567550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53" w:name="_Toc27961"/>
      <w:r>
        <w:rPr>
          <w:rFonts w:hint="default" w:ascii="Times New Roman" w:hAnsi="Times New Roman" w:eastAsia="黑体" w:cs="Times New Roman"/>
          <w:color w:val="000000" w:themeColor="text1"/>
          <w14:textFill>
            <w14:solidFill>
              <w14:schemeClr w14:val="tx1"/>
            </w14:solidFill>
          </w14:textFill>
        </w:rPr>
        <w:t>2.2.</w:t>
      </w:r>
      <w:r>
        <w:rPr>
          <w:rFonts w:hint="eastAsia" w:ascii="Times New Roman" w:hAnsi="Times New Roman" w:cs="Times New Roman"/>
          <w:color w:val="000000" w:themeColor="text1"/>
          <w:lang w:val="en-US" w:eastAsia="zh-CN"/>
          <w14:textFill>
            <w14:solidFill>
              <w14:schemeClr w14:val="tx1"/>
            </w14:solidFill>
          </w14:textFill>
        </w:rPr>
        <w:t xml:space="preserve">5 </w:t>
      </w:r>
      <w:r>
        <w:rPr>
          <w:rFonts w:hint="default" w:ascii="Times New Roman" w:hAnsi="Times New Roman" w:eastAsia="黑体" w:cs="Times New Roman"/>
          <w:color w:val="000000" w:themeColor="text1"/>
          <w14:textFill>
            <w14:solidFill>
              <w14:schemeClr w14:val="tx1"/>
            </w14:solidFill>
          </w14:textFill>
        </w:rPr>
        <w:t>地质条件</w:t>
      </w:r>
      <w:bookmarkEnd w:id="149"/>
      <w:bookmarkEnd w:id="150"/>
      <w:bookmarkEnd w:id="151"/>
      <w:bookmarkEnd w:id="152"/>
      <w:bookmarkEnd w:id="153"/>
    </w:p>
    <w:p w14:paraId="7B432EE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1.地形、地貌</w:t>
      </w:r>
    </w:p>
    <w:p w14:paraId="3968E81D">
      <w:pPr>
        <w:pStyle w:val="4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04" w:beforeAutospacing="0" w:after="204" w:afterAutospacing="0" w:line="520" w:lineRule="exact"/>
        <w:ind w:leftChars="0" w:right="0" w:rightChars="0" w:firstLine="560"/>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研和街道地处云贵高原西南部邻近边缘带，宽平山脊或圆形山顶形成了复杂的地形地貌，四周山系环抱研和盆地，坝子中矮丘起伏。东边山势平缓，西边山势峻缓。境内最高峰回族山位于南厂社区，海拔2142.6米；最低点黑泥红石岩位于玉屏社区红塔区、峨山县、通海县三县交界点，海拔1502米。</w:t>
      </w:r>
    </w:p>
    <w:p w14:paraId="67B0A9A9">
      <w:pPr>
        <w:pStyle w:val="4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04" w:beforeAutospacing="0" w:after="204" w:afterAutospacing="0" w:line="520" w:lineRule="exact"/>
        <w:ind w:leftChars="0" w:right="0" w:rightChars="0" w:firstLine="560"/>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根据云南玉溪洁灵娜精细日化有限责任公司所提供地质资料及</w:t>
      </w:r>
      <w:r>
        <w:rPr>
          <w:rFonts w:hint="eastAsia" w:ascii="宋体" w:hAnsi="宋体" w:eastAsia="宋体" w:cs="宋体"/>
          <w:sz w:val="28"/>
          <w:szCs w:val="28"/>
        </w:rPr>
        <w:t>评价组现场检查，厂区内未发现塌陷、开裂、下沉等地灾现象。</w:t>
      </w:r>
    </w:p>
    <w:p w14:paraId="6A82F18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8"/>
          <w:szCs w:val="28"/>
          <w14:textFill>
            <w14:solidFill>
              <w14:schemeClr w14:val="tx1"/>
            </w14:solidFill>
          </w14:textFill>
        </w:rPr>
        <w:t>.水文</w:t>
      </w:r>
    </w:p>
    <w:p w14:paraId="43024F91">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olor w:val="auto"/>
          <w:sz w:val="28"/>
          <w:szCs w:val="24"/>
          <w:lang w:val="en-US" w:eastAsia="zh-CN"/>
        </w:rPr>
      </w:pPr>
      <w:r>
        <w:rPr>
          <w:rFonts w:hint="eastAsia" w:ascii="宋体" w:hAnsi="宋体" w:eastAsia="宋体"/>
          <w:color w:val="auto"/>
          <w:sz w:val="28"/>
          <w:szCs w:val="24"/>
          <w:lang w:val="en-US" w:eastAsia="zh-CN"/>
        </w:rPr>
        <w:t>研和街道境内河道属珠江流域。主要河道有东风大沟、歪者河、清水沟3条。河流总长度47千米，河网密度31.3千米/平方千米。境内最大河流东风南沟自高仓入境至玉屏村，全长15.6千米。流域面积1.5平方千米，年均流量0.3立方米/秒。</w:t>
      </w:r>
    </w:p>
    <w:p w14:paraId="674B992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项目区属于南盘江水系，位于南盘江一级支流曲江的支流大沙河右岸。处于玉溪盆地与低中山丘陵地形接触部位，项目范围内无常年性河流，也无泉水出露。</w:t>
      </w:r>
    </w:p>
    <w:p w14:paraId="7BD7D701">
      <w:pPr>
        <w:pStyle w:val="10"/>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8"/>
          <w:szCs w:val="28"/>
          <w14:textFill>
            <w14:solidFill>
              <w14:schemeClr w14:val="tx1"/>
            </w14:solidFill>
          </w14:textFill>
        </w:rPr>
        <w:t>.抗震</w:t>
      </w:r>
    </w:p>
    <w:p w14:paraId="755E732E">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ì."/>
          <w:color w:val="000000" w:themeColor="text1"/>
          <w:sz w:val="28"/>
          <w:szCs w:val="28"/>
          <w14:textFill>
            <w14:solidFill>
              <w14:schemeClr w14:val="tx1"/>
            </w14:solidFill>
          </w14:textFill>
        </w:rPr>
      </w:pPr>
      <w:r>
        <w:rPr>
          <w:rFonts w:hint="eastAsia" w:ascii="宋体" w:hAnsi="宋体" w:eastAsia="宋体" w:cs="..ì."/>
          <w:color w:val="000000" w:themeColor="text1"/>
          <w:sz w:val="28"/>
          <w:szCs w:val="28"/>
          <w14:textFill>
            <w14:solidFill>
              <w14:schemeClr w14:val="tx1"/>
            </w14:solidFill>
          </w14:textFill>
        </w:rPr>
        <w:t>据《建筑抗震设计规范》GB50011—2010</w:t>
      </w:r>
      <w:r>
        <w:rPr>
          <w:rFonts w:hint="eastAsia" w:ascii="宋体" w:hAnsi="宋体" w:eastAsia="宋体" w:cs="..ì."/>
          <w:color w:val="000000" w:themeColor="text1"/>
          <w:sz w:val="28"/>
          <w:szCs w:val="28"/>
          <w:lang w:eastAsia="zh-CN"/>
          <w14:textFill>
            <w14:solidFill>
              <w14:schemeClr w14:val="tx1"/>
            </w14:solidFill>
          </w14:textFill>
        </w:rPr>
        <w:t>）</w:t>
      </w:r>
      <w:r>
        <w:rPr>
          <w:rFonts w:hint="eastAsia" w:ascii="宋体" w:hAnsi="宋体" w:eastAsia="宋体" w:cs="..ì."/>
          <w:color w:val="000000" w:themeColor="text1"/>
          <w:sz w:val="28"/>
          <w:szCs w:val="28"/>
          <w14:textFill>
            <w14:solidFill>
              <w14:schemeClr w14:val="tx1"/>
            </w14:solidFill>
          </w14:textFill>
        </w:rPr>
        <w:t>中的有关规定，</w:t>
      </w:r>
      <w:r>
        <w:rPr>
          <w:rFonts w:hint="eastAsia" w:ascii="宋体" w:hAnsi="宋体" w:eastAsia="宋体"/>
          <w:color w:val="auto"/>
          <w:sz w:val="28"/>
          <w:szCs w:val="24"/>
        </w:rPr>
        <w:t>玉溪市红塔区</w:t>
      </w:r>
      <w:r>
        <w:rPr>
          <w:rFonts w:hint="eastAsia" w:ascii="宋体" w:hAnsi="宋体" w:eastAsia="宋体"/>
          <w:color w:val="auto"/>
          <w:sz w:val="28"/>
          <w:szCs w:val="24"/>
          <w:lang w:val="en-US" w:eastAsia="zh-CN"/>
        </w:rPr>
        <w:t>研和街道</w:t>
      </w:r>
      <w:r>
        <w:rPr>
          <w:rFonts w:hint="eastAsia" w:ascii="宋体" w:hAnsi="宋体" w:eastAsia="宋体"/>
          <w:color w:val="auto"/>
          <w:sz w:val="28"/>
          <w:szCs w:val="24"/>
        </w:rPr>
        <w:t>抗震设防烈度为8度，设计基本地震加速度值0.2g，设计按8度设防</w:t>
      </w:r>
      <w:r>
        <w:rPr>
          <w:rFonts w:hint="eastAsia" w:ascii="宋体" w:hAnsi="宋体" w:eastAsia="宋体"/>
          <w:color w:val="auto"/>
          <w:sz w:val="28"/>
          <w:szCs w:val="24"/>
          <w:lang w:eastAsia="zh-CN"/>
        </w:rPr>
        <w:t>。</w:t>
      </w:r>
    </w:p>
    <w:p w14:paraId="3BFAABBA">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154" w:name="_Toc309682404"/>
      <w:bookmarkStart w:id="155" w:name="_Toc2898"/>
      <w:bookmarkStart w:id="156" w:name="_Toc2184"/>
      <w:bookmarkStart w:id="157" w:name="_Toc335926144"/>
      <w:bookmarkStart w:id="158" w:name="_Toc278151346"/>
      <w:bookmarkStart w:id="159" w:name="_Toc327017738"/>
      <w:bookmarkStart w:id="160" w:name="_Toc9916"/>
      <w:r>
        <w:rPr>
          <w:rFonts w:hint="default" w:ascii="Times New Roman" w:hAnsi="Times New Roman" w:eastAsia="楷体" w:cs="Times New Roman"/>
          <w:color w:val="000000" w:themeColor="text1"/>
          <w14:textFill>
            <w14:solidFill>
              <w14:schemeClr w14:val="tx1"/>
            </w14:solidFill>
          </w14:textFill>
        </w:rPr>
        <w:t>2.3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总图布置</w:t>
      </w:r>
      <w:bookmarkEnd w:id="154"/>
      <w:bookmarkEnd w:id="155"/>
      <w:bookmarkEnd w:id="156"/>
      <w:bookmarkEnd w:id="157"/>
      <w:bookmarkEnd w:id="158"/>
      <w:bookmarkEnd w:id="159"/>
      <w:bookmarkEnd w:id="160"/>
    </w:p>
    <w:p w14:paraId="5A76199F">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61" w:name="_Toc24006"/>
      <w:bookmarkStart w:id="162" w:name="_Toc327017739"/>
      <w:bookmarkStart w:id="163" w:name="_Toc278151347"/>
      <w:bookmarkStart w:id="164" w:name="_Toc309682405"/>
      <w:bookmarkStart w:id="165" w:name="_Toc18825"/>
      <w:bookmarkStart w:id="166" w:name="_Toc335926145"/>
      <w:bookmarkStart w:id="167" w:name="_Toc27871"/>
      <w:r>
        <w:rPr>
          <w:rFonts w:hint="default" w:ascii="Times New Roman" w:hAnsi="Times New Roman" w:eastAsia="黑体" w:cs="Times New Roman"/>
          <w:color w:val="000000" w:themeColor="text1"/>
          <w14:textFill>
            <w14:solidFill>
              <w14:schemeClr w14:val="tx1"/>
            </w14:solidFill>
          </w14:textFill>
        </w:rPr>
        <w:t>2.3.1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总平面布置</w:t>
      </w:r>
      <w:bookmarkEnd w:id="161"/>
      <w:bookmarkEnd w:id="162"/>
      <w:bookmarkEnd w:id="163"/>
      <w:bookmarkEnd w:id="164"/>
      <w:bookmarkEnd w:id="165"/>
      <w:bookmarkEnd w:id="166"/>
      <w:bookmarkEnd w:id="167"/>
    </w:p>
    <w:p w14:paraId="2AC9B92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lang w:eastAsia="zh-CN"/>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现状：</w:t>
      </w:r>
      <w:r>
        <w:rPr>
          <w:rFonts w:hint="eastAsia" w:ascii="宋体" w:hAnsi="宋体" w:eastAsia="宋体" w:cs="宋体"/>
          <w:color w:val="000000" w:themeColor="text1"/>
          <w:sz w:val="28"/>
          <w:lang w:eastAsia="zh-CN"/>
          <w14:textFill>
            <w14:solidFill>
              <w14:schemeClr w14:val="tx1"/>
            </w14:solidFill>
          </w14:textFill>
        </w:rPr>
        <w:t>厂区</w:t>
      </w:r>
      <w:r>
        <w:rPr>
          <w:rFonts w:hint="eastAsia" w:ascii="宋体" w:hAnsi="宋体" w:eastAsia="宋体" w:cs="宋体"/>
          <w:color w:val="000000" w:themeColor="text1"/>
          <w:sz w:val="28"/>
          <w14:textFill>
            <w14:solidFill>
              <w14:schemeClr w14:val="tx1"/>
            </w14:solidFill>
          </w14:textFill>
        </w:rPr>
        <w:t>根据生产需要将平面布置分为生产区、</w:t>
      </w:r>
      <w:r>
        <w:rPr>
          <w:rFonts w:hint="eastAsia" w:ascii="宋体" w:hAnsi="宋体" w:eastAsia="宋体" w:cs="宋体"/>
          <w:color w:val="000000" w:themeColor="text1"/>
          <w:sz w:val="28"/>
          <w:lang w:eastAsia="zh-CN"/>
          <w14:textFill>
            <w14:solidFill>
              <w14:schemeClr w14:val="tx1"/>
            </w14:solidFill>
          </w14:textFill>
        </w:rPr>
        <w:t>非生产区</w:t>
      </w:r>
      <w:r>
        <w:rPr>
          <w:rFonts w:hint="eastAsia" w:hAnsi="宋体" w:cs="宋体"/>
          <w:color w:val="000000" w:themeColor="text1"/>
          <w:sz w:val="28"/>
          <w:lang w:eastAsia="zh-CN"/>
          <w14:textFill>
            <w14:solidFill>
              <w14:schemeClr w14:val="tx1"/>
            </w14:solidFill>
          </w14:textFill>
        </w:rPr>
        <w:t>。</w:t>
      </w:r>
    </w:p>
    <w:p w14:paraId="10B05B9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color w:val="000000" w:themeColor="text1"/>
          <w:sz w:val="28"/>
          <w:lang w:val="en-US"/>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生产区包括：</w:t>
      </w:r>
      <w:r>
        <w:rPr>
          <w:rFonts w:hint="eastAsia" w:hAnsi="宋体" w:cs="宋体"/>
          <w:color w:val="000000" w:themeColor="text1"/>
          <w:sz w:val="28"/>
          <w:lang w:val="en-US" w:eastAsia="zh-CN"/>
          <w14:textFill>
            <w14:solidFill>
              <w14:schemeClr w14:val="tx1"/>
            </w14:solidFill>
          </w14:textFill>
        </w:rPr>
        <w:t>生产车间</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hAnsi="宋体" w:cs="宋体"/>
          <w:color w:val="000000" w:themeColor="text1"/>
          <w:sz w:val="28"/>
          <w:szCs w:val="28"/>
          <w:lang w:val="en-US" w:eastAsia="zh-CN"/>
          <w14:textFill>
            <w14:solidFill>
              <w14:schemeClr w14:val="tx1"/>
            </w14:solidFill>
          </w14:textFill>
        </w:rPr>
        <w:t>原料储存间、成品仓库、装卸区。</w:t>
      </w:r>
    </w:p>
    <w:p w14:paraId="06D8AE0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非生产区包括：</w:t>
      </w:r>
      <w:r>
        <w:rPr>
          <w:rFonts w:hint="eastAsia" w:hAnsi="宋体" w:cs="宋体"/>
          <w:color w:val="000000" w:themeColor="text1"/>
          <w:sz w:val="28"/>
          <w:lang w:val="en-US" w:eastAsia="zh-CN"/>
          <w14:textFill>
            <w14:solidFill>
              <w14:schemeClr w14:val="tx1"/>
            </w14:solidFill>
          </w14:textFill>
        </w:rPr>
        <w:t>综合楼</w:t>
      </w:r>
      <w:r>
        <w:rPr>
          <w:rFonts w:hint="eastAsia" w:hAnsi="宋体" w:cs="宋体"/>
          <w:color w:val="000000" w:themeColor="text1"/>
          <w:sz w:val="28"/>
          <w:lang w:eastAsia="zh-CN"/>
          <w14:textFill>
            <w14:solidFill>
              <w14:schemeClr w14:val="tx1"/>
            </w14:solidFill>
          </w14:textFill>
        </w:rPr>
        <w:t>、</w:t>
      </w:r>
      <w:r>
        <w:rPr>
          <w:rFonts w:hint="eastAsia" w:hAnsi="宋体" w:cs="宋体"/>
          <w:color w:val="000000" w:themeColor="text1"/>
          <w:sz w:val="28"/>
          <w:lang w:val="en-US" w:eastAsia="zh-CN"/>
          <w14:textFill>
            <w14:solidFill>
              <w14:schemeClr w14:val="tx1"/>
            </w14:solidFill>
          </w14:textFill>
        </w:rPr>
        <w:t>临时用房、食堂。</w:t>
      </w:r>
    </w:p>
    <w:p w14:paraId="69C0560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lang w:eastAsia="zh-CN"/>
          <w14:textFill>
            <w14:solidFill>
              <w14:schemeClr w14:val="tx1"/>
            </w14:solidFill>
          </w14:textFill>
        </w:rPr>
      </w:pPr>
      <w:r>
        <w:rPr>
          <w:rFonts w:hint="eastAsia" w:ascii="宋体" w:hAnsi="宋体" w:eastAsia="宋体" w:cs="宋体"/>
          <w:snapToGrid w:val="0"/>
          <w:color w:val="000000" w:themeColor="text1"/>
          <w:kern w:val="0"/>
          <w:sz w:val="28"/>
          <w:lang w:val="en-US" w:eastAsia="zh-CN"/>
          <w14:textFill>
            <w14:solidFill>
              <w14:schemeClr w14:val="tx1"/>
            </w14:solidFill>
          </w14:textFill>
        </w:rPr>
        <w:t>厂内建筑：</w:t>
      </w:r>
      <w:r>
        <w:rPr>
          <w:rFonts w:hint="eastAsia" w:hAnsi="宋体" w:cs="宋体"/>
          <w:snapToGrid w:val="0"/>
          <w:color w:val="000000" w:themeColor="text1"/>
          <w:kern w:val="0"/>
          <w:sz w:val="28"/>
          <w:lang w:val="en-US" w:eastAsia="zh-CN"/>
          <w14:textFill>
            <w14:solidFill>
              <w14:schemeClr w14:val="tx1"/>
            </w14:solidFill>
          </w14:textFill>
        </w:rPr>
        <w:t>厂区北侧为综合楼，南侧为临时用房，西南侧为成品仓库、生产车间、食堂</w:t>
      </w:r>
      <w:r>
        <w:rPr>
          <w:rFonts w:hint="eastAsia" w:ascii="宋体" w:hAnsi="宋体" w:eastAsia="宋体" w:cs="宋体"/>
          <w:color w:val="000000" w:themeColor="text1"/>
          <w:sz w:val="28"/>
          <w:szCs w:val="28"/>
          <w14:textFill>
            <w14:solidFill>
              <w14:schemeClr w14:val="tx1"/>
            </w14:solidFill>
          </w14:textFill>
        </w:rPr>
        <w:t>。总平面布置图见图</w:t>
      </w:r>
      <w:r>
        <w:rPr>
          <w:rFonts w:hint="eastAsia" w:ascii="宋体" w:hAnsi="宋体" w:eastAsia="宋体" w:cs="宋体"/>
          <w:color w:val="000000" w:themeColor="text1"/>
          <w:sz w:val="28"/>
          <w:szCs w:val="28"/>
          <w:lang w:val="en-US" w:eastAsia="zh-CN"/>
          <w14:textFill>
            <w14:solidFill>
              <w14:schemeClr w14:val="tx1"/>
            </w14:solidFill>
          </w14:textFill>
        </w:rPr>
        <w:t>2-3</w:t>
      </w:r>
      <w:r>
        <w:rPr>
          <w:rFonts w:hint="eastAsia" w:ascii="宋体" w:hAnsi="宋体" w:eastAsia="宋体" w:cs="宋体"/>
          <w:color w:val="000000" w:themeColor="text1"/>
          <w:sz w:val="28"/>
          <w:szCs w:val="20"/>
          <w14:textFill>
            <w14:solidFill>
              <w14:schemeClr w14:val="tx1"/>
            </w14:solidFill>
          </w14:textFill>
        </w:rPr>
        <w:t>所示</w:t>
      </w:r>
      <w:r>
        <w:rPr>
          <w:rFonts w:hint="eastAsia" w:ascii="宋体" w:hAnsi="宋体" w:eastAsia="宋体" w:cs="宋体"/>
          <w:color w:val="000000" w:themeColor="text1"/>
          <w:sz w:val="28"/>
          <w:szCs w:val="20"/>
          <w:lang w:eastAsia="zh-CN"/>
          <w14:textFill>
            <w14:solidFill>
              <w14:schemeClr w14:val="tx1"/>
            </w14:solidFill>
          </w14:textFill>
        </w:rPr>
        <w:t>。</w:t>
      </w:r>
    </w:p>
    <w:p w14:paraId="156A35D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eastAsia="宋体"/>
          <w:lang w:eastAsia="zh-CN" w:bidi="ar"/>
        </w:rPr>
        <w:drawing>
          <wp:anchor distT="0" distB="0" distL="114300" distR="114300" simplePos="0" relativeHeight="251669504" behindDoc="0" locked="0" layoutInCell="1" allowOverlap="1">
            <wp:simplePos x="0" y="0"/>
            <wp:positionH relativeFrom="column">
              <wp:posOffset>-284480</wp:posOffset>
            </wp:positionH>
            <wp:positionV relativeFrom="paragraph">
              <wp:posOffset>62865</wp:posOffset>
            </wp:positionV>
            <wp:extent cx="5638800" cy="3961765"/>
            <wp:effectExtent l="0" t="0" r="0" b="635"/>
            <wp:wrapSquare wrapText="bothSides"/>
            <wp:docPr id="131" name="F360BE8B-6686-4F3D-AEAF-501FE73E4058-1" descr="C:/Users/33837/AppData/Local/Temp/洁灵娜总平图(4).png洁灵娜总平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360BE8B-6686-4F3D-AEAF-501FE73E4058-1" descr="C:/Users/33837/AppData/Local/Temp/洁灵娜总平图(4).png洁灵娜总平图(4)"/>
                    <pic:cNvPicPr>
                      <a:picLocks noChangeAspect="1"/>
                    </pic:cNvPicPr>
                  </pic:nvPicPr>
                  <pic:blipFill>
                    <a:blip r:embed="rId15"/>
                    <a:stretch>
                      <a:fillRect/>
                    </a:stretch>
                  </pic:blipFill>
                  <pic:spPr>
                    <a:xfrm>
                      <a:off x="0" y="0"/>
                      <a:ext cx="5638800" cy="3961765"/>
                    </a:xfrm>
                    <a:prstGeom prst="rect">
                      <a:avLst/>
                    </a:prstGeom>
                  </pic:spPr>
                </pic:pic>
              </a:graphicData>
            </a:graphic>
          </wp:anchor>
        </w:drawing>
      </w:r>
      <w:r>
        <w:rPr>
          <w:rFonts w:hint="eastAsia" w:ascii="宋体" w:hAnsi="宋体" w:eastAsia="宋体" w:cs="宋体"/>
          <w:color w:val="000000" w:themeColor="text1"/>
          <w:sz w:val="28"/>
          <w:szCs w:val="28"/>
          <w14:textFill>
            <w14:solidFill>
              <w14:schemeClr w14:val="tx1"/>
            </w14:solidFill>
          </w14:textFill>
        </w:rPr>
        <w:t>图</w:t>
      </w:r>
      <w:r>
        <w:rPr>
          <w:rFonts w:hint="eastAsia" w:ascii="宋体" w:hAnsi="宋体" w:eastAsia="宋体" w:cs="宋体"/>
          <w:color w:val="000000" w:themeColor="text1"/>
          <w:sz w:val="28"/>
          <w:szCs w:val="28"/>
          <w:lang w:val="en-US" w:eastAsia="zh-CN"/>
          <w14:textFill>
            <w14:solidFill>
              <w14:schemeClr w14:val="tx1"/>
            </w14:solidFill>
          </w14:textFill>
        </w:rPr>
        <w:t xml:space="preserve">2-3 </w:t>
      </w:r>
      <w:r>
        <w:rPr>
          <w:rFonts w:hint="eastAsia" w:ascii="宋体" w:hAnsi="宋体" w:eastAsia="宋体" w:cs="宋体"/>
          <w:color w:val="000000" w:themeColor="text1"/>
          <w:sz w:val="28"/>
          <w:szCs w:val="28"/>
          <w14:textFill>
            <w14:solidFill>
              <w14:schemeClr w14:val="tx1"/>
            </w14:solidFill>
          </w14:textFill>
        </w:rPr>
        <w:t>总平面布置图</w:t>
      </w:r>
    </w:p>
    <w:p w14:paraId="0598EC1B">
      <w:pPr>
        <w:pStyle w:val="6"/>
        <w:bidi w:val="0"/>
        <w:rPr>
          <w:rFonts w:hint="eastAsia"/>
        </w:rPr>
      </w:pPr>
      <w:bookmarkStart w:id="168" w:name="_Toc3812"/>
      <w:bookmarkStart w:id="169" w:name="_Toc30626"/>
      <w:r>
        <w:t>2.</w:t>
      </w:r>
      <w:r>
        <w:rPr>
          <w:rFonts w:hint="eastAsia"/>
          <w:lang w:val="en-US" w:eastAsia="zh-CN"/>
        </w:rPr>
        <w:t>3</w:t>
      </w:r>
      <w:r>
        <w:t>.</w:t>
      </w:r>
      <w:r>
        <w:rPr>
          <w:rFonts w:hint="eastAsia"/>
          <w:lang w:val="en-US" w:eastAsia="zh-CN"/>
        </w:rPr>
        <w:t>2</w:t>
      </w:r>
      <w:r>
        <w:t xml:space="preserve"> </w:t>
      </w:r>
      <w:r>
        <w:rPr>
          <w:rFonts w:hint="eastAsia"/>
        </w:rPr>
        <w:t>主要建（构）筑物防火间距</w:t>
      </w:r>
      <w:bookmarkEnd w:id="168"/>
      <w:bookmarkEnd w:id="169"/>
    </w:p>
    <w:p w14:paraId="4273CD7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lang w:eastAsia="zh-CN"/>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根据</w:t>
      </w:r>
      <w:r>
        <w:rPr>
          <w:rFonts w:hint="eastAsia" w:ascii="宋体" w:hAnsi="宋体" w:eastAsia="宋体" w:cs="宋体"/>
          <w:color w:val="000000" w:themeColor="text1"/>
          <w:sz w:val="28"/>
          <w:lang w:eastAsia="zh-CN"/>
          <w14:textFill>
            <w14:solidFill>
              <w14:schemeClr w14:val="tx1"/>
            </w14:solidFill>
          </w14:textFill>
        </w:rPr>
        <w:t>《建筑设计防火规范（2018年版）》（GB50016-2014）</w:t>
      </w:r>
      <w:r>
        <w:rPr>
          <w:rFonts w:hint="eastAsia" w:ascii="宋体" w:hAnsi="宋体" w:eastAsia="宋体" w:cs="宋体"/>
          <w:color w:val="000000" w:themeColor="text1"/>
          <w:sz w:val="28"/>
          <w14:textFill>
            <w14:solidFill>
              <w14:schemeClr w14:val="tx1"/>
            </w14:solidFill>
          </w14:textFill>
        </w:rPr>
        <w:t>，本项目</w:t>
      </w:r>
      <w:r>
        <w:rPr>
          <w:rFonts w:hint="eastAsia" w:ascii="宋体" w:hAnsi="宋体" w:eastAsia="宋体" w:cs="宋体"/>
          <w:color w:val="000000" w:themeColor="text1"/>
          <w:sz w:val="28"/>
          <w:lang w:val="en-US" w:eastAsia="zh-CN"/>
          <w14:textFill>
            <w14:solidFill>
              <w14:schemeClr w14:val="tx1"/>
            </w14:solidFill>
          </w14:textFill>
        </w:rPr>
        <w:t>厂区内主要</w:t>
      </w:r>
      <w:r>
        <w:rPr>
          <w:rFonts w:hint="eastAsia" w:ascii="宋体" w:hAnsi="宋体" w:eastAsia="宋体" w:cs="宋体"/>
          <w:color w:val="000000" w:themeColor="text1"/>
          <w:sz w:val="28"/>
          <w:lang w:eastAsia="zh-CN"/>
          <w14:textFill>
            <w14:solidFill>
              <w14:schemeClr w14:val="tx1"/>
            </w14:solidFill>
          </w14:textFill>
        </w:rPr>
        <w:t>建（</w:t>
      </w:r>
      <w:r>
        <w:rPr>
          <w:rFonts w:hint="eastAsia" w:ascii="宋体" w:hAnsi="宋体" w:eastAsia="宋体" w:cs="宋体"/>
          <w:color w:val="000000" w:themeColor="text1"/>
          <w:sz w:val="28"/>
          <w:lang w:val="en-US" w:eastAsia="zh-CN"/>
          <w14:textFill>
            <w14:solidFill>
              <w14:schemeClr w14:val="tx1"/>
            </w14:solidFill>
          </w14:textFill>
        </w:rPr>
        <w:t>构</w:t>
      </w:r>
      <w:r>
        <w:rPr>
          <w:rFonts w:hint="eastAsia" w:ascii="宋体" w:hAnsi="宋体" w:eastAsia="宋体" w:cs="宋体"/>
          <w:color w:val="000000" w:themeColor="text1"/>
          <w:sz w:val="28"/>
          <w:lang w:eastAsia="zh-CN"/>
          <w14:textFill>
            <w14:solidFill>
              <w14:schemeClr w14:val="tx1"/>
            </w14:solidFill>
          </w14:textFill>
        </w:rPr>
        <w:t>）筑</w:t>
      </w:r>
      <w:r>
        <w:rPr>
          <w:rFonts w:hint="eastAsia" w:ascii="宋体" w:hAnsi="宋体" w:eastAsia="宋体" w:cs="宋体"/>
          <w:color w:val="000000" w:themeColor="text1"/>
          <w:sz w:val="28"/>
          <w:lang w:val="en-US" w:eastAsia="zh-CN"/>
          <w14:textFill>
            <w14:solidFill>
              <w14:schemeClr w14:val="tx1"/>
            </w14:solidFill>
          </w14:textFill>
        </w:rPr>
        <w:t>物有</w:t>
      </w:r>
      <w:r>
        <w:rPr>
          <w:rFonts w:hint="eastAsia" w:hAnsi="宋体" w:cs="宋体"/>
          <w:color w:val="000000" w:themeColor="text1"/>
          <w:sz w:val="28"/>
          <w:lang w:val="en-US" w:eastAsia="zh-CN"/>
          <w14:textFill>
            <w14:solidFill>
              <w14:schemeClr w14:val="tx1"/>
            </w14:solidFill>
          </w14:textFill>
        </w:rPr>
        <w:t>生产车间</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hAnsi="宋体" w:cs="宋体"/>
          <w:color w:val="000000" w:themeColor="text1"/>
          <w:sz w:val="28"/>
          <w:szCs w:val="28"/>
          <w:lang w:val="en-US" w:eastAsia="zh-CN"/>
          <w14:textFill>
            <w14:solidFill>
              <w14:schemeClr w14:val="tx1"/>
            </w14:solidFill>
          </w14:textFill>
        </w:rPr>
        <w:t>原料储存间、成品仓库、综合楼（办公楼）</w:t>
      </w:r>
      <w:r>
        <w:rPr>
          <w:rFonts w:hint="eastAsia" w:ascii="宋体" w:hAnsi="宋体" w:eastAsia="宋体" w:cs="宋体"/>
          <w:color w:val="000000" w:themeColor="text1"/>
          <w:sz w:val="28"/>
          <w:lang w:val="en-US" w:eastAsia="zh-CN"/>
          <w14:textFill>
            <w14:solidFill>
              <w14:schemeClr w14:val="tx1"/>
            </w14:solidFill>
          </w14:textFill>
        </w:rPr>
        <w:t>等，</w:t>
      </w:r>
      <w:r>
        <w:rPr>
          <w:rFonts w:hint="eastAsia" w:hAnsi="宋体" w:cs="宋体"/>
          <w:color w:val="000000" w:themeColor="text1"/>
          <w:sz w:val="28"/>
          <w:lang w:val="en-US" w:eastAsia="zh-CN"/>
          <w14:textFill>
            <w14:solidFill>
              <w14:schemeClr w14:val="tx1"/>
            </w14:solidFill>
          </w14:textFill>
        </w:rPr>
        <w:t>生产车间</w:t>
      </w:r>
      <w:r>
        <w:rPr>
          <w:rFonts w:hint="eastAsia" w:ascii="宋体" w:hAnsi="宋体" w:eastAsia="宋体" w:cs="宋体"/>
          <w:color w:val="000000" w:themeColor="text1"/>
          <w:sz w:val="28"/>
          <w:lang w:val="en-US" w:eastAsia="zh-CN"/>
          <w14:textFill>
            <w14:solidFill>
              <w14:schemeClr w14:val="tx1"/>
            </w14:solidFill>
          </w14:textFill>
        </w:rPr>
        <w:t>为丁类，综合楼为戊类，</w:t>
      </w:r>
      <w:r>
        <w:rPr>
          <w:rFonts w:hint="eastAsia" w:hAnsi="宋体" w:cs="宋体"/>
          <w:color w:val="000000" w:themeColor="text1"/>
          <w:sz w:val="28"/>
          <w:lang w:val="en-US" w:eastAsia="zh-CN"/>
          <w14:textFill>
            <w14:solidFill>
              <w14:schemeClr w14:val="tx1"/>
            </w14:solidFill>
          </w14:textFill>
        </w:rPr>
        <w:t>原料储存间、成品仓库</w:t>
      </w:r>
      <w:r>
        <w:rPr>
          <w:rFonts w:hint="eastAsia" w:ascii="宋体" w:hAnsi="宋体" w:eastAsia="宋体" w:cs="宋体"/>
          <w:color w:val="000000" w:themeColor="text1"/>
          <w:sz w:val="28"/>
          <w:lang w:val="en-US" w:eastAsia="zh-CN"/>
          <w14:textFill>
            <w14:solidFill>
              <w14:schemeClr w14:val="tx1"/>
            </w14:solidFill>
          </w14:textFill>
        </w:rPr>
        <w:t>为丙类。各类建</w:t>
      </w:r>
      <w:r>
        <w:rPr>
          <w:rFonts w:hint="eastAsia" w:ascii="宋体" w:hAnsi="宋体" w:eastAsia="宋体" w:cs="宋体"/>
          <w:color w:val="000000" w:themeColor="text1"/>
          <w:sz w:val="28"/>
          <w:lang w:eastAsia="zh-CN"/>
          <w14:textFill>
            <w14:solidFill>
              <w14:schemeClr w14:val="tx1"/>
            </w14:solidFill>
          </w14:textFill>
        </w:rPr>
        <w:t>（</w:t>
      </w:r>
      <w:r>
        <w:rPr>
          <w:rFonts w:hint="eastAsia" w:ascii="宋体" w:hAnsi="宋体" w:eastAsia="宋体" w:cs="宋体"/>
          <w:color w:val="000000" w:themeColor="text1"/>
          <w:sz w:val="28"/>
          <w:lang w:val="en-US" w:eastAsia="zh-CN"/>
          <w14:textFill>
            <w14:solidFill>
              <w14:schemeClr w14:val="tx1"/>
            </w14:solidFill>
          </w14:textFill>
        </w:rPr>
        <w:t>构</w:t>
      </w:r>
      <w:r>
        <w:rPr>
          <w:rFonts w:hint="eastAsia" w:ascii="宋体" w:hAnsi="宋体" w:eastAsia="宋体" w:cs="宋体"/>
          <w:color w:val="000000" w:themeColor="text1"/>
          <w:sz w:val="28"/>
          <w:lang w:eastAsia="zh-CN"/>
          <w14:textFill>
            <w14:solidFill>
              <w14:schemeClr w14:val="tx1"/>
            </w14:solidFill>
          </w14:textFill>
        </w:rPr>
        <w:t>）</w:t>
      </w:r>
      <w:r>
        <w:rPr>
          <w:rFonts w:hint="eastAsia" w:ascii="宋体" w:hAnsi="宋体" w:eastAsia="宋体" w:cs="宋体"/>
          <w:color w:val="000000" w:themeColor="text1"/>
          <w:sz w:val="28"/>
          <w:lang w:val="en-US" w:eastAsia="zh-CN"/>
          <w14:textFill>
            <w14:solidFill>
              <w14:schemeClr w14:val="tx1"/>
            </w14:solidFill>
          </w14:textFill>
        </w:rPr>
        <w:t>筑物的耐火等级均为二类，防火间距</w:t>
      </w:r>
      <w:r>
        <w:rPr>
          <w:rFonts w:hint="eastAsia" w:ascii="宋体" w:hAnsi="宋体" w:eastAsia="宋体" w:cs="宋体"/>
          <w:color w:val="000000" w:themeColor="text1"/>
          <w:sz w:val="28"/>
          <w14:textFill>
            <w14:solidFill>
              <w14:schemeClr w14:val="tx1"/>
            </w14:solidFill>
          </w14:textFill>
        </w:rPr>
        <w:t>满足规范要求，</w:t>
      </w:r>
      <w:r>
        <w:rPr>
          <w:rFonts w:hint="eastAsia" w:ascii="宋体" w:hAnsi="宋体" w:eastAsia="宋体" w:cs="宋体"/>
          <w:color w:val="000000" w:themeColor="text1"/>
          <w:sz w:val="28"/>
          <w:lang w:val="en-US" w:eastAsia="zh-CN"/>
          <w14:textFill>
            <w14:solidFill>
              <w14:schemeClr w14:val="tx1"/>
            </w14:solidFill>
          </w14:textFill>
        </w:rPr>
        <w:t>如下表2-5示</w:t>
      </w:r>
      <w:r>
        <w:rPr>
          <w:rFonts w:hint="eastAsia" w:ascii="宋体" w:hAnsi="宋体" w:eastAsia="宋体" w:cs="宋体"/>
          <w:color w:val="000000" w:themeColor="text1"/>
          <w:sz w:val="28"/>
          <w:lang w:eastAsia="zh-CN"/>
          <w14:textFill>
            <w14:solidFill>
              <w14:schemeClr w14:val="tx1"/>
            </w14:solidFill>
          </w14:textFill>
        </w:rPr>
        <w:t>。</w:t>
      </w:r>
    </w:p>
    <w:p w14:paraId="0DA070A0">
      <w:pPr>
        <w:pStyle w:val="2"/>
        <w:rPr>
          <w:rFonts w:hint="eastAsia"/>
          <w:lang w:eastAsia="zh-CN"/>
        </w:rPr>
      </w:pPr>
    </w:p>
    <w:tbl>
      <w:tblPr>
        <w:tblStyle w:val="52"/>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3135"/>
        <w:gridCol w:w="1332"/>
        <w:gridCol w:w="3069"/>
      </w:tblGrid>
      <w:tr w14:paraId="2B4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78" w:type="dxa"/>
            <w:noWrap/>
            <w:vAlign w:val="center"/>
          </w:tcPr>
          <w:p w14:paraId="09FEC7D7">
            <w:pPr>
              <w:widowControl/>
              <w:jc w:val="center"/>
              <w:rPr>
                <w:rFonts w:ascii="宋体" w:hAnsi="宋体"/>
                <w:b/>
                <w:bCs/>
                <w:color w:val="000000" w:themeColor="text1"/>
                <w:kern w:val="0"/>
                <w:szCs w:val="21"/>
                <w14:textFill>
                  <w14:solidFill>
                    <w14:schemeClr w14:val="tx1"/>
                  </w14:solidFill>
                </w14:textFill>
              </w:rPr>
            </w:pPr>
            <w:r>
              <w:rPr>
                <w:rFonts w:ascii="宋体" w:hAnsi="宋体"/>
                <w:b/>
                <w:bCs/>
                <w:color w:val="000000" w:themeColor="text1"/>
                <w:kern w:val="0"/>
                <w:szCs w:val="21"/>
                <w14:textFill>
                  <w14:solidFill>
                    <w14:schemeClr w14:val="tx1"/>
                  </w14:solidFill>
                </w14:textFill>
              </w:rPr>
              <w:t>序号</w:t>
            </w:r>
          </w:p>
        </w:tc>
        <w:tc>
          <w:tcPr>
            <w:tcW w:w="3135" w:type="dxa"/>
            <w:noWrap/>
            <w:vAlign w:val="center"/>
          </w:tcPr>
          <w:p w14:paraId="0D7B26D4">
            <w:pPr>
              <w:widowControl/>
              <w:jc w:val="center"/>
              <w:rPr>
                <w:rFonts w:ascii="宋体" w:hAnsi="宋体"/>
                <w:b/>
                <w:bCs/>
                <w:color w:val="000000" w:themeColor="text1"/>
                <w:kern w:val="0"/>
                <w:szCs w:val="21"/>
                <w14:textFill>
                  <w14:solidFill>
                    <w14:schemeClr w14:val="tx1"/>
                  </w14:solidFill>
                </w14:textFill>
              </w:rPr>
            </w:pPr>
            <w:r>
              <w:rPr>
                <w:rFonts w:ascii="宋体" w:hAnsi="宋体"/>
                <w:b/>
                <w:bCs/>
                <w:color w:val="000000" w:themeColor="text1"/>
                <w:kern w:val="0"/>
                <w:szCs w:val="21"/>
                <w14:textFill>
                  <w14:solidFill>
                    <w14:schemeClr w14:val="tx1"/>
                  </w14:solidFill>
                </w14:textFill>
              </w:rPr>
              <w:t>建筑物名称</w:t>
            </w:r>
          </w:p>
        </w:tc>
        <w:tc>
          <w:tcPr>
            <w:tcW w:w="1332" w:type="dxa"/>
            <w:noWrap w:val="0"/>
            <w:vAlign w:val="center"/>
          </w:tcPr>
          <w:p w14:paraId="7C332F86">
            <w:pPr>
              <w:widowControl/>
              <w:jc w:val="center"/>
              <w:rPr>
                <w:rFonts w:ascii="宋体" w:hAnsi="宋体"/>
                <w:b/>
                <w:bCs/>
                <w:color w:val="000000" w:themeColor="text1"/>
                <w:kern w:val="0"/>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耐火等级</w:t>
            </w:r>
          </w:p>
        </w:tc>
        <w:tc>
          <w:tcPr>
            <w:tcW w:w="3069" w:type="dxa"/>
            <w:noWrap w:val="0"/>
            <w:vAlign w:val="center"/>
          </w:tcPr>
          <w:p w14:paraId="36F1830B">
            <w:pPr>
              <w:spacing w:line="276"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火灾危险性</w:t>
            </w:r>
          </w:p>
          <w:p w14:paraId="76C06F70">
            <w:pPr>
              <w:widowControl/>
              <w:jc w:val="center"/>
              <w:rPr>
                <w:rFonts w:ascii="宋体" w:hAnsi="宋体"/>
                <w:b/>
                <w:bCs/>
                <w:color w:val="000000" w:themeColor="text1"/>
                <w:kern w:val="0"/>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依据《建筑设计防火规范[2018版]》（GB50016-2014）</w:t>
            </w:r>
          </w:p>
        </w:tc>
      </w:tr>
      <w:tr w14:paraId="442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8" w:type="dxa"/>
            <w:noWrap/>
            <w:vAlign w:val="center"/>
          </w:tcPr>
          <w:p w14:paraId="02D3CCDF">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135" w:type="dxa"/>
            <w:noWrap/>
            <w:vAlign w:val="center"/>
          </w:tcPr>
          <w:p w14:paraId="71577081">
            <w:pPr>
              <w:widowControl/>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生产车间</w:t>
            </w:r>
          </w:p>
        </w:tc>
        <w:tc>
          <w:tcPr>
            <w:tcW w:w="1332" w:type="dxa"/>
            <w:noWrap w:val="0"/>
            <w:vAlign w:val="top"/>
          </w:tcPr>
          <w:p w14:paraId="1D0187BA">
            <w:pPr>
              <w:widowControl/>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二级</w:t>
            </w:r>
          </w:p>
        </w:tc>
        <w:tc>
          <w:tcPr>
            <w:tcW w:w="3069" w:type="dxa"/>
            <w:noWrap w:val="0"/>
            <w:vAlign w:val="top"/>
          </w:tcPr>
          <w:p w14:paraId="389F547E">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丁</w:t>
            </w:r>
            <w:r>
              <w:rPr>
                <w:rFonts w:hint="eastAsia" w:ascii="宋体" w:hAnsi="宋体"/>
                <w:color w:val="000000" w:themeColor="text1"/>
                <w:kern w:val="0"/>
                <w:szCs w:val="21"/>
                <w14:textFill>
                  <w14:solidFill>
                    <w14:schemeClr w14:val="tx1"/>
                  </w14:solidFill>
                </w14:textFill>
              </w:rPr>
              <w:t>类</w:t>
            </w:r>
          </w:p>
        </w:tc>
      </w:tr>
      <w:tr w14:paraId="7175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8" w:type="dxa"/>
            <w:noWrap/>
            <w:vAlign w:val="center"/>
          </w:tcPr>
          <w:p w14:paraId="66ADD6B7">
            <w:pPr>
              <w:widowControl/>
              <w:jc w:val="center"/>
              <w:rPr>
                <w:rFonts w:hint="eastAsia" w:ascii="宋体" w:hAnsi="宋体" w:eastAsia="宋体"/>
                <w:color w:val="000000" w:themeColor="text1"/>
                <w:kern w:val="0"/>
                <w:szCs w:val="21"/>
                <w:lang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2</w:t>
            </w:r>
          </w:p>
        </w:tc>
        <w:tc>
          <w:tcPr>
            <w:tcW w:w="3135" w:type="dxa"/>
            <w:noWrap/>
            <w:vAlign w:val="center"/>
          </w:tcPr>
          <w:p w14:paraId="4AB73D50">
            <w:pPr>
              <w:widowControl/>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原料储存间</w:t>
            </w:r>
          </w:p>
        </w:tc>
        <w:tc>
          <w:tcPr>
            <w:tcW w:w="1332" w:type="dxa"/>
            <w:noWrap w:val="0"/>
            <w:vAlign w:val="top"/>
          </w:tcPr>
          <w:p w14:paraId="07374E1C">
            <w:pPr>
              <w:widowControl/>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二级</w:t>
            </w:r>
          </w:p>
        </w:tc>
        <w:tc>
          <w:tcPr>
            <w:tcW w:w="3069" w:type="dxa"/>
            <w:noWrap w:val="0"/>
            <w:vAlign w:val="top"/>
          </w:tcPr>
          <w:p w14:paraId="3CDDCB74">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丙</w:t>
            </w:r>
            <w:r>
              <w:rPr>
                <w:rFonts w:hint="eastAsia" w:ascii="宋体" w:hAnsi="宋体"/>
                <w:color w:val="000000" w:themeColor="text1"/>
                <w:kern w:val="0"/>
                <w:szCs w:val="21"/>
                <w14:textFill>
                  <w14:solidFill>
                    <w14:schemeClr w14:val="tx1"/>
                  </w14:solidFill>
                </w14:textFill>
              </w:rPr>
              <w:t>类</w:t>
            </w:r>
          </w:p>
        </w:tc>
      </w:tr>
      <w:tr w14:paraId="4E67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8" w:type="dxa"/>
            <w:noWrap/>
            <w:vAlign w:val="center"/>
          </w:tcPr>
          <w:p w14:paraId="1139C4F4">
            <w:pPr>
              <w:widowControl/>
              <w:jc w:val="center"/>
              <w:rPr>
                <w:rFonts w:hint="eastAsia" w:ascii="宋体" w:hAnsi="宋体" w:eastAsia="宋体"/>
                <w:color w:val="000000" w:themeColor="text1"/>
                <w:kern w:val="0"/>
                <w:szCs w:val="21"/>
                <w:lang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3</w:t>
            </w:r>
          </w:p>
        </w:tc>
        <w:tc>
          <w:tcPr>
            <w:tcW w:w="3135" w:type="dxa"/>
            <w:noWrap/>
            <w:vAlign w:val="center"/>
          </w:tcPr>
          <w:p w14:paraId="6D3946E0">
            <w:pPr>
              <w:widowControl/>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eastAsia="宋体"/>
                <w:color w:val="000000" w:themeColor="text1"/>
                <w:kern w:val="0"/>
                <w:szCs w:val="21"/>
                <w:lang w:val="en-US" w:eastAsia="zh-CN"/>
                <w14:textFill>
                  <w14:solidFill>
                    <w14:schemeClr w14:val="tx1"/>
                  </w14:solidFill>
                </w14:textFill>
              </w:rPr>
              <w:t>成品仓库</w:t>
            </w:r>
          </w:p>
        </w:tc>
        <w:tc>
          <w:tcPr>
            <w:tcW w:w="1332" w:type="dxa"/>
            <w:noWrap w:val="0"/>
            <w:vAlign w:val="top"/>
          </w:tcPr>
          <w:p w14:paraId="5A58D0A7">
            <w:pPr>
              <w:widowControl/>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二级</w:t>
            </w:r>
          </w:p>
        </w:tc>
        <w:tc>
          <w:tcPr>
            <w:tcW w:w="3069" w:type="dxa"/>
            <w:noWrap w:val="0"/>
            <w:vAlign w:val="top"/>
          </w:tcPr>
          <w:p w14:paraId="5AC2D9F9">
            <w:pPr>
              <w:widowControl/>
              <w:jc w:val="center"/>
              <w:rPr>
                <w:rFonts w:hint="eastAsia"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丙类</w:t>
            </w:r>
          </w:p>
        </w:tc>
      </w:tr>
      <w:tr w14:paraId="5451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78" w:type="dxa"/>
            <w:noWrap/>
            <w:vAlign w:val="center"/>
          </w:tcPr>
          <w:p w14:paraId="4E5D6B28">
            <w:pPr>
              <w:widowControl/>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4</w:t>
            </w:r>
          </w:p>
        </w:tc>
        <w:tc>
          <w:tcPr>
            <w:tcW w:w="3135" w:type="dxa"/>
            <w:noWrap/>
            <w:vAlign w:val="center"/>
          </w:tcPr>
          <w:p w14:paraId="6A8A3BC0">
            <w:pPr>
              <w:widowControl/>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综合楼（办公楼）</w:t>
            </w:r>
          </w:p>
        </w:tc>
        <w:tc>
          <w:tcPr>
            <w:tcW w:w="1332" w:type="dxa"/>
            <w:noWrap w:val="0"/>
            <w:vAlign w:val="top"/>
          </w:tcPr>
          <w:p w14:paraId="32C12D3C">
            <w:pPr>
              <w:widowControl/>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二级</w:t>
            </w:r>
          </w:p>
        </w:tc>
        <w:tc>
          <w:tcPr>
            <w:tcW w:w="3069" w:type="dxa"/>
            <w:noWrap w:val="0"/>
            <w:vAlign w:val="top"/>
          </w:tcPr>
          <w:p w14:paraId="61405E8D">
            <w:pPr>
              <w:widowControl/>
              <w:jc w:val="center"/>
              <w:rPr>
                <w:rFonts w:hint="eastAsia"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戊类</w:t>
            </w:r>
          </w:p>
        </w:tc>
      </w:tr>
    </w:tbl>
    <w:p w14:paraId="79D0CECC">
      <w:pPr>
        <w:bidi w:val="0"/>
        <w:rPr>
          <w:rFonts w:hint="eastAsia"/>
          <w:lang w:eastAsia="zh-CN"/>
        </w:rPr>
      </w:pPr>
    </w:p>
    <w:p w14:paraId="1F0BF473">
      <w:pPr>
        <w:pStyle w:val="17"/>
        <w:ind w:left="0" w:leftChars="0" w:firstLine="0" w:firstLineChars="0"/>
        <w:jc w:val="center"/>
        <w:rPr>
          <w:rFonts w:hint="eastAsia"/>
          <w:sz w:val="21"/>
          <w:szCs w:val="21"/>
          <w:lang w:eastAsia="zh-CN"/>
        </w:rPr>
      </w:pPr>
      <w:r>
        <w:rPr>
          <w:sz w:val="21"/>
          <w:szCs w:val="21"/>
        </w:rPr>
        <w:t xml:space="preserve">表 </w:t>
      </w:r>
      <w:r>
        <w:rPr>
          <w:sz w:val="21"/>
          <w:szCs w:val="21"/>
        </w:rPr>
        <w:fldChar w:fldCharType="begin"/>
      </w:r>
      <w:r>
        <w:rPr>
          <w:sz w:val="21"/>
          <w:szCs w:val="21"/>
        </w:rPr>
        <w:instrText xml:space="preserve"> STYLEREF 1 \s </w:instrText>
      </w:r>
      <w:r>
        <w:rPr>
          <w:sz w:val="21"/>
          <w:szCs w:val="21"/>
        </w:rPr>
        <w:fldChar w:fldCharType="separate"/>
      </w:r>
      <w:r>
        <w:rPr>
          <w:sz w:val="21"/>
          <w:szCs w:val="21"/>
        </w:rPr>
        <w:t>2</w:t>
      </w:r>
      <w:r>
        <w:rPr>
          <w:sz w:val="21"/>
          <w:szCs w:val="21"/>
        </w:rPr>
        <w:fldChar w:fldCharType="end"/>
      </w:r>
      <w:r>
        <w:rPr>
          <w:rFonts w:hint="eastAsia"/>
          <w:sz w:val="21"/>
          <w:szCs w:val="21"/>
          <w:lang w:eastAsia="zh-CN"/>
        </w:rPr>
        <w:t>-</w:t>
      </w:r>
      <w:r>
        <w:rPr>
          <w:sz w:val="21"/>
          <w:szCs w:val="21"/>
        </w:rPr>
        <w:fldChar w:fldCharType="begin"/>
      </w:r>
      <w:r>
        <w:rPr>
          <w:sz w:val="21"/>
          <w:szCs w:val="21"/>
        </w:rPr>
        <w:instrText xml:space="preserve"> SEQ 表 \* ARABIC \s 1 </w:instrText>
      </w:r>
      <w:r>
        <w:rPr>
          <w:sz w:val="21"/>
          <w:szCs w:val="21"/>
        </w:rPr>
        <w:fldChar w:fldCharType="separate"/>
      </w:r>
      <w:r>
        <w:rPr>
          <w:sz w:val="21"/>
          <w:szCs w:val="21"/>
        </w:rPr>
        <w:t>5</w:t>
      </w:r>
      <w:r>
        <w:rPr>
          <w:sz w:val="21"/>
          <w:szCs w:val="21"/>
        </w:rPr>
        <w:fldChar w:fldCharType="end"/>
      </w:r>
      <w:r>
        <w:rPr>
          <w:rFonts w:hint="eastAsia"/>
          <w:sz w:val="21"/>
          <w:szCs w:val="21"/>
          <w:lang w:eastAsia="zh-CN"/>
        </w:rPr>
        <w:t xml:space="preserve"> </w:t>
      </w:r>
      <w:r>
        <w:rPr>
          <w:rFonts w:hint="eastAsia"/>
          <w:sz w:val="21"/>
          <w:szCs w:val="21"/>
          <w:lang w:val="en-US" w:eastAsia="zh-CN"/>
        </w:rPr>
        <w:t>主要</w:t>
      </w:r>
      <w:r>
        <w:rPr>
          <w:rFonts w:hint="eastAsia"/>
          <w:sz w:val="21"/>
          <w:szCs w:val="21"/>
          <w:lang w:eastAsia="zh-CN"/>
        </w:rPr>
        <w:t>建（</w:t>
      </w:r>
      <w:r>
        <w:rPr>
          <w:rFonts w:hint="eastAsia"/>
          <w:sz w:val="21"/>
          <w:szCs w:val="21"/>
          <w:lang w:val="en-US" w:eastAsia="zh-CN"/>
        </w:rPr>
        <w:t>构</w:t>
      </w:r>
      <w:r>
        <w:rPr>
          <w:rFonts w:hint="eastAsia"/>
          <w:sz w:val="21"/>
          <w:szCs w:val="21"/>
          <w:lang w:eastAsia="zh-CN"/>
        </w:rPr>
        <w:t>）筑</w:t>
      </w:r>
      <w:r>
        <w:rPr>
          <w:rFonts w:hint="eastAsia"/>
          <w:sz w:val="21"/>
          <w:szCs w:val="21"/>
          <w:lang w:val="en-US" w:eastAsia="zh-CN"/>
        </w:rPr>
        <w:t>物防火间距</w:t>
      </w:r>
      <w:r>
        <w:rPr>
          <w:rFonts w:hint="eastAsia"/>
          <w:sz w:val="21"/>
          <w:szCs w:val="21"/>
          <w:lang w:eastAsia="zh-CN"/>
        </w:rPr>
        <w:t>表（</w:t>
      </w:r>
      <w:r>
        <w:rPr>
          <w:rFonts w:hint="eastAsia"/>
          <w:sz w:val="21"/>
          <w:szCs w:val="21"/>
          <w:lang w:val="en-US" w:eastAsia="zh-CN"/>
        </w:rPr>
        <w:t>单位：m</w:t>
      </w:r>
      <w:r>
        <w:rPr>
          <w:rFonts w:hint="eastAsia"/>
          <w:sz w:val="21"/>
          <w:szCs w:val="21"/>
          <w:lang w:eastAsia="zh-CN"/>
        </w:rPr>
        <w:t>）</w:t>
      </w:r>
    </w:p>
    <w:tbl>
      <w:tblPr>
        <w:tblStyle w:val="52"/>
        <w:tblW w:w="4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002"/>
        <w:gridCol w:w="820"/>
        <w:gridCol w:w="818"/>
        <w:gridCol w:w="715"/>
        <w:gridCol w:w="2079"/>
      </w:tblGrid>
      <w:tr w14:paraId="5606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noWrap w:val="0"/>
            <w:vAlign w:val="center"/>
          </w:tcPr>
          <w:p w14:paraId="0A0B142D">
            <w:pPr>
              <w:jc w:val="center"/>
              <w:rPr>
                <w:rFonts w:ascii="宋体" w:hAnsi="宋体"/>
                <w:b/>
                <w:color w:val="000000" w:themeColor="text1"/>
                <w14:textFill>
                  <w14:solidFill>
                    <w14:schemeClr w14:val="tx1"/>
                  </w14:solidFill>
                </w14:textFill>
              </w:rPr>
            </w:pPr>
            <w:r>
              <w:rPr>
                <w:rFonts w:ascii="宋体" w:hAnsi="宋体"/>
                <w:b/>
                <w:color w:val="000000" w:themeColor="text1"/>
                <w14:textFill>
                  <w14:solidFill>
                    <w14:schemeClr w14:val="tx1"/>
                  </w14:solidFill>
                </w14:textFill>
              </w:rPr>
              <w:t>建（构）物名称</w:t>
            </w:r>
          </w:p>
        </w:tc>
        <w:tc>
          <w:tcPr>
            <w:tcW w:w="1300" w:type="pct"/>
            <w:noWrap w:val="0"/>
            <w:vAlign w:val="center"/>
          </w:tcPr>
          <w:p w14:paraId="36A83195">
            <w:pPr>
              <w:jc w:val="center"/>
              <w:rPr>
                <w:rFonts w:ascii="宋体" w:hAnsi="宋体"/>
                <w:b/>
                <w:color w:val="000000" w:themeColor="text1"/>
                <w14:textFill>
                  <w14:solidFill>
                    <w14:schemeClr w14:val="tx1"/>
                  </w14:solidFill>
                </w14:textFill>
              </w:rPr>
            </w:pPr>
            <w:r>
              <w:rPr>
                <w:rFonts w:ascii="宋体" w:hAnsi="宋体"/>
                <w:b/>
                <w:color w:val="000000" w:themeColor="text1"/>
                <w14:textFill>
                  <w14:solidFill>
                    <w14:schemeClr w14:val="tx1"/>
                  </w14:solidFill>
                </w14:textFill>
              </w:rPr>
              <w:t>周边建（筑）物</w:t>
            </w:r>
          </w:p>
        </w:tc>
        <w:tc>
          <w:tcPr>
            <w:tcW w:w="532" w:type="pct"/>
            <w:noWrap w:val="0"/>
            <w:vAlign w:val="center"/>
          </w:tcPr>
          <w:p w14:paraId="4A8FD820">
            <w:pPr>
              <w:jc w:val="center"/>
              <w:rPr>
                <w:rFonts w:ascii="宋体" w:hAnsi="宋体"/>
                <w:b/>
                <w:color w:val="000000" w:themeColor="text1"/>
                <w14:textFill>
                  <w14:solidFill>
                    <w14:schemeClr w14:val="tx1"/>
                  </w14:solidFill>
                </w14:textFill>
              </w:rPr>
            </w:pPr>
            <w:r>
              <w:rPr>
                <w:rFonts w:ascii="宋体" w:hAnsi="宋体"/>
                <w:b/>
                <w:color w:val="000000" w:themeColor="text1"/>
                <w14:textFill>
                  <w14:solidFill>
                    <w14:schemeClr w14:val="tx1"/>
                  </w14:solidFill>
                </w14:textFill>
              </w:rPr>
              <w:t>规范要求（m）</w:t>
            </w:r>
          </w:p>
        </w:tc>
        <w:tc>
          <w:tcPr>
            <w:tcW w:w="531" w:type="pct"/>
            <w:shd w:val="clear" w:color="auto" w:fill="auto"/>
            <w:noWrap w:val="0"/>
            <w:vAlign w:val="center"/>
          </w:tcPr>
          <w:p w14:paraId="5A978040">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实际</w:t>
            </w:r>
            <w:r>
              <w:rPr>
                <w:rFonts w:ascii="宋体" w:hAnsi="宋体"/>
                <w:b/>
                <w:color w:val="000000" w:themeColor="text1"/>
                <w14:textFill>
                  <w14:solidFill>
                    <w14:schemeClr w14:val="tx1"/>
                  </w14:solidFill>
                </w14:textFill>
              </w:rPr>
              <w:t>距离（m）</w:t>
            </w:r>
          </w:p>
        </w:tc>
        <w:tc>
          <w:tcPr>
            <w:tcW w:w="464" w:type="pct"/>
            <w:noWrap w:val="0"/>
            <w:vAlign w:val="center"/>
          </w:tcPr>
          <w:p w14:paraId="0F6D4AE4">
            <w:pPr>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结论</w:t>
            </w:r>
          </w:p>
        </w:tc>
        <w:tc>
          <w:tcPr>
            <w:tcW w:w="1350" w:type="pct"/>
            <w:noWrap w:val="0"/>
            <w:vAlign w:val="center"/>
          </w:tcPr>
          <w:p w14:paraId="436D2532">
            <w:pPr>
              <w:rPr>
                <w:rFonts w:ascii="宋体" w:hAnsi="宋体"/>
                <w:b/>
                <w:color w:val="000000" w:themeColor="text1"/>
                <w14:textFill>
                  <w14:solidFill>
                    <w14:schemeClr w14:val="tx1"/>
                  </w14:solidFill>
                </w14:textFill>
              </w:rPr>
            </w:pPr>
            <w:r>
              <w:rPr>
                <w:rFonts w:ascii="宋体" w:hAnsi="宋体"/>
                <w:b/>
                <w:color w:val="000000" w:themeColor="text1"/>
                <w14:textFill>
                  <w14:solidFill>
                    <w14:schemeClr w14:val="tx1"/>
                  </w14:solidFill>
                </w14:textFill>
              </w:rPr>
              <w:t>《建筑设计防火规范</w:t>
            </w:r>
            <w:r>
              <w:rPr>
                <w:rFonts w:hint="eastAsia" w:ascii="宋体" w:hAnsi="宋体"/>
                <w:b/>
                <w:color w:val="000000" w:themeColor="text1"/>
                <w14:textFill>
                  <w14:solidFill>
                    <w14:schemeClr w14:val="tx1"/>
                  </w14:solidFill>
                </w14:textFill>
              </w:rPr>
              <w:t>[</w:t>
            </w:r>
            <w:r>
              <w:rPr>
                <w:rFonts w:ascii="宋体" w:hAnsi="宋体"/>
                <w:b/>
                <w:color w:val="000000" w:themeColor="text1"/>
                <w14:textFill>
                  <w14:solidFill>
                    <w14:schemeClr w14:val="tx1"/>
                  </w14:solidFill>
                </w14:textFill>
              </w:rPr>
              <w:t>2018</w:t>
            </w:r>
            <w:r>
              <w:rPr>
                <w:rFonts w:hint="eastAsia" w:ascii="宋体" w:hAnsi="宋体"/>
                <w:b/>
                <w:color w:val="000000" w:themeColor="text1"/>
                <w14:textFill>
                  <w14:solidFill>
                    <w14:schemeClr w14:val="tx1"/>
                  </w14:solidFill>
                </w14:textFill>
              </w:rPr>
              <w:t>版</w:t>
            </w:r>
            <w:r>
              <w:rPr>
                <w:rFonts w:ascii="宋体" w:hAnsi="宋体"/>
                <w:b/>
                <w:color w:val="000000" w:themeColor="text1"/>
                <w14:textFill>
                  <w14:solidFill>
                    <w14:schemeClr w14:val="tx1"/>
                  </w14:solidFill>
                </w14:textFill>
              </w:rPr>
              <w:t>]》（GB50016-2014）条文号</w:t>
            </w:r>
          </w:p>
        </w:tc>
      </w:tr>
      <w:tr w14:paraId="34FC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30593D95">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生产车间</w:t>
            </w:r>
          </w:p>
        </w:tc>
        <w:tc>
          <w:tcPr>
            <w:tcW w:w="1300" w:type="pct"/>
            <w:noWrap w:val="0"/>
            <w:vAlign w:val="top"/>
          </w:tcPr>
          <w:p w14:paraId="1927FE9F">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原料储存间</w:t>
            </w:r>
          </w:p>
        </w:tc>
        <w:tc>
          <w:tcPr>
            <w:tcW w:w="532" w:type="pct"/>
            <w:noWrap w:val="0"/>
            <w:vAlign w:val="center"/>
          </w:tcPr>
          <w:p w14:paraId="4382F3BA">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7117D446">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15</w:t>
            </w:r>
          </w:p>
        </w:tc>
        <w:tc>
          <w:tcPr>
            <w:tcW w:w="464" w:type="pct"/>
            <w:noWrap w:val="0"/>
            <w:vAlign w:val="top"/>
          </w:tcPr>
          <w:p w14:paraId="1090E49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769620A7">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2081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2E127267">
            <w:pPr>
              <w:jc w:val="center"/>
              <w:rPr>
                <w:rFonts w:ascii="宋体" w:hAnsi="宋体"/>
                <w:b/>
                <w:color w:val="000000" w:themeColor="text1"/>
                <w14:textFill>
                  <w14:solidFill>
                    <w14:schemeClr w14:val="tx1"/>
                  </w14:solidFill>
                </w14:textFill>
              </w:rPr>
            </w:pPr>
          </w:p>
        </w:tc>
        <w:tc>
          <w:tcPr>
            <w:tcW w:w="1300" w:type="pct"/>
            <w:noWrap w:val="0"/>
            <w:vAlign w:val="center"/>
          </w:tcPr>
          <w:p w14:paraId="0005AF65">
            <w:pPr>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成品仓库</w:t>
            </w:r>
          </w:p>
        </w:tc>
        <w:tc>
          <w:tcPr>
            <w:tcW w:w="532" w:type="pct"/>
            <w:noWrap w:val="0"/>
            <w:vAlign w:val="center"/>
          </w:tcPr>
          <w:p w14:paraId="51D9772B">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054FC70D">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20</w:t>
            </w:r>
          </w:p>
        </w:tc>
        <w:tc>
          <w:tcPr>
            <w:tcW w:w="464" w:type="pct"/>
            <w:noWrap w:val="0"/>
            <w:vAlign w:val="top"/>
          </w:tcPr>
          <w:p w14:paraId="40BE943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5BFFC162">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3AD4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062AA1AE">
            <w:pPr>
              <w:jc w:val="center"/>
              <w:rPr>
                <w:rFonts w:ascii="宋体" w:hAnsi="宋体"/>
                <w:b/>
                <w:color w:val="000000" w:themeColor="text1"/>
                <w14:textFill>
                  <w14:solidFill>
                    <w14:schemeClr w14:val="tx1"/>
                  </w14:solidFill>
                </w14:textFill>
              </w:rPr>
            </w:pPr>
          </w:p>
        </w:tc>
        <w:tc>
          <w:tcPr>
            <w:tcW w:w="1300" w:type="pct"/>
            <w:noWrap w:val="0"/>
            <w:vAlign w:val="center"/>
          </w:tcPr>
          <w:p w14:paraId="15BC9245">
            <w:pPr>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综合楼</w:t>
            </w:r>
          </w:p>
        </w:tc>
        <w:tc>
          <w:tcPr>
            <w:tcW w:w="532" w:type="pct"/>
            <w:noWrap w:val="0"/>
            <w:vAlign w:val="center"/>
          </w:tcPr>
          <w:p w14:paraId="37FBCD28">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142B6177">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20</w:t>
            </w:r>
          </w:p>
        </w:tc>
        <w:tc>
          <w:tcPr>
            <w:tcW w:w="464" w:type="pct"/>
            <w:noWrap w:val="0"/>
            <w:vAlign w:val="top"/>
          </w:tcPr>
          <w:p w14:paraId="2109CBC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1D9F63F0">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68A8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34B9D9C0">
            <w:pPr>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原料储存间</w:t>
            </w:r>
          </w:p>
        </w:tc>
        <w:tc>
          <w:tcPr>
            <w:tcW w:w="1300" w:type="pct"/>
            <w:noWrap w:val="0"/>
            <w:vAlign w:val="center"/>
          </w:tcPr>
          <w:p w14:paraId="16D0582B">
            <w:pPr>
              <w:jc w:val="center"/>
              <w:rPr>
                <w:rFonts w:ascii="宋体" w:hAnsi="宋体"/>
                <w:color w:val="000000" w:themeColor="text1"/>
                <w:kern w:val="0"/>
                <w:szCs w:val="21"/>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成品</w:t>
            </w:r>
            <w:r>
              <w:rPr>
                <w:rFonts w:hint="eastAsia" w:ascii="宋体" w:hAnsi="宋体"/>
                <w:color w:val="000000" w:themeColor="text1"/>
                <w:kern w:val="0"/>
                <w:szCs w:val="21"/>
                <w14:textFill>
                  <w14:solidFill>
                    <w14:schemeClr w14:val="tx1"/>
                  </w14:solidFill>
                </w14:textFill>
              </w:rPr>
              <w:t>仓库</w:t>
            </w:r>
          </w:p>
        </w:tc>
        <w:tc>
          <w:tcPr>
            <w:tcW w:w="532" w:type="pct"/>
            <w:noWrap w:val="0"/>
            <w:vAlign w:val="top"/>
          </w:tcPr>
          <w:p w14:paraId="0BE17F3F">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744E323B">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30</w:t>
            </w:r>
          </w:p>
        </w:tc>
        <w:tc>
          <w:tcPr>
            <w:tcW w:w="464" w:type="pct"/>
            <w:noWrap w:val="0"/>
            <w:vAlign w:val="top"/>
          </w:tcPr>
          <w:p w14:paraId="715ED5A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70E52D5D">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01CF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E466143">
            <w:pPr>
              <w:jc w:val="center"/>
              <w:rPr>
                <w:rFonts w:ascii="宋体" w:hAnsi="宋体"/>
                <w:b/>
                <w:color w:val="000000" w:themeColor="text1"/>
                <w14:textFill>
                  <w14:solidFill>
                    <w14:schemeClr w14:val="tx1"/>
                  </w14:solidFill>
                </w14:textFill>
              </w:rPr>
            </w:pPr>
          </w:p>
        </w:tc>
        <w:tc>
          <w:tcPr>
            <w:tcW w:w="1300" w:type="pct"/>
            <w:noWrap w:val="0"/>
            <w:vAlign w:val="center"/>
          </w:tcPr>
          <w:p w14:paraId="7461B2B7">
            <w:pPr>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eastAsia="宋体"/>
                <w:color w:val="000000" w:themeColor="text1"/>
                <w:kern w:val="0"/>
                <w:szCs w:val="21"/>
                <w:lang w:val="en-US" w:eastAsia="zh-CN"/>
                <w14:textFill>
                  <w14:solidFill>
                    <w14:schemeClr w14:val="tx1"/>
                  </w14:solidFill>
                </w14:textFill>
              </w:rPr>
              <w:t>综合楼</w:t>
            </w:r>
          </w:p>
        </w:tc>
        <w:tc>
          <w:tcPr>
            <w:tcW w:w="532" w:type="pct"/>
            <w:noWrap w:val="0"/>
            <w:vAlign w:val="top"/>
          </w:tcPr>
          <w:p w14:paraId="4526B5D4">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11F5B9E8">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20</w:t>
            </w:r>
          </w:p>
        </w:tc>
        <w:tc>
          <w:tcPr>
            <w:tcW w:w="464" w:type="pct"/>
            <w:noWrap w:val="0"/>
            <w:vAlign w:val="top"/>
          </w:tcPr>
          <w:p w14:paraId="4233770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61FF223D">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6D99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1DBD1724">
            <w:pPr>
              <w:jc w:val="center"/>
              <w:rPr>
                <w:rFonts w:ascii="宋体" w:hAnsi="宋体"/>
                <w:b/>
                <w:color w:val="000000" w:themeColor="text1"/>
                <w14:textFill>
                  <w14:solidFill>
                    <w14:schemeClr w14:val="tx1"/>
                  </w14:solidFill>
                </w14:textFill>
              </w:rPr>
            </w:pPr>
          </w:p>
        </w:tc>
        <w:tc>
          <w:tcPr>
            <w:tcW w:w="1300" w:type="pct"/>
            <w:noWrap w:val="0"/>
            <w:vAlign w:val="center"/>
          </w:tcPr>
          <w:p w14:paraId="3CE045C4">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生产车间</w:t>
            </w:r>
          </w:p>
        </w:tc>
        <w:tc>
          <w:tcPr>
            <w:tcW w:w="532" w:type="pct"/>
            <w:noWrap w:val="0"/>
            <w:vAlign w:val="top"/>
          </w:tcPr>
          <w:p w14:paraId="13E2B9FF">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1B2FA8F2">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15</w:t>
            </w:r>
          </w:p>
        </w:tc>
        <w:tc>
          <w:tcPr>
            <w:tcW w:w="464" w:type="pct"/>
            <w:noWrap w:val="0"/>
            <w:vAlign w:val="top"/>
          </w:tcPr>
          <w:p w14:paraId="4ACCF3EE">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3F2FFC94">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3CFD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78135A15">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eastAsia="宋体"/>
                <w:b w:val="0"/>
                <w:bCs/>
                <w:color w:val="000000" w:themeColor="text1"/>
                <w:lang w:val="en-US" w:eastAsia="zh-CN"/>
                <w14:textFill>
                  <w14:solidFill>
                    <w14:schemeClr w14:val="tx1"/>
                  </w14:solidFill>
                </w14:textFill>
              </w:rPr>
              <w:t>成品仓库</w:t>
            </w:r>
          </w:p>
        </w:tc>
        <w:tc>
          <w:tcPr>
            <w:tcW w:w="1300" w:type="pct"/>
            <w:noWrap w:val="0"/>
            <w:vAlign w:val="center"/>
          </w:tcPr>
          <w:p w14:paraId="61448E39">
            <w:pPr>
              <w:jc w:val="center"/>
              <w:rPr>
                <w:rFonts w:ascii="宋体" w:hAnsi="宋体"/>
                <w:b/>
                <w:color w:val="000000" w:themeColor="text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生产</w:t>
            </w:r>
            <w:r>
              <w:rPr>
                <w:rFonts w:hint="eastAsia" w:ascii="宋体" w:hAnsi="宋体"/>
                <w:color w:val="000000" w:themeColor="text1"/>
                <w:kern w:val="0"/>
                <w:szCs w:val="21"/>
                <w14:textFill>
                  <w14:solidFill>
                    <w14:schemeClr w14:val="tx1"/>
                  </w14:solidFill>
                </w14:textFill>
              </w:rPr>
              <w:t>车间</w:t>
            </w:r>
          </w:p>
        </w:tc>
        <w:tc>
          <w:tcPr>
            <w:tcW w:w="532" w:type="pct"/>
            <w:noWrap w:val="0"/>
            <w:vAlign w:val="center"/>
          </w:tcPr>
          <w:p w14:paraId="23F0ED21">
            <w:pPr>
              <w:jc w:val="center"/>
              <w:rPr>
                <w:rFonts w:hint="default" w:ascii="宋体" w:hAnsi="宋体" w:eastAsia="宋体"/>
                <w:b/>
                <w:color w:val="000000" w:themeColor="text1"/>
                <w:lang w:val="en-US" w:eastAsia="zh-CN"/>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ascii="宋体" w:hAnsi="宋体"/>
                <w:b/>
                <w:color w:val="000000" w:themeColor="text1"/>
                <w14:textFill>
                  <w14:solidFill>
                    <w14:schemeClr w14:val="tx1"/>
                  </w14:solidFill>
                </w14:textFill>
              </w:rPr>
              <w:t>0</w:t>
            </w:r>
          </w:p>
        </w:tc>
        <w:tc>
          <w:tcPr>
            <w:tcW w:w="531" w:type="pct"/>
            <w:shd w:val="clear" w:color="auto" w:fill="auto"/>
            <w:noWrap w:val="0"/>
            <w:vAlign w:val="center"/>
          </w:tcPr>
          <w:p w14:paraId="7628B838">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30</w:t>
            </w:r>
          </w:p>
        </w:tc>
        <w:tc>
          <w:tcPr>
            <w:tcW w:w="464" w:type="pct"/>
            <w:noWrap w:val="0"/>
            <w:vAlign w:val="top"/>
          </w:tcPr>
          <w:p w14:paraId="57AB66F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w:t>
            </w:r>
          </w:p>
        </w:tc>
        <w:tc>
          <w:tcPr>
            <w:tcW w:w="1350" w:type="pct"/>
            <w:noWrap w:val="0"/>
            <w:vAlign w:val="top"/>
          </w:tcPr>
          <w:p w14:paraId="21414D48">
            <w:pPr>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2C1B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642D3D16">
            <w:pPr>
              <w:jc w:val="center"/>
              <w:rPr>
                <w:rFonts w:ascii="宋体" w:hAnsi="宋体"/>
                <w:color w:val="000000" w:themeColor="text1"/>
                <w:kern w:val="0"/>
                <w:szCs w:val="21"/>
                <w14:textFill>
                  <w14:solidFill>
                    <w14:schemeClr w14:val="tx1"/>
                  </w14:solidFill>
                </w14:textFill>
              </w:rPr>
            </w:pPr>
          </w:p>
        </w:tc>
        <w:tc>
          <w:tcPr>
            <w:tcW w:w="1300" w:type="pct"/>
            <w:noWrap w:val="0"/>
            <w:vAlign w:val="center"/>
          </w:tcPr>
          <w:p w14:paraId="5533B325">
            <w:pPr>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eastAsia="宋体"/>
                <w:color w:val="000000" w:themeColor="text1"/>
                <w:kern w:val="0"/>
                <w:szCs w:val="21"/>
                <w:lang w:val="en-US" w:eastAsia="zh-CN"/>
                <w14:textFill>
                  <w14:solidFill>
                    <w14:schemeClr w14:val="tx1"/>
                  </w14:solidFill>
                </w14:textFill>
              </w:rPr>
              <w:t>原料储存间</w:t>
            </w:r>
          </w:p>
        </w:tc>
        <w:tc>
          <w:tcPr>
            <w:tcW w:w="532" w:type="pct"/>
            <w:noWrap w:val="0"/>
            <w:vAlign w:val="center"/>
          </w:tcPr>
          <w:p w14:paraId="3356F8BD">
            <w:pPr>
              <w:jc w:val="center"/>
              <w:rPr>
                <w:rFonts w:hint="default" w:hAnsi="宋体"/>
                <w:b/>
                <w:color w:val="000000" w:themeColor="text1"/>
                <w:lang w:val="en-US" w:eastAsia="zh-CN"/>
                <w14:textFill>
                  <w14:solidFill>
                    <w14:schemeClr w14:val="tx1"/>
                  </w14:solidFill>
                </w14:textFill>
              </w:rPr>
            </w:pPr>
            <w:r>
              <w:rPr>
                <w:rFonts w:hint="eastAsia" w:hAnsi="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6C7ABD24">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20</w:t>
            </w:r>
          </w:p>
        </w:tc>
        <w:tc>
          <w:tcPr>
            <w:tcW w:w="464" w:type="pct"/>
            <w:noWrap w:val="0"/>
            <w:vAlign w:val="top"/>
          </w:tcPr>
          <w:p w14:paraId="62DBDDE1">
            <w:pPr>
              <w:jc w:val="center"/>
              <w:rPr>
                <w:rFonts w:hint="eastAsia" w:ascii="宋体" w:hAnsi="宋体" w:eastAsia="宋体"/>
                <w:color w:val="000000" w:themeColor="text1"/>
                <w:lang w:val="en-US" w:eastAsia="zh-CN"/>
                <w14:textFill>
                  <w14:solidFill>
                    <w14:schemeClr w14:val="tx1"/>
                  </w14:solidFill>
                </w14:textFill>
              </w:rPr>
            </w:pPr>
            <w:r>
              <w:rPr>
                <w:rFonts w:hint="eastAsia" w:hAnsi="宋体"/>
                <w:color w:val="000000" w:themeColor="text1"/>
                <w:lang w:val="en-US" w:eastAsia="zh-CN"/>
                <w14:textFill>
                  <w14:solidFill>
                    <w14:schemeClr w14:val="tx1"/>
                  </w14:solidFill>
                </w14:textFill>
              </w:rPr>
              <w:t>符合</w:t>
            </w:r>
          </w:p>
        </w:tc>
        <w:tc>
          <w:tcPr>
            <w:tcW w:w="1350" w:type="pct"/>
            <w:noWrap w:val="0"/>
            <w:vAlign w:val="top"/>
          </w:tcPr>
          <w:p w14:paraId="6E59BAEB">
            <w:pPr>
              <w:jc w:val="cente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3.4.1</w:t>
            </w:r>
          </w:p>
        </w:tc>
      </w:tr>
      <w:tr w14:paraId="533E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318C2C3">
            <w:pPr>
              <w:jc w:val="center"/>
              <w:rPr>
                <w:rFonts w:ascii="宋体" w:hAnsi="宋体"/>
                <w:color w:val="000000" w:themeColor="text1"/>
                <w:kern w:val="0"/>
                <w:szCs w:val="21"/>
                <w14:textFill>
                  <w14:solidFill>
                    <w14:schemeClr w14:val="tx1"/>
                  </w14:solidFill>
                </w14:textFill>
              </w:rPr>
            </w:pPr>
          </w:p>
        </w:tc>
        <w:tc>
          <w:tcPr>
            <w:tcW w:w="1300" w:type="pct"/>
            <w:noWrap w:val="0"/>
            <w:vAlign w:val="center"/>
          </w:tcPr>
          <w:p w14:paraId="5592DD72">
            <w:pPr>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综合楼</w:t>
            </w:r>
          </w:p>
        </w:tc>
        <w:tc>
          <w:tcPr>
            <w:tcW w:w="532" w:type="pct"/>
            <w:noWrap w:val="0"/>
            <w:vAlign w:val="center"/>
          </w:tcPr>
          <w:p w14:paraId="327518FC">
            <w:pPr>
              <w:jc w:val="center"/>
              <w:rPr>
                <w:rFonts w:hint="default" w:hAnsi="宋体"/>
                <w:b/>
                <w:color w:val="000000" w:themeColor="text1"/>
                <w:lang w:val="en-US" w:eastAsia="zh-CN"/>
                <w14:textFill>
                  <w14:solidFill>
                    <w14:schemeClr w14:val="tx1"/>
                  </w14:solidFill>
                </w14:textFill>
              </w:rPr>
            </w:pPr>
            <w:r>
              <w:rPr>
                <w:rFonts w:hint="eastAsia" w:hAnsi="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32C90AFF">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30</w:t>
            </w:r>
          </w:p>
        </w:tc>
        <w:tc>
          <w:tcPr>
            <w:tcW w:w="464" w:type="pct"/>
            <w:shd w:val="clear" w:color="auto" w:fill="auto"/>
            <w:noWrap w:val="0"/>
            <w:vAlign w:val="top"/>
          </w:tcPr>
          <w:p w14:paraId="5AD6C3E7">
            <w:pPr>
              <w:jc w:val="center"/>
              <w:rPr>
                <w:rFonts w:hint="eastAsia" w:ascii="宋体" w:hAnsi="宋体" w:eastAsia="宋体" w:cs="Times New Roman"/>
                <w:color w:val="000000" w:themeColor="text1"/>
                <w:sz w:val="24"/>
                <w:lang w:val="en-US" w:eastAsia="zh-CN" w:bidi="ar-SA"/>
                <w14:textFill>
                  <w14:solidFill>
                    <w14:schemeClr w14:val="tx1"/>
                  </w14:solidFill>
                </w14:textFill>
              </w:rPr>
            </w:pPr>
            <w:r>
              <w:rPr>
                <w:rFonts w:hint="eastAsia" w:hAnsi="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4F877A8F">
            <w:pPr>
              <w:jc w:val="center"/>
              <w:rPr>
                <w:rFonts w:ascii="宋体" w:hAnsi="宋体" w:eastAsia="宋体" w:cs="Times New Roman"/>
                <w:color w:val="000000" w:themeColor="text1"/>
                <w:sz w:val="24"/>
                <w:lang w:val="en-US" w:eastAsia="zh-CN" w:bidi="ar-SA"/>
                <w14:textFill>
                  <w14:solidFill>
                    <w14:schemeClr w14:val="tx1"/>
                  </w14:solidFill>
                </w14:textFill>
              </w:rPr>
            </w:pPr>
            <w:r>
              <w:rPr>
                <w:rFonts w:ascii="宋体" w:hAnsi="宋体"/>
                <w:color w:val="000000" w:themeColor="text1"/>
                <w14:textFill>
                  <w14:solidFill>
                    <w14:schemeClr w14:val="tx1"/>
                  </w14:solidFill>
                </w14:textFill>
              </w:rPr>
              <w:t>3.4.1</w:t>
            </w:r>
          </w:p>
        </w:tc>
      </w:tr>
      <w:tr w14:paraId="5364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4C575EF0">
            <w:pPr>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综合楼</w:t>
            </w:r>
          </w:p>
        </w:tc>
        <w:tc>
          <w:tcPr>
            <w:tcW w:w="1300" w:type="pct"/>
            <w:noWrap w:val="0"/>
            <w:vAlign w:val="center"/>
          </w:tcPr>
          <w:p w14:paraId="6BBC0EDF">
            <w:pPr>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生产车间</w:t>
            </w:r>
          </w:p>
        </w:tc>
        <w:tc>
          <w:tcPr>
            <w:tcW w:w="532" w:type="pct"/>
            <w:noWrap w:val="0"/>
            <w:vAlign w:val="center"/>
          </w:tcPr>
          <w:p w14:paraId="39C92D72">
            <w:pPr>
              <w:jc w:val="center"/>
              <w:rPr>
                <w:rFonts w:hint="default" w:hAnsi="宋体"/>
                <w:b/>
                <w:color w:val="000000" w:themeColor="text1"/>
                <w:lang w:val="en-US" w:eastAsia="zh-CN"/>
                <w14:textFill>
                  <w14:solidFill>
                    <w14:schemeClr w14:val="tx1"/>
                  </w14:solidFill>
                </w14:textFill>
              </w:rPr>
            </w:pPr>
            <w:r>
              <w:rPr>
                <w:rFonts w:hint="eastAsia" w:hAnsi="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51AC9C68">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20</w:t>
            </w:r>
          </w:p>
        </w:tc>
        <w:tc>
          <w:tcPr>
            <w:tcW w:w="464" w:type="pct"/>
            <w:shd w:val="clear" w:color="auto" w:fill="auto"/>
            <w:noWrap w:val="0"/>
            <w:vAlign w:val="top"/>
          </w:tcPr>
          <w:p w14:paraId="516A0C2B">
            <w:pPr>
              <w:jc w:val="center"/>
              <w:rPr>
                <w:rFonts w:hint="eastAsia" w:ascii="宋体" w:hAnsi="宋体" w:eastAsia="宋体" w:cs="Times New Roman"/>
                <w:color w:val="000000" w:themeColor="text1"/>
                <w:sz w:val="24"/>
                <w:lang w:val="en-US" w:eastAsia="zh-CN" w:bidi="ar-SA"/>
                <w14:textFill>
                  <w14:solidFill>
                    <w14:schemeClr w14:val="tx1"/>
                  </w14:solidFill>
                </w14:textFill>
              </w:rPr>
            </w:pPr>
            <w:r>
              <w:rPr>
                <w:rFonts w:hint="eastAsia" w:hAnsi="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7FE6BA43">
            <w:pPr>
              <w:jc w:val="center"/>
              <w:rPr>
                <w:rFonts w:ascii="宋体" w:hAnsi="宋体" w:eastAsia="宋体" w:cs="Times New Roman"/>
                <w:color w:val="000000" w:themeColor="text1"/>
                <w:sz w:val="24"/>
                <w:lang w:val="en-US" w:eastAsia="zh-CN" w:bidi="ar-SA"/>
                <w14:textFill>
                  <w14:solidFill>
                    <w14:schemeClr w14:val="tx1"/>
                  </w14:solidFill>
                </w14:textFill>
              </w:rPr>
            </w:pPr>
            <w:r>
              <w:rPr>
                <w:rFonts w:ascii="宋体" w:hAnsi="宋体"/>
                <w:color w:val="000000" w:themeColor="text1"/>
                <w14:textFill>
                  <w14:solidFill>
                    <w14:schemeClr w14:val="tx1"/>
                  </w14:solidFill>
                </w14:textFill>
              </w:rPr>
              <w:t>3.4.1</w:t>
            </w:r>
          </w:p>
        </w:tc>
      </w:tr>
      <w:tr w14:paraId="6F54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F397E0E">
            <w:pPr>
              <w:jc w:val="center"/>
              <w:rPr>
                <w:rFonts w:ascii="宋体" w:hAnsi="宋体"/>
                <w:color w:val="000000" w:themeColor="text1"/>
                <w:kern w:val="0"/>
                <w:szCs w:val="21"/>
                <w14:textFill>
                  <w14:solidFill>
                    <w14:schemeClr w14:val="tx1"/>
                  </w14:solidFill>
                </w14:textFill>
              </w:rPr>
            </w:pPr>
          </w:p>
        </w:tc>
        <w:tc>
          <w:tcPr>
            <w:tcW w:w="1300" w:type="pct"/>
            <w:noWrap w:val="0"/>
            <w:vAlign w:val="center"/>
          </w:tcPr>
          <w:p w14:paraId="36169AF3">
            <w:pPr>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原料储存间</w:t>
            </w:r>
          </w:p>
        </w:tc>
        <w:tc>
          <w:tcPr>
            <w:tcW w:w="532" w:type="pct"/>
            <w:noWrap w:val="0"/>
            <w:vAlign w:val="center"/>
          </w:tcPr>
          <w:p w14:paraId="0A6E9AB8">
            <w:pPr>
              <w:jc w:val="center"/>
              <w:rPr>
                <w:rFonts w:hint="default" w:hAnsi="宋体"/>
                <w:b/>
                <w:color w:val="000000" w:themeColor="text1"/>
                <w:lang w:val="en-US" w:eastAsia="zh-CN"/>
                <w14:textFill>
                  <w14:solidFill>
                    <w14:schemeClr w14:val="tx1"/>
                  </w14:solidFill>
                </w14:textFill>
              </w:rPr>
            </w:pPr>
            <w:r>
              <w:rPr>
                <w:rFonts w:hint="eastAsia" w:hAnsi="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2B87787C">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20</w:t>
            </w:r>
          </w:p>
        </w:tc>
        <w:tc>
          <w:tcPr>
            <w:tcW w:w="464" w:type="pct"/>
            <w:shd w:val="clear" w:color="auto" w:fill="auto"/>
            <w:noWrap w:val="0"/>
            <w:vAlign w:val="top"/>
          </w:tcPr>
          <w:p w14:paraId="59892D39">
            <w:pPr>
              <w:jc w:val="center"/>
              <w:rPr>
                <w:rFonts w:hint="eastAsia" w:ascii="宋体" w:hAnsi="宋体" w:eastAsia="宋体" w:cs="Times New Roman"/>
                <w:color w:val="000000" w:themeColor="text1"/>
                <w:sz w:val="24"/>
                <w:lang w:val="en-US" w:eastAsia="zh-CN" w:bidi="ar-SA"/>
                <w14:textFill>
                  <w14:solidFill>
                    <w14:schemeClr w14:val="tx1"/>
                  </w14:solidFill>
                </w14:textFill>
              </w:rPr>
            </w:pPr>
            <w:r>
              <w:rPr>
                <w:rFonts w:hint="eastAsia" w:hAnsi="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06F7125C">
            <w:pPr>
              <w:jc w:val="center"/>
              <w:rPr>
                <w:rFonts w:ascii="宋体" w:hAnsi="宋体" w:eastAsia="宋体" w:cs="Times New Roman"/>
                <w:color w:val="000000" w:themeColor="text1"/>
                <w:sz w:val="24"/>
                <w:lang w:val="en-US" w:eastAsia="zh-CN" w:bidi="ar-SA"/>
                <w14:textFill>
                  <w14:solidFill>
                    <w14:schemeClr w14:val="tx1"/>
                  </w14:solidFill>
                </w14:textFill>
              </w:rPr>
            </w:pPr>
            <w:r>
              <w:rPr>
                <w:rFonts w:ascii="宋体" w:hAnsi="宋体"/>
                <w:color w:val="000000" w:themeColor="text1"/>
                <w14:textFill>
                  <w14:solidFill>
                    <w14:schemeClr w14:val="tx1"/>
                  </w14:solidFill>
                </w14:textFill>
              </w:rPr>
              <w:t>3.4.1</w:t>
            </w:r>
          </w:p>
        </w:tc>
      </w:tr>
      <w:tr w14:paraId="6330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0F9D037E">
            <w:pPr>
              <w:jc w:val="center"/>
              <w:rPr>
                <w:rFonts w:ascii="宋体" w:hAnsi="宋体"/>
                <w:color w:val="000000" w:themeColor="text1"/>
                <w:kern w:val="0"/>
                <w:szCs w:val="21"/>
                <w14:textFill>
                  <w14:solidFill>
                    <w14:schemeClr w14:val="tx1"/>
                  </w14:solidFill>
                </w14:textFill>
              </w:rPr>
            </w:pPr>
          </w:p>
        </w:tc>
        <w:tc>
          <w:tcPr>
            <w:tcW w:w="1300" w:type="pct"/>
            <w:noWrap w:val="0"/>
            <w:vAlign w:val="center"/>
          </w:tcPr>
          <w:p w14:paraId="34B9E865">
            <w:pPr>
              <w:jc w:val="center"/>
              <w:rPr>
                <w:rFonts w:hint="default" w:hAnsi="宋体"/>
                <w:color w:val="000000" w:themeColor="text1"/>
                <w:kern w:val="0"/>
                <w:szCs w:val="21"/>
                <w:lang w:val="en-US" w:eastAsia="zh-CN"/>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成品仓库</w:t>
            </w:r>
          </w:p>
        </w:tc>
        <w:tc>
          <w:tcPr>
            <w:tcW w:w="532" w:type="pct"/>
            <w:noWrap w:val="0"/>
            <w:vAlign w:val="center"/>
          </w:tcPr>
          <w:p w14:paraId="61F19D72">
            <w:pPr>
              <w:jc w:val="center"/>
              <w:rPr>
                <w:rFonts w:hint="default" w:hAnsi="宋体"/>
                <w:b/>
                <w:color w:val="000000" w:themeColor="text1"/>
                <w:lang w:val="en-US" w:eastAsia="zh-CN"/>
                <w14:textFill>
                  <w14:solidFill>
                    <w14:schemeClr w14:val="tx1"/>
                  </w14:solidFill>
                </w14:textFill>
              </w:rPr>
            </w:pPr>
            <w:r>
              <w:rPr>
                <w:rFonts w:hint="eastAsia" w:hAnsi="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0C94B56F">
            <w:pPr>
              <w:jc w:val="center"/>
              <w:rPr>
                <w:rFonts w:hint="eastAsia" w:ascii="宋体" w:hAnsi="宋体" w:eastAsia="宋体" w:cs="Times New Roman"/>
                <w:b/>
                <w:color w:val="000000" w:themeColor="text1"/>
                <w:sz w:val="24"/>
                <w:lang w:val="en-US" w:eastAsia="zh-CN" w:bidi="ar-SA"/>
                <w14:textFill>
                  <w14:solidFill>
                    <w14:schemeClr w14:val="tx1"/>
                  </w14:solidFill>
                </w14:textFill>
              </w:rPr>
            </w:pPr>
            <w:r>
              <w:rPr>
                <w:rFonts w:hint="eastAsia" w:hAnsi="宋体"/>
                <w:b/>
                <w:color w:val="000000" w:themeColor="text1"/>
                <w:lang w:val="en-US" w:eastAsia="zh-CN"/>
                <w14:textFill>
                  <w14:solidFill>
                    <w14:schemeClr w14:val="tx1"/>
                  </w14:solidFill>
                </w14:textFill>
              </w:rPr>
              <w:t>30</w:t>
            </w:r>
          </w:p>
        </w:tc>
        <w:tc>
          <w:tcPr>
            <w:tcW w:w="464" w:type="pct"/>
            <w:shd w:val="clear" w:color="auto" w:fill="auto"/>
            <w:noWrap w:val="0"/>
            <w:vAlign w:val="top"/>
          </w:tcPr>
          <w:p w14:paraId="2C5BE528">
            <w:pPr>
              <w:jc w:val="center"/>
              <w:rPr>
                <w:rFonts w:hint="eastAsia" w:ascii="宋体" w:hAnsi="宋体" w:eastAsia="宋体" w:cs="Times New Roman"/>
                <w:color w:val="000000" w:themeColor="text1"/>
                <w:sz w:val="24"/>
                <w:lang w:val="en-US" w:eastAsia="zh-CN" w:bidi="ar-SA"/>
                <w14:textFill>
                  <w14:solidFill>
                    <w14:schemeClr w14:val="tx1"/>
                  </w14:solidFill>
                </w14:textFill>
              </w:rPr>
            </w:pPr>
            <w:r>
              <w:rPr>
                <w:rFonts w:hint="eastAsia" w:hAnsi="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7B9E6DA1">
            <w:pPr>
              <w:jc w:val="center"/>
              <w:rPr>
                <w:rFonts w:ascii="宋体" w:hAnsi="宋体" w:eastAsia="宋体" w:cs="Times New Roman"/>
                <w:color w:val="000000" w:themeColor="text1"/>
                <w:sz w:val="24"/>
                <w:lang w:val="en-US" w:eastAsia="zh-CN" w:bidi="ar-SA"/>
                <w14:textFill>
                  <w14:solidFill>
                    <w14:schemeClr w14:val="tx1"/>
                  </w14:solidFill>
                </w14:textFill>
              </w:rPr>
            </w:pPr>
            <w:r>
              <w:rPr>
                <w:rFonts w:ascii="宋体" w:hAnsi="宋体"/>
                <w:color w:val="000000" w:themeColor="text1"/>
                <w14:textFill>
                  <w14:solidFill>
                    <w14:schemeClr w14:val="tx1"/>
                  </w14:solidFill>
                </w14:textFill>
              </w:rPr>
              <w:t>3.4.1</w:t>
            </w:r>
          </w:p>
        </w:tc>
      </w:tr>
    </w:tbl>
    <w:p w14:paraId="0311FE72">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000000" w:themeColor="text1"/>
          <w:sz w:val="28"/>
          <w:szCs w:val="28"/>
          <w:lang w:val="en-US"/>
          <w14:textFill>
            <w14:solidFill>
              <w14:schemeClr w14:val="tx1"/>
            </w14:solidFill>
          </w14:textFill>
        </w:rPr>
      </w:pPr>
    </w:p>
    <w:p w14:paraId="6F714F15">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eastAsiaTheme="minorEastAsia"/>
          <w:color w:val="000000" w:themeColor="text1"/>
          <w:sz w:val="28"/>
          <w:lang w:val="en-US" w:eastAsia="zh-CN"/>
          <w14:textFill>
            <w14:solidFill>
              <w14:schemeClr w14:val="tx1"/>
            </w14:solidFill>
          </w14:textFill>
        </w:rPr>
      </w:pPr>
      <w:bookmarkStart w:id="170" w:name="_Toc19100"/>
      <w:bookmarkStart w:id="171" w:name="_Toc22895"/>
      <w:bookmarkStart w:id="172" w:name="_Toc24640"/>
      <w:r>
        <w:rPr>
          <w:rFonts w:hint="default" w:ascii="Times New Roman" w:hAnsi="Times New Roman" w:eastAsia="黑体" w:cs="Times New Roman"/>
          <w:color w:val="000000" w:themeColor="text1"/>
          <w14:textFill>
            <w14:solidFill>
              <w14:schemeClr w14:val="tx1"/>
            </w14:solidFill>
          </w14:textFill>
        </w:rPr>
        <w:t>2.3.</w:t>
      </w:r>
      <w:r>
        <w:rPr>
          <w:rFonts w:hint="eastAsia"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eastAsia="黑体" w:cs="Times New Roman"/>
          <w:color w:val="000000" w:themeColor="text1"/>
          <w14:textFill>
            <w14:solidFill>
              <w14:schemeClr w14:val="tx1"/>
            </w14:solidFill>
          </w14:textFill>
        </w:rPr>
        <w:t>厂内</w:t>
      </w:r>
      <w:bookmarkEnd w:id="170"/>
      <w:r>
        <w:rPr>
          <w:rFonts w:hint="default" w:ascii="Times New Roman" w:hAnsi="Times New Roman" w:eastAsia="黑体" w:cs="Times New Roman"/>
          <w:color w:val="000000" w:themeColor="text1"/>
          <w14:textFill>
            <w14:solidFill>
              <w14:schemeClr w14:val="tx1"/>
            </w14:solidFill>
          </w14:textFill>
        </w:rPr>
        <w:t>运输</w:t>
      </w:r>
      <w:bookmarkEnd w:id="171"/>
      <w:bookmarkEnd w:id="172"/>
    </w:p>
    <w:p w14:paraId="2212BB2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lang w:val="en-US" w:eastAsia="zh-CN"/>
          <w14:textFill>
            <w14:solidFill>
              <w14:schemeClr w14:val="tx1"/>
            </w14:solidFill>
          </w14:textFill>
        </w:rPr>
      </w:pPr>
      <w:r>
        <w:rPr>
          <w:rFonts w:hint="default" w:ascii="Times New Roman" w:hAnsi="Times New Roman" w:cs="Times New Roman" w:eastAsiaTheme="minorEastAsia"/>
          <w:color w:val="000000" w:themeColor="text1"/>
          <w:sz w:val="28"/>
          <w:lang w:val="en-US" w:eastAsia="zh-CN"/>
          <w14:textFill>
            <w14:solidFill>
              <w14:schemeClr w14:val="tx1"/>
            </w14:solidFill>
          </w14:textFill>
        </w:rPr>
        <w:t>在</w:t>
      </w:r>
      <w:r>
        <w:rPr>
          <w:rFonts w:hint="eastAsia" w:ascii="Times New Roman" w:cs="Times New Roman" w:eastAsiaTheme="minorEastAsia"/>
          <w:color w:val="000000" w:themeColor="text1"/>
          <w:sz w:val="28"/>
          <w:lang w:val="en-US" w:eastAsia="zh-CN"/>
          <w14:textFill>
            <w14:solidFill>
              <w14:schemeClr w14:val="tx1"/>
            </w14:solidFill>
          </w14:textFill>
        </w:rPr>
        <w:t>北</w:t>
      </w:r>
      <w:r>
        <w:rPr>
          <w:rFonts w:hint="default" w:ascii="Times New Roman" w:hAnsi="Times New Roman" w:cs="Times New Roman" w:eastAsiaTheme="minorEastAsia"/>
          <w:color w:val="000000" w:themeColor="text1"/>
          <w:sz w:val="28"/>
          <w:lang w:val="en-US" w:eastAsia="zh-CN"/>
          <w14:textFill>
            <w14:solidFill>
              <w14:schemeClr w14:val="tx1"/>
            </w14:solidFill>
          </w14:textFill>
        </w:rPr>
        <w:t>侧</w:t>
      </w:r>
      <w:r>
        <w:rPr>
          <w:rFonts w:hint="eastAsia" w:ascii="Times New Roman" w:cs="Times New Roman" w:eastAsiaTheme="minorEastAsia"/>
          <w:color w:val="000000" w:themeColor="text1"/>
          <w:sz w:val="28"/>
          <w:lang w:val="en-US" w:eastAsia="zh-CN"/>
          <w14:textFill>
            <w14:solidFill>
              <w14:schemeClr w14:val="tx1"/>
            </w14:solidFill>
          </w14:textFill>
        </w:rPr>
        <w:t>上</w:t>
      </w:r>
      <w:r>
        <w:rPr>
          <w:rFonts w:hint="default" w:ascii="Times New Roman" w:hAnsi="Times New Roman" w:cs="Times New Roman" w:eastAsiaTheme="minorEastAsia"/>
          <w:color w:val="000000" w:themeColor="text1"/>
          <w:sz w:val="28"/>
          <w:lang w:val="en-US" w:eastAsia="zh-CN"/>
          <w14:textFill>
            <w14:solidFill>
              <w14:schemeClr w14:val="tx1"/>
            </w14:solidFill>
          </w14:textFill>
        </w:rPr>
        <w:t>部设置1个出入口，横向设置主道路通往生产区域</w:t>
      </w:r>
      <w:r>
        <w:rPr>
          <w:rFonts w:hint="eastAsia" w:ascii="Times New Roman" w:cs="Times New Roman" w:eastAsiaTheme="minorEastAsia"/>
          <w:color w:val="000000" w:themeColor="text1"/>
          <w:sz w:val="28"/>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8"/>
          <w:lang w:val="en-US" w:eastAsia="zh-CN"/>
          <w14:textFill>
            <w14:solidFill>
              <w14:schemeClr w14:val="tx1"/>
            </w14:solidFill>
          </w14:textFill>
        </w:rPr>
        <w:t>区域内的现有道路实现了整个厂区的贯通，厂内道路道宽约6米，为混凝土路面。</w:t>
      </w:r>
      <w:r>
        <w:rPr>
          <w:rFonts w:hint="eastAsia" w:ascii="Times New Roman" w:cs="Times New Roman" w:eastAsiaTheme="minorEastAsia"/>
          <w:color w:val="000000" w:themeColor="text1"/>
          <w:sz w:val="28"/>
          <w:lang w:val="en-US" w:eastAsia="zh-CN"/>
          <w14:textFill>
            <w14:solidFill>
              <w14:schemeClr w14:val="tx1"/>
            </w14:solidFill>
          </w14:textFill>
        </w:rPr>
        <w:t>成品运输使用人力手推车，分少量多次运输。</w:t>
      </w:r>
    </w:p>
    <w:p w14:paraId="71501FE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73" w:name="_Toc27078"/>
      <w:bookmarkStart w:id="174" w:name="_Toc12134"/>
      <w:bookmarkStart w:id="175" w:name="_Toc27231"/>
      <w:bookmarkStart w:id="176" w:name="_Toc3421"/>
      <w:bookmarkStart w:id="177" w:name="_Toc278151349"/>
      <w:bookmarkStart w:id="178" w:name="_Toc309682407"/>
      <w:bookmarkStart w:id="179" w:name="_Toc327017742"/>
      <w:bookmarkStart w:id="180" w:name="_Toc29783"/>
      <w:bookmarkStart w:id="181" w:name="_Toc335926148"/>
      <w:bookmarkStart w:id="182" w:name="_Toc27605"/>
      <w:bookmarkStart w:id="183" w:name="_Toc313453459"/>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eastAsia="黑体"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14:textFill>
            <w14:solidFill>
              <w14:schemeClr w14:val="tx1"/>
            </w14:solidFill>
          </w14:textFill>
        </w:rPr>
        <w:t>厂</w:t>
      </w:r>
      <w:bookmarkEnd w:id="173"/>
      <w:r>
        <w:rPr>
          <w:rFonts w:hint="default" w:ascii="Times New Roman" w:hAnsi="Times New Roman" w:eastAsia="黑体" w:cs="Times New Roman"/>
          <w:color w:val="000000" w:themeColor="text1"/>
          <w14:textFill>
            <w14:solidFill>
              <w14:schemeClr w14:val="tx1"/>
            </w14:solidFill>
          </w14:textFill>
        </w:rPr>
        <w:t>外运输</w:t>
      </w:r>
      <w:bookmarkEnd w:id="174"/>
      <w:bookmarkEnd w:id="175"/>
    </w:p>
    <w:p w14:paraId="0F0BB20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Times New Roman"/>
          <w:color w:val="000000" w:themeColor="text1"/>
          <w:sz w:val="28"/>
          <w:szCs w:val="28"/>
          <w:lang w:val="en-US" w:eastAsia="zh-CN"/>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厂外运输主要是原料的运输和产品的运输，以社会运输力量为主。</w:t>
      </w:r>
      <w:bookmarkEnd w:id="176"/>
    </w:p>
    <w:p w14:paraId="6BF28C48">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184" w:name="_Toc17188"/>
      <w:r>
        <w:rPr>
          <w:rFonts w:hint="default" w:ascii="Times New Roman" w:hAnsi="Times New Roman" w:eastAsia="楷体" w:cs="Times New Roman"/>
          <w:color w:val="000000" w:themeColor="text1"/>
          <w14:textFill>
            <w14:solidFill>
              <w14:schemeClr w14:val="tx1"/>
            </w14:solidFill>
          </w14:textFill>
        </w:rPr>
        <w:t>2.4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生产</w:t>
      </w:r>
      <w:bookmarkEnd w:id="177"/>
      <w:bookmarkEnd w:id="178"/>
      <w:bookmarkEnd w:id="179"/>
      <w:bookmarkEnd w:id="180"/>
      <w:bookmarkEnd w:id="181"/>
      <w:r>
        <w:rPr>
          <w:rFonts w:hint="default" w:ascii="Times New Roman" w:hAnsi="Times New Roman" w:eastAsia="楷体" w:cs="Times New Roman"/>
          <w:color w:val="000000" w:themeColor="text1"/>
          <w14:textFill>
            <w14:solidFill>
              <w14:schemeClr w14:val="tx1"/>
            </w14:solidFill>
          </w14:textFill>
        </w:rPr>
        <w:t>工艺</w:t>
      </w:r>
      <w:bookmarkEnd w:id="182"/>
      <w:bookmarkEnd w:id="184"/>
    </w:p>
    <w:bookmarkEnd w:id="183"/>
    <w:p w14:paraId="3A1C756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85" w:name="_Toc18735"/>
      <w:bookmarkStart w:id="186" w:name="_Toc17655"/>
      <w:r>
        <w:rPr>
          <w:rFonts w:hint="default" w:ascii="Times New Roman" w:hAnsi="Times New Roman" w:eastAsia="黑体" w:cs="Times New Roman"/>
          <w:color w:val="000000" w:themeColor="text1"/>
          <w14:textFill>
            <w14:solidFill>
              <w14:schemeClr w14:val="tx1"/>
            </w14:solidFill>
          </w14:textFill>
        </w:rPr>
        <w:t>2.4.1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生产规模及产品</w:t>
      </w:r>
      <w:bookmarkEnd w:id="185"/>
      <w:bookmarkEnd w:id="186"/>
    </w:p>
    <w:p w14:paraId="091D1CD4">
      <w:pPr>
        <w:pStyle w:val="327"/>
        <w:keepNext w:val="0"/>
        <w:keepLines w:val="0"/>
        <w:pageBreakBefore w:val="0"/>
        <w:widowControl w:val="0"/>
        <w:kinsoku/>
        <w:wordWrap/>
        <w:overflowPunct/>
        <w:topLinePunct w:val="0"/>
        <w:autoSpaceDE/>
        <w:autoSpaceDN/>
        <w:bidi w:val="0"/>
        <w:adjustRightInd/>
        <w:snapToGrid/>
        <w:spacing w:after="0" w:line="520" w:lineRule="exact"/>
        <w:ind w:firstLine="560" w:firstLineChars="200"/>
        <w:jc w:val="both"/>
        <w:textAlignment w:val="baseline"/>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产品：</w:t>
      </w:r>
      <w:r>
        <w:rPr>
          <w:rFonts w:hint="eastAsia" w:cs="Times New Roman" w:eastAsiaTheme="minorEastAsia"/>
          <w:color w:val="000000" w:themeColor="text1"/>
          <w:sz w:val="28"/>
          <w:szCs w:val="28"/>
          <w:lang w:val="en-US" w:eastAsia="zh-CN"/>
          <w14:textFill>
            <w14:solidFill>
              <w14:schemeClr w14:val="tx1"/>
            </w14:solidFill>
          </w14:textFill>
        </w:rPr>
        <w:t>洗涤用品</w:t>
      </w:r>
    </w:p>
    <w:p w14:paraId="3E985D6F">
      <w:pPr>
        <w:pStyle w:val="327"/>
        <w:keepNext w:val="0"/>
        <w:keepLines w:val="0"/>
        <w:pageBreakBefore w:val="0"/>
        <w:widowControl w:val="0"/>
        <w:kinsoku/>
        <w:wordWrap/>
        <w:overflowPunct/>
        <w:topLinePunct w:val="0"/>
        <w:autoSpaceDE/>
        <w:autoSpaceDN/>
        <w:bidi w:val="0"/>
        <w:adjustRightInd/>
        <w:snapToGrid/>
        <w:spacing w:after="0" w:line="520" w:lineRule="exact"/>
        <w:ind w:firstLine="560" w:firstLineChars="200"/>
        <w:jc w:val="both"/>
        <w:textAlignment w:val="baseline"/>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生产规模：</w:t>
      </w:r>
      <w:r>
        <w:rPr>
          <w:rFonts w:hint="default" w:ascii="Times New Roman" w:hAnsi="Times New Roman" w:cs="Times New Roman" w:eastAsiaTheme="minorEastAsia"/>
          <w:color w:val="000000" w:themeColor="text1"/>
          <w:sz w:val="28"/>
          <w:szCs w:val="28"/>
          <w14:textFill>
            <w14:solidFill>
              <w14:schemeClr w14:val="tx1"/>
            </w14:solidFill>
          </w14:textFill>
        </w:rPr>
        <w:t>年产</w:t>
      </w:r>
      <w:r>
        <w:rPr>
          <w:rFonts w:hint="eastAsia" w:cs="Times New Roman" w:eastAsiaTheme="minorEastAsia"/>
          <w:color w:val="000000" w:themeColor="text1"/>
          <w:sz w:val="28"/>
          <w:szCs w:val="28"/>
          <w:lang w:val="en-US" w:eastAsia="zh-CN"/>
          <w14:textFill>
            <w14:solidFill>
              <w14:schemeClr w14:val="tx1"/>
            </w14:solidFill>
          </w14:textFill>
        </w:rPr>
        <w:t>3万吨洗涤用品</w:t>
      </w:r>
      <w:r>
        <w:rPr>
          <w:rFonts w:hint="default" w:ascii="Times New Roman" w:hAnsi="Times New Roman" w:cs="Times New Roman" w:eastAsiaTheme="minorEastAsia"/>
          <w:color w:val="000000" w:themeColor="text1"/>
          <w:sz w:val="28"/>
          <w:szCs w:val="28"/>
          <w14:textFill>
            <w14:solidFill>
              <w14:schemeClr w14:val="tx1"/>
            </w14:solidFill>
          </w14:textFill>
        </w:rPr>
        <w:t>。</w:t>
      </w:r>
    </w:p>
    <w:p w14:paraId="72A65C85">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87" w:name="_Toc17773"/>
      <w:bookmarkStart w:id="188" w:name="_Toc6088"/>
      <w:r>
        <w:rPr>
          <w:rFonts w:hint="default" w:ascii="Times New Roman" w:hAnsi="Times New Roman" w:eastAsia="黑体" w:cs="Times New Roman"/>
          <w:color w:val="000000" w:themeColor="text1"/>
          <w14:textFill>
            <w14:solidFill>
              <w14:schemeClr w14:val="tx1"/>
            </w14:solidFill>
          </w14:textFill>
        </w:rPr>
        <w:t>2.4.2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主要原辅料及能耗</w:t>
      </w:r>
      <w:bookmarkEnd w:id="187"/>
      <w:bookmarkEnd w:id="188"/>
    </w:p>
    <w:p w14:paraId="007DB367">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使用的原辅料及产品情况</w:t>
      </w:r>
      <w:r>
        <w:rPr>
          <w:rFonts w:hint="eastAsia" w:ascii="宋体" w:hAnsi="宋体" w:eastAsia="宋体" w:cs="宋体"/>
          <w:color w:val="000000" w:themeColor="text1"/>
          <w:spacing w:val="-8"/>
          <w:sz w:val="28"/>
          <w:szCs w:val="28"/>
          <w14:textFill>
            <w14:solidFill>
              <w14:schemeClr w14:val="tx1"/>
            </w14:solidFill>
          </w14:textFill>
        </w:rPr>
        <w:t>详见表2-1。</w:t>
      </w:r>
    </w:p>
    <w:p w14:paraId="3F190630">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spacing w:val="-8"/>
          <w14:textFill>
            <w14:solidFill>
              <w14:schemeClr w14:val="tx1"/>
            </w14:solidFill>
          </w14:textFill>
        </w:rPr>
      </w:pPr>
      <w:r>
        <w:rPr>
          <w:rFonts w:hint="eastAsia" w:ascii="宋体" w:hAnsi="宋体" w:eastAsia="宋体" w:cs="宋体"/>
          <w:b/>
          <w:bCs/>
          <w:color w:val="000000" w:themeColor="text1"/>
          <w:spacing w:val="-8"/>
          <w14:textFill>
            <w14:solidFill>
              <w14:schemeClr w14:val="tx1"/>
            </w14:solidFill>
          </w14:textFill>
        </w:rPr>
        <w:t>表2-1   主要</w:t>
      </w:r>
      <w:r>
        <w:rPr>
          <w:rFonts w:hint="eastAsia" w:ascii="宋体" w:hAnsi="宋体" w:eastAsia="宋体" w:cs="宋体"/>
          <w:b/>
          <w:bCs/>
          <w:color w:val="000000" w:themeColor="text1"/>
          <w:spacing w:val="-8"/>
          <w:lang w:val="en-US" w:eastAsia="zh-CN"/>
          <w14:textFill>
            <w14:solidFill>
              <w14:schemeClr w14:val="tx1"/>
            </w14:solidFill>
          </w14:textFill>
        </w:rPr>
        <w:t>生产</w:t>
      </w:r>
      <w:r>
        <w:rPr>
          <w:rFonts w:hint="eastAsia" w:ascii="宋体" w:hAnsi="宋体" w:eastAsia="宋体" w:cs="宋体"/>
          <w:b/>
          <w:bCs/>
          <w:color w:val="000000" w:themeColor="text1"/>
          <w:spacing w:val="-8"/>
          <w14:textFill>
            <w14:solidFill>
              <w14:schemeClr w14:val="tx1"/>
            </w14:solidFill>
          </w14:textFill>
        </w:rPr>
        <w:t>原辅料</w:t>
      </w:r>
      <w:r>
        <w:rPr>
          <w:rFonts w:hint="eastAsia" w:ascii="宋体" w:hAnsi="宋体" w:eastAsia="宋体" w:cs="宋体"/>
          <w:b/>
          <w:bCs/>
          <w:color w:val="000000" w:themeColor="text1"/>
          <w:spacing w:val="-8"/>
          <w:lang w:eastAsia="zh-CN"/>
          <w14:textFill>
            <w14:solidFill>
              <w14:schemeClr w14:val="tx1"/>
            </w14:solidFill>
          </w14:textFill>
        </w:rPr>
        <w:t>消耗表</w:t>
      </w:r>
    </w:p>
    <w:tbl>
      <w:tblPr>
        <w:tblStyle w:val="52"/>
        <w:tblW w:w="504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488"/>
        <w:gridCol w:w="908"/>
        <w:gridCol w:w="2543"/>
        <w:gridCol w:w="1441"/>
        <w:gridCol w:w="1300"/>
        <w:gridCol w:w="1703"/>
      </w:tblGrid>
      <w:tr w14:paraId="76037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4183D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b/>
                <w:bCs/>
                <w:color w:val="000000"/>
                <w:sz w:val="21"/>
                <w:szCs w:val="21"/>
              </w:rPr>
            </w:pPr>
            <w:bookmarkStart w:id="189" w:name="_Toc313453465"/>
            <w:bookmarkStart w:id="190" w:name="_Toc24061"/>
            <w:bookmarkStart w:id="191" w:name="_Toc335926151"/>
            <w:bookmarkStart w:id="192" w:name="_Toc32361"/>
            <w:r>
              <w:rPr>
                <w:rFonts w:ascii="宋体" w:hAnsi="宋体"/>
                <w:b/>
                <w:bCs/>
                <w:color w:val="000000"/>
                <w:sz w:val="21"/>
                <w:szCs w:val="21"/>
              </w:rPr>
              <w:t>序号</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27C84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b/>
                <w:bCs/>
                <w:color w:val="000000"/>
                <w:sz w:val="21"/>
                <w:szCs w:val="21"/>
              </w:rPr>
            </w:pPr>
            <w:r>
              <w:rPr>
                <w:rFonts w:hint="eastAsia" w:ascii="宋体" w:hAnsi="宋体"/>
                <w:b/>
                <w:bCs/>
                <w:color w:val="000000"/>
                <w:sz w:val="21"/>
                <w:szCs w:val="21"/>
              </w:rPr>
              <w:t>使用单元</w:t>
            </w:r>
          </w:p>
        </w:tc>
        <w:tc>
          <w:tcPr>
            <w:tcW w:w="1516" w:type="pct"/>
            <w:tcBorders>
              <w:top w:val="single" w:color="auto" w:sz="4" w:space="0"/>
              <w:left w:val="single" w:color="auto" w:sz="4" w:space="0"/>
              <w:bottom w:val="single" w:color="auto" w:sz="4" w:space="0"/>
              <w:right w:val="single" w:color="auto" w:sz="4" w:space="0"/>
            </w:tcBorders>
            <w:noWrap w:val="0"/>
            <w:vAlign w:val="center"/>
          </w:tcPr>
          <w:p w14:paraId="1C61C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b/>
                <w:bCs/>
                <w:color w:val="000000"/>
                <w:sz w:val="21"/>
                <w:szCs w:val="21"/>
              </w:rPr>
            </w:pPr>
            <w:r>
              <w:rPr>
                <w:rFonts w:ascii="宋体" w:hAnsi="宋体"/>
                <w:b/>
                <w:bCs/>
                <w:color w:val="000000"/>
                <w:sz w:val="21"/>
                <w:szCs w:val="21"/>
              </w:rPr>
              <w:t>名称</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35200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b/>
                <w:bCs/>
                <w:color w:val="000000"/>
                <w:sz w:val="21"/>
                <w:szCs w:val="21"/>
              </w:rPr>
            </w:pPr>
            <w:r>
              <w:rPr>
                <w:rFonts w:hint="eastAsia" w:ascii="宋体" w:hAnsi="宋体"/>
                <w:b/>
                <w:bCs/>
                <w:color w:val="000000"/>
                <w:sz w:val="21"/>
                <w:szCs w:val="21"/>
              </w:rPr>
              <w:t>年用量</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58B4B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b/>
                <w:bCs/>
                <w:color w:val="000000"/>
                <w:sz w:val="21"/>
                <w:szCs w:val="21"/>
              </w:rPr>
            </w:pPr>
            <w:r>
              <w:rPr>
                <w:rFonts w:hint="eastAsia" w:ascii="宋体" w:hAnsi="宋体"/>
                <w:b/>
                <w:bCs/>
                <w:color w:val="000000"/>
                <w:sz w:val="21"/>
                <w:szCs w:val="21"/>
              </w:rPr>
              <w:t>最大储存量</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60997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b/>
                <w:bCs/>
                <w:color w:val="000000"/>
                <w:sz w:val="21"/>
                <w:szCs w:val="21"/>
              </w:rPr>
            </w:pPr>
            <w:r>
              <w:rPr>
                <w:rFonts w:hint="eastAsia" w:ascii="宋体" w:hAnsi="宋体"/>
                <w:b/>
                <w:bCs/>
                <w:color w:val="000000"/>
                <w:sz w:val="21"/>
                <w:szCs w:val="21"/>
              </w:rPr>
              <w:t>备注</w:t>
            </w:r>
          </w:p>
        </w:tc>
      </w:tr>
      <w:tr w14:paraId="3EF0D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2E1C0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1</w:t>
            </w:r>
          </w:p>
        </w:tc>
        <w:tc>
          <w:tcPr>
            <w:tcW w:w="541" w:type="pct"/>
            <w:vMerge w:val="restart"/>
            <w:tcBorders>
              <w:top w:val="single" w:color="auto" w:sz="4" w:space="0"/>
              <w:left w:val="single" w:color="auto" w:sz="4" w:space="0"/>
              <w:right w:val="single" w:color="auto" w:sz="4" w:space="0"/>
            </w:tcBorders>
            <w:noWrap w:val="0"/>
            <w:vAlign w:val="center"/>
          </w:tcPr>
          <w:p w14:paraId="3F9AF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生产车间</w:t>
            </w:r>
          </w:p>
        </w:tc>
        <w:tc>
          <w:tcPr>
            <w:tcW w:w="1516" w:type="pct"/>
            <w:tcBorders>
              <w:top w:val="single" w:color="auto" w:sz="4" w:space="0"/>
              <w:left w:val="single" w:color="auto" w:sz="4" w:space="0"/>
              <w:bottom w:val="single" w:color="auto" w:sz="4" w:space="0"/>
              <w:right w:val="single" w:color="auto" w:sz="4" w:space="0"/>
            </w:tcBorders>
            <w:noWrap w:val="0"/>
            <w:vAlign w:val="center"/>
          </w:tcPr>
          <w:p w14:paraId="66EA3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去离子水</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3BD94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lang w:val="en-US" w:eastAsia="zh-CN"/>
              </w:rPr>
              <w:t>260</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3B708D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rPr>
              <w:t>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624EC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自行制备</w:t>
            </w:r>
          </w:p>
        </w:tc>
      </w:tr>
      <w:tr w14:paraId="3D70D9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588D2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2</w:t>
            </w:r>
          </w:p>
        </w:tc>
        <w:tc>
          <w:tcPr>
            <w:tcW w:w="541" w:type="pct"/>
            <w:vMerge w:val="continue"/>
            <w:tcBorders>
              <w:left w:val="single" w:color="auto" w:sz="4" w:space="0"/>
              <w:right w:val="single" w:color="auto" w:sz="4" w:space="0"/>
            </w:tcBorders>
            <w:noWrap w:val="0"/>
            <w:vAlign w:val="center"/>
          </w:tcPr>
          <w:p w14:paraId="692A7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44428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AES(乙氧基化烷基硫酸钠）</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1D889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lang w:val="en-US" w:eastAsia="zh-CN"/>
              </w:rPr>
              <w:t>25.2</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7C27F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olor w:val="000000"/>
                <w:sz w:val="21"/>
                <w:szCs w:val="21"/>
                <w:lang w:val="en-US"/>
              </w:rPr>
            </w:pPr>
            <w:r>
              <w:rPr>
                <w:rFonts w:hint="eastAsia" w:ascii="宋体" w:hAnsi="宋体"/>
                <w:color w:val="000000"/>
                <w:sz w:val="21"/>
                <w:szCs w:val="21"/>
                <w:lang w:val="en-US" w:eastAsia="zh-CN"/>
              </w:rPr>
              <w:t>3.6吨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13C15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外购</w:t>
            </w:r>
          </w:p>
        </w:tc>
      </w:tr>
      <w:tr w14:paraId="48070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5F48F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3</w:t>
            </w:r>
          </w:p>
        </w:tc>
        <w:tc>
          <w:tcPr>
            <w:tcW w:w="541" w:type="pct"/>
            <w:vMerge w:val="continue"/>
            <w:tcBorders>
              <w:left w:val="single" w:color="auto" w:sz="4" w:space="0"/>
              <w:right w:val="single" w:color="auto" w:sz="4" w:space="0"/>
            </w:tcBorders>
            <w:noWrap w:val="0"/>
            <w:vAlign w:val="center"/>
          </w:tcPr>
          <w:p w14:paraId="29559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3E589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6501</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6B3BA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lang w:val="en-US" w:eastAsia="zh-CN"/>
              </w:rPr>
              <w:t>18</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0F641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0吨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1E7F80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外购</w:t>
            </w:r>
          </w:p>
        </w:tc>
      </w:tr>
      <w:tr w14:paraId="20E9D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571BB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4</w:t>
            </w:r>
          </w:p>
        </w:tc>
        <w:tc>
          <w:tcPr>
            <w:tcW w:w="541" w:type="pct"/>
            <w:vMerge w:val="continue"/>
            <w:tcBorders>
              <w:left w:val="single" w:color="auto" w:sz="4" w:space="0"/>
              <w:right w:val="single" w:color="auto" w:sz="4" w:space="0"/>
            </w:tcBorders>
            <w:noWrap w:val="0"/>
            <w:vAlign w:val="center"/>
          </w:tcPr>
          <w:p w14:paraId="46C26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26270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增稠剂</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63C029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lang w:val="en-US" w:eastAsia="zh-CN"/>
              </w:rPr>
              <w:t>4.2</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B903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2.5吨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45A34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rPr>
              <w:t>外购</w:t>
            </w:r>
          </w:p>
        </w:tc>
      </w:tr>
      <w:tr w14:paraId="2780E7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3B760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5</w:t>
            </w:r>
          </w:p>
        </w:tc>
        <w:tc>
          <w:tcPr>
            <w:tcW w:w="541" w:type="pct"/>
            <w:vMerge w:val="continue"/>
            <w:tcBorders>
              <w:left w:val="single" w:color="auto" w:sz="4" w:space="0"/>
              <w:right w:val="single" w:color="auto" w:sz="4" w:space="0"/>
            </w:tcBorders>
            <w:noWrap w:val="0"/>
            <w:vAlign w:val="center"/>
          </w:tcPr>
          <w:p w14:paraId="18653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5509F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香精</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5DD7A9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0.3</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2AF5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0.1吨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1EDDB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rPr>
              <w:t>外购</w:t>
            </w:r>
          </w:p>
        </w:tc>
      </w:tr>
      <w:tr w14:paraId="1CFD9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2E2DA0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6</w:t>
            </w:r>
          </w:p>
        </w:tc>
        <w:tc>
          <w:tcPr>
            <w:tcW w:w="541" w:type="pct"/>
            <w:vMerge w:val="continue"/>
            <w:tcBorders>
              <w:left w:val="single" w:color="auto" w:sz="4" w:space="0"/>
              <w:right w:val="single" w:color="auto" w:sz="4" w:space="0"/>
            </w:tcBorders>
            <w:noWrap w:val="0"/>
            <w:vAlign w:val="center"/>
          </w:tcPr>
          <w:p w14:paraId="18B40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7FF91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kern w:val="0"/>
                <w:sz w:val="21"/>
                <w:szCs w:val="21"/>
                <w:lang w:eastAsia="zh-CN"/>
              </w:rPr>
            </w:pPr>
            <w:r>
              <w:rPr>
                <w:rFonts w:hint="eastAsia" w:ascii="宋体" w:hAnsi="宋体"/>
                <w:color w:val="000000"/>
                <w:kern w:val="0"/>
                <w:sz w:val="21"/>
                <w:szCs w:val="21"/>
                <w:lang w:val="en-US" w:eastAsia="zh-CN"/>
              </w:rPr>
              <w:t>片碱</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0BE4F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kern w:val="0"/>
                <w:sz w:val="21"/>
                <w:szCs w:val="21"/>
              </w:rPr>
            </w:pPr>
            <w:r>
              <w:rPr>
                <w:rFonts w:hint="eastAsia" w:ascii="宋体" w:hAnsi="宋体"/>
                <w:color w:val="000000"/>
                <w:kern w:val="0"/>
                <w:sz w:val="21"/>
                <w:szCs w:val="21"/>
                <w:lang w:val="en-US" w:eastAsia="zh-CN"/>
              </w:rPr>
              <w:t>0.6</w:t>
            </w:r>
            <w:r>
              <w:rPr>
                <w:rFonts w:hint="eastAsia" w:ascii="宋体" w:hAnsi="宋体"/>
                <w:color w:val="000000"/>
                <w:kern w:val="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00D93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0.1吨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6C14C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rPr>
              <w:t>外购</w:t>
            </w:r>
          </w:p>
        </w:tc>
      </w:tr>
      <w:tr w14:paraId="01E47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blHeader/>
          <w:jc w:val="center"/>
        </w:trPr>
        <w:tc>
          <w:tcPr>
            <w:tcW w:w="291" w:type="pct"/>
            <w:tcBorders>
              <w:top w:val="single" w:color="auto" w:sz="4" w:space="0"/>
              <w:left w:val="single" w:color="auto" w:sz="4" w:space="0"/>
              <w:bottom w:val="single" w:color="auto" w:sz="4" w:space="0"/>
              <w:right w:val="single" w:color="auto" w:sz="4" w:space="0"/>
            </w:tcBorders>
            <w:noWrap w:val="0"/>
            <w:vAlign w:val="center"/>
          </w:tcPr>
          <w:p w14:paraId="3E17B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sz w:val="21"/>
                <w:szCs w:val="21"/>
              </w:rPr>
            </w:pPr>
            <w:r>
              <w:rPr>
                <w:rFonts w:hint="eastAsia" w:ascii="宋体" w:hAnsi="宋体"/>
                <w:color w:val="000000"/>
                <w:sz w:val="21"/>
                <w:szCs w:val="21"/>
              </w:rPr>
              <w:t>7</w:t>
            </w:r>
          </w:p>
        </w:tc>
        <w:tc>
          <w:tcPr>
            <w:tcW w:w="541" w:type="pct"/>
            <w:vMerge w:val="continue"/>
            <w:tcBorders>
              <w:left w:val="single" w:color="auto" w:sz="4" w:space="0"/>
              <w:right w:val="single" w:color="auto" w:sz="4" w:space="0"/>
            </w:tcBorders>
            <w:noWrap w:val="0"/>
            <w:vAlign w:val="center"/>
          </w:tcPr>
          <w:p w14:paraId="726EF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宋体" w:hAnsi="宋体"/>
                <w:color w:val="000000"/>
                <w:kern w:val="0"/>
                <w:sz w:val="21"/>
                <w:szCs w:val="21"/>
              </w:rPr>
            </w:pPr>
          </w:p>
        </w:tc>
        <w:tc>
          <w:tcPr>
            <w:tcW w:w="1516" w:type="pct"/>
            <w:tcBorders>
              <w:top w:val="single" w:color="auto" w:sz="4" w:space="0"/>
              <w:left w:val="single" w:color="auto" w:sz="4" w:space="0"/>
              <w:bottom w:val="single" w:color="auto" w:sz="4" w:space="0"/>
              <w:right w:val="single" w:color="auto" w:sz="4" w:space="0"/>
            </w:tcBorders>
            <w:noWrap w:val="0"/>
            <w:vAlign w:val="center"/>
          </w:tcPr>
          <w:p w14:paraId="1972D7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olor w:val="000000"/>
                <w:kern w:val="0"/>
                <w:sz w:val="21"/>
                <w:szCs w:val="21"/>
                <w:lang w:val="en-US" w:eastAsia="zh-CN"/>
              </w:rPr>
            </w:pPr>
            <w:r>
              <w:rPr>
                <w:rFonts w:hint="eastAsia" w:ascii="宋体" w:hAnsi="宋体"/>
                <w:color w:val="000000"/>
                <w:kern w:val="0"/>
                <w:sz w:val="21"/>
                <w:szCs w:val="21"/>
                <w:lang w:val="en-US" w:eastAsia="zh-CN"/>
              </w:rPr>
              <w:t>防腐剂</w:t>
            </w:r>
          </w:p>
        </w:tc>
        <w:tc>
          <w:tcPr>
            <w:tcW w:w="859" w:type="pct"/>
            <w:tcBorders>
              <w:top w:val="single" w:color="auto" w:sz="4" w:space="0"/>
              <w:left w:val="single" w:color="auto" w:sz="4" w:space="0"/>
              <w:bottom w:val="single" w:color="auto" w:sz="4" w:space="0"/>
              <w:right w:val="single" w:color="auto" w:sz="4" w:space="0"/>
            </w:tcBorders>
            <w:noWrap w:val="0"/>
            <w:vAlign w:val="center"/>
          </w:tcPr>
          <w:p w14:paraId="2EB291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lang w:val="en-US" w:eastAsia="zh-CN"/>
              </w:rPr>
              <w:t>0.4</w:t>
            </w:r>
            <w:r>
              <w:rPr>
                <w:rFonts w:hint="eastAsia" w:ascii="宋体" w:hAnsi="宋体"/>
                <w:color w:val="000000"/>
                <w:sz w:val="21"/>
                <w:szCs w:val="21"/>
              </w:rPr>
              <w:t>吨/年</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57E1F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0.3吨</w:t>
            </w:r>
          </w:p>
        </w:tc>
        <w:tc>
          <w:tcPr>
            <w:tcW w:w="1015" w:type="pct"/>
            <w:tcBorders>
              <w:top w:val="single" w:color="auto" w:sz="4" w:space="0"/>
              <w:left w:val="single" w:color="auto" w:sz="4" w:space="0"/>
              <w:bottom w:val="single" w:color="auto" w:sz="4" w:space="0"/>
              <w:right w:val="single" w:color="auto" w:sz="4" w:space="0"/>
            </w:tcBorders>
            <w:noWrap w:val="0"/>
            <w:vAlign w:val="center"/>
          </w:tcPr>
          <w:p w14:paraId="3FDCC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hint="eastAsia" w:ascii="宋体" w:hAnsi="宋体"/>
                <w:color w:val="000000"/>
                <w:sz w:val="21"/>
                <w:szCs w:val="21"/>
              </w:rPr>
              <w:t>外购</w:t>
            </w:r>
          </w:p>
        </w:tc>
      </w:tr>
    </w:tbl>
    <w:p w14:paraId="00227AA4">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color w:val="000000" w:themeColor="text1"/>
          <w:sz w:val="28"/>
          <w:szCs w:val="28"/>
          <w14:textFill>
            <w14:solidFill>
              <w14:schemeClr w14:val="tx1"/>
            </w14:solidFill>
          </w14:textFill>
        </w:rPr>
      </w:pPr>
      <w:bookmarkStart w:id="193" w:name="_Toc30052"/>
      <w:r>
        <w:rPr>
          <w:rFonts w:hint="default" w:ascii="Times New Roman" w:hAnsi="Times New Roman" w:eastAsia="黑体" w:cs="Times New Roman"/>
          <w:color w:val="000000" w:themeColor="text1"/>
          <w14:textFill>
            <w14:solidFill>
              <w14:schemeClr w14:val="tx1"/>
            </w14:solidFill>
          </w14:textFill>
        </w:rPr>
        <w:t>2.4.3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生产工艺</w:t>
      </w:r>
      <w:bookmarkEnd w:id="189"/>
      <w:r>
        <w:rPr>
          <w:rFonts w:hint="default" w:ascii="Times New Roman" w:hAnsi="Times New Roman" w:eastAsia="黑体" w:cs="Times New Roman"/>
          <w:color w:val="000000" w:themeColor="text1"/>
          <w14:textFill>
            <w14:solidFill>
              <w14:schemeClr w14:val="tx1"/>
            </w14:solidFill>
          </w14:textFill>
        </w:rPr>
        <w:t>简述</w:t>
      </w:r>
      <w:bookmarkEnd w:id="190"/>
      <w:bookmarkEnd w:id="191"/>
      <w:bookmarkEnd w:id="192"/>
      <w:bookmarkEnd w:id="193"/>
    </w:p>
    <w:p w14:paraId="235ABAF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本项目为年产3万吨洗涤用品项目，主要生产工艺流程如下：</w:t>
      </w:r>
    </w:p>
    <w:p w14:paraId="3A3995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1、配料</w:t>
      </w:r>
    </w:p>
    <w:p w14:paraId="29B2225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用去离子水约15177.6t/a，比重约占68%；AES(乙氧基化烷基硫酸钠）约4538.4t/a，比重约占20%；6501(椰子油二乙醇酰胺)约2423.95t/a，比重约占10%；磺酸约121.64t/a，比重约占0.6%；片碱(NaOH)约21.2t/a，比重约占0.1%；香精及营养物质(如甘油等)各约 22.32t/a，比重占0.1%，其他微量原料，比重约占1.1%自行制备去离子水。</w:t>
      </w:r>
    </w:p>
    <w:p w14:paraId="3458D21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2、抽真空</w:t>
      </w:r>
    </w:p>
    <w:p w14:paraId="178FBD2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当各种原料及香精进入复合式搅拌均质机反应釜后，对搅拌均质机进行抽真空，以避免部分原料被空气氧化，改变产品性能。</w:t>
      </w:r>
    </w:p>
    <w:p w14:paraId="31F131C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3、高剪切均质、反应</w:t>
      </w:r>
    </w:p>
    <w:p w14:paraId="6A1EB31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抽真空结束后，高剪切泵对原料进行剪切均质，各种原料在此过程中发生反应及均匀混合。</w:t>
      </w:r>
    </w:p>
    <w:p w14:paraId="0CF139F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反应主要为物理搅拌混合，化学反应为磺酸与片碱的中和反应: NaOH+R-C6H4-S03H→R-C6H4-S03Na+H2O↑</w:t>
      </w:r>
    </w:p>
    <w:p w14:paraId="360BD6B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其他原料之间不发生化学反应，仅为物理搅拌混合。</w:t>
      </w:r>
    </w:p>
    <w:p w14:paraId="39761E5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4、复合式搅拌、均质</w:t>
      </w:r>
    </w:p>
    <w:p w14:paraId="710A49B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反应釜中的原料充分反应后，复合式搅拌均质机对其产物进行充分搅拌、均质。</w:t>
      </w:r>
    </w:p>
    <w:p w14:paraId="670F9DC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bookmarkStart w:id="194" w:name="_Toc13832"/>
      <w:r>
        <w:rPr>
          <w:rFonts w:hint="eastAsia" w:ascii="Times New Roman" w:hAnsi="Times New Roman" w:cs="Times New Roman" w:eastAsiaTheme="minorEastAsia"/>
          <w:color w:val="000000" w:themeColor="text1"/>
          <w:sz w:val="28"/>
          <w:lang w:val="en-US" w:eastAsia="zh-CN"/>
          <w14:textFill>
            <w14:solidFill>
              <w14:schemeClr w14:val="tx1"/>
            </w14:solidFill>
          </w14:textFill>
        </w:rPr>
        <w:t>5、静态混合</w:t>
      </w:r>
    </w:p>
    <w:p w14:paraId="4B6C862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复合式搅拌、均质完成后，产物进入静态混合器静态混合。</w:t>
      </w:r>
    </w:p>
    <w:p w14:paraId="2B7E4E1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6、出料、包装。</w:t>
      </w:r>
      <w:bookmarkEnd w:id="194"/>
    </w:p>
    <w:p w14:paraId="2E46F81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hAnsi="Times New Roman" w:cs="Times New Roman" w:eastAsiaTheme="minorEastAsia"/>
          <w:color w:val="000000" w:themeColor="text1"/>
          <w:sz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8"/>
          <w:lang w:val="en-US" w:eastAsia="zh-CN"/>
          <w14:textFill>
            <w14:solidFill>
              <w14:schemeClr w14:val="tx1"/>
            </w14:solidFill>
          </w14:textFill>
        </w:rPr>
        <w:t>静态混合结束，已形成成品，成品由静态混合器进入成品罐贮存，最后进入包装机包装出售。</w:t>
      </w:r>
    </w:p>
    <w:p w14:paraId="678F9EB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工艺流程如图2-4。</w:t>
      </w:r>
    </w:p>
    <w:p w14:paraId="07D52558">
      <w:pPr>
        <w:pStyle w:val="10"/>
        <w:bidi w:val="0"/>
        <w:ind w:firstLine="0" w:firstLineChars="0"/>
        <w:rPr>
          <w:color w:val="000000" w:themeColor="text1"/>
          <w:sz w:val="21"/>
          <w14:textFill>
            <w14:solidFill>
              <w14:schemeClr w14:val="tx1"/>
            </w14:solidFill>
          </w14:textFill>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123825</wp:posOffset>
            </wp:positionH>
            <wp:positionV relativeFrom="paragraph">
              <wp:posOffset>24130</wp:posOffset>
            </wp:positionV>
            <wp:extent cx="4888865" cy="4231005"/>
            <wp:effectExtent l="0" t="0" r="3175" b="5715"/>
            <wp:wrapTopAndBottom/>
            <wp:docPr id="56" name="F360BE8B-6686-4F3D-AEAF-501FE73E4058-2" descr="洁灵娜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60BE8B-6686-4F3D-AEAF-501FE73E4058-2" descr="洁灵娜工艺流程图"/>
                    <pic:cNvPicPr>
                      <a:picLocks noChangeAspect="1"/>
                    </pic:cNvPicPr>
                  </pic:nvPicPr>
                  <pic:blipFill>
                    <a:blip r:embed="rId16"/>
                    <a:stretch>
                      <a:fillRect/>
                    </a:stretch>
                  </pic:blipFill>
                  <pic:spPr>
                    <a:xfrm>
                      <a:off x="0" y="0"/>
                      <a:ext cx="4888865" cy="4231005"/>
                    </a:xfrm>
                    <a:prstGeom prst="rect">
                      <a:avLst/>
                    </a:prstGeom>
                  </pic:spPr>
                </pic:pic>
              </a:graphicData>
            </a:graphic>
          </wp:anchor>
        </w:drawing>
      </w:r>
    </w:p>
    <w:p w14:paraId="53224C4C">
      <w:pPr>
        <w:pStyle w:val="10"/>
        <w:bidi w:val="0"/>
        <w:ind w:firstLine="0" w:firstLineChars="0"/>
        <w:rPr>
          <w:color w:val="000000" w:themeColor="text1"/>
          <w:sz w:val="21"/>
          <w14:textFill>
            <w14:solidFill>
              <w14:schemeClr w14:val="tx1"/>
            </w14:solidFill>
          </w14:textFill>
        </w:rPr>
      </w:pPr>
    </w:p>
    <w:p w14:paraId="56746559">
      <w:pPr>
        <w:pStyle w:val="10"/>
        <w:bidi w:val="0"/>
        <w:ind w:firstLine="0" w:firstLineChars="0"/>
        <w:jc w:val="center"/>
        <w:rPr>
          <w:color w:val="000000" w:themeColor="text1"/>
          <w:sz w:val="21"/>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图2-4</w:t>
      </w:r>
      <w:r>
        <w:rPr>
          <w:rFonts w:hint="eastAsia"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工艺流程</w:t>
      </w:r>
    </w:p>
    <w:p w14:paraId="3F4F7F1B">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195" w:name="_Toc11429"/>
      <w:bookmarkStart w:id="196" w:name="_Toc313453470"/>
      <w:bookmarkStart w:id="197" w:name="_Toc335926158"/>
      <w:bookmarkStart w:id="198" w:name="_Toc27943"/>
      <w:bookmarkStart w:id="199" w:name="_Toc32149"/>
      <w:r>
        <w:rPr>
          <w:rFonts w:hint="default" w:ascii="Times New Roman" w:hAnsi="Times New Roman" w:eastAsia="黑体" w:cs="Times New Roman"/>
          <w:color w:val="000000" w:themeColor="text1"/>
          <w14:textFill>
            <w14:solidFill>
              <w14:schemeClr w14:val="tx1"/>
            </w14:solidFill>
          </w14:textFill>
        </w:rPr>
        <w:t>2.4.4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主要</w:t>
      </w:r>
      <w:bookmarkEnd w:id="195"/>
      <w:bookmarkEnd w:id="196"/>
      <w:bookmarkEnd w:id="197"/>
      <w:bookmarkStart w:id="200" w:name="_Toc4278"/>
      <w:bookmarkStart w:id="201" w:name="_Toc14194"/>
      <w:bookmarkStart w:id="202" w:name="_Toc335926168"/>
      <w:bookmarkStart w:id="203" w:name="_Toc313453474"/>
      <w:r>
        <w:rPr>
          <w:rFonts w:hint="default" w:ascii="Times New Roman" w:hAnsi="Times New Roman" w:eastAsia="黑体" w:cs="Times New Roman"/>
          <w:color w:val="000000" w:themeColor="text1"/>
          <w14:textFill>
            <w14:solidFill>
              <w14:schemeClr w14:val="tx1"/>
            </w14:solidFill>
          </w14:textFill>
        </w:rPr>
        <w:t>生产设备</w:t>
      </w:r>
      <w:bookmarkEnd w:id="198"/>
      <w:bookmarkEnd w:id="199"/>
    </w:p>
    <w:p w14:paraId="32DB649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该项目生产系统</w:t>
      </w:r>
      <w:r>
        <w:rPr>
          <w:rFonts w:hint="eastAsia" w:ascii="Times New Roman" w:cs="Times New Roman"/>
          <w:color w:val="000000" w:themeColor="text1"/>
          <w:sz w:val="28"/>
          <w:szCs w:val="28"/>
          <w:lang w:val="en-US" w:eastAsia="zh-CN"/>
          <w14:textFill>
            <w14:solidFill>
              <w14:schemeClr w14:val="tx1"/>
            </w14:solidFill>
          </w14:textFill>
        </w:rPr>
        <w:t>中</w:t>
      </w:r>
      <w:r>
        <w:rPr>
          <w:rFonts w:hint="default" w:ascii="Times New Roman" w:hAnsi="Times New Roman" w:cs="Times New Roman"/>
          <w:color w:val="000000" w:themeColor="text1"/>
          <w:sz w:val="28"/>
          <w:szCs w:val="28"/>
          <w:lang w:val="en-US" w:eastAsia="zh-CN"/>
          <w14:textFill>
            <w14:solidFill>
              <w14:schemeClr w14:val="tx1"/>
            </w14:solidFill>
          </w14:textFill>
        </w:rPr>
        <w:t>使用</w:t>
      </w:r>
      <w:r>
        <w:rPr>
          <w:rFonts w:hint="eastAsia" w:ascii="Times New Roman" w:hAnsi="Times New Roman" w:cs="Times New Roman"/>
          <w:color w:val="000000" w:themeColor="text1"/>
          <w:sz w:val="28"/>
          <w:szCs w:val="28"/>
          <w:lang w:val="en-US" w:eastAsia="zh-CN"/>
          <w14:textFill>
            <w14:solidFill>
              <w14:schemeClr w14:val="tx1"/>
            </w14:solidFill>
          </w14:textFill>
        </w:rPr>
        <w:t>的</w:t>
      </w:r>
      <w:r>
        <w:rPr>
          <w:rFonts w:hint="eastAsia" w:ascii="Times New Roman" w:cs="Times New Roman"/>
          <w:color w:val="000000" w:themeColor="text1"/>
          <w:sz w:val="28"/>
          <w:szCs w:val="28"/>
          <w:lang w:val="en-US" w:eastAsia="zh-CN"/>
          <w14:textFill>
            <w14:solidFill>
              <w14:schemeClr w14:val="tx1"/>
            </w14:solidFill>
          </w14:textFill>
        </w:rPr>
        <w:t>主要生产</w:t>
      </w:r>
      <w:r>
        <w:rPr>
          <w:rFonts w:hint="default" w:ascii="Times New Roman" w:hAnsi="Times New Roman" w:cs="Times New Roman"/>
          <w:color w:val="000000" w:themeColor="text1"/>
          <w:sz w:val="28"/>
          <w:szCs w:val="28"/>
          <w:lang w:val="en-US" w:eastAsia="zh-CN"/>
          <w14:textFill>
            <w14:solidFill>
              <w14:schemeClr w14:val="tx1"/>
            </w14:solidFill>
          </w14:textFill>
        </w:rPr>
        <w:t>设备</w:t>
      </w:r>
      <w:r>
        <w:rPr>
          <w:rFonts w:hint="eastAsia" w:ascii="Times New Roman" w:cs="Times New Roman"/>
          <w:color w:val="000000" w:themeColor="text1"/>
          <w:sz w:val="28"/>
          <w:szCs w:val="28"/>
          <w:lang w:val="en-US" w:eastAsia="zh-CN"/>
          <w14:textFill>
            <w14:solidFill>
              <w14:schemeClr w14:val="tx1"/>
            </w14:solidFill>
          </w14:textFill>
        </w:rPr>
        <w:t>详见</w:t>
      </w:r>
      <w:r>
        <w:rPr>
          <w:rFonts w:hint="default" w:ascii="Times New Roman" w:hAnsi="Times New Roman" w:cs="Times New Roman"/>
          <w:color w:val="000000" w:themeColor="text1"/>
          <w:sz w:val="28"/>
          <w:szCs w:val="28"/>
          <w:lang w:val="en-US" w:eastAsia="zh-CN"/>
          <w14:textFill>
            <w14:solidFill>
              <w14:schemeClr w14:val="tx1"/>
            </w14:solidFill>
          </w14:textFill>
        </w:rPr>
        <w:t>表2-2</w:t>
      </w:r>
      <w:r>
        <w:rPr>
          <w:rFonts w:hint="eastAsia" w:ascii="Times New Roman" w:cs="Times New Roman"/>
          <w:color w:val="000000" w:themeColor="text1"/>
          <w:sz w:val="28"/>
          <w:szCs w:val="28"/>
          <w:lang w:val="en-US" w:eastAsia="zh-CN"/>
          <w14:textFill>
            <w14:solidFill>
              <w14:schemeClr w14:val="tx1"/>
            </w14:solidFill>
          </w14:textFill>
        </w:rPr>
        <w:t>。</w:t>
      </w:r>
    </w:p>
    <w:p w14:paraId="04A5E363">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Cs w:val="24"/>
          <w14:textFill>
            <w14:solidFill>
              <w14:schemeClr w14:val="tx1"/>
            </w14:solidFill>
          </w14:textFill>
        </w:rPr>
        <w:t xml:space="preserve">表2-2 </w:t>
      </w:r>
      <w:r>
        <w:rPr>
          <w:rFonts w:hint="eastAsia" w:hAnsi="宋体" w:cs="宋体"/>
          <w:b/>
          <w:bCs/>
          <w:color w:val="000000" w:themeColor="text1"/>
          <w:szCs w:val="24"/>
          <w:lang w:val="en-US" w:eastAsia="zh-CN"/>
          <w14:textFill>
            <w14:solidFill>
              <w14:schemeClr w14:val="tx1"/>
            </w14:solidFill>
          </w14:textFill>
        </w:rPr>
        <w:t>主要生产</w:t>
      </w:r>
      <w:r>
        <w:rPr>
          <w:rFonts w:hint="eastAsia" w:ascii="宋体" w:hAnsi="宋体" w:eastAsia="宋体" w:cs="宋体"/>
          <w:b/>
          <w:bCs/>
          <w:color w:val="000000" w:themeColor="text1"/>
          <w:szCs w:val="24"/>
          <w14:textFill>
            <w14:solidFill>
              <w14:schemeClr w14:val="tx1"/>
            </w14:solidFill>
          </w14:textFill>
        </w:rPr>
        <w:t>设备一览表</w:t>
      </w:r>
    </w:p>
    <w:tbl>
      <w:tblPr>
        <w:tblStyle w:val="359"/>
        <w:tblW w:w="90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3114"/>
        <w:gridCol w:w="3000"/>
        <w:gridCol w:w="1224"/>
        <w:gridCol w:w="1002"/>
      </w:tblGrid>
      <w:tr w14:paraId="2A862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733" w:type="dxa"/>
            <w:vAlign w:val="center"/>
          </w:tcPr>
          <w:p w14:paraId="2120B2E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3"/>
                <w:sz w:val="24"/>
                <w:szCs w:val="24"/>
                <w14:textOutline w14:w="3835" w14:cap="flat" w14:cmpd="sng">
                  <w14:solidFill>
                    <w14:srgbClr w14:val="000000"/>
                  </w14:solidFill>
                  <w14:prstDash w14:val="solid"/>
                  <w14:miter w14:val="0"/>
                </w14:textOutline>
              </w:rPr>
              <w:t>序号</w:t>
            </w:r>
          </w:p>
        </w:tc>
        <w:tc>
          <w:tcPr>
            <w:tcW w:w="3114" w:type="dxa"/>
            <w:vAlign w:val="center"/>
          </w:tcPr>
          <w:p w14:paraId="6B2DA32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3835" w14:cap="flat" w14:cmpd="sng">
                  <w14:solidFill>
                    <w14:srgbClr w14:val="000000"/>
                  </w14:solidFill>
                  <w14:prstDash w14:val="solid"/>
                  <w14:miter w14:val="0"/>
                </w14:textOutline>
              </w:rPr>
              <w:t>名称</w:t>
            </w:r>
          </w:p>
        </w:tc>
        <w:tc>
          <w:tcPr>
            <w:tcW w:w="3000" w:type="dxa"/>
            <w:vAlign w:val="center"/>
          </w:tcPr>
          <w:p w14:paraId="605E7CF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3835" w14:cap="flat" w14:cmpd="sng">
                  <w14:solidFill>
                    <w14:srgbClr w14:val="000000"/>
                  </w14:solidFill>
                  <w14:prstDash w14:val="solid"/>
                  <w14:miter w14:val="0"/>
                </w14:textOutline>
              </w:rPr>
              <w:t>规格型号</w:t>
            </w:r>
          </w:p>
        </w:tc>
        <w:tc>
          <w:tcPr>
            <w:tcW w:w="1224" w:type="dxa"/>
            <w:vAlign w:val="center"/>
          </w:tcPr>
          <w:p w14:paraId="760E180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3835" w14:cap="flat" w14:cmpd="sng">
                  <w14:solidFill>
                    <w14:srgbClr w14:val="000000"/>
                  </w14:solidFill>
                  <w14:prstDash w14:val="solid"/>
                  <w14:miter w14:val="0"/>
                </w14:textOutline>
              </w:rPr>
              <w:t>数量</w:t>
            </w:r>
          </w:p>
        </w:tc>
        <w:tc>
          <w:tcPr>
            <w:tcW w:w="1002" w:type="dxa"/>
            <w:vAlign w:val="center"/>
          </w:tcPr>
          <w:p w14:paraId="188B99D2">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3835" w14:cap="flat" w14:cmpd="sng">
                  <w14:solidFill>
                    <w14:srgbClr w14:val="000000"/>
                  </w14:solidFill>
                  <w14:prstDash w14:val="solid"/>
                  <w14:miter w14:val="0"/>
                </w14:textOutline>
              </w:rPr>
              <w:t>备注</w:t>
            </w:r>
          </w:p>
        </w:tc>
      </w:tr>
      <w:tr w14:paraId="1C7F4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733" w:type="dxa"/>
            <w:shd w:val="clear" w:color="auto" w:fill="auto"/>
            <w:vAlign w:val="center"/>
          </w:tcPr>
          <w:p w14:paraId="75F38B3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w:t>
            </w:r>
          </w:p>
        </w:tc>
        <w:tc>
          <w:tcPr>
            <w:tcW w:w="3114" w:type="dxa"/>
            <w:shd w:val="clear" w:color="auto" w:fill="auto"/>
            <w:vAlign w:val="center"/>
          </w:tcPr>
          <w:p w14:paraId="03C1C758">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水处理装置</w:t>
            </w:r>
          </w:p>
        </w:tc>
        <w:tc>
          <w:tcPr>
            <w:tcW w:w="3000" w:type="dxa"/>
            <w:shd w:val="clear" w:color="auto" w:fill="auto"/>
            <w:vAlign w:val="center"/>
          </w:tcPr>
          <w:p w14:paraId="6E1AFE35">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砂滤+离子交换</w:t>
            </w:r>
          </w:p>
        </w:tc>
        <w:tc>
          <w:tcPr>
            <w:tcW w:w="1224" w:type="dxa"/>
            <w:vAlign w:val="center"/>
          </w:tcPr>
          <w:p w14:paraId="5B0F9EB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1套</w:t>
            </w:r>
          </w:p>
        </w:tc>
        <w:tc>
          <w:tcPr>
            <w:tcW w:w="1002" w:type="dxa"/>
            <w:vAlign w:val="center"/>
          </w:tcPr>
          <w:p w14:paraId="5483D74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6151A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33" w:type="dxa"/>
            <w:shd w:val="clear" w:color="auto" w:fill="auto"/>
            <w:vAlign w:val="center"/>
          </w:tcPr>
          <w:p w14:paraId="18A84B6F">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2</w:t>
            </w:r>
          </w:p>
        </w:tc>
        <w:tc>
          <w:tcPr>
            <w:tcW w:w="3114" w:type="dxa"/>
            <w:shd w:val="clear" w:color="auto" w:fill="auto"/>
            <w:vAlign w:val="center"/>
          </w:tcPr>
          <w:p w14:paraId="7F5D360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软化水罐</w:t>
            </w:r>
          </w:p>
        </w:tc>
        <w:tc>
          <w:tcPr>
            <w:tcW w:w="3000" w:type="dxa"/>
            <w:shd w:val="clear" w:color="auto" w:fill="auto"/>
            <w:vAlign w:val="center"/>
          </w:tcPr>
          <w:p w14:paraId="12C4A06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6m³</w:t>
            </w:r>
          </w:p>
        </w:tc>
        <w:tc>
          <w:tcPr>
            <w:tcW w:w="1224" w:type="dxa"/>
            <w:shd w:val="clear" w:color="auto" w:fill="auto"/>
            <w:vAlign w:val="center"/>
          </w:tcPr>
          <w:p w14:paraId="376D0E4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2个</w:t>
            </w:r>
          </w:p>
        </w:tc>
        <w:tc>
          <w:tcPr>
            <w:tcW w:w="1002" w:type="dxa"/>
            <w:vAlign w:val="center"/>
          </w:tcPr>
          <w:p w14:paraId="4F26389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37AB4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33" w:type="dxa"/>
            <w:shd w:val="clear" w:color="auto" w:fill="auto"/>
            <w:vAlign w:val="center"/>
          </w:tcPr>
          <w:p w14:paraId="540ECD79">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3</w:t>
            </w:r>
          </w:p>
        </w:tc>
        <w:tc>
          <w:tcPr>
            <w:tcW w:w="3114" w:type="dxa"/>
            <w:shd w:val="clear" w:color="auto" w:fill="auto"/>
            <w:vAlign w:val="center"/>
          </w:tcPr>
          <w:p w14:paraId="179E49B5">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磅秤</w:t>
            </w:r>
          </w:p>
        </w:tc>
        <w:tc>
          <w:tcPr>
            <w:tcW w:w="3000" w:type="dxa"/>
            <w:shd w:val="clear" w:color="auto" w:fill="auto"/>
            <w:vAlign w:val="center"/>
          </w:tcPr>
          <w:p w14:paraId="40CF3C2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TGT*1000</w:t>
            </w:r>
          </w:p>
        </w:tc>
        <w:tc>
          <w:tcPr>
            <w:tcW w:w="1224" w:type="dxa"/>
            <w:shd w:val="clear" w:color="auto" w:fill="auto"/>
            <w:vAlign w:val="center"/>
          </w:tcPr>
          <w:p w14:paraId="05B0A7D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31FE93C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7633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733" w:type="dxa"/>
            <w:shd w:val="clear" w:color="auto" w:fill="auto"/>
            <w:vAlign w:val="center"/>
          </w:tcPr>
          <w:p w14:paraId="198DEC8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4</w:t>
            </w:r>
          </w:p>
        </w:tc>
        <w:tc>
          <w:tcPr>
            <w:tcW w:w="3114" w:type="dxa"/>
            <w:shd w:val="clear" w:color="auto" w:fill="auto"/>
            <w:vAlign w:val="center"/>
          </w:tcPr>
          <w:p w14:paraId="2CA0E0E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简单压力容器储气罐</w:t>
            </w:r>
          </w:p>
        </w:tc>
        <w:tc>
          <w:tcPr>
            <w:tcW w:w="3000" w:type="dxa"/>
            <w:shd w:val="clear" w:color="auto" w:fill="auto"/>
            <w:vAlign w:val="center"/>
          </w:tcPr>
          <w:p w14:paraId="67DB330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ZW100425A</w:t>
            </w:r>
          </w:p>
        </w:tc>
        <w:tc>
          <w:tcPr>
            <w:tcW w:w="1224" w:type="dxa"/>
            <w:shd w:val="clear" w:color="auto" w:fill="auto"/>
            <w:vAlign w:val="center"/>
          </w:tcPr>
          <w:p w14:paraId="7863239D">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1个</w:t>
            </w:r>
          </w:p>
        </w:tc>
        <w:tc>
          <w:tcPr>
            <w:tcW w:w="1002" w:type="dxa"/>
            <w:vAlign w:val="center"/>
          </w:tcPr>
          <w:p w14:paraId="2F6B7EE2">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07951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14DF18C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5</w:t>
            </w:r>
          </w:p>
        </w:tc>
        <w:tc>
          <w:tcPr>
            <w:tcW w:w="3114" w:type="dxa"/>
            <w:shd w:val="clear" w:color="auto" w:fill="auto"/>
            <w:vAlign w:val="center"/>
          </w:tcPr>
          <w:p w14:paraId="56F1C81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液洗控制系统</w:t>
            </w:r>
          </w:p>
        </w:tc>
        <w:tc>
          <w:tcPr>
            <w:tcW w:w="3000" w:type="dxa"/>
            <w:shd w:val="clear" w:color="auto" w:fill="auto"/>
            <w:vAlign w:val="center"/>
          </w:tcPr>
          <w:p w14:paraId="7E187746">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LRII-5ｔ</w:t>
            </w:r>
          </w:p>
        </w:tc>
        <w:tc>
          <w:tcPr>
            <w:tcW w:w="1224" w:type="dxa"/>
            <w:shd w:val="clear" w:color="auto" w:fill="auto"/>
            <w:vAlign w:val="center"/>
          </w:tcPr>
          <w:p w14:paraId="1F757A3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1套</w:t>
            </w:r>
          </w:p>
        </w:tc>
        <w:tc>
          <w:tcPr>
            <w:tcW w:w="1002" w:type="dxa"/>
            <w:vAlign w:val="center"/>
          </w:tcPr>
          <w:p w14:paraId="44C610C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07144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733" w:type="dxa"/>
            <w:shd w:val="clear" w:color="auto" w:fill="auto"/>
            <w:vAlign w:val="center"/>
          </w:tcPr>
          <w:p w14:paraId="27952C05">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6</w:t>
            </w:r>
          </w:p>
        </w:tc>
        <w:tc>
          <w:tcPr>
            <w:tcW w:w="3114" w:type="dxa"/>
            <w:shd w:val="clear" w:color="auto" w:fill="auto"/>
            <w:vAlign w:val="center"/>
          </w:tcPr>
          <w:p w14:paraId="5479F268">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不锈钢搅拌罐</w:t>
            </w:r>
          </w:p>
        </w:tc>
        <w:tc>
          <w:tcPr>
            <w:tcW w:w="3000" w:type="dxa"/>
            <w:shd w:val="clear" w:color="auto" w:fill="auto"/>
            <w:vAlign w:val="center"/>
          </w:tcPr>
          <w:p w14:paraId="1A50BCB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翻板，搅拌，5ｔ</w:t>
            </w:r>
          </w:p>
        </w:tc>
        <w:tc>
          <w:tcPr>
            <w:tcW w:w="1224" w:type="dxa"/>
            <w:shd w:val="clear" w:color="auto" w:fill="auto"/>
            <w:vAlign w:val="center"/>
          </w:tcPr>
          <w:p w14:paraId="36489BDD">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2个</w:t>
            </w:r>
          </w:p>
        </w:tc>
        <w:tc>
          <w:tcPr>
            <w:tcW w:w="1002" w:type="dxa"/>
            <w:vAlign w:val="center"/>
          </w:tcPr>
          <w:p w14:paraId="4DBE367C">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48EC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2FE145F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7</w:t>
            </w:r>
          </w:p>
        </w:tc>
        <w:tc>
          <w:tcPr>
            <w:tcW w:w="3114" w:type="dxa"/>
            <w:shd w:val="clear" w:color="auto" w:fill="auto"/>
            <w:vAlign w:val="center"/>
          </w:tcPr>
          <w:p w14:paraId="1902D78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不锈钢储罐</w:t>
            </w:r>
          </w:p>
        </w:tc>
        <w:tc>
          <w:tcPr>
            <w:tcW w:w="3000" w:type="dxa"/>
            <w:shd w:val="clear" w:color="auto" w:fill="auto"/>
            <w:vAlign w:val="center"/>
          </w:tcPr>
          <w:p w14:paraId="012243C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翻板，平顶，5ｔ</w:t>
            </w:r>
          </w:p>
        </w:tc>
        <w:tc>
          <w:tcPr>
            <w:tcW w:w="1224" w:type="dxa"/>
            <w:shd w:val="clear" w:color="auto" w:fill="auto"/>
            <w:vAlign w:val="center"/>
          </w:tcPr>
          <w:p w14:paraId="50115615">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8个</w:t>
            </w:r>
          </w:p>
        </w:tc>
        <w:tc>
          <w:tcPr>
            <w:tcW w:w="1002" w:type="dxa"/>
            <w:vAlign w:val="center"/>
          </w:tcPr>
          <w:p w14:paraId="3A7FC37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36591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3331947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8</w:t>
            </w:r>
          </w:p>
        </w:tc>
        <w:tc>
          <w:tcPr>
            <w:tcW w:w="3114" w:type="dxa"/>
            <w:shd w:val="clear" w:color="auto" w:fill="auto"/>
            <w:vAlign w:val="center"/>
          </w:tcPr>
          <w:p w14:paraId="5C41920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不锈钢储罐</w:t>
            </w:r>
          </w:p>
        </w:tc>
        <w:tc>
          <w:tcPr>
            <w:tcW w:w="3000" w:type="dxa"/>
            <w:shd w:val="clear" w:color="auto" w:fill="auto"/>
            <w:vAlign w:val="center"/>
          </w:tcPr>
          <w:p w14:paraId="44090D4C">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搅拌，平顶，5ｔ</w:t>
            </w:r>
          </w:p>
        </w:tc>
        <w:tc>
          <w:tcPr>
            <w:tcW w:w="1224" w:type="dxa"/>
            <w:shd w:val="clear" w:color="auto" w:fill="auto"/>
            <w:vAlign w:val="center"/>
          </w:tcPr>
          <w:p w14:paraId="32C326F8">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4个</w:t>
            </w:r>
          </w:p>
        </w:tc>
        <w:tc>
          <w:tcPr>
            <w:tcW w:w="1002" w:type="dxa"/>
            <w:vAlign w:val="center"/>
          </w:tcPr>
          <w:p w14:paraId="44E11EE9">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24AE0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733" w:type="dxa"/>
            <w:shd w:val="clear" w:color="auto" w:fill="auto"/>
            <w:vAlign w:val="center"/>
          </w:tcPr>
          <w:p w14:paraId="0258DD3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9</w:t>
            </w:r>
          </w:p>
        </w:tc>
        <w:tc>
          <w:tcPr>
            <w:tcW w:w="3114" w:type="dxa"/>
            <w:shd w:val="clear" w:color="auto" w:fill="auto"/>
            <w:vAlign w:val="center"/>
          </w:tcPr>
          <w:p w14:paraId="38482978">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气动隔膜泵</w:t>
            </w:r>
          </w:p>
        </w:tc>
        <w:tc>
          <w:tcPr>
            <w:tcW w:w="3000" w:type="dxa"/>
            <w:shd w:val="clear" w:color="auto" w:fill="auto"/>
            <w:vAlign w:val="center"/>
          </w:tcPr>
          <w:p w14:paraId="0F18CC6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GBY-40</w:t>
            </w:r>
          </w:p>
        </w:tc>
        <w:tc>
          <w:tcPr>
            <w:tcW w:w="1224" w:type="dxa"/>
            <w:shd w:val="clear" w:color="auto" w:fill="auto"/>
            <w:vAlign w:val="center"/>
          </w:tcPr>
          <w:p w14:paraId="5607F8A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2台</w:t>
            </w:r>
          </w:p>
        </w:tc>
        <w:tc>
          <w:tcPr>
            <w:tcW w:w="1002" w:type="dxa"/>
            <w:vAlign w:val="center"/>
          </w:tcPr>
          <w:p w14:paraId="280BBE1F">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3CCCE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2F6B98B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10</w:t>
            </w:r>
          </w:p>
        </w:tc>
        <w:tc>
          <w:tcPr>
            <w:tcW w:w="3114" w:type="dxa"/>
            <w:shd w:val="clear" w:color="auto" w:fill="auto"/>
            <w:vAlign w:val="center"/>
          </w:tcPr>
          <w:p w14:paraId="4746C8F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全自动灌装机</w:t>
            </w:r>
          </w:p>
        </w:tc>
        <w:tc>
          <w:tcPr>
            <w:tcW w:w="3000" w:type="dxa"/>
            <w:shd w:val="clear" w:color="auto" w:fill="auto"/>
            <w:vAlign w:val="center"/>
          </w:tcPr>
          <w:p w14:paraId="09A813E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SC-100*400</w:t>
            </w:r>
          </w:p>
        </w:tc>
        <w:tc>
          <w:tcPr>
            <w:tcW w:w="1224" w:type="dxa"/>
            <w:shd w:val="clear" w:color="auto" w:fill="auto"/>
            <w:vAlign w:val="center"/>
          </w:tcPr>
          <w:p w14:paraId="181CCA5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6E906FEC">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52D9D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3BE22DA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11</w:t>
            </w:r>
          </w:p>
        </w:tc>
        <w:tc>
          <w:tcPr>
            <w:tcW w:w="3114" w:type="dxa"/>
            <w:shd w:val="clear" w:color="auto" w:fill="auto"/>
            <w:vAlign w:val="center"/>
          </w:tcPr>
          <w:p w14:paraId="6550CA3D">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全自动灌装机</w:t>
            </w:r>
          </w:p>
        </w:tc>
        <w:tc>
          <w:tcPr>
            <w:tcW w:w="3000" w:type="dxa"/>
            <w:shd w:val="clear" w:color="auto" w:fill="auto"/>
            <w:vAlign w:val="center"/>
          </w:tcPr>
          <w:p w14:paraId="0C87E879">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SC-80*300</w:t>
            </w:r>
          </w:p>
        </w:tc>
        <w:tc>
          <w:tcPr>
            <w:tcW w:w="1224" w:type="dxa"/>
            <w:shd w:val="clear" w:color="auto" w:fill="auto"/>
            <w:vAlign w:val="center"/>
          </w:tcPr>
          <w:p w14:paraId="40C7836D">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2CF65812">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1046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733" w:type="dxa"/>
            <w:shd w:val="clear" w:color="auto" w:fill="auto"/>
            <w:vAlign w:val="center"/>
          </w:tcPr>
          <w:p w14:paraId="1C2F7E0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12</w:t>
            </w:r>
          </w:p>
        </w:tc>
        <w:tc>
          <w:tcPr>
            <w:tcW w:w="3114" w:type="dxa"/>
            <w:shd w:val="clear" w:color="auto" w:fill="auto"/>
            <w:vAlign w:val="center"/>
          </w:tcPr>
          <w:p w14:paraId="7F57B37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全自动灌装机</w:t>
            </w:r>
          </w:p>
        </w:tc>
        <w:tc>
          <w:tcPr>
            <w:tcW w:w="3000" w:type="dxa"/>
            <w:shd w:val="clear" w:color="auto" w:fill="auto"/>
            <w:vAlign w:val="center"/>
          </w:tcPr>
          <w:p w14:paraId="47E1502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SC-80*500</w:t>
            </w:r>
          </w:p>
        </w:tc>
        <w:tc>
          <w:tcPr>
            <w:tcW w:w="1224" w:type="dxa"/>
            <w:shd w:val="clear" w:color="auto" w:fill="auto"/>
            <w:vAlign w:val="center"/>
          </w:tcPr>
          <w:p w14:paraId="29B5C372">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2台</w:t>
            </w:r>
          </w:p>
        </w:tc>
        <w:tc>
          <w:tcPr>
            <w:tcW w:w="1002" w:type="dxa"/>
            <w:vAlign w:val="center"/>
          </w:tcPr>
          <w:p w14:paraId="50725FD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6D5B1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733" w:type="dxa"/>
            <w:shd w:val="clear" w:color="auto" w:fill="auto"/>
            <w:vAlign w:val="center"/>
          </w:tcPr>
          <w:p w14:paraId="11EA045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13</w:t>
            </w:r>
          </w:p>
        </w:tc>
        <w:tc>
          <w:tcPr>
            <w:tcW w:w="3114" w:type="dxa"/>
            <w:shd w:val="clear" w:color="auto" w:fill="auto"/>
            <w:vAlign w:val="center"/>
          </w:tcPr>
          <w:p w14:paraId="39755831">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包装计量电子秤</w:t>
            </w:r>
          </w:p>
        </w:tc>
        <w:tc>
          <w:tcPr>
            <w:tcW w:w="3000" w:type="dxa"/>
            <w:shd w:val="clear" w:color="auto" w:fill="auto"/>
            <w:vAlign w:val="center"/>
          </w:tcPr>
          <w:p w14:paraId="6F21E84D">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ACS 0.1～15kg</w:t>
            </w:r>
          </w:p>
        </w:tc>
        <w:tc>
          <w:tcPr>
            <w:tcW w:w="1224" w:type="dxa"/>
            <w:shd w:val="clear" w:color="auto" w:fill="auto"/>
            <w:vAlign w:val="center"/>
          </w:tcPr>
          <w:p w14:paraId="31768C0B">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26FC473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07C23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733" w:type="dxa"/>
            <w:shd w:val="clear" w:color="auto" w:fill="auto"/>
            <w:vAlign w:val="center"/>
          </w:tcPr>
          <w:p w14:paraId="387C14E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14</w:t>
            </w:r>
          </w:p>
        </w:tc>
        <w:tc>
          <w:tcPr>
            <w:tcW w:w="3114" w:type="dxa"/>
            <w:shd w:val="clear" w:color="auto" w:fill="auto"/>
            <w:vAlign w:val="center"/>
          </w:tcPr>
          <w:p w14:paraId="0C5833F9">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紫外线灯</w:t>
            </w:r>
          </w:p>
        </w:tc>
        <w:tc>
          <w:tcPr>
            <w:tcW w:w="3000" w:type="dxa"/>
            <w:shd w:val="clear" w:color="auto" w:fill="auto"/>
            <w:vAlign w:val="center"/>
          </w:tcPr>
          <w:p w14:paraId="52E361C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ZGZ-30</w:t>
            </w:r>
          </w:p>
        </w:tc>
        <w:tc>
          <w:tcPr>
            <w:tcW w:w="1224" w:type="dxa"/>
            <w:shd w:val="clear" w:color="auto" w:fill="auto"/>
            <w:vAlign w:val="center"/>
          </w:tcPr>
          <w:p w14:paraId="01AB713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6个</w:t>
            </w:r>
          </w:p>
        </w:tc>
        <w:tc>
          <w:tcPr>
            <w:tcW w:w="1002" w:type="dxa"/>
            <w:vAlign w:val="center"/>
          </w:tcPr>
          <w:p w14:paraId="3E37CF8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759C5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33" w:type="dxa"/>
            <w:shd w:val="clear" w:color="auto" w:fill="auto"/>
            <w:vAlign w:val="center"/>
          </w:tcPr>
          <w:p w14:paraId="0DE72D3A">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15</w:t>
            </w:r>
          </w:p>
        </w:tc>
        <w:tc>
          <w:tcPr>
            <w:tcW w:w="3114" w:type="dxa"/>
            <w:shd w:val="clear" w:color="auto" w:fill="auto"/>
            <w:vAlign w:val="center"/>
          </w:tcPr>
          <w:p w14:paraId="6D6D0C9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磅秤</w:t>
            </w:r>
          </w:p>
        </w:tc>
        <w:tc>
          <w:tcPr>
            <w:tcW w:w="3000" w:type="dxa"/>
            <w:shd w:val="clear" w:color="auto" w:fill="auto"/>
            <w:vAlign w:val="center"/>
          </w:tcPr>
          <w:p w14:paraId="12546FD9">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TGT-100</w:t>
            </w:r>
          </w:p>
        </w:tc>
        <w:tc>
          <w:tcPr>
            <w:tcW w:w="1224" w:type="dxa"/>
            <w:shd w:val="clear" w:color="auto" w:fill="auto"/>
            <w:vAlign w:val="center"/>
          </w:tcPr>
          <w:p w14:paraId="49D9032F">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6B99E63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6C504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733" w:type="dxa"/>
            <w:shd w:val="clear" w:color="auto" w:fill="auto"/>
            <w:vAlign w:val="center"/>
          </w:tcPr>
          <w:p w14:paraId="33818EC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16</w:t>
            </w:r>
          </w:p>
        </w:tc>
        <w:tc>
          <w:tcPr>
            <w:tcW w:w="3114" w:type="dxa"/>
            <w:shd w:val="clear" w:color="auto" w:fill="auto"/>
            <w:vAlign w:val="center"/>
          </w:tcPr>
          <w:p w14:paraId="79A229DF">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喷码机</w:t>
            </w:r>
          </w:p>
        </w:tc>
        <w:tc>
          <w:tcPr>
            <w:tcW w:w="3000" w:type="dxa"/>
            <w:shd w:val="clear" w:color="auto" w:fill="auto"/>
            <w:vAlign w:val="center"/>
          </w:tcPr>
          <w:p w14:paraId="7625E86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LINX-4700</w:t>
            </w:r>
          </w:p>
        </w:tc>
        <w:tc>
          <w:tcPr>
            <w:tcW w:w="1224" w:type="dxa"/>
            <w:shd w:val="clear" w:color="auto" w:fill="auto"/>
            <w:vAlign w:val="center"/>
          </w:tcPr>
          <w:p w14:paraId="623AE36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6F1EBDA7">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r w14:paraId="680E2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jc w:val="center"/>
        </w:trPr>
        <w:tc>
          <w:tcPr>
            <w:tcW w:w="733" w:type="dxa"/>
            <w:shd w:val="clear" w:color="auto" w:fill="auto"/>
            <w:vAlign w:val="center"/>
          </w:tcPr>
          <w:p w14:paraId="6AD4771E">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17</w:t>
            </w:r>
          </w:p>
        </w:tc>
        <w:tc>
          <w:tcPr>
            <w:tcW w:w="3114" w:type="dxa"/>
            <w:shd w:val="clear" w:color="auto" w:fill="auto"/>
            <w:vAlign w:val="center"/>
          </w:tcPr>
          <w:p w14:paraId="32848F40">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全自动封箱机</w:t>
            </w:r>
          </w:p>
        </w:tc>
        <w:tc>
          <w:tcPr>
            <w:tcW w:w="3000" w:type="dxa"/>
            <w:shd w:val="clear" w:color="auto" w:fill="auto"/>
            <w:vAlign w:val="center"/>
          </w:tcPr>
          <w:p w14:paraId="2FCC83C3">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FJZ</w:t>
            </w:r>
          </w:p>
        </w:tc>
        <w:tc>
          <w:tcPr>
            <w:tcW w:w="1224" w:type="dxa"/>
            <w:shd w:val="clear" w:color="auto" w:fill="auto"/>
            <w:vAlign w:val="center"/>
          </w:tcPr>
          <w:p w14:paraId="4D39DB14">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1台</w:t>
            </w:r>
          </w:p>
        </w:tc>
        <w:tc>
          <w:tcPr>
            <w:tcW w:w="1002" w:type="dxa"/>
            <w:vAlign w:val="center"/>
          </w:tcPr>
          <w:p w14:paraId="6163F995">
            <w:pPr>
              <w:pStyle w:val="358"/>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pacing w:val="-1"/>
                <w:sz w:val="24"/>
                <w:szCs w:val="24"/>
              </w:rPr>
            </w:pPr>
          </w:p>
        </w:tc>
      </w:tr>
    </w:tbl>
    <w:p w14:paraId="588A6C3A">
      <w:pPr>
        <w:keepNext w:val="0"/>
        <w:keepLines w:val="0"/>
        <w:pageBreakBefore w:val="0"/>
        <w:widowControl w:val="0"/>
        <w:kinsoku/>
        <w:wordWrap/>
        <w:overflowPunct/>
        <w:topLinePunct w:val="0"/>
        <w:autoSpaceDE/>
        <w:autoSpaceDN/>
        <w:bidi w:val="0"/>
        <w:adjustRightInd/>
        <w:snapToGrid w:val="0"/>
        <w:textAlignment w:val="auto"/>
        <w:outlineLvl w:val="9"/>
        <w:rPr>
          <w:color w:val="000000" w:themeColor="text1"/>
          <w14:textFill>
            <w14:solidFill>
              <w14:schemeClr w14:val="tx1"/>
            </w14:solidFill>
          </w14:textFill>
        </w:rPr>
      </w:pPr>
    </w:p>
    <w:bookmarkEnd w:id="200"/>
    <w:bookmarkEnd w:id="201"/>
    <w:p w14:paraId="6C8EA969">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204" w:name="_Toc436"/>
      <w:bookmarkStart w:id="205" w:name="_Toc22633"/>
      <w:r>
        <w:rPr>
          <w:rFonts w:hint="default" w:ascii="Times New Roman" w:hAnsi="Times New Roman" w:eastAsia="楷体" w:cs="Times New Roman"/>
          <w:color w:val="000000" w:themeColor="text1"/>
          <w14:textFill>
            <w14:solidFill>
              <w14:schemeClr w14:val="tx1"/>
            </w14:solidFill>
          </w14:textFill>
        </w:rPr>
        <w:t>2.5</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公用工程及辅助工程</w:t>
      </w:r>
      <w:bookmarkEnd w:id="204"/>
      <w:bookmarkEnd w:id="205"/>
    </w:p>
    <w:p w14:paraId="68FF14B3">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06" w:name="_Toc5146"/>
      <w:bookmarkStart w:id="207" w:name="_Toc10853"/>
      <w:r>
        <w:rPr>
          <w:rFonts w:hint="default" w:ascii="Times New Roman" w:hAnsi="Times New Roman" w:eastAsia="黑体" w:cs="Times New Roman"/>
          <w:color w:val="000000" w:themeColor="text1"/>
          <w14:textFill>
            <w14:solidFill>
              <w14:schemeClr w14:val="tx1"/>
            </w14:solidFill>
          </w14:textFill>
        </w:rPr>
        <w:t>2.5.1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给排水</w:t>
      </w:r>
      <w:bookmarkEnd w:id="206"/>
      <w:bookmarkEnd w:id="207"/>
    </w:p>
    <w:p w14:paraId="78E6F538">
      <w:pPr>
        <w:pStyle w:val="7"/>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2.5.1.1 给水</w:t>
      </w:r>
    </w:p>
    <w:p w14:paraId="1FA8233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Times New Roman"/>
          <w:color w:val="000000" w:themeColor="text1"/>
          <w:sz w:val="28"/>
          <w:szCs w:val="28"/>
          <w:lang w:val="en-US" w:eastAsia="zh-CN"/>
          <w14:textFill>
            <w14:solidFill>
              <w14:schemeClr w14:val="tx1"/>
            </w14:solidFill>
          </w14:textFill>
        </w:rPr>
      </w:pPr>
      <w:r>
        <w:rPr>
          <w:rFonts w:hint="eastAsia" w:hAnsi="宋体" w:cs="Times New Roman"/>
          <w:color w:val="000000" w:themeColor="text1"/>
          <w:sz w:val="28"/>
          <w:szCs w:val="28"/>
          <w:lang w:val="en-US" w:eastAsia="zh-CN"/>
          <w14:textFill>
            <w14:solidFill>
              <w14:schemeClr w14:val="tx1"/>
            </w14:solidFill>
          </w14:textFill>
        </w:rPr>
        <w:t>厂区生活用水由城区中心自来水厂提供，</w:t>
      </w:r>
      <w:r>
        <w:rPr>
          <w:rFonts w:hint="eastAsia" w:ascii="宋体" w:hAnsi="宋体" w:eastAsia="宋体" w:cs="Times New Roman"/>
          <w:color w:val="000000" w:themeColor="text1"/>
          <w:sz w:val="28"/>
          <w:szCs w:val="28"/>
          <w:lang w:val="en-US" w:eastAsia="zh-CN"/>
          <w14:textFill>
            <w14:solidFill>
              <w14:schemeClr w14:val="tx1"/>
            </w14:solidFill>
          </w14:textFill>
        </w:rPr>
        <w:t>供水能够满足公司</w:t>
      </w:r>
      <w:r>
        <w:rPr>
          <w:rFonts w:hint="eastAsia" w:hAnsi="宋体" w:cs="Times New Roman"/>
          <w:color w:val="000000" w:themeColor="text1"/>
          <w:sz w:val="28"/>
          <w:szCs w:val="28"/>
          <w:lang w:val="en-US" w:eastAsia="zh-CN"/>
          <w14:textFill>
            <w14:solidFill>
              <w14:schemeClr w14:val="tx1"/>
            </w14:solidFill>
          </w14:textFill>
        </w:rPr>
        <w:t>生活</w:t>
      </w:r>
      <w:r>
        <w:rPr>
          <w:rFonts w:hint="eastAsia" w:ascii="宋体" w:hAnsi="宋体" w:eastAsia="宋体" w:cs="Times New Roman"/>
          <w:color w:val="000000" w:themeColor="text1"/>
          <w:sz w:val="28"/>
          <w:szCs w:val="28"/>
          <w:lang w:val="en-US" w:eastAsia="zh-CN"/>
          <w14:textFill>
            <w14:solidFill>
              <w14:schemeClr w14:val="tx1"/>
            </w14:solidFill>
          </w14:textFill>
        </w:rPr>
        <w:t>用水的要求。</w:t>
      </w:r>
      <w:r>
        <w:rPr>
          <w:rFonts w:hint="eastAsia" w:hAnsi="宋体" w:cs="Times New Roman"/>
          <w:color w:val="000000" w:themeColor="text1"/>
          <w:sz w:val="28"/>
          <w:szCs w:val="28"/>
          <w:lang w:val="en-US" w:eastAsia="zh-CN"/>
          <w14:textFill>
            <w14:solidFill>
              <w14:schemeClr w14:val="tx1"/>
            </w14:solidFill>
          </w14:textFill>
        </w:rPr>
        <w:t>生产用水由工业园区设置的中小企业创业园供水水塔提供。根据企业提供资料，本项目用水量为260t/a。</w:t>
      </w:r>
    </w:p>
    <w:p w14:paraId="6371CF6D">
      <w:pPr>
        <w:pStyle w:val="7"/>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2.5.1.2 排水</w:t>
      </w:r>
    </w:p>
    <w:p w14:paraId="03330EC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bookmarkStart w:id="208" w:name="_Toc2481"/>
      <w:r>
        <w:rPr>
          <w:rFonts w:hint="default" w:ascii="Times New Roman" w:hAnsi="Times New Roman" w:eastAsia="宋体" w:cs="Times New Roman"/>
          <w:color w:val="000000" w:themeColor="text1"/>
          <w:sz w:val="28"/>
          <w:szCs w:val="28"/>
          <w:lang w:val="en-US" w:eastAsia="zh-CN"/>
          <w14:textFill>
            <w14:solidFill>
              <w14:schemeClr w14:val="tx1"/>
            </w14:solidFill>
          </w14:textFill>
        </w:rPr>
        <w:t>去离子水制备过程中高浓度废水用于车间冲洗，不外排</w:t>
      </w:r>
      <w:r>
        <w:rPr>
          <w:rFonts w:hint="eastAsia" w:ascii="Times New Roman"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设备内</w:t>
      </w:r>
    </w:p>
    <w:p w14:paraId="47B66A9C">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部清洗水回用于生产，不外排</w:t>
      </w:r>
      <w:r>
        <w:rPr>
          <w:rFonts w:hint="eastAsia" w:ascii="Times New Roman"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去离子水制备过程中的滤料及活性炭</w:t>
      </w:r>
    </w:p>
    <w:p w14:paraId="7924002B">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再生排水、设备外部清洗废水、车间冲洗废水、消毒废水进入10</w:t>
      </w:r>
      <w:r>
        <w:rPr>
          <w:rFonts w:hint="eastAsia" w:ascii="Times New Roman" w:cs="Times New Roman"/>
          <w:color w:val="000000" w:themeColor="text1"/>
          <w:sz w:val="28"/>
          <w:szCs w:val="28"/>
          <w:lang w:val="en-US" w:eastAsia="zh-CN"/>
          <w14:textFill>
            <w14:solidFill>
              <w14:schemeClr w14:val="tx1"/>
            </w14:solidFill>
          </w14:textFill>
        </w:rPr>
        <w:t>m³</w:t>
      </w:r>
    </w:p>
    <w:p w14:paraId="36D3DC0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缓冲池，废水经缓冲缓存，根据污水处理系统处理能力，逐步排入污</w:t>
      </w:r>
    </w:p>
    <w:p w14:paraId="6A53A25D">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水处理系统,生活污水和冲厕水进入化粪池预处理后再进入污水处理</w:t>
      </w:r>
    </w:p>
    <w:p w14:paraId="7AD3FAA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池，经污水处理系统处理后用于绿化，不外排。排水系统采用雨污分</w:t>
      </w:r>
    </w:p>
    <w:p w14:paraId="01DFE36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流制排水系统。</w:t>
      </w:r>
    </w:p>
    <w:p w14:paraId="5A01698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09" w:name="_Toc934"/>
      <w:bookmarkStart w:id="210" w:name="_Toc5875"/>
      <w:r>
        <w:rPr>
          <w:rFonts w:hint="default" w:ascii="Times New Roman" w:hAnsi="Times New Roman" w:eastAsia="黑体" w:cs="Times New Roman"/>
          <w:color w:val="000000" w:themeColor="text1"/>
          <w14:textFill>
            <w14:solidFill>
              <w14:schemeClr w14:val="tx1"/>
            </w14:solidFill>
          </w14:textFill>
        </w:rPr>
        <w:t>2.5.2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供配电</w:t>
      </w:r>
      <w:bookmarkEnd w:id="208"/>
      <w:bookmarkEnd w:id="209"/>
      <w:bookmarkEnd w:id="210"/>
    </w:p>
    <w:p w14:paraId="064D71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 xml:space="preserve">该项目生产、生活用电由玉溪市供电局 </w:t>
      </w:r>
      <w:r>
        <w:rPr>
          <w:rFonts w:hint="default" w:ascii="宋体" w:hAnsi="宋体" w:eastAsia="宋体" w:cs="Times New Roman"/>
          <w:color w:val="000000" w:themeColor="text1"/>
          <w:sz w:val="28"/>
          <w:szCs w:val="28"/>
          <w:highlight w:val="none"/>
          <w:lang w:val="en-US" w:eastAsia="zh-CN"/>
          <w14:textFill>
            <w14:solidFill>
              <w14:schemeClr w14:val="tx1"/>
            </w14:solidFill>
          </w14:textFill>
        </w:rPr>
        <w:t>110kV 研和变电站供给，经省道 S102 线10kV 输电线路接入厂区</w:t>
      </w:r>
      <w:r>
        <w:rPr>
          <w:rFonts w:hint="eastAsia" w:hAnsi="宋体" w:cs="Times New Roman"/>
          <w:color w:val="000000" w:themeColor="text1"/>
          <w:sz w:val="28"/>
          <w:szCs w:val="28"/>
          <w:highlight w:val="none"/>
          <w:lang w:val="en-US" w:eastAsia="zh-CN"/>
          <w14:textFill>
            <w14:solidFill>
              <w14:schemeClr w14:val="tx1"/>
            </w14:solidFill>
          </w14:textFill>
        </w:rPr>
        <w:t>安装于大门外的</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1台50KVA变压器</w:t>
      </w:r>
      <w:r>
        <w:rPr>
          <w:rFonts w:hint="default" w:ascii="宋体" w:hAnsi="宋体" w:eastAsia="宋体" w:cs="Times New Roman"/>
          <w:color w:val="000000" w:themeColor="text1"/>
          <w:sz w:val="28"/>
          <w:szCs w:val="28"/>
          <w:highlight w:val="none"/>
          <w:lang w:val="en-US" w:eastAsia="zh-CN"/>
          <w14:textFill>
            <w14:solidFill>
              <w14:schemeClr w14:val="tx1"/>
            </w14:solidFill>
          </w14:textFill>
        </w:rPr>
        <w:t>，</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经变压器</w:t>
      </w:r>
      <w:r>
        <w:rPr>
          <w:rFonts w:hint="default" w:ascii="宋体" w:hAnsi="宋体" w:eastAsia="宋体" w:cs="Times New Roman"/>
          <w:color w:val="000000" w:themeColor="text1"/>
          <w:sz w:val="28"/>
          <w:szCs w:val="28"/>
          <w:highlight w:val="none"/>
          <w:lang w:val="en-US" w:eastAsia="zh-CN"/>
          <w14:textFill>
            <w14:solidFill>
              <w14:schemeClr w14:val="tx1"/>
            </w14:solidFill>
          </w14:textFill>
        </w:rPr>
        <w:t>变压 380/220V 由配电室向各车间配送电‌</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。动力用电380V，生活用电220V。</w:t>
      </w:r>
    </w:p>
    <w:p w14:paraId="10651EEA">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11" w:name="_Toc21017"/>
      <w:bookmarkStart w:id="212" w:name="_Toc14522"/>
      <w:bookmarkStart w:id="213" w:name="_Toc19441"/>
      <w:r>
        <w:rPr>
          <w:rFonts w:hint="default" w:ascii="Times New Roman" w:hAnsi="Times New Roman" w:eastAsia="黑体" w:cs="Times New Roman"/>
          <w:color w:val="000000" w:themeColor="text1"/>
          <w14:textFill>
            <w14:solidFill>
              <w14:schemeClr w14:val="tx1"/>
            </w14:solidFill>
          </w14:textFill>
        </w:rPr>
        <w:t>2.5.3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防雷防静电</w:t>
      </w:r>
      <w:bookmarkEnd w:id="211"/>
      <w:bookmarkEnd w:id="212"/>
      <w:bookmarkEnd w:id="213"/>
    </w:p>
    <w:p w14:paraId="75F69352">
      <w:pPr>
        <w:tabs>
          <w:tab w:val="left" w:pos="2700"/>
        </w:tabs>
        <w:adjustRightInd w:val="0"/>
        <w:snapToGrid w:val="0"/>
        <w:spacing w:line="500" w:lineRule="exact"/>
        <w:ind w:firstLine="560" w:firstLineChars="200"/>
        <w:rPr>
          <w:rFonts w:ascii="宋体" w:hAnsi="宋体" w:cs="宋体"/>
          <w:color w:val="000000" w:themeColor="text1"/>
          <w:sz w:val="28"/>
          <w:highlight w:val="yellow"/>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项目范围内的建（构）筑物均已按第三类防雷建筑物建设防雷接地装置，生产车间、办公楼等建（构）筑物均进行了相应的防雷接地。</w:t>
      </w:r>
      <w:r>
        <w:rPr>
          <w:rFonts w:hint="eastAsia" w:ascii="宋体" w:hAnsi="宋体" w:cs="宋体"/>
          <w:color w:val="000000" w:themeColor="text1"/>
          <w:sz w:val="28"/>
          <w14:textFill>
            <w14:solidFill>
              <w14:schemeClr w14:val="tx1"/>
            </w14:solidFill>
          </w14:textFill>
        </w:rPr>
        <w:t>于202</w:t>
      </w: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cs="宋体"/>
          <w:color w:val="000000" w:themeColor="text1"/>
          <w:sz w:val="28"/>
          <w14:textFill>
            <w14:solidFill>
              <w14:schemeClr w14:val="tx1"/>
            </w14:solidFill>
          </w14:textFill>
        </w:rPr>
        <w:t>年</w:t>
      </w:r>
      <w:r>
        <w:rPr>
          <w:rFonts w:hint="eastAsia" w:hAnsi="宋体" w:cs="宋体"/>
          <w:color w:val="000000" w:themeColor="text1"/>
          <w:sz w:val="28"/>
          <w:lang w:val="en-US" w:eastAsia="zh-CN"/>
          <w14:textFill>
            <w14:solidFill>
              <w14:schemeClr w14:val="tx1"/>
            </w14:solidFill>
          </w14:textFill>
        </w:rPr>
        <w:t>11</w:t>
      </w:r>
      <w:r>
        <w:rPr>
          <w:rFonts w:hint="eastAsia" w:ascii="宋体" w:hAnsi="宋体" w:cs="宋体"/>
          <w:color w:val="000000" w:themeColor="text1"/>
          <w:sz w:val="28"/>
          <w14:textFill>
            <w14:solidFill>
              <w14:schemeClr w14:val="tx1"/>
            </w14:solidFill>
          </w14:textFill>
        </w:rPr>
        <w:t>月</w:t>
      </w:r>
      <w:r>
        <w:rPr>
          <w:rFonts w:hint="eastAsia" w:hAnsi="宋体" w:cs="宋体"/>
          <w:color w:val="000000" w:themeColor="text1"/>
          <w:sz w:val="28"/>
          <w:lang w:val="en-US" w:eastAsia="zh-CN"/>
          <w14:textFill>
            <w14:solidFill>
              <w14:schemeClr w14:val="tx1"/>
            </w14:solidFill>
          </w14:textFill>
        </w:rPr>
        <w:t>07</w:t>
      </w:r>
      <w:r>
        <w:rPr>
          <w:rFonts w:hint="eastAsia" w:ascii="宋体" w:hAnsi="宋体" w:cs="宋体"/>
          <w:color w:val="000000" w:themeColor="text1"/>
          <w:sz w:val="28"/>
          <w14:textFill>
            <w14:solidFill>
              <w14:schemeClr w14:val="tx1"/>
            </w14:solidFill>
          </w14:textFill>
        </w:rPr>
        <w:t>日委托</w:t>
      </w:r>
      <w:r>
        <w:rPr>
          <w:rFonts w:hint="eastAsia" w:hAnsi="宋体" w:cs="宋体"/>
          <w:color w:val="000000" w:themeColor="text1"/>
          <w:sz w:val="28"/>
          <w:lang w:val="en-US" w:eastAsia="zh-CN"/>
          <w14:textFill>
            <w14:solidFill>
              <w14:schemeClr w14:val="tx1"/>
            </w14:solidFill>
          </w14:textFill>
        </w:rPr>
        <w:t>有资质检测机构对</w:t>
      </w:r>
      <w:r>
        <w:rPr>
          <w:rFonts w:hint="eastAsia" w:ascii="宋体" w:hAnsi="宋体" w:cs="宋体"/>
          <w:color w:val="000000" w:themeColor="text1"/>
          <w:sz w:val="28"/>
          <w14:textFill>
            <w14:solidFill>
              <w14:schemeClr w14:val="tx1"/>
            </w14:solidFill>
          </w14:textFill>
        </w:rPr>
        <w:t>防雷装置进行检测，检测结果均为合格，</w:t>
      </w:r>
      <w:r>
        <w:rPr>
          <w:rFonts w:hint="eastAsia" w:ascii="宋体" w:hAnsi="宋体" w:eastAsia="宋体" w:cs="宋体"/>
          <w:color w:val="000000" w:themeColor="text1"/>
          <w:sz w:val="28"/>
          <w14:textFill>
            <w14:solidFill>
              <w14:schemeClr w14:val="tx1"/>
            </w14:solidFill>
          </w14:textFill>
        </w:rPr>
        <w:t>报告编号：</w:t>
      </w:r>
      <w:r>
        <w:rPr>
          <w:rFonts w:hint="eastAsia" w:ascii="宋体" w:hAnsi="宋体" w:eastAsia="宋体" w:cs="宋体"/>
          <w:color w:val="000000" w:themeColor="text1"/>
          <w:sz w:val="28"/>
          <w:lang w:val="en-US" w:eastAsia="zh-CN"/>
          <w14:textFill>
            <w14:solidFill>
              <w14:schemeClr w14:val="tx1"/>
            </w14:solidFill>
          </w14:textFill>
        </w:rPr>
        <w:t>YLLC雷检[2024]0978号</w:t>
      </w:r>
      <w:r>
        <w:rPr>
          <w:rFonts w:hint="eastAsia" w:ascii="宋体" w:hAnsi="宋体" w:eastAsia="宋体" w:cs="宋体"/>
          <w:color w:val="000000" w:themeColor="text1"/>
          <w:sz w:val="28"/>
          <w14:textFill>
            <w14:solidFill>
              <w14:schemeClr w14:val="tx1"/>
            </w14:solidFill>
          </w14:textFill>
        </w:rPr>
        <w:t>。有效期至：202</w:t>
      </w:r>
      <w:r>
        <w:rPr>
          <w:rFonts w:hint="eastAsia" w:ascii="宋体" w:hAnsi="宋体" w:eastAsia="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14:textFill>
            <w14:solidFill>
              <w14:schemeClr w14:val="tx1"/>
            </w14:solidFill>
          </w14:textFill>
        </w:rPr>
        <w:t>年</w:t>
      </w:r>
      <w:r>
        <w:rPr>
          <w:rFonts w:hint="eastAsia" w:hAnsi="宋体" w:cs="宋体"/>
          <w:color w:val="000000" w:themeColor="text1"/>
          <w:sz w:val="28"/>
          <w:lang w:val="en-US" w:eastAsia="zh-CN"/>
          <w14:textFill>
            <w14:solidFill>
              <w14:schemeClr w14:val="tx1"/>
            </w14:solidFill>
          </w14:textFill>
        </w:rPr>
        <w:t>11</w:t>
      </w:r>
      <w:r>
        <w:rPr>
          <w:rFonts w:hint="eastAsia" w:ascii="宋体" w:hAnsi="宋体" w:eastAsia="宋体" w:cs="宋体"/>
          <w:color w:val="000000" w:themeColor="text1"/>
          <w:sz w:val="28"/>
          <w14:textFill>
            <w14:solidFill>
              <w14:schemeClr w14:val="tx1"/>
            </w14:solidFill>
          </w14:textFill>
        </w:rPr>
        <w:t>月</w:t>
      </w:r>
      <w:r>
        <w:rPr>
          <w:rFonts w:hint="eastAsia" w:hAnsi="宋体" w:cs="宋体"/>
          <w:color w:val="000000" w:themeColor="text1"/>
          <w:sz w:val="28"/>
          <w:lang w:val="en-US" w:eastAsia="zh-CN"/>
          <w14:textFill>
            <w14:solidFill>
              <w14:schemeClr w14:val="tx1"/>
            </w14:solidFill>
          </w14:textFill>
        </w:rPr>
        <w:t>07</w:t>
      </w:r>
      <w:r>
        <w:rPr>
          <w:rFonts w:hint="eastAsia" w:ascii="宋体" w:hAnsi="宋体" w:eastAsia="宋体" w:cs="宋体"/>
          <w:color w:val="000000" w:themeColor="text1"/>
          <w:sz w:val="28"/>
          <w14:textFill>
            <w14:solidFill>
              <w14:schemeClr w14:val="tx1"/>
            </w14:solidFill>
          </w14:textFill>
        </w:rPr>
        <w:t>日，防雷检测报告见附件。</w:t>
      </w:r>
    </w:p>
    <w:p w14:paraId="354A6C25">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14" w:name="_Toc26245"/>
      <w:bookmarkStart w:id="215" w:name="_Toc17830"/>
      <w:bookmarkStart w:id="216" w:name="_Toc5745"/>
      <w:r>
        <w:rPr>
          <w:rFonts w:hint="default" w:ascii="Times New Roman" w:hAnsi="Times New Roman" w:eastAsia="黑体" w:cs="Times New Roman"/>
          <w:color w:val="000000" w:themeColor="text1"/>
          <w14:textFill>
            <w14:solidFill>
              <w14:schemeClr w14:val="tx1"/>
            </w14:solidFill>
          </w14:textFill>
        </w:rPr>
        <w:t>2.5.4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消防</w:t>
      </w:r>
      <w:bookmarkEnd w:id="202"/>
      <w:bookmarkEnd w:id="203"/>
      <w:bookmarkEnd w:id="214"/>
      <w:bookmarkEnd w:id="215"/>
      <w:bookmarkEnd w:id="216"/>
    </w:p>
    <w:p w14:paraId="6933CF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ascii="宋体" w:hAnsi="宋体"/>
          <w:color w:val="000000"/>
          <w:sz w:val="28"/>
          <w:szCs w:val="28"/>
          <w:lang w:val="en-US" w:eastAsia="zh-CN"/>
        </w:rPr>
        <w:t>公司</w:t>
      </w:r>
      <w:r>
        <w:rPr>
          <w:rFonts w:hint="eastAsia" w:ascii="宋体" w:hAnsi="宋体"/>
          <w:color w:val="000000"/>
          <w:sz w:val="28"/>
          <w:szCs w:val="28"/>
        </w:rPr>
        <w:t>按照《建筑设计防火规范》（GB50016-20</w:t>
      </w:r>
      <w:r>
        <w:rPr>
          <w:rFonts w:hint="eastAsia" w:ascii="宋体" w:hAnsi="宋体"/>
          <w:color w:val="000000"/>
          <w:sz w:val="28"/>
          <w:szCs w:val="28"/>
          <w:lang w:val="en-US" w:eastAsia="zh-CN"/>
        </w:rPr>
        <w:t>14</w:t>
      </w:r>
      <w:r>
        <w:rPr>
          <w:rFonts w:hint="eastAsia" w:ascii="宋体" w:hAnsi="宋体"/>
          <w:color w:val="000000"/>
          <w:sz w:val="28"/>
          <w:szCs w:val="28"/>
        </w:rPr>
        <w:t>）的</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相关要求，已在办公</w:t>
      </w:r>
      <w:r>
        <w:rPr>
          <w:rFonts w:hint="eastAsia" w:ascii="Times New Roman" w:cs="Times New Roman"/>
          <w:color w:val="000000" w:themeColor="text1"/>
          <w:sz w:val="28"/>
          <w:szCs w:val="28"/>
          <w:lang w:val="en-US" w:eastAsia="zh-CN"/>
          <w14:textFill>
            <w14:solidFill>
              <w14:schemeClr w14:val="tx1"/>
            </w14:solidFill>
          </w14:textFill>
        </w:rPr>
        <w:t>区</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、生产区、</w:t>
      </w:r>
      <w:r>
        <w:rPr>
          <w:rFonts w:hint="eastAsia" w:ascii="Times New Roman" w:cs="Times New Roman"/>
          <w:color w:val="000000" w:themeColor="text1"/>
          <w:sz w:val="28"/>
          <w:szCs w:val="28"/>
          <w:lang w:val="en-US" w:eastAsia="zh-CN"/>
          <w14:textFill>
            <w14:solidFill>
              <w14:schemeClr w14:val="tx1"/>
            </w14:solidFill>
          </w14:textFill>
        </w:rPr>
        <w:t>原料仓库、成品仓库旁</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等位置，设置了手提式干粉灭火器，防止建筑物及电气火灾。</w:t>
      </w:r>
      <w:r>
        <w:rPr>
          <w:rFonts w:hint="eastAsia" w:ascii="Times New Roman" w:cs="Times New Roman"/>
          <w:color w:val="000000" w:themeColor="text1"/>
          <w:sz w:val="28"/>
          <w:szCs w:val="28"/>
          <w:lang w:val="en-US" w:eastAsia="zh-CN"/>
          <w14:textFill>
            <w14:solidFill>
              <w14:schemeClr w14:val="tx1"/>
            </w14:solidFill>
          </w14:textFill>
        </w:rPr>
        <w:t>并已取得消防验收备案检查合格通知书，编号为：红公消竣查字（2016）第0028号。</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主要消防设置见表2-</w:t>
      </w:r>
      <w:r>
        <w:rPr>
          <w:rFonts w:hint="eastAsia" w:ascii="Times New Roman" w:cs="Times New Roman"/>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w:t>
      </w:r>
    </w:p>
    <w:p w14:paraId="7F014B2D">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表2-</w:t>
      </w: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主要消防设施一览表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2"/>
        <w:gridCol w:w="2171"/>
        <w:gridCol w:w="2839"/>
      </w:tblGrid>
      <w:tr w14:paraId="31DC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99" w:type="dxa"/>
            <w:vAlign w:val="center"/>
          </w:tcPr>
          <w:p w14:paraId="3062D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设备名称</w:t>
            </w:r>
          </w:p>
        </w:tc>
        <w:tc>
          <w:tcPr>
            <w:tcW w:w="2214" w:type="dxa"/>
            <w:vAlign w:val="center"/>
          </w:tcPr>
          <w:p w14:paraId="10B5D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设备</w:t>
            </w:r>
            <w:r>
              <w:rPr>
                <w:rFonts w:hint="eastAsia" w:hAnsi="宋体" w:cs="宋体"/>
                <w:b w:val="0"/>
                <w:bCs w:val="0"/>
                <w:color w:val="000000" w:themeColor="text1"/>
                <w:sz w:val="21"/>
                <w:szCs w:val="21"/>
                <w:lang w:val="en-US" w:eastAsia="zh-CN"/>
                <w14:textFill>
                  <w14:solidFill>
                    <w14:schemeClr w14:val="tx1"/>
                  </w14:solidFill>
                </w14:textFill>
              </w:rPr>
              <w:t>规格、</w:t>
            </w:r>
            <w:r>
              <w:rPr>
                <w:rFonts w:hint="eastAsia" w:ascii="宋体" w:hAnsi="宋体" w:eastAsia="宋体" w:cs="宋体"/>
                <w:b w:val="0"/>
                <w:bCs w:val="0"/>
                <w:color w:val="000000" w:themeColor="text1"/>
                <w:sz w:val="21"/>
                <w:szCs w:val="21"/>
                <w14:textFill>
                  <w14:solidFill>
                    <w14:schemeClr w14:val="tx1"/>
                  </w14:solidFill>
                </w14:textFill>
              </w:rPr>
              <w:t>数量</w:t>
            </w:r>
          </w:p>
        </w:tc>
        <w:tc>
          <w:tcPr>
            <w:tcW w:w="2907" w:type="dxa"/>
            <w:vAlign w:val="center"/>
          </w:tcPr>
          <w:p w14:paraId="6FD73C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设置位置</w:t>
            </w:r>
          </w:p>
        </w:tc>
      </w:tr>
      <w:tr w14:paraId="674A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99" w:type="dxa"/>
            <w:vAlign w:val="center"/>
          </w:tcPr>
          <w:p w14:paraId="1E038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214" w:type="dxa"/>
            <w:vAlign w:val="center"/>
          </w:tcPr>
          <w:p w14:paraId="1AA1C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ABC5型、2</w:t>
            </w:r>
            <w:r>
              <w:rPr>
                <w:rFonts w:hint="eastAsia" w:ascii="宋体" w:hAnsi="宋体" w:eastAsia="宋体" w:cs="宋体"/>
                <w:color w:val="000000" w:themeColor="text1"/>
                <w:sz w:val="21"/>
                <w:szCs w:val="21"/>
                <w14:textFill>
                  <w14:solidFill>
                    <w14:schemeClr w14:val="tx1"/>
                  </w14:solidFill>
                </w14:textFill>
              </w:rPr>
              <w:t>具</w:t>
            </w:r>
          </w:p>
        </w:tc>
        <w:tc>
          <w:tcPr>
            <w:tcW w:w="2907" w:type="dxa"/>
            <w:vAlign w:val="center"/>
          </w:tcPr>
          <w:p w14:paraId="45F9C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办公区</w:t>
            </w:r>
          </w:p>
        </w:tc>
      </w:tr>
      <w:tr w14:paraId="4A60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99" w:type="dxa"/>
            <w:vAlign w:val="center"/>
          </w:tcPr>
          <w:p w14:paraId="2F6612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214" w:type="dxa"/>
            <w:vAlign w:val="center"/>
          </w:tcPr>
          <w:p w14:paraId="4FB3C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ABC5型、6</w:t>
            </w:r>
            <w:r>
              <w:rPr>
                <w:rFonts w:hint="eastAsia" w:ascii="宋体" w:hAnsi="宋体" w:eastAsia="宋体" w:cs="宋体"/>
                <w:color w:val="000000" w:themeColor="text1"/>
                <w:sz w:val="21"/>
                <w:szCs w:val="21"/>
                <w14:textFill>
                  <w14:solidFill>
                    <w14:schemeClr w14:val="tx1"/>
                  </w14:solidFill>
                </w14:textFill>
              </w:rPr>
              <w:t>具</w:t>
            </w:r>
          </w:p>
        </w:tc>
        <w:tc>
          <w:tcPr>
            <w:tcW w:w="2907" w:type="dxa"/>
            <w:vAlign w:val="center"/>
          </w:tcPr>
          <w:p w14:paraId="16496A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生产区</w:t>
            </w:r>
          </w:p>
        </w:tc>
      </w:tr>
      <w:tr w14:paraId="00DD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99" w:type="dxa"/>
            <w:vAlign w:val="center"/>
          </w:tcPr>
          <w:p w14:paraId="5AA51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214" w:type="dxa"/>
            <w:vAlign w:val="center"/>
          </w:tcPr>
          <w:p w14:paraId="170AC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ABC5型、6</w:t>
            </w:r>
            <w:r>
              <w:rPr>
                <w:rFonts w:hint="eastAsia" w:ascii="宋体" w:hAnsi="宋体" w:eastAsia="宋体" w:cs="宋体"/>
                <w:color w:val="000000" w:themeColor="text1"/>
                <w:sz w:val="21"/>
                <w:szCs w:val="21"/>
                <w14:textFill>
                  <w14:solidFill>
                    <w14:schemeClr w14:val="tx1"/>
                  </w14:solidFill>
                </w14:textFill>
              </w:rPr>
              <w:t>具</w:t>
            </w:r>
          </w:p>
        </w:tc>
        <w:tc>
          <w:tcPr>
            <w:tcW w:w="2907" w:type="dxa"/>
            <w:vAlign w:val="center"/>
          </w:tcPr>
          <w:p w14:paraId="08A08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成品仓库</w:t>
            </w:r>
          </w:p>
        </w:tc>
      </w:tr>
      <w:tr w14:paraId="4810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99" w:type="dxa"/>
            <w:vAlign w:val="center"/>
          </w:tcPr>
          <w:p w14:paraId="7D3BF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消防栓</w:t>
            </w:r>
          </w:p>
        </w:tc>
        <w:tc>
          <w:tcPr>
            <w:tcW w:w="2214" w:type="dxa"/>
            <w:vAlign w:val="center"/>
          </w:tcPr>
          <w:p w14:paraId="1E2A7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1个</w:t>
            </w:r>
          </w:p>
        </w:tc>
        <w:tc>
          <w:tcPr>
            <w:tcW w:w="2907" w:type="dxa"/>
            <w:vAlign w:val="center"/>
          </w:tcPr>
          <w:p w14:paraId="300DB6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生产区</w:t>
            </w:r>
          </w:p>
        </w:tc>
      </w:tr>
    </w:tbl>
    <w:p w14:paraId="6492AD47">
      <w:pPr>
        <w:pStyle w:val="23"/>
        <w:rPr>
          <w:rFonts w:hint="eastAsia"/>
          <w:color w:val="000000" w:themeColor="text1"/>
          <w:lang w:val="en-US" w:eastAsia="zh-CN"/>
          <w14:textFill>
            <w14:solidFill>
              <w14:schemeClr w14:val="tx1"/>
            </w14:solidFill>
          </w14:textFill>
        </w:rPr>
      </w:pPr>
    </w:p>
    <w:p w14:paraId="596C370C">
      <w:pPr>
        <w:pStyle w:val="6"/>
        <w:keepNext/>
        <w:keepLines/>
        <w:pageBreakBefore w:val="0"/>
        <w:widowControl w:val="0"/>
        <w:kinsoku/>
        <w:wordWrap/>
        <w:overflowPunct/>
        <w:topLinePunct w:val="0"/>
        <w:autoSpaceDE/>
        <w:autoSpaceDN/>
        <w:bidi w:val="0"/>
        <w:adjustRightInd/>
        <w:snapToGrid w:val="0"/>
        <w:jc w:val="both"/>
        <w:textAlignment w:val="auto"/>
        <w:rPr>
          <w:rFonts w:hint="eastAsia" w:hAnsi="宋体" w:cs="宋体"/>
          <w:color w:val="000000" w:themeColor="text1"/>
          <w:sz w:val="28"/>
          <w:szCs w:val="28"/>
          <w:lang w:val="en-US" w:eastAsia="zh-CN"/>
          <w14:textFill>
            <w14:solidFill>
              <w14:schemeClr w14:val="tx1"/>
            </w14:solidFill>
          </w14:textFill>
        </w:rPr>
      </w:pPr>
      <w:bookmarkStart w:id="217" w:name="_Toc11830"/>
      <w:bookmarkStart w:id="218" w:name="_Toc11646"/>
      <w:bookmarkStart w:id="219" w:name="_Toc8335"/>
      <w:r>
        <w:rPr>
          <w:rFonts w:hint="eastAsia" w:ascii="Times New Roman" w:hAnsi="Times New Roman" w:cs="Times New Roman"/>
          <w:color w:val="000000" w:themeColor="text1"/>
          <w:lang w:val="en-US" w:eastAsia="zh-CN"/>
          <w14:textFill>
            <w14:solidFill>
              <w14:schemeClr w14:val="tx1"/>
            </w14:solidFill>
          </w14:textFill>
        </w:rPr>
        <w:t>2.5.5</w:t>
      </w:r>
      <w:r>
        <w:rPr>
          <w:rFonts w:hint="eastAsia" w:ascii="Times New Roman" w:hAnsi="Times New Roman" w:eastAsia="黑体" w:cs="Times New Roman"/>
          <w:color w:val="000000" w:themeColor="text1"/>
          <w:lang w:val="en-US" w:eastAsia="zh-CN"/>
          <w14:textFill>
            <w14:solidFill>
              <w14:schemeClr w14:val="tx1"/>
            </w14:solidFill>
          </w14:textFill>
        </w:rPr>
        <w:t>供气情况</w:t>
      </w:r>
      <w:bookmarkEnd w:id="217"/>
    </w:p>
    <w:p w14:paraId="41B626B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hAnsi="宋体" w:cs="宋体"/>
          <w:color w:val="000000" w:themeColor="text1"/>
          <w:sz w:val="28"/>
          <w:szCs w:val="28"/>
          <w:lang w:val="en-US" w:eastAsia="zh-CN"/>
          <w14:textFill>
            <w14:solidFill>
              <w14:schemeClr w14:val="tx1"/>
            </w14:solidFill>
          </w14:textFill>
        </w:rPr>
      </w:pPr>
      <w:r>
        <w:rPr>
          <w:rFonts w:hint="eastAsia" w:hAnsi="宋体" w:cs="宋体"/>
          <w:color w:val="000000" w:themeColor="text1"/>
          <w:sz w:val="28"/>
          <w:szCs w:val="28"/>
          <w:lang w:val="en-US" w:eastAsia="zh-CN"/>
          <w14:textFill>
            <w14:solidFill>
              <w14:schemeClr w14:val="tx1"/>
            </w14:solidFill>
          </w14:textFill>
        </w:rPr>
        <w:t>通过使用电力，使空压机产生气体储存于储气罐中，然后通过管道输送到各个设备，驱动设备运转。空压机品牌：捷豹牌螺杆空压机，储气罐容积1.0m³，工作压力0.8MPa。</w:t>
      </w:r>
    </w:p>
    <w:bookmarkEnd w:id="218"/>
    <w:p w14:paraId="4FD2AD8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20" w:name="_Toc306"/>
      <w:bookmarkStart w:id="221" w:name="_Toc9737"/>
      <w:r>
        <w:rPr>
          <w:rFonts w:hint="default" w:ascii="Times New Roman" w:hAnsi="Times New Roman" w:eastAsia="黑体" w:cs="Times New Roman"/>
          <w:color w:val="000000" w:themeColor="text1"/>
          <w14:textFill>
            <w14:solidFill>
              <w14:schemeClr w14:val="tx1"/>
            </w14:solidFill>
          </w14:textFill>
        </w:rPr>
        <w:t>2.5.</w:t>
      </w:r>
      <w:bookmarkEnd w:id="219"/>
      <w:r>
        <w:rPr>
          <w:rFonts w:hint="eastAsia" w:ascii="Times New Roman" w:hAnsi="Times New Roman" w:cs="Times New Roman"/>
          <w:color w:val="000000" w:themeColor="text1"/>
          <w:lang w:val="en-US" w:eastAsia="zh-CN"/>
          <w14:textFill>
            <w14:solidFill>
              <w14:schemeClr w14:val="tx1"/>
            </w14:solidFill>
          </w14:textFill>
        </w:rPr>
        <w:t xml:space="preserve">6 </w:t>
      </w:r>
      <w:r>
        <w:rPr>
          <w:rFonts w:hint="default" w:ascii="Times New Roman" w:hAnsi="Times New Roman" w:eastAsia="黑体" w:cs="Times New Roman"/>
          <w:color w:val="000000" w:themeColor="text1"/>
          <w14:textFill>
            <w14:solidFill>
              <w14:schemeClr w14:val="tx1"/>
            </w14:solidFill>
          </w14:textFill>
        </w:rPr>
        <w:t>其他</w:t>
      </w:r>
      <w:bookmarkEnd w:id="220"/>
      <w:bookmarkEnd w:id="221"/>
    </w:p>
    <w:p w14:paraId="386358E8">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default" w:ascii="Times New Roman" w:hAnsi="Times New Roman" w:cs="Times New Roman"/>
          <w:b/>
          <w:bCs/>
          <w:color w:val="000000" w:themeColor="text1"/>
          <w:sz w:val="28"/>
          <w:szCs w:val="28"/>
          <w14:textFill>
            <w14:solidFill>
              <w14:schemeClr w14:val="tx1"/>
            </w14:solidFill>
          </w14:textFill>
        </w:rPr>
        <w:t>.</w:t>
      </w:r>
      <w:r>
        <w:rPr>
          <w:rFonts w:hint="eastAsia" w:ascii="Times New Roman" w:cs="Times New Roman"/>
          <w:b/>
          <w:bCs/>
          <w:color w:val="000000" w:themeColor="text1"/>
          <w:sz w:val="28"/>
          <w:szCs w:val="28"/>
          <w:lang w:val="en-US" w:eastAsia="zh-CN"/>
          <w14:textFill>
            <w14:solidFill>
              <w14:schemeClr w14:val="tx1"/>
            </w14:solidFill>
          </w14:textFill>
        </w:rPr>
        <w:t>危险物质</w:t>
      </w:r>
      <w:r>
        <w:rPr>
          <w:rFonts w:hint="default" w:ascii="Times New Roman" w:hAnsi="Times New Roman" w:cs="Times New Roman"/>
          <w:b/>
          <w:bCs/>
          <w:color w:val="000000" w:themeColor="text1"/>
          <w:sz w:val="28"/>
          <w:szCs w:val="28"/>
          <w14:textFill>
            <w14:solidFill>
              <w14:schemeClr w14:val="tx1"/>
            </w14:solidFill>
          </w14:textFill>
        </w:rPr>
        <w:t>储存</w:t>
      </w:r>
    </w:p>
    <w:p w14:paraId="154D81B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Times New Roman"/>
          <w:color w:val="000000" w:themeColor="text1"/>
          <w:sz w:val="28"/>
          <w:szCs w:val="28"/>
          <w:lang w:val="en-US" w:eastAsia="zh-CN"/>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通过对本项目生产工艺、原料、辅助材料、产品进行分析后，本项目生产过程中主要的危险物质为片碱（氢氧化钠NaOH）。</w:t>
      </w:r>
    </w:p>
    <w:p w14:paraId="1676ED9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Times New Roman"/>
          <w:color w:val="000000" w:themeColor="text1"/>
          <w:sz w:val="28"/>
          <w:szCs w:val="28"/>
          <w:lang w:val="en-US" w:eastAsia="zh-CN"/>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片碱主要储存在原料仓库内，最大存储量0.1t。</w:t>
      </w:r>
    </w:p>
    <w:p w14:paraId="7890958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2</w:t>
      </w:r>
      <w:r>
        <w:rPr>
          <w:rFonts w:hint="default" w:ascii="Times New Roman" w:hAnsi="Times New Roman" w:cs="Times New Roman"/>
          <w:b/>
          <w:bCs/>
          <w:color w:val="000000" w:themeColor="text1"/>
          <w:sz w:val="28"/>
          <w:szCs w:val="28"/>
          <w14:textFill>
            <w14:solidFill>
              <w14:schemeClr w14:val="tx1"/>
            </w14:solidFill>
          </w14:textFill>
        </w:rPr>
        <w:t>.仓储物流</w:t>
      </w:r>
    </w:p>
    <w:p w14:paraId="3C8E18F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项目主要包括原料</w:t>
      </w:r>
      <w:r>
        <w:rPr>
          <w:rFonts w:hint="eastAsia" w:hAnsi="宋体" w:cs="Times New Roman"/>
          <w:color w:val="000000" w:themeColor="text1"/>
          <w:sz w:val="28"/>
          <w:szCs w:val="28"/>
          <w:lang w:val="en-US" w:eastAsia="zh-CN"/>
          <w14:textFill>
            <w14:solidFill>
              <w14:schemeClr w14:val="tx1"/>
            </w14:solidFill>
          </w14:textFill>
        </w:rPr>
        <w:t>堆放区</w:t>
      </w:r>
      <w:r>
        <w:rPr>
          <w:rFonts w:hint="eastAsia" w:ascii="宋体" w:hAnsi="宋体" w:eastAsia="宋体" w:cs="Times New Roman"/>
          <w:color w:val="000000" w:themeColor="text1"/>
          <w:sz w:val="28"/>
          <w:szCs w:val="28"/>
          <w:lang w:val="en-US" w:eastAsia="zh-CN"/>
          <w14:textFill>
            <w14:solidFill>
              <w14:schemeClr w14:val="tx1"/>
            </w14:solidFill>
          </w14:textFill>
        </w:rPr>
        <w:t>、成品</w:t>
      </w:r>
      <w:r>
        <w:rPr>
          <w:rFonts w:hint="eastAsia" w:hAnsi="宋体" w:cs="Times New Roman"/>
          <w:color w:val="000000" w:themeColor="text1"/>
          <w:sz w:val="28"/>
          <w:szCs w:val="28"/>
          <w:lang w:val="en-US" w:eastAsia="zh-CN"/>
          <w14:textFill>
            <w14:solidFill>
              <w14:schemeClr w14:val="tx1"/>
            </w14:solidFill>
          </w14:textFill>
        </w:rPr>
        <w:t>堆放区</w:t>
      </w:r>
      <w:r>
        <w:rPr>
          <w:rFonts w:hint="eastAsia" w:ascii="宋体" w:hAnsi="宋体" w:eastAsia="宋体" w:cs="Times New Roman"/>
          <w:color w:val="000000" w:themeColor="text1"/>
          <w:sz w:val="28"/>
          <w:szCs w:val="28"/>
          <w:lang w:val="en-US" w:eastAsia="zh-CN"/>
          <w14:textFill>
            <w14:solidFill>
              <w14:schemeClr w14:val="tx1"/>
            </w14:solidFill>
          </w14:textFill>
        </w:rPr>
        <w:t>，</w:t>
      </w:r>
      <w:r>
        <w:rPr>
          <w:rFonts w:hint="eastAsia" w:hAnsi="宋体" w:cs="Times New Roman"/>
          <w:color w:val="000000" w:themeColor="text1"/>
          <w:sz w:val="28"/>
          <w:szCs w:val="28"/>
          <w:lang w:val="en-US" w:eastAsia="zh-CN"/>
          <w14:textFill>
            <w14:solidFill>
              <w14:schemeClr w14:val="tx1"/>
            </w14:solidFill>
          </w14:textFill>
        </w:rPr>
        <w:t>两区</w:t>
      </w:r>
      <w:r>
        <w:rPr>
          <w:rFonts w:hint="eastAsia" w:ascii="宋体" w:hAnsi="宋体" w:eastAsia="宋体" w:cs="Times New Roman"/>
          <w:color w:val="000000" w:themeColor="text1"/>
          <w:sz w:val="28"/>
          <w:szCs w:val="28"/>
          <w:lang w:val="en-US" w:eastAsia="zh-CN"/>
          <w14:textFill>
            <w14:solidFill>
              <w14:schemeClr w14:val="tx1"/>
            </w14:solidFill>
          </w14:textFill>
        </w:rPr>
        <w:t>独立设置。</w:t>
      </w:r>
      <w:r>
        <w:rPr>
          <w:rFonts w:hint="eastAsia" w:hAnsi="宋体" w:cs="Times New Roman"/>
          <w:color w:val="000000" w:themeColor="text1"/>
          <w:sz w:val="28"/>
          <w:szCs w:val="28"/>
          <w:lang w:val="en-US" w:eastAsia="zh-CN"/>
          <w14:textFill>
            <w14:solidFill>
              <w14:schemeClr w14:val="tx1"/>
            </w14:solidFill>
          </w14:textFill>
        </w:rPr>
        <w:t>货运车辆</w:t>
      </w:r>
      <w:r>
        <w:rPr>
          <w:rFonts w:hint="eastAsia" w:ascii="宋体" w:hAnsi="宋体" w:eastAsia="宋体" w:cs="Times New Roman"/>
          <w:color w:val="000000" w:themeColor="text1"/>
          <w:sz w:val="28"/>
          <w:szCs w:val="28"/>
          <w:lang w:val="en-US" w:eastAsia="zh-CN"/>
          <w14:textFill>
            <w14:solidFill>
              <w14:schemeClr w14:val="tx1"/>
            </w14:solidFill>
          </w14:textFill>
        </w:rPr>
        <w:t>由厂区大门进入，方便物料及</w:t>
      </w:r>
      <w:r>
        <w:rPr>
          <w:rFonts w:hint="eastAsia" w:hAnsi="宋体" w:cs="Times New Roman"/>
          <w:color w:val="000000" w:themeColor="text1"/>
          <w:sz w:val="28"/>
          <w:szCs w:val="28"/>
          <w:lang w:val="en-US" w:eastAsia="zh-CN"/>
          <w14:textFill>
            <w14:solidFill>
              <w14:schemeClr w14:val="tx1"/>
            </w14:solidFill>
          </w14:textFill>
        </w:rPr>
        <w:t>成</w:t>
      </w:r>
      <w:r>
        <w:rPr>
          <w:rFonts w:hint="eastAsia" w:ascii="宋体" w:hAnsi="宋体" w:eastAsia="宋体" w:cs="Times New Roman"/>
          <w:color w:val="000000" w:themeColor="text1"/>
          <w:sz w:val="28"/>
          <w:szCs w:val="28"/>
          <w:lang w:val="en-US" w:eastAsia="zh-CN"/>
          <w14:textFill>
            <w14:solidFill>
              <w14:schemeClr w14:val="tx1"/>
            </w14:solidFill>
          </w14:textFill>
        </w:rPr>
        <w:t>品的运输。</w:t>
      </w:r>
    </w:p>
    <w:p w14:paraId="033B51E5">
      <w:pPr>
        <w:pStyle w:val="5"/>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楷体" w:cs="Times New Roman"/>
          <w:color w:val="000000" w:themeColor="text1"/>
          <w:lang w:eastAsia="zh-CN"/>
          <w14:textFill>
            <w14:solidFill>
              <w14:schemeClr w14:val="tx1"/>
            </w14:solidFill>
          </w14:textFill>
        </w:rPr>
      </w:pPr>
      <w:bookmarkStart w:id="222" w:name="_Toc331"/>
      <w:bookmarkStart w:id="223" w:name="_Toc21082"/>
      <w:r>
        <w:rPr>
          <w:rFonts w:hint="default" w:ascii="Times New Roman" w:hAnsi="Times New Roman" w:eastAsia="楷体"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 xml:space="preserve">6 </w:t>
      </w:r>
      <w:r>
        <w:rPr>
          <w:rFonts w:hint="default" w:ascii="Times New Roman" w:hAnsi="Times New Roman" w:eastAsia="楷体" w:cs="Times New Roman"/>
          <w:color w:val="000000" w:themeColor="text1"/>
          <w14:textFill>
            <w14:solidFill>
              <w14:schemeClr w14:val="tx1"/>
            </w14:solidFill>
          </w14:textFill>
        </w:rPr>
        <w:t>安全</w:t>
      </w:r>
      <w:r>
        <w:rPr>
          <w:rFonts w:hint="eastAsia" w:ascii="Times New Roman" w:hAnsi="Times New Roman" w:cs="Times New Roman"/>
          <w:color w:val="000000" w:themeColor="text1"/>
          <w:lang w:val="en-US" w:eastAsia="zh-CN"/>
          <w14:textFill>
            <w14:solidFill>
              <w14:schemeClr w14:val="tx1"/>
            </w14:solidFill>
          </w14:textFill>
        </w:rPr>
        <w:t>生产</w:t>
      </w:r>
      <w:r>
        <w:rPr>
          <w:rFonts w:hint="default" w:ascii="Times New Roman" w:hAnsi="Times New Roman" w:eastAsia="楷体" w:cs="Times New Roman"/>
          <w:color w:val="000000" w:themeColor="text1"/>
          <w14:textFill>
            <w14:solidFill>
              <w14:schemeClr w14:val="tx1"/>
            </w14:solidFill>
          </w14:textFill>
        </w:rPr>
        <w:t>管理</w:t>
      </w:r>
      <w:bookmarkEnd w:id="222"/>
      <w:r>
        <w:rPr>
          <w:rFonts w:hint="eastAsia" w:ascii="Times New Roman" w:hAnsi="Times New Roman" w:cs="Times New Roman"/>
          <w:color w:val="000000" w:themeColor="text1"/>
          <w:lang w:val="en-US" w:eastAsia="zh-CN"/>
          <w14:textFill>
            <w14:solidFill>
              <w14:schemeClr w14:val="tx1"/>
            </w14:solidFill>
          </w14:textFill>
        </w:rPr>
        <w:t>情况</w:t>
      </w:r>
      <w:bookmarkEnd w:id="223"/>
    </w:p>
    <w:p w14:paraId="1044705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224" w:name="_Toc4430"/>
      <w:bookmarkStart w:id="225" w:name="_Toc15389"/>
      <w:bookmarkStart w:id="226" w:name="_Toc24188"/>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14:textFill>
            <w14:solidFill>
              <w14:schemeClr w14:val="tx1"/>
            </w14:solidFill>
          </w14:textFill>
        </w:rPr>
        <w:t>工作制度</w:t>
      </w:r>
      <w:bookmarkEnd w:id="224"/>
      <w:bookmarkEnd w:id="225"/>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劳动定员</w:t>
      </w:r>
      <w:bookmarkEnd w:id="226"/>
    </w:p>
    <w:p w14:paraId="7F5A5A9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hAnsi="宋体" w:cs="Times New Roman"/>
          <w:color w:val="000000" w:themeColor="text1"/>
          <w:sz w:val="28"/>
          <w:szCs w:val="28"/>
          <w:lang w:val="en-US" w:eastAsia="zh-CN"/>
          <w14:textFill>
            <w14:solidFill>
              <w14:schemeClr w14:val="tx1"/>
            </w14:solidFill>
          </w14:textFill>
        </w:rPr>
      </w:pPr>
      <w:r>
        <w:rPr>
          <w:rFonts w:hint="eastAsia" w:hAnsi="宋体" w:cs="Times New Roman"/>
          <w:color w:val="auto"/>
          <w:sz w:val="28"/>
          <w:szCs w:val="28"/>
          <w:lang w:val="en-US" w:eastAsia="zh-CN"/>
        </w:rPr>
        <w:t>项目工作时间为300天，根据公司订单量适当调整。现员工只需上白班，每天工作8h</w:t>
      </w:r>
      <w:r>
        <w:rPr>
          <w:rFonts w:hint="eastAsia" w:hAnsi="宋体" w:cs="Times New Roman"/>
          <w:color w:val="000000" w:themeColor="text1"/>
          <w:sz w:val="28"/>
          <w:szCs w:val="28"/>
          <w:lang w:val="en-US" w:eastAsia="zh-CN"/>
          <w14:textFill>
            <w14:solidFill>
              <w14:schemeClr w14:val="tx1"/>
            </w14:solidFill>
          </w14:textFill>
        </w:rPr>
        <w:t>。</w:t>
      </w:r>
    </w:p>
    <w:p w14:paraId="19E30EA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hAnsi="宋体"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公司</w:t>
      </w:r>
      <w:r>
        <w:rPr>
          <w:rFonts w:hint="eastAsia" w:ascii="Times New Roman" w:cs="Times New Roman"/>
          <w:color w:val="000000" w:themeColor="text1"/>
          <w:sz w:val="28"/>
          <w:szCs w:val="28"/>
          <w:lang w:val="en-US" w:eastAsia="zh-CN"/>
          <w14:textFill>
            <w14:solidFill>
              <w14:schemeClr w14:val="tx1"/>
            </w14:solidFill>
          </w14:textFill>
        </w:rPr>
        <w:t>现</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在册</w:t>
      </w:r>
      <w:r>
        <w:rPr>
          <w:rFonts w:hint="eastAsia" w:ascii="Times New Roman" w:cs="Times New Roman"/>
          <w:color w:val="000000" w:themeColor="text1"/>
          <w:sz w:val="28"/>
          <w:szCs w:val="28"/>
          <w:lang w:val="en-US" w:eastAsia="zh-CN"/>
          <w14:textFill>
            <w14:solidFill>
              <w14:schemeClr w14:val="tx1"/>
            </w14:solidFill>
          </w14:textFill>
        </w:rPr>
        <w:t>员工6</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人，其中管理人员</w:t>
      </w:r>
      <w:r>
        <w:rPr>
          <w:rFonts w:hint="eastAsia" w:asci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人</w:t>
      </w:r>
      <w:r>
        <w:rPr>
          <w:rFonts w:hint="eastAsia" w:ascii="Times New Roman"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生产人员</w:t>
      </w:r>
      <w:r>
        <w:rPr>
          <w:rFonts w:hint="eastAsia" w:ascii="Times New Roman" w:cs="Times New Roman"/>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人。</w:t>
      </w:r>
    </w:p>
    <w:p w14:paraId="50D646F2">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227" w:name="_Toc24961"/>
      <w:bookmarkStart w:id="228" w:name="_Toc9565"/>
      <w:bookmarkStart w:id="229" w:name="_Toc16033"/>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14:textFill>
            <w14:solidFill>
              <w14:schemeClr w14:val="tx1"/>
            </w14:solidFill>
          </w14:textFill>
        </w:rPr>
        <w:t>.2</w:t>
      </w:r>
      <w:r>
        <w:rPr>
          <w:rFonts w:hint="default" w:ascii="Times New Roman" w:hAnsi="Times New Roman" w:eastAsia="黑体" w:cs="Times New Roman"/>
          <w:color w:val="000000" w:themeColor="text1"/>
          <w:lang w:val="en-US" w:eastAsia="zh-CN"/>
          <w14:textFill>
            <w14:solidFill>
              <w14:schemeClr w14:val="tx1"/>
            </w14:solidFill>
          </w14:textFill>
        </w:rPr>
        <w:t xml:space="preserve"> 安全管理机构</w:t>
      </w:r>
      <w:bookmarkEnd w:id="227"/>
    </w:p>
    <w:p w14:paraId="18C84B6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820420</wp:posOffset>
                </wp:positionH>
                <wp:positionV relativeFrom="paragraph">
                  <wp:posOffset>1250950</wp:posOffset>
                </wp:positionV>
                <wp:extent cx="3528695" cy="3016250"/>
                <wp:effectExtent l="0" t="0" r="0" b="0"/>
                <wp:wrapNone/>
                <wp:docPr id="3"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3528695" cy="3016250"/>
                        </a:xfrm>
                        <a:prstGeom prst="rect">
                          <a:avLst/>
                        </a:prstGeom>
                        <a:noFill/>
                        <a:ln>
                          <a:noFill/>
                        </a:ln>
                      </wps:spPr>
                      <wps:bodyPr upright="1"/>
                    </wps:wsp>
                  </a:graphicData>
                </a:graphic>
              </wp:anchor>
            </w:drawing>
          </mc:Choice>
          <mc:Fallback>
            <w:pict>
              <v:rect id="矩形 1" o:spid="_x0000_s1026" o:spt="1" style="position:absolute;left:0pt;margin-left:64.6pt;margin-top:98.5pt;height:237.5pt;width:277.85pt;z-index:-251655168;mso-width-relative:page;mso-height-relative:page;" filled="f" stroked="f" coordsize="21600,21600" o:gfxdata="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Xac82gAAAAsBAAAPAAAAAAAAAAEAIAAAACIAAABkcnMvZG93bnJldi54bWxQ&#10;SwECFAAUAAAACACHTuJAERl24bwBAAByAwAADgAAAAAAAAABACAAAAApAQAAZHJzL2Uyb0RvYy54&#10;bWxQSwUGAAAAAAYABgBZAQAAVwUAAAAA&#10;">
                <v:fill on="f" focussize="0,0"/>
                <v:stroke on="f"/>
                <v:imagedata o:title=""/>
                <o:lock v:ext="edit" text="t" aspectratio="t"/>
              </v:rect>
            </w:pict>
          </mc:Fallback>
        </mc:AlternateContent>
      </w:r>
      <w:r>
        <w:rPr>
          <w:rFonts w:hint="eastAsia" w:hAnsi="宋体" w:cs="Times New Roman"/>
          <w:color w:val="000000" w:themeColor="text1"/>
          <w:sz w:val="28"/>
          <w:szCs w:val="28"/>
          <w:lang w:val="en-US" w:eastAsia="zh-CN"/>
          <w14:textFill>
            <w14:solidFill>
              <w14:schemeClr w14:val="tx1"/>
            </w14:solidFill>
          </w14:textFill>
        </w:rPr>
        <w:t>云南玉溪洁灵娜精细日化有限责任公司设置有安全管理机构，根据相关法律、法规要求并结合自身实际情况成立了安全管理领导小组，任命葛熹奇为企业专职安全管理人员，负责日常的安全管理工作。公司安全管理网络图见图</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w:t>
      </w:r>
      <w:r>
        <w:rPr>
          <w:rFonts w:hint="eastAsia" w:ascii="Times New Roman" w:cs="Times New Roman"/>
          <w:color w:val="000000" w:themeColor="text1"/>
          <w:sz w:val="28"/>
          <w:szCs w:val="28"/>
          <w:lang w:val="en-US" w:eastAsia="zh-CN"/>
          <w14:textFill>
            <w14:solidFill>
              <w14:schemeClr w14:val="tx1"/>
            </w14:solidFill>
          </w14:textFill>
        </w:rPr>
        <w:t>4</w:t>
      </w:r>
      <w:r>
        <w:rPr>
          <w:rFonts w:hint="eastAsia" w:hAnsi="宋体" w:cs="Times New Roman"/>
          <w:color w:val="000000" w:themeColor="text1"/>
          <w:sz w:val="28"/>
          <w:szCs w:val="28"/>
          <w:lang w:val="en-US" w:eastAsia="zh-CN"/>
          <w14:textFill>
            <w14:solidFill>
              <w14:schemeClr w14:val="tx1"/>
            </w14:solidFill>
          </w14:textFill>
        </w:rPr>
        <w:t>：</w:t>
      </w:r>
      <w:bookmarkEnd w:id="228"/>
      <w:bookmarkEnd w:id="229"/>
    </w:p>
    <w:p w14:paraId="37B3EDAB">
      <w:pPr>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color w:val="000000" w:themeColor="text1"/>
          <w:sz w:val="28"/>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1073150</wp:posOffset>
                </wp:positionH>
                <wp:positionV relativeFrom="paragraph">
                  <wp:posOffset>40005</wp:posOffset>
                </wp:positionV>
                <wp:extent cx="2813685" cy="2580640"/>
                <wp:effectExtent l="4445" t="4445" r="16510" b="5715"/>
                <wp:wrapTopAndBottom/>
                <wp:docPr id="77" name="组合 77"/>
                <wp:cNvGraphicFramePr/>
                <a:graphic xmlns:a="http://schemas.openxmlformats.org/drawingml/2006/main">
                  <a:graphicData uri="http://schemas.microsoft.com/office/word/2010/wordprocessingGroup">
                    <wpg:wgp>
                      <wpg:cNvGrpSpPr/>
                      <wpg:grpSpPr>
                        <a:xfrm>
                          <a:off x="0" y="0"/>
                          <a:ext cx="2813685" cy="2580640"/>
                          <a:chOff x="4132" y="434865"/>
                          <a:chExt cx="4431" cy="4064"/>
                        </a:xfrm>
                      </wpg:grpSpPr>
                      <wps:wsp>
                        <wps:cNvPr id="32" name="文本框 32"/>
                        <wps:cNvSpPr txBox="1"/>
                        <wps:spPr>
                          <a:xfrm>
                            <a:off x="5490" y="435839"/>
                            <a:ext cx="1881" cy="5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81C05E">
                              <w:pPr>
                                <w:jc w:val="center"/>
                                <w:rPr>
                                  <w:rFonts w:hint="eastAsia" w:eastAsia="宋体"/>
                                  <w:lang w:eastAsia="zh-CN"/>
                                </w:rPr>
                              </w:pPr>
                              <w:r>
                                <w:rPr>
                                  <w:rFonts w:hint="eastAsia"/>
                                  <w:lang w:eastAsia="zh-CN"/>
                                </w:rPr>
                                <w:t>安全管理人员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4132" y="437333"/>
                            <a:ext cx="566" cy="157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733E97">
                              <w:pPr>
                                <w:rPr>
                                  <w:rFonts w:hint="default" w:eastAsia="宋体"/>
                                  <w:lang w:val="en-US" w:eastAsia="zh-CN"/>
                                </w:rPr>
                              </w:pPr>
                              <w:r>
                                <w:rPr>
                                  <w:rFonts w:hint="eastAsia"/>
                                  <w:lang w:val="en-US" w:eastAsia="zh-CN"/>
                                </w:rPr>
                                <w:t>原料仓库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5101" y="437308"/>
                            <a:ext cx="566" cy="16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973349">
                              <w:pPr>
                                <w:rPr>
                                  <w:rFonts w:hint="default" w:eastAsia="宋体"/>
                                  <w:lang w:val="en-US" w:eastAsia="zh-CN"/>
                                </w:rPr>
                              </w:pPr>
                              <w:r>
                                <w:rPr>
                                  <w:rFonts w:hint="eastAsia"/>
                                  <w:lang w:val="en-US" w:eastAsia="zh-CN"/>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6061" y="437308"/>
                            <a:ext cx="566" cy="16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EA3AFB">
                              <w:pPr>
                                <w:rPr>
                                  <w:rFonts w:hint="eastAsia" w:eastAsia="宋体"/>
                                  <w:lang w:eastAsia="zh-CN"/>
                                </w:rPr>
                              </w:pPr>
                              <w:r>
                                <w:rPr>
                                  <w:rFonts w:hint="eastAsia"/>
                                  <w:lang w:val="en-US" w:eastAsia="zh-CN"/>
                                </w:rPr>
                                <w:t>生产</w:t>
                              </w:r>
                              <w:r>
                                <w:rPr>
                                  <w:rFonts w:hint="eastAsia"/>
                                  <w:lang w:eastAsia="zh-CN"/>
                                </w:rPr>
                                <w:t>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7037" y="437308"/>
                            <a:ext cx="566" cy="15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3955D3">
                              <w:pPr>
                                <w:rPr>
                                  <w:rFonts w:hint="eastAsia" w:eastAsia="宋体"/>
                                  <w:lang w:eastAsia="zh-CN"/>
                                </w:rPr>
                              </w:pPr>
                              <w:r>
                                <w:rPr>
                                  <w:rFonts w:hint="eastAsia" w:eastAsia="宋体"/>
                                  <w:lang w:eastAsia="zh-CN"/>
                                </w:rPr>
                                <w:t>后勤部门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7997" y="437340"/>
                            <a:ext cx="566" cy="15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00792C">
                              <w:pPr>
                                <w:rPr>
                                  <w:rFonts w:hint="eastAsia" w:eastAsia="宋体"/>
                                  <w:lang w:eastAsia="zh-CN"/>
                                </w:rPr>
                              </w:pPr>
                              <w:r>
                                <w:rPr>
                                  <w:rFonts w:hint="eastAsia"/>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直接箭头连接符 48"/>
                        <wps:cNvCnPr/>
                        <wps:spPr>
                          <a:xfrm>
                            <a:off x="6446" y="436363"/>
                            <a:ext cx="0" cy="467"/>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49" name="直接箭头连接符 49"/>
                        <wps:cNvCnPr/>
                        <wps:spPr>
                          <a:xfrm>
                            <a:off x="7322" y="436838"/>
                            <a:ext cx="0" cy="474"/>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2" name="直接连接符 2"/>
                        <wps:cNvCnPr/>
                        <wps:spPr>
                          <a:xfrm>
                            <a:off x="4400" y="436833"/>
                            <a:ext cx="2908"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a:off x="6442" y="436838"/>
                            <a:ext cx="0" cy="474"/>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a:off x="5386" y="436838"/>
                            <a:ext cx="0" cy="474"/>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53" name="直接箭头连接符 53"/>
                        <wps:cNvCnPr/>
                        <wps:spPr>
                          <a:xfrm>
                            <a:off x="4410" y="436838"/>
                            <a:ext cx="0" cy="474"/>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g:grpSp>
                        <wpg:cNvPr id="76" name="组合 76"/>
                        <wpg:cNvGrpSpPr/>
                        <wpg:grpSpPr>
                          <a:xfrm>
                            <a:off x="5838" y="434865"/>
                            <a:ext cx="2444" cy="2465"/>
                            <a:chOff x="5838" y="434865"/>
                            <a:chExt cx="2444" cy="2465"/>
                          </a:xfrm>
                        </wpg:grpSpPr>
                        <wps:wsp>
                          <wps:cNvPr id="7" name="文本框 7"/>
                          <wps:cNvSpPr txBox="1"/>
                          <wps:spPr>
                            <a:xfrm>
                              <a:off x="5838" y="434865"/>
                              <a:ext cx="1250" cy="5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0FDA1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总经理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46"/>
                          <wps:cNvCnPr/>
                          <wps:spPr>
                            <a:xfrm>
                              <a:off x="6464" y="435388"/>
                              <a:ext cx="0" cy="466"/>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57" name="直接箭头连接符 57"/>
                          <wps:cNvCnPr/>
                          <wps:spPr>
                            <a:xfrm>
                              <a:off x="8278" y="435128"/>
                              <a:ext cx="0" cy="2203"/>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75" name="直接连接符 75"/>
                          <wps:cNvCnPr>
                            <a:stCxn id="7" idx="3"/>
                          </wps:cNvCnPr>
                          <wps:spPr>
                            <a:xfrm>
                              <a:off x="7088" y="435124"/>
                              <a:ext cx="1195"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84.5pt;margin-top:3.15pt;height:203.2pt;width:221.55pt;mso-wrap-distance-bottom:0pt;mso-wrap-distance-top:0pt;z-index:251663360;mso-width-relative:page;mso-height-relative:page;" coordorigin="4132,434865" coordsize="4431,4064" o:gfxdata="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bnWrrNkAAAAJAQAADwAAAAAAAAAB&#10;ACAAAAAiAAAAZHJzL2Rvd25yZXYueG1sUEsBAhQAFAAAAAgAh07iQCOlsGrYBQAAkykAAA4AAAAA&#10;AAAAAQAgAAAAKAEAAGRycy9lMm9Eb2MueG1sUEsFBgAAAAAGAAYAWQEAAHIJAAAAAA==&#10;">
                <o:lock v:ext="edit" aspectratio="f"/>
                <v:shape id="_x0000_s1026" o:spid="_x0000_s1026" o:spt="202" type="#_x0000_t202" style="position:absolute;left:5490;top:435839;height:517;width:1881;"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681C05E">
                        <w:pPr>
                          <w:jc w:val="center"/>
                          <w:rPr>
                            <w:rFonts w:hint="eastAsia" w:eastAsia="宋体"/>
                            <w:lang w:eastAsia="zh-CN"/>
                          </w:rPr>
                        </w:pPr>
                        <w:r>
                          <w:rPr>
                            <w:rFonts w:hint="eastAsia"/>
                            <w:lang w:eastAsia="zh-CN"/>
                          </w:rPr>
                          <w:t>安全管理人员</w:t>
                        </w:r>
                      </w:p>
                    </w:txbxContent>
                  </v:textbox>
                </v:shape>
                <v:shape id="_x0000_s1026" o:spid="_x0000_s1026" o:spt="202" type="#_x0000_t202" style="position:absolute;left:4132;top:437333;height:1573;width:566;" fillcolor="#FFFFFF [3201]"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4733E97">
                        <w:pPr>
                          <w:rPr>
                            <w:rFonts w:hint="default" w:eastAsia="宋体"/>
                            <w:lang w:val="en-US" w:eastAsia="zh-CN"/>
                          </w:rPr>
                        </w:pPr>
                        <w:r>
                          <w:rPr>
                            <w:rFonts w:hint="eastAsia"/>
                            <w:lang w:val="en-US" w:eastAsia="zh-CN"/>
                          </w:rPr>
                          <w:t>原料仓库</w:t>
                        </w:r>
                      </w:p>
                    </w:txbxContent>
                  </v:textbox>
                </v:shape>
                <v:shape id="_x0000_s1026" o:spid="_x0000_s1026" o:spt="202" type="#_x0000_t202" style="position:absolute;left:5101;top:437308;height:1608;width:566;" fillcolor="#FFFFFF [3201]" filled="t" stroked="t" coordsize="21600,21600" o:gfxdata="UEsDBAoAAAAAAIdO4kAAAAAAAAAAAAAAAAAEAAAAZHJzL1BLAwQUAAAACACHTuJApzZ93rcAAADb&#10;AAAADwAAAGRycy9kb3ducmV2LnhtbEWPwQrCMBBE74L/EFbwpqkWRa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Nn3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D973349">
                        <w:pPr>
                          <w:rPr>
                            <w:rFonts w:hint="default" w:eastAsia="宋体"/>
                            <w:lang w:val="en-US" w:eastAsia="zh-CN"/>
                          </w:rPr>
                        </w:pPr>
                        <w:r>
                          <w:rPr>
                            <w:rFonts w:hint="eastAsia"/>
                            <w:lang w:val="en-US" w:eastAsia="zh-CN"/>
                          </w:rPr>
                          <w:t>成品仓库</w:t>
                        </w:r>
                      </w:p>
                    </w:txbxContent>
                  </v:textbox>
                </v:shape>
                <v:shape id="_x0000_s1026" o:spid="_x0000_s1026" o:spt="202" type="#_x0000_t202" style="position:absolute;left:6061;top:437308;height:1621;width:566;"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7EA3AFB">
                        <w:pPr>
                          <w:rPr>
                            <w:rFonts w:hint="eastAsia" w:eastAsia="宋体"/>
                            <w:lang w:eastAsia="zh-CN"/>
                          </w:rPr>
                        </w:pPr>
                        <w:r>
                          <w:rPr>
                            <w:rFonts w:hint="eastAsia"/>
                            <w:lang w:val="en-US" w:eastAsia="zh-CN"/>
                          </w:rPr>
                          <w:t>生产</w:t>
                        </w:r>
                        <w:r>
                          <w:rPr>
                            <w:rFonts w:hint="eastAsia"/>
                            <w:lang w:eastAsia="zh-CN"/>
                          </w:rPr>
                          <w:t>车间</w:t>
                        </w:r>
                      </w:p>
                    </w:txbxContent>
                  </v:textbox>
                </v:shape>
                <v:shape id="_x0000_s1026" o:spid="_x0000_s1026" o:spt="202" type="#_x0000_t202" style="position:absolute;left:7037;top:437308;height:1597;width:566;" fillcolor="#FFFFFF [3201]"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743955D3">
                        <w:pPr>
                          <w:rPr>
                            <w:rFonts w:hint="eastAsia" w:eastAsia="宋体"/>
                            <w:lang w:eastAsia="zh-CN"/>
                          </w:rPr>
                        </w:pPr>
                        <w:r>
                          <w:rPr>
                            <w:rFonts w:hint="eastAsia" w:eastAsia="宋体"/>
                            <w:lang w:eastAsia="zh-CN"/>
                          </w:rPr>
                          <w:t>后勤部门</w:t>
                        </w:r>
                      </w:p>
                    </w:txbxContent>
                  </v:textbox>
                </v:shape>
                <v:shape id="_x0000_s1026" o:spid="_x0000_s1026" o:spt="202" type="#_x0000_t202" style="position:absolute;left:7997;top:437340;height:1501;width:566;"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500792C">
                        <w:pPr>
                          <w:rPr>
                            <w:rFonts w:hint="eastAsia" w:eastAsia="宋体"/>
                            <w:lang w:eastAsia="zh-CN"/>
                          </w:rPr>
                        </w:pPr>
                        <w:r>
                          <w:rPr>
                            <w:rFonts w:hint="eastAsia"/>
                            <w:lang w:eastAsia="zh-CN"/>
                          </w:rPr>
                          <w:t>办公室</w:t>
                        </w:r>
                      </w:p>
                    </w:txbxContent>
                  </v:textbox>
                </v:shape>
                <v:shape id="_x0000_s1026" o:spid="_x0000_s1026" o:spt="32" type="#_x0000_t32" style="position:absolute;left:6446;top:436363;height:467;width:0;" filled="f" stroked="t" coordsize="21600,21600" o:gfxdata="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Qc0RugAAANsA&#10;AAAPAAAAAAAAAAEAIAAAACIAAABkcnMvZG93bnJldi54bWxQSwECFAAUAAAACACHTuJAMy8FnjsA&#10;AAA5AAAAEAAAAAAAAAABACAAAAAJAQAAZHJzL3NoYXBleG1sLnhtbFBLBQYAAAAABgAGAFsBAACz&#10;AwAAAAA=&#10;">
                  <v:fill on="f" focussize="0,0"/>
                  <v:stroke weight="1pt" color="#000000 [3213]" joinstyle="round" endarrow="open"/>
                  <v:imagedata o:title=""/>
                  <o:lock v:ext="edit" aspectratio="f"/>
                </v:shape>
                <v:shape id="_x0000_s1026" o:spid="_x0000_s1026" o:spt="32" type="#_x0000_t32" style="position:absolute;left:7322;top:436838;height:474;width:0;" filled="f" stroked="t" coordsize="21600,21600" o:gfxdata="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NaIq/&#10;AAAA2w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line id="_x0000_s1026" o:spid="_x0000_s1026" o:spt="20" style="position:absolute;left:4400;top:436833;height:0;width:2908;"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shape id="_x0000_s1026" o:spid="_x0000_s1026" o:spt="32" type="#_x0000_t32" style="position:absolute;left:6442;top:436838;height:474;width:0;" filled="f" stroked="t" coordsize="21600,21600" o:gfxdata="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X2C/&#10;AAAA2w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32" type="#_x0000_t32" style="position:absolute;left:5386;top:436838;height:474;width:0;" filled="f" stroked="t" coordsize="21600,21600" o:gfxdata="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zHFL4A&#10;AADb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4410;top:436838;height:474;width:0;" filled="f" stroked="t" coordsize="21600,21600" o:gfxdata="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8yb2/&#10;AAAA2w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id="_x0000_s1026" o:spid="_x0000_s1026" o:spt="203" style="position:absolute;left:5838;top:434865;height:2465;width:2444;" coordorigin="5838,434865" coordsize="2444,2465"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838;top:434865;height:517;width:1250;"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60FDA1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总经理</w:t>
                          </w:r>
                        </w:p>
                      </w:txbxContent>
                    </v:textbox>
                  </v:shape>
                  <v:shape id="_x0000_s1026" o:spid="_x0000_s1026" o:spt="32" type="#_x0000_t32" style="position:absolute;left:6464;top:435388;height:466;width:0;" filled="f" stroked="t" coordsize="21600,21600" o:gfxdata="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L8+L4A&#10;AADb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8278;top:435128;height:2203;width:0;" filled="f" stroked="t" coordsize="21600,21600" o:gfxdata="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8++vQAA&#10;ANs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line id="_x0000_s1026" o:spid="_x0000_s1026" o:spt="20" style="position:absolute;left:7088;top:435124;height:0;width:1195;" filled="f" stroked="t" coordsize="21600,21600" o:gfxdata="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m9kL4A&#10;AADb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group>
                <w10:wrap type="topAndBottom"/>
              </v:group>
            </w:pict>
          </mc:Fallback>
        </mc:AlternateContent>
      </w:r>
    </w:p>
    <w:p w14:paraId="072F1B81">
      <w:pPr>
        <w:pStyle w:val="10"/>
        <w:bidi w:val="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图2-</w:t>
      </w:r>
      <w:r>
        <w:rPr>
          <w:rFonts w:hint="eastAsia"/>
          <w:color w:val="000000" w:themeColor="text1"/>
          <w:sz w:val="28"/>
          <w:szCs w:val="28"/>
          <w:lang w:val="en-US" w:eastAsia="zh-CN"/>
          <w14:textFill>
            <w14:solidFill>
              <w14:schemeClr w14:val="tx1"/>
            </w14:solidFill>
          </w14:textFill>
        </w:rPr>
        <w:t>4</w:t>
      </w:r>
      <w:r>
        <w:rPr>
          <w:rFonts w:hint="eastAsia"/>
          <w:color w:val="000000" w:themeColor="text1"/>
          <w:sz w:val="28"/>
          <w:szCs w:val="28"/>
          <w14:textFill>
            <w14:solidFill>
              <w14:schemeClr w14:val="tx1"/>
            </w14:solidFill>
          </w14:textFill>
        </w:rPr>
        <w:t xml:space="preserve"> 安全管理组织机构图</w:t>
      </w:r>
    </w:p>
    <w:p w14:paraId="0257092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30" w:name="_Toc314238223"/>
      <w:bookmarkStart w:id="231" w:name="_Toc341693591"/>
      <w:bookmarkStart w:id="232" w:name="_Toc31046"/>
      <w:bookmarkStart w:id="233" w:name="_Toc31868"/>
      <w:bookmarkStart w:id="234" w:name="_Toc314143763"/>
      <w:bookmarkStart w:id="235" w:name="_Toc313524417"/>
      <w:bookmarkStart w:id="236" w:name="_Toc4640"/>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eastAsia="黑体" w:cs="Times New Roman"/>
          <w:color w:val="000000" w:themeColor="text1"/>
          <w14:textFill>
            <w14:solidFill>
              <w14:schemeClr w14:val="tx1"/>
            </w14:solidFill>
          </w14:textFill>
        </w:rPr>
        <w:t>安全管理制度、安全生产责任制及安全操作规程</w:t>
      </w:r>
      <w:bookmarkEnd w:id="230"/>
      <w:bookmarkEnd w:id="231"/>
      <w:bookmarkEnd w:id="232"/>
      <w:bookmarkEnd w:id="233"/>
      <w:bookmarkEnd w:id="234"/>
      <w:bookmarkEnd w:id="235"/>
      <w:bookmarkEnd w:id="236"/>
    </w:p>
    <w:p w14:paraId="545208A5">
      <w:pPr>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企业根据实际的安全管理需要，制定了安全生产责任制、安全管理制度、安全生产操作规程。</w:t>
      </w:r>
    </w:p>
    <w:p w14:paraId="092436AB">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spacing w:val="-8"/>
          <w:sz w:val="24"/>
          <w:szCs w:val="24"/>
          <w14:textFill>
            <w14:solidFill>
              <w14:schemeClr w14:val="tx1"/>
            </w14:solidFill>
          </w14:textFill>
        </w:rPr>
      </w:pPr>
      <w:r>
        <w:rPr>
          <w:rFonts w:hint="eastAsia" w:ascii="宋体" w:hAnsi="宋体" w:eastAsia="宋体" w:cs="宋体"/>
          <w:b/>
          <w:bCs/>
          <w:color w:val="000000" w:themeColor="text1"/>
          <w:spacing w:val="-8"/>
          <w:sz w:val="24"/>
          <w:szCs w:val="24"/>
          <w14:textFill>
            <w14:solidFill>
              <w14:schemeClr w14:val="tx1"/>
            </w14:solidFill>
          </w14:textFill>
        </w:rPr>
        <w:t>表2-5 公司制定的主要安全管理制度一览表</w:t>
      </w:r>
    </w:p>
    <w:tbl>
      <w:tblPr>
        <w:tblStyle w:val="52"/>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569"/>
        <w:gridCol w:w="519"/>
        <w:gridCol w:w="3797"/>
      </w:tblGrid>
      <w:tr w14:paraId="3BF7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321EE7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序号</w:t>
            </w:r>
          </w:p>
        </w:tc>
        <w:tc>
          <w:tcPr>
            <w:tcW w:w="3569" w:type="dxa"/>
            <w:noWrap/>
            <w:vAlign w:val="center"/>
          </w:tcPr>
          <w:p w14:paraId="457F6C4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称</w:t>
            </w:r>
          </w:p>
        </w:tc>
        <w:tc>
          <w:tcPr>
            <w:tcW w:w="519" w:type="dxa"/>
            <w:noWrap/>
            <w:vAlign w:val="center"/>
          </w:tcPr>
          <w:p w14:paraId="4EF7737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序号</w:t>
            </w:r>
          </w:p>
        </w:tc>
        <w:tc>
          <w:tcPr>
            <w:tcW w:w="3797" w:type="dxa"/>
            <w:noWrap/>
            <w:vAlign w:val="center"/>
          </w:tcPr>
          <w:p w14:paraId="1750A6F8">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称</w:t>
            </w:r>
          </w:p>
        </w:tc>
      </w:tr>
      <w:tr w14:paraId="0F59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20" w:type="dxa"/>
            <w:noWrap/>
            <w:vAlign w:val="center"/>
          </w:tcPr>
          <w:p w14:paraId="02D940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p>
        </w:tc>
        <w:tc>
          <w:tcPr>
            <w:tcW w:w="3569" w:type="dxa"/>
            <w:noWrap/>
            <w:vAlign w:val="center"/>
          </w:tcPr>
          <w:p w14:paraId="63EEB6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安全会议管理制度</w:t>
            </w:r>
          </w:p>
        </w:tc>
        <w:tc>
          <w:tcPr>
            <w:tcW w:w="519" w:type="dxa"/>
            <w:noWrap/>
            <w:vAlign w:val="center"/>
          </w:tcPr>
          <w:p w14:paraId="398EC9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p>
        </w:tc>
        <w:tc>
          <w:tcPr>
            <w:tcW w:w="3797" w:type="dxa"/>
            <w:noWrap/>
            <w:vAlign w:val="center"/>
          </w:tcPr>
          <w:p w14:paraId="3D104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安全生产投入保障制度</w:t>
            </w:r>
          </w:p>
        </w:tc>
      </w:tr>
      <w:tr w14:paraId="3FD5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1765C6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p>
        </w:tc>
        <w:tc>
          <w:tcPr>
            <w:tcW w:w="3569" w:type="dxa"/>
            <w:noWrap/>
            <w:vAlign w:val="center"/>
          </w:tcPr>
          <w:p w14:paraId="2DC959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安全生产培训教育制度</w:t>
            </w:r>
          </w:p>
        </w:tc>
        <w:tc>
          <w:tcPr>
            <w:tcW w:w="519" w:type="dxa"/>
            <w:noWrap/>
            <w:vAlign w:val="center"/>
          </w:tcPr>
          <w:p w14:paraId="76E923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p>
        </w:tc>
        <w:tc>
          <w:tcPr>
            <w:tcW w:w="3797" w:type="dxa"/>
            <w:noWrap/>
            <w:vAlign w:val="center"/>
          </w:tcPr>
          <w:p w14:paraId="397C18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安全风险分级管理制度</w:t>
            </w:r>
          </w:p>
        </w:tc>
      </w:tr>
      <w:tr w14:paraId="4461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6B0902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p>
        </w:tc>
        <w:tc>
          <w:tcPr>
            <w:tcW w:w="3569" w:type="dxa"/>
            <w:noWrap/>
            <w:vAlign w:val="center"/>
          </w:tcPr>
          <w:p w14:paraId="24C66D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重大危险源管理制度</w:t>
            </w:r>
          </w:p>
        </w:tc>
        <w:tc>
          <w:tcPr>
            <w:tcW w:w="519" w:type="dxa"/>
            <w:noWrap/>
            <w:vAlign w:val="center"/>
          </w:tcPr>
          <w:p w14:paraId="684396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w:t>
            </w:r>
          </w:p>
        </w:tc>
        <w:tc>
          <w:tcPr>
            <w:tcW w:w="3797" w:type="dxa"/>
            <w:noWrap/>
            <w:vAlign w:val="center"/>
          </w:tcPr>
          <w:p w14:paraId="2DF01A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安全隐患排查和整改管理制度</w:t>
            </w:r>
          </w:p>
        </w:tc>
      </w:tr>
      <w:tr w14:paraId="6704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07EC6F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w:t>
            </w:r>
          </w:p>
        </w:tc>
        <w:tc>
          <w:tcPr>
            <w:tcW w:w="3569" w:type="dxa"/>
            <w:noWrap/>
            <w:vAlign w:val="center"/>
          </w:tcPr>
          <w:p w14:paraId="760BB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职业危害防治责任制度</w:t>
            </w:r>
          </w:p>
        </w:tc>
        <w:tc>
          <w:tcPr>
            <w:tcW w:w="519" w:type="dxa"/>
            <w:noWrap/>
            <w:vAlign w:val="center"/>
          </w:tcPr>
          <w:p w14:paraId="5BB599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p>
        </w:tc>
        <w:tc>
          <w:tcPr>
            <w:tcW w:w="3797" w:type="dxa"/>
            <w:noWrap/>
            <w:vAlign w:val="center"/>
          </w:tcPr>
          <w:p w14:paraId="0C0996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职业病危害应急救援与管理制度</w:t>
            </w:r>
          </w:p>
        </w:tc>
      </w:tr>
      <w:tr w14:paraId="1B87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276F66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w:t>
            </w:r>
          </w:p>
        </w:tc>
        <w:tc>
          <w:tcPr>
            <w:tcW w:w="3569" w:type="dxa"/>
            <w:noWrap/>
            <w:vAlign w:val="center"/>
          </w:tcPr>
          <w:p w14:paraId="48AAF4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职业卫生“三同时”管理制度</w:t>
            </w:r>
          </w:p>
        </w:tc>
        <w:tc>
          <w:tcPr>
            <w:tcW w:w="519" w:type="dxa"/>
            <w:noWrap/>
            <w:vAlign w:val="center"/>
          </w:tcPr>
          <w:p w14:paraId="2F42E3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w:t>
            </w:r>
          </w:p>
        </w:tc>
        <w:tc>
          <w:tcPr>
            <w:tcW w:w="3797" w:type="dxa"/>
            <w:noWrap/>
            <w:vAlign w:val="center"/>
          </w:tcPr>
          <w:p w14:paraId="66A14B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 xml:space="preserve"> 职业危害告知制度</w:t>
            </w:r>
          </w:p>
        </w:tc>
      </w:tr>
      <w:tr w14:paraId="4E3C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65E0E7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p>
        </w:tc>
        <w:tc>
          <w:tcPr>
            <w:tcW w:w="3569" w:type="dxa"/>
            <w:noWrap/>
            <w:vAlign w:val="center"/>
          </w:tcPr>
          <w:p w14:paraId="3455FA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安全生产奖惩管理制度</w:t>
            </w:r>
          </w:p>
        </w:tc>
        <w:tc>
          <w:tcPr>
            <w:tcW w:w="519" w:type="dxa"/>
            <w:noWrap/>
            <w:vAlign w:val="center"/>
          </w:tcPr>
          <w:p w14:paraId="1ACDA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p>
        </w:tc>
        <w:tc>
          <w:tcPr>
            <w:tcW w:w="3797" w:type="dxa"/>
            <w:noWrap/>
            <w:vAlign w:val="center"/>
          </w:tcPr>
          <w:p w14:paraId="64A99A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职业健康教育宣传培训制度</w:t>
            </w:r>
          </w:p>
        </w:tc>
      </w:tr>
      <w:tr w14:paraId="7A11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12E037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w:t>
            </w:r>
          </w:p>
        </w:tc>
        <w:tc>
          <w:tcPr>
            <w:tcW w:w="3569" w:type="dxa"/>
            <w:noWrap/>
            <w:vAlign w:val="center"/>
          </w:tcPr>
          <w:p w14:paraId="3BDC9E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消防安全管理制度</w:t>
            </w:r>
          </w:p>
        </w:tc>
        <w:tc>
          <w:tcPr>
            <w:tcW w:w="519" w:type="dxa"/>
            <w:noWrap/>
            <w:vAlign w:val="center"/>
          </w:tcPr>
          <w:p w14:paraId="6BCA05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14</w:t>
            </w:r>
          </w:p>
        </w:tc>
        <w:tc>
          <w:tcPr>
            <w:tcW w:w="3797" w:type="dxa"/>
            <w:noWrap/>
            <w:vAlign w:val="center"/>
          </w:tcPr>
          <w:p w14:paraId="5051BA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从业人员防护用品管理制度</w:t>
            </w:r>
          </w:p>
        </w:tc>
      </w:tr>
      <w:tr w14:paraId="019F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061EDD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15</w:t>
            </w:r>
          </w:p>
        </w:tc>
        <w:tc>
          <w:tcPr>
            <w:tcW w:w="3569" w:type="dxa"/>
            <w:noWrap/>
            <w:vAlign w:val="center"/>
          </w:tcPr>
          <w:p w14:paraId="7C94C3C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设备检维修作业安全管理制度</w:t>
            </w:r>
          </w:p>
        </w:tc>
        <w:tc>
          <w:tcPr>
            <w:tcW w:w="519" w:type="dxa"/>
            <w:noWrap/>
            <w:vAlign w:val="center"/>
          </w:tcPr>
          <w:p w14:paraId="32DE05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16</w:t>
            </w:r>
          </w:p>
        </w:tc>
        <w:tc>
          <w:tcPr>
            <w:tcW w:w="3797" w:type="dxa"/>
            <w:noWrap/>
            <w:vAlign w:val="center"/>
          </w:tcPr>
          <w:p w14:paraId="32DEC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生产设施安全管理制度</w:t>
            </w:r>
          </w:p>
        </w:tc>
      </w:tr>
      <w:tr w14:paraId="61ED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39D336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17</w:t>
            </w:r>
          </w:p>
        </w:tc>
        <w:tc>
          <w:tcPr>
            <w:tcW w:w="3569" w:type="dxa"/>
            <w:noWrap/>
            <w:vAlign w:val="center"/>
          </w:tcPr>
          <w:p w14:paraId="5F0DF88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变更管理制度</w:t>
            </w:r>
          </w:p>
        </w:tc>
        <w:tc>
          <w:tcPr>
            <w:tcW w:w="519" w:type="dxa"/>
            <w:noWrap/>
            <w:vAlign w:val="center"/>
          </w:tcPr>
          <w:p w14:paraId="38A580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18</w:t>
            </w:r>
          </w:p>
        </w:tc>
        <w:tc>
          <w:tcPr>
            <w:tcW w:w="3797" w:type="dxa"/>
            <w:noWrap/>
            <w:vAlign w:val="center"/>
          </w:tcPr>
          <w:p w14:paraId="090B54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临时用电作业管理制度</w:t>
            </w:r>
          </w:p>
        </w:tc>
      </w:tr>
      <w:tr w14:paraId="7B82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0" w:type="dxa"/>
            <w:noWrap/>
            <w:vAlign w:val="center"/>
          </w:tcPr>
          <w:p w14:paraId="38A9C9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19</w:t>
            </w:r>
          </w:p>
        </w:tc>
        <w:tc>
          <w:tcPr>
            <w:tcW w:w="3569" w:type="dxa"/>
            <w:noWrap/>
            <w:vAlign w:val="center"/>
          </w:tcPr>
          <w:p w14:paraId="2A51F33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安全责任考核制度</w:t>
            </w:r>
          </w:p>
        </w:tc>
        <w:tc>
          <w:tcPr>
            <w:tcW w:w="519" w:type="dxa"/>
            <w:noWrap/>
            <w:vAlign w:val="center"/>
          </w:tcPr>
          <w:p w14:paraId="323071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Times New Roman" w:cs="Times New Roman" w:eastAsiaTheme="minorEastAsia"/>
                <w:color w:val="000000" w:themeColor="text1"/>
                <w:sz w:val="24"/>
                <w:szCs w:val="24"/>
                <w:lang w:val="en-US" w:eastAsia="zh-CN" w:bidi="ar-SA"/>
                <w14:textFill>
                  <w14:solidFill>
                    <w14:schemeClr w14:val="tx1"/>
                  </w14:solidFill>
                </w14:textFill>
              </w:rPr>
              <w:t>20</w:t>
            </w:r>
          </w:p>
        </w:tc>
        <w:tc>
          <w:tcPr>
            <w:tcW w:w="3797" w:type="dxa"/>
            <w:noWrap/>
            <w:vAlign w:val="center"/>
          </w:tcPr>
          <w:p w14:paraId="7D87F9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安全生产责任考核和奖惩制度</w:t>
            </w:r>
          </w:p>
        </w:tc>
      </w:tr>
    </w:tbl>
    <w:p w14:paraId="7F772D24">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color w:val="000000" w:themeColor="text1"/>
          <w:sz w:val="28"/>
          <w:szCs w:val="28"/>
          <w14:textFill>
            <w14:solidFill>
              <w14:schemeClr w14:val="tx1"/>
            </w14:solidFill>
          </w14:textFill>
        </w:rPr>
      </w:pPr>
    </w:p>
    <w:p w14:paraId="32101EA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公司</w:t>
      </w:r>
      <w:r>
        <w:rPr>
          <w:rFonts w:hint="default" w:ascii="Times New Roman" w:hAnsi="Times New Roman" w:cs="Times New Roman"/>
          <w:color w:val="000000" w:themeColor="text1"/>
          <w:sz w:val="28"/>
          <w:szCs w:val="28"/>
          <w:lang w:eastAsia="zh-CN"/>
          <w14:textFill>
            <w14:solidFill>
              <w14:schemeClr w14:val="tx1"/>
            </w14:solidFill>
          </w14:textFill>
        </w:rPr>
        <w:t>结合本厂的实际情况，</w:t>
      </w:r>
      <w:r>
        <w:rPr>
          <w:rFonts w:hint="default" w:ascii="Times New Roman" w:hAnsi="Times New Roman" w:cs="Times New Roman"/>
          <w:color w:val="000000" w:themeColor="text1"/>
          <w:sz w:val="28"/>
          <w:szCs w:val="28"/>
          <w14:textFill>
            <w14:solidFill>
              <w14:schemeClr w14:val="tx1"/>
            </w14:solidFill>
          </w14:textFill>
        </w:rPr>
        <w:t>制定了各级、各岗位人员安全生产责任制，</w:t>
      </w:r>
      <w:r>
        <w:rPr>
          <w:rFonts w:hint="default" w:ascii="Times New Roman" w:hAnsi="Times New Roman" w:cs="Times New Roman"/>
          <w:color w:val="000000" w:themeColor="text1"/>
          <w:sz w:val="28"/>
          <w:szCs w:val="28"/>
          <w:lang w:eastAsia="zh-CN"/>
          <w14:textFill>
            <w14:solidFill>
              <w14:schemeClr w14:val="tx1"/>
            </w14:solidFill>
          </w14:textFill>
        </w:rPr>
        <w:t>具体详见表</w:t>
      </w:r>
      <w:r>
        <w:rPr>
          <w:rFonts w:hint="default" w:ascii="Times New Roman" w:hAnsi="Times New Roman" w:cs="Times New Roman"/>
          <w:color w:val="000000" w:themeColor="text1"/>
          <w:sz w:val="28"/>
          <w:szCs w:val="28"/>
          <w:lang w:val="en-US" w:eastAsia="zh-CN"/>
          <w14:textFill>
            <w14:solidFill>
              <w14:schemeClr w14:val="tx1"/>
            </w14:solidFill>
          </w14:textFill>
        </w:rPr>
        <w:t>2-6。</w:t>
      </w:r>
    </w:p>
    <w:p w14:paraId="41FACBAA">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spacing w:val="-8"/>
          <w:sz w:val="24"/>
          <w:szCs w:val="24"/>
          <w14:textFill>
            <w14:solidFill>
              <w14:schemeClr w14:val="tx1"/>
            </w14:solidFill>
          </w14:textFill>
        </w:rPr>
      </w:pPr>
      <w:r>
        <w:rPr>
          <w:rFonts w:hint="eastAsia" w:ascii="宋体" w:hAnsi="宋体" w:eastAsia="宋体" w:cs="宋体"/>
          <w:b/>
          <w:bCs/>
          <w:color w:val="000000" w:themeColor="text1"/>
          <w:spacing w:val="-8"/>
          <w:sz w:val="24"/>
          <w:szCs w:val="24"/>
          <w14:textFill>
            <w14:solidFill>
              <w14:schemeClr w14:val="tx1"/>
            </w14:solidFill>
          </w14:textFill>
        </w:rPr>
        <w:t>表2-6 公司制定的主要安全生产责任制度一览表</w:t>
      </w:r>
    </w:p>
    <w:tbl>
      <w:tblPr>
        <w:tblStyle w:val="52"/>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302"/>
        <w:gridCol w:w="790"/>
        <w:gridCol w:w="3515"/>
      </w:tblGrid>
      <w:tr w14:paraId="0C2F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40" w:type="dxa"/>
            <w:noWrap/>
            <w:vAlign w:val="center"/>
          </w:tcPr>
          <w:p w14:paraId="2D1363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序号</w:t>
            </w:r>
          </w:p>
        </w:tc>
        <w:tc>
          <w:tcPr>
            <w:tcW w:w="3302" w:type="dxa"/>
            <w:noWrap/>
            <w:vAlign w:val="center"/>
          </w:tcPr>
          <w:p w14:paraId="040013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名</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称</w:t>
            </w:r>
          </w:p>
        </w:tc>
        <w:tc>
          <w:tcPr>
            <w:tcW w:w="790" w:type="dxa"/>
            <w:noWrap/>
            <w:vAlign w:val="center"/>
          </w:tcPr>
          <w:p w14:paraId="1A4436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序号</w:t>
            </w:r>
          </w:p>
        </w:tc>
        <w:tc>
          <w:tcPr>
            <w:tcW w:w="3515" w:type="dxa"/>
            <w:noWrap/>
            <w:vAlign w:val="center"/>
          </w:tcPr>
          <w:p w14:paraId="2E5F3A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名</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称</w:t>
            </w:r>
          </w:p>
        </w:tc>
      </w:tr>
      <w:tr w14:paraId="51EE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40" w:type="dxa"/>
            <w:noWrap/>
            <w:vAlign w:val="center"/>
          </w:tcPr>
          <w:p w14:paraId="4D3D1D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1</w:t>
            </w:r>
          </w:p>
        </w:tc>
        <w:tc>
          <w:tcPr>
            <w:tcW w:w="3302" w:type="dxa"/>
            <w:noWrap/>
            <w:vAlign w:val="center"/>
          </w:tcPr>
          <w:p w14:paraId="636020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主要负责人安全生产职责</w:t>
            </w:r>
          </w:p>
        </w:tc>
        <w:tc>
          <w:tcPr>
            <w:tcW w:w="790" w:type="dxa"/>
            <w:noWrap/>
            <w:vAlign w:val="center"/>
          </w:tcPr>
          <w:p w14:paraId="500388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2</w:t>
            </w:r>
          </w:p>
        </w:tc>
        <w:tc>
          <w:tcPr>
            <w:tcW w:w="3515" w:type="dxa"/>
            <w:noWrap/>
            <w:vAlign w:val="center"/>
          </w:tcPr>
          <w:p w14:paraId="6DD8F6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安全员岗位安全生产职责</w:t>
            </w:r>
          </w:p>
        </w:tc>
      </w:tr>
      <w:tr w14:paraId="53B0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40" w:type="dxa"/>
            <w:noWrap/>
            <w:vAlign w:val="center"/>
          </w:tcPr>
          <w:p w14:paraId="2FE5CD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3</w:t>
            </w:r>
          </w:p>
        </w:tc>
        <w:tc>
          <w:tcPr>
            <w:tcW w:w="3302" w:type="dxa"/>
            <w:noWrap/>
            <w:vAlign w:val="center"/>
          </w:tcPr>
          <w:p w14:paraId="3694AE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hAnsi="宋体" w:cs="宋体"/>
                <w:color w:val="000000" w:themeColor="text1"/>
                <w:sz w:val="24"/>
                <w:szCs w:val="24"/>
                <w:lang w:val="en-US" w:eastAsia="zh-CN" w:bidi="ar-SA"/>
                <w14:textFill>
                  <w14:solidFill>
                    <w14:schemeClr w14:val="tx1"/>
                  </w14:solidFill>
                </w14:textFill>
              </w:rPr>
              <w:t xml:space="preserve"> </w:t>
            </w: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bidi="ar-SA"/>
                <w14:textFill>
                  <w14:solidFill>
                    <w14:schemeClr w14:val="tx1"/>
                  </w14:solidFill>
                </w14:textFill>
              </w:rPr>
              <w:instrText xml:space="preserve"> HYPERLINK \l "_Toc529303447" </w:instrText>
            </w: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separate"/>
            </w:r>
            <w:r>
              <w:rPr>
                <w:rFonts w:hint="eastAsia" w:ascii="宋体" w:hAnsi="宋体" w:eastAsia="宋体" w:cs="宋体"/>
                <w:color w:val="000000" w:themeColor="text1"/>
                <w:sz w:val="24"/>
                <w:szCs w:val="24"/>
                <w:lang w:val="en-US" w:eastAsia="zh-CN" w:bidi="ar-SA"/>
                <w14:textFill>
                  <w14:solidFill>
                    <w14:schemeClr w14:val="tx1"/>
                  </w14:solidFill>
                </w14:textFill>
              </w:rPr>
              <w:t>班组长安全生产安全职责</w:t>
            </w:r>
            <w:r>
              <w:rPr>
                <w:rFonts w:hint="eastAsia" w:ascii="宋体" w:hAnsi="宋体" w:eastAsia="宋体" w:cs="宋体"/>
                <w:color w:val="000000" w:themeColor="text1"/>
                <w:sz w:val="24"/>
                <w:szCs w:val="24"/>
                <w:lang w:val="en-US" w:eastAsia="zh-CN" w:bidi="ar-SA"/>
                <w14:textFill>
                  <w14:solidFill>
                    <w14:schemeClr w14:val="tx1"/>
                  </w14:solidFill>
                </w14:textFill>
              </w:rPr>
              <w:tab/>
            </w: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end"/>
            </w:r>
          </w:p>
        </w:tc>
        <w:tc>
          <w:tcPr>
            <w:tcW w:w="790" w:type="dxa"/>
            <w:noWrap/>
            <w:vAlign w:val="center"/>
          </w:tcPr>
          <w:p w14:paraId="7B3FDE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4</w:t>
            </w:r>
          </w:p>
        </w:tc>
        <w:tc>
          <w:tcPr>
            <w:tcW w:w="3515" w:type="dxa"/>
            <w:noWrap/>
            <w:vAlign w:val="center"/>
          </w:tcPr>
          <w:p w14:paraId="5E3CDE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bidi="ar-SA"/>
                <w14:textFill>
                  <w14:solidFill>
                    <w14:schemeClr w14:val="tx1"/>
                  </w14:solidFill>
                </w14:textFill>
              </w:rPr>
              <w:instrText xml:space="preserve"> HYPERLINK \l "_Toc529303448" </w:instrText>
            </w: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separate"/>
            </w:r>
            <w:r>
              <w:rPr>
                <w:rFonts w:hint="eastAsia" w:ascii="宋体" w:hAnsi="宋体" w:eastAsia="宋体" w:cs="宋体"/>
                <w:color w:val="000000" w:themeColor="text1"/>
                <w:sz w:val="24"/>
                <w:szCs w:val="24"/>
                <w:lang w:val="en-US" w:eastAsia="zh-CN" w:bidi="ar-SA"/>
                <w14:textFill>
                  <w14:solidFill>
                    <w14:schemeClr w14:val="tx1"/>
                  </w14:solidFill>
                </w14:textFill>
              </w:rPr>
              <w:t>员工安全生产安全职责</w:t>
            </w:r>
          </w:p>
          <w:p w14:paraId="7AB538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fldChar w:fldCharType="end"/>
            </w:r>
          </w:p>
        </w:tc>
      </w:tr>
    </w:tbl>
    <w:p w14:paraId="44A544A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color w:val="000000" w:themeColor="text1"/>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公司根据工艺技术要求和工作特点，</w:t>
      </w:r>
      <w:r>
        <w:rPr>
          <w:rFonts w:hint="default" w:ascii="Times New Roman" w:hAnsi="Times New Roman" w:cs="Times New Roman"/>
          <w:color w:val="000000" w:themeColor="text1"/>
          <w:sz w:val="28"/>
          <w:szCs w:val="28"/>
          <w:lang w:eastAsia="zh-CN"/>
          <w14:textFill>
            <w14:solidFill>
              <w14:schemeClr w14:val="tx1"/>
            </w14:solidFill>
          </w14:textFill>
        </w:rPr>
        <w:t>结合本厂的实际情况，</w:t>
      </w:r>
      <w:r>
        <w:rPr>
          <w:rFonts w:hint="default" w:ascii="Times New Roman" w:hAnsi="Times New Roman" w:cs="Times New Roman"/>
          <w:color w:val="000000" w:themeColor="text1"/>
          <w:sz w:val="28"/>
          <w:szCs w:val="28"/>
          <w14:textFill>
            <w14:solidFill>
              <w14:schemeClr w14:val="tx1"/>
            </w14:solidFill>
          </w14:textFill>
        </w:rPr>
        <w:t>制定</w:t>
      </w:r>
      <w:r>
        <w:rPr>
          <w:rFonts w:hint="default" w:ascii="Times New Roman" w:hAnsi="Times New Roman" w:cs="Times New Roman"/>
          <w:color w:val="000000" w:themeColor="text1"/>
          <w:sz w:val="28"/>
          <w:szCs w:val="28"/>
          <w:lang w:eastAsia="zh-CN"/>
          <w14:textFill>
            <w14:solidFill>
              <w14:schemeClr w14:val="tx1"/>
            </w14:solidFill>
          </w14:textFill>
        </w:rPr>
        <w:t>了</w:t>
      </w:r>
      <w:r>
        <w:rPr>
          <w:rFonts w:hint="default" w:ascii="Times New Roman" w:hAnsi="Times New Roman" w:cs="Times New Roman"/>
          <w:color w:val="000000" w:themeColor="text1"/>
          <w:sz w:val="28"/>
          <w:szCs w:val="28"/>
          <w14:textFill>
            <w14:solidFill>
              <w14:schemeClr w14:val="tx1"/>
            </w14:solidFill>
          </w14:textFill>
        </w:rPr>
        <w:t>各岗位、各工种的安全操作规程，对员工在生产作业时正确安全操作做了详细规定</w:t>
      </w:r>
      <w:r>
        <w:rPr>
          <w:rFonts w:hint="default" w:ascii="Times New Roman" w:hAnsi="Times New Roman" w:cs="Times New Roman"/>
          <w:color w:val="000000" w:themeColor="text1"/>
          <w:sz w:val="28"/>
          <w:szCs w:val="28"/>
          <w:lang w:eastAsia="zh-CN"/>
          <w14:textFill>
            <w14:solidFill>
              <w14:schemeClr w14:val="tx1"/>
            </w14:solidFill>
          </w14:textFill>
        </w:rPr>
        <w:t>，具体详见表</w:t>
      </w:r>
      <w:r>
        <w:rPr>
          <w:rFonts w:hint="default" w:ascii="Times New Roman" w:hAnsi="Times New Roman" w:cs="Times New Roman"/>
          <w:color w:val="000000" w:themeColor="text1"/>
          <w:sz w:val="28"/>
          <w:szCs w:val="28"/>
          <w:lang w:val="en-US" w:eastAsia="zh-CN"/>
          <w14:textFill>
            <w14:solidFill>
              <w14:schemeClr w14:val="tx1"/>
            </w14:solidFill>
          </w14:textFill>
        </w:rPr>
        <w:t>2-7。</w:t>
      </w:r>
    </w:p>
    <w:p w14:paraId="1D3622AD">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spacing w:val="-8"/>
          <w:sz w:val="24"/>
          <w:szCs w:val="24"/>
          <w14:textFill>
            <w14:solidFill>
              <w14:schemeClr w14:val="tx1"/>
            </w14:solidFill>
          </w14:textFill>
        </w:rPr>
      </w:pPr>
      <w:r>
        <w:rPr>
          <w:rFonts w:hint="eastAsia" w:ascii="宋体" w:hAnsi="宋体" w:eastAsia="宋体" w:cs="宋体"/>
          <w:b/>
          <w:bCs/>
          <w:color w:val="000000" w:themeColor="text1"/>
          <w:spacing w:val="-8"/>
          <w:sz w:val="24"/>
          <w:szCs w:val="24"/>
          <w14:textFill>
            <w14:solidFill>
              <w14:schemeClr w14:val="tx1"/>
            </w14:solidFill>
          </w14:textFill>
        </w:rPr>
        <w:t>表2-7 公司制定的主要岗位安全操作规程一览表</w:t>
      </w:r>
    </w:p>
    <w:tbl>
      <w:tblPr>
        <w:tblStyle w:val="52"/>
        <w:tblW w:w="51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588"/>
        <w:gridCol w:w="852"/>
        <w:gridCol w:w="3508"/>
      </w:tblGrid>
      <w:tr w14:paraId="7A25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72" w:type="dxa"/>
            <w:noWrap/>
            <w:vAlign w:val="center"/>
          </w:tcPr>
          <w:p w14:paraId="11C8F0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color w:val="000000" w:themeColor="text1"/>
                <w:sz w:val="21"/>
                <w:szCs w:val="21"/>
                <w:lang w:val="en-US" w:eastAsia="zh-CN" w:bidi="ar-SA"/>
                <w14:textFill>
                  <w14:solidFill>
                    <w14:schemeClr w14:val="tx1"/>
                  </w14:solidFill>
                </w14:textFill>
              </w:rPr>
            </w:pPr>
            <w:r>
              <w:rPr>
                <w:rFonts w:hint="default" w:ascii="宋体" w:hAnsi="宋体" w:eastAsia="宋体" w:cs="宋体"/>
                <w:b/>
                <w:bCs/>
                <w:color w:val="000000" w:themeColor="text1"/>
                <w:sz w:val="21"/>
                <w:szCs w:val="21"/>
                <w:lang w:val="en-US" w:eastAsia="zh-CN" w:bidi="ar-SA"/>
                <w14:textFill>
                  <w14:solidFill>
                    <w14:schemeClr w14:val="tx1"/>
                  </w14:solidFill>
                </w14:textFill>
              </w:rPr>
              <w:t>序号</w:t>
            </w:r>
          </w:p>
        </w:tc>
        <w:tc>
          <w:tcPr>
            <w:tcW w:w="3588" w:type="dxa"/>
            <w:noWrap/>
            <w:vAlign w:val="center"/>
          </w:tcPr>
          <w:p w14:paraId="038926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color w:val="000000" w:themeColor="text1"/>
                <w:sz w:val="21"/>
                <w:szCs w:val="21"/>
                <w:lang w:val="en-US" w:eastAsia="zh-CN" w:bidi="ar-SA"/>
                <w14:textFill>
                  <w14:solidFill>
                    <w14:schemeClr w14:val="tx1"/>
                  </w14:solidFill>
                </w14:textFill>
              </w:rPr>
            </w:pPr>
            <w:r>
              <w:rPr>
                <w:rFonts w:hint="default" w:ascii="宋体" w:hAnsi="宋体" w:eastAsia="宋体" w:cs="宋体"/>
                <w:b/>
                <w:bCs/>
                <w:color w:val="000000" w:themeColor="text1"/>
                <w:sz w:val="21"/>
                <w:szCs w:val="21"/>
                <w:lang w:val="en-US" w:eastAsia="zh-CN" w:bidi="ar-SA"/>
                <w14:textFill>
                  <w14:solidFill>
                    <w14:schemeClr w14:val="tx1"/>
                  </w14:solidFill>
                </w14:textFill>
              </w:rPr>
              <w:t>名   称</w:t>
            </w:r>
          </w:p>
        </w:tc>
        <w:tc>
          <w:tcPr>
            <w:tcW w:w="852" w:type="dxa"/>
            <w:noWrap/>
            <w:vAlign w:val="center"/>
          </w:tcPr>
          <w:p w14:paraId="1F2260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color w:val="000000" w:themeColor="text1"/>
                <w:sz w:val="21"/>
                <w:szCs w:val="21"/>
                <w:lang w:val="en-US" w:eastAsia="zh-CN" w:bidi="ar-SA"/>
                <w14:textFill>
                  <w14:solidFill>
                    <w14:schemeClr w14:val="tx1"/>
                  </w14:solidFill>
                </w14:textFill>
              </w:rPr>
            </w:pPr>
            <w:r>
              <w:rPr>
                <w:rFonts w:hint="default" w:ascii="宋体" w:hAnsi="宋体" w:eastAsia="宋体" w:cs="宋体"/>
                <w:b/>
                <w:bCs/>
                <w:color w:val="000000" w:themeColor="text1"/>
                <w:sz w:val="21"/>
                <w:szCs w:val="21"/>
                <w:lang w:val="en-US" w:eastAsia="zh-CN" w:bidi="ar-SA"/>
                <w14:textFill>
                  <w14:solidFill>
                    <w14:schemeClr w14:val="tx1"/>
                  </w14:solidFill>
                </w14:textFill>
              </w:rPr>
              <w:t>序号</w:t>
            </w:r>
          </w:p>
        </w:tc>
        <w:tc>
          <w:tcPr>
            <w:tcW w:w="3508" w:type="dxa"/>
            <w:noWrap/>
            <w:vAlign w:val="center"/>
          </w:tcPr>
          <w:p w14:paraId="020559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color w:val="000000" w:themeColor="text1"/>
                <w:sz w:val="21"/>
                <w:szCs w:val="21"/>
                <w:lang w:val="en-US" w:eastAsia="zh-CN" w:bidi="ar-SA"/>
                <w14:textFill>
                  <w14:solidFill>
                    <w14:schemeClr w14:val="tx1"/>
                  </w14:solidFill>
                </w14:textFill>
              </w:rPr>
            </w:pPr>
            <w:r>
              <w:rPr>
                <w:rFonts w:hint="default" w:ascii="宋体" w:hAnsi="宋体" w:eastAsia="宋体" w:cs="宋体"/>
                <w:b/>
                <w:bCs/>
                <w:color w:val="000000" w:themeColor="text1"/>
                <w:sz w:val="21"/>
                <w:szCs w:val="21"/>
                <w:lang w:val="en-US" w:eastAsia="zh-CN" w:bidi="ar-SA"/>
                <w14:textFill>
                  <w14:solidFill>
                    <w14:schemeClr w14:val="tx1"/>
                  </w14:solidFill>
                </w14:textFill>
              </w:rPr>
              <w:t>名   称</w:t>
            </w:r>
          </w:p>
        </w:tc>
      </w:tr>
      <w:tr w14:paraId="5F81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72" w:type="dxa"/>
            <w:noWrap/>
            <w:vAlign w:val="center"/>
          </w:tcPr>
          <w:p w14:paraId="5FF5E1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default" w:ascii="宋体" w:hAnsi="宋体" w:eastAsia="宋体" w:cs="宋体"/>
                <w:color w:val="000000" w:themeColor="text1"/>
                <w:sz w:val="21"/>
                <w:szCs w:val="21"/>
                <w:lang w:val="en-US" w:eastAsia="zh-CN" w:bidi="ar-SA"/>
                <w14:textFill>
                  <w14:solidFill>
                    <w14:schemeClr w14:val="tx1"/>
                  </w14:solidFill>
                </w14:textFill>
              </w:rPr>
              <w:t>1</w:t>
            </w:r>
          </w:p>
        </w:tc>
        <w:tc>
          <w:tcPr>
            <w:tcW w:w="3588" w:type="dxa"/>
            <w:noWrap/>
            <w:vAlign w:val="center"/>
          </w:tcPr>
          <w:p w14:paraId="79ED03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安全操作规程十条规定</w:t>
            </w:r>
          </w:p>
        </w:tc>
        <w:tc>
          <w:tcPr>
            <w:tcW w:w="852" w:type="dxa"/>
            <w:noWrap/>
            <w:vAlign w:val="center"/>
          </w:tcPr>
          <w:p w14:paraId="115EC2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hAnsi="宋体" w:cs="宋体"/>
                <w:color w:val="000000" w:themeColor="text1"/>
                <w:sz w:val="21"/>
                <w:szCs w:val="21"/>
                <w:lang w:val="en-US" w:eastAsia="zh-CN" w:bidi="ar-SA"/>
                <w14:textFill>
                  <w14:solidFill>
                    <w14:schemeClr w14:val="tx1"/>
                  </w14:solidFill>
                </w14:textFill>
              </w:rPr>
              <w:t>2</w:t>
            </w:r>
          </w:p>
        </w:tc>
        <w:tc>
          <w:tcPr>
            <w:tcW w:w="3508" w:type="dxa"/>
            <w:noWrap/>
            <w:vAlign w:val="center"/>
          </w:tcPr>
          <w:p w14:paraId="5DF90C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一般安全技术规程</w:t>
            </w:r>
          </w:p>
        </w:tc>
      </w:tr>
      <w:tr w14:paraId="607F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72" w:type="dxa"/>
            <w:noWrap/>
            <w:vAlign w:val="center"/>
          </w:tcPr>
          <w:p w14:paraId="457212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hAnsi="宋体" w:cs="宋体"/>
                <w:color w:val="000000" w:themeColor="text1"/>
                <w:sz w:val="21"/>
                <w:szCs w:val="21"/>
                <w:lang w:val="en-US" w:eastAsia="zh-CN" w:bidi="ar-SA"/>
                <w14:textFill>
                  <w14:solidFill>
                    <w14:schemeClr w14:val="tx1"/>
                  </w14:solidFill>
                </w14:textFill>
              </w:rPr>
              <w:t>3</w:t>
            </w:r>
          </w:p>
        </w:tc>
        <w:tc>
          <w:tcPr>
            <w:tcW w:w="3588" w:type="dxa"/>
            <w:noWrap/>
            <w:vAlign w:val="center"/>
          </w:tcPr>
          <w:p w14:paraId="3CEF7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主要工具使用安全规程</w:t>
            </w:r>
          </w:p>
        </w:tc>
        <w:tc>
          <w:tcPr>
            <w:tcW w:w="852" w:type="dxa"/>
            <w:noWrap/>
            <w:vAlign w:val="center"/>
          </w:tcPr>
          <w:p w14:paraId="184E5F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hAnsi="宋体" w:cs="宋体"/>
                <w:color w:val="000000" w:themeColor="text1"/>
                <w:sz w:val="21"/>
                <w:szCs w:val="21"/>
                <w:lang w:val="en-US" w:eastAsia="zh-CN" w:bidi="ar-SA"/>
                <w14:textFill>
                  <w14:solidFill>
                    <w14:schemeClr w14:val="tx1"/>
                  </w14:solidFill>
                </w14:textFill>
              </w:rPr>
              <w:t>4</w:t>
            </w:r>
          </w:p>
        </w:tc>
        <w:tc>
          <w:tcPr>
            <w:tcW w:w="3508" w:type="dxa"/>
            <w:noWrap/>
            <w:vAlign w:val="center"/>
          </w:tcPr>
          <w:p w14:paraId="0CB017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车辆安全规程</w:t>
            </w:r>
          </w:p>
        </w:tc>
      </w:tr>
    </w:tbl>
    <w:p w14:paraId="4CAD6ED8">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37" w:name="_Toc6048"/>
      <w:bookmarkStart w:id="238" w:name="_Toc17375"/>
      <w:bookmarkStart w:id="239" w:name="_Toc873"/>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4 </w:t>
      </w:r>
      <w:r>
        <w:rPr>
          <w:rFonts w:hint="default" w:ascii="Times New Roman" w:hAnsi="Times New Roman" w:eastAsia="黑体" w:cs="Times New Roman"/>
          <w:color w:val="000000" w:themeColor="text1"/>
          <w14:textFill>
            <w14:solidFill>
              <w14:schemeClr w14:val="tx1"/>
            </w14:solidFill>
          </w14:textFill>
        </w:rPr>
        <w:t>安全管理人员及特种作业人员持证上岗情况</w:t>
      </w:r>
      <w:bookmarkEnd w:id="237"/>
      <w:bookmarkEnd w:id="238"/>
      <w:bookmarkEnd w:id="239"/>
    </w:p>
    <w:p w14:paraId="3BB4999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Times New Roman" w:hAnsi="Times New Roman" w:eastAsia="宋体" w:cs="Times New Roman"/>
          <w:color w:val="000000" w:themeColor="text1"/>
          <w:sz w:val="28"/>
          <w:szCs w:val="28"/>
          <w:lang w:eastAsia="zh-CN"/>
          <w14:textFill>
            <w14:solidFill>
              <w14:schemeClr w14:val="tx1"/>
            </w14:solidFill>
          </w14:textFill>
        </w:rPr>
      </w:pPr>
      <w:bookmarkStart w:id="240" w:name="_Toc13628"/>
      <w:bookmarkStart w:id="241" w:name="_Toc313453487"/>
      <w:r>
        <w:rPr>
          <w:rFonts w:hint="eastAsia" w:ascii="Times New Roman" w:hAnsi="Times New Roman" w:eastAsia="宋体" w:cs="Times New Roman"/>
          <w:color w:val="000000" w:themeColor="text1"/>
          <w:sz w:val="28"/>
          <w:szCs w:val="28"/>
          <w:lang w:val="en-US" w:eastAsia="zh-CN"/>
          <w14:textFill>
            <w14:solidFill>
              <w14:schemeClr w14:val="tx1"/>
            </w14:solidFill>
          </w14:textFill>
        </w:rPr>
        <w:t>企业</w:t>
      </w:r>
      <w:r>
        <w:rPr>
          <w:rFonts w:hint="eastAsia" w:ascii="Times New Roman" w:hAnsi="Times New Roman" w:eastAsia="宋体" w:cs="Times New Roman"/>
          <w:color w:val="000000" w:themeColor="text1"/>
          <w:sz w:val="28"/>
          <w:szCs w:val="28"/>
          <w14:textFill>
            <w14:solidFill>
              <w14:schemeClr w14:val="tx1"/>
            </w14:solidFill>
          </w14:textFill>
        </w:rPr>
        <w:t>主要负责人及安全管理人员具备多年安全管理经验，主要负责人及安全管理人员参加了安全管理培训，经统一考核合格，取得了安全生产知识和管理能力考核合格证。安全生产知识和管理能力考核合格证</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14:paraId="408B79A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lang w:val="en-US" w:eastAsia="zh-CN"/>
        </w:rPr>
      </w:pPr>
      <w:r>
        <w:rPr>
          <w:rFonts w:hint="eastAsia" w:ascii="Times New Roman" w:hAnsi="Times New Roman" w:eastAsia="宋体" w:cs="Times New Roman"/>
          <w:color w:val="000000" w:themeColor="text1"/>
          <w:sz w:val="28"/>
          <w:szCs w:val="28"/>
          <w14:textFill>
            <w14:solidFill>
              <w14:schemeClr w14:val="tx1"/>
            </w14:solidFill>
          </w14:textFill>
        </w:rPr>
        <w:t>企业</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未</w:t>
      </w:r>
      <w:r>
        <w:rPr>
          <w:rFonts w:hint="eastAsia" w:ascii="Times New Roman" w:hAnsi="Times New Roman" w:eastAsia="宋体" w:cs="Times New Roman"/>
          <w:color w:val="000000" w:themeColor="text1"/>
          <w:sz w:val="28"/>
          <w:szCs w:val="28"/>
          <w14:textFill>
            <w14:solidFill>
              <w14:schemeClr w14:val="tx1"/>
            </w14:solidFill>
          </w14:textFill>
        </w:rPr>
        <w:t>涉及特种设备作业</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hint="default" w:ascii="Times New Roman" w:hAnsi="Times New Roman" w:eastAsia="宋体" w:cs="Times New Roman"/>
          <w:color w:val="000000" w:themeColor="text1"/>
          <w:sz w:val="28"/>
          <w:szCs w:val="28"/>
          <w14:textFill>
            <w14:solidFill>
              <w14:schemeClr w14:val="tx1"/>
            </w14:solidFill>
          </w14:textFill>
        </w:rPr>
        <w:t>该公司</w:t>
      </w:r>
      <w:r>
        <w:rPr>
          <w:rFonts w:hint="eastAsia" w:ascii="Times New Roman" w:hAnsi="Times New Roman" w:eastAsia="宋体" w:cs="Times New Roman"/>
          <w:color w:val="000000" w:themeColor="text1"/>
          <w:sz w:val="28"/>
          <w:szCs w:val="28"/>
          <w14:textFill>
            <w14:solidFill>
              <w14:schemeClr w14:val="tx1"/>
            </w14:solidFill>
          </w14:textFill>
        </w:rPr>
        <w:t>主要负责人、安全管理人员持证台账如下表所示。</w:t>
      </w:r>
    </w:p>
    <w:p w14:paraId="1B26A3C5">
      <w:pPr>
        <w:adjustRightInd w:val="0"/>
        <w:snapToGrid w:val="0"/>
        <w:spacing w:line="500" w:lineRule="exact"/>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表2-</w:t>
      </w:r>
      <w:r>
        <w:rPr>
          <w:rFonts w:hint="eastAsia" w:ascii="Times New Roman" w:cs="Times New Roman"/>
          <w:bCs/>
          <w:color w:val="000000" w:themeColor="text1"/>
          <w:sz w:val="24"/>
          <w:lang w:val="en-US" w:eastAsia="zh-CN"/>
          <w14:textFill>
            <w14:solidFill>
              <w14:schemeClr w14:val="tx1"/>
            </w14:solidFill>
          </w14:textFill>
        </w:rPr>
        <w:t>8</w:t>
      </w:r>
      <w:r>
        <w:rPr>
          <w:rFonts w:hint="default" w:ascii="Times New Roman" w:hAnsi="Times New Roman" w:cs="Times New Roman"/>
          <w:bCs/>
          <w:color w:val="000000" w:themeColor="text1"/>
          <w:sz w:val="24"/>
          <w14:textFill>
            <w14:solidFill>
              <w14:schemeClr w14:val="tx1"/>
            </w14:solidFill>
          </w14:textFill>
        </w:rPr>
        <w:t xml:space="preserve"> 安全管理人员持证一览表</w:t>
      </w:r>
    </w:p>
    <w:tbl>
      <w:tblPr>
        <w:tblStyle w:val="52"/>
        <w:tblW w:w="8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028"/>
        <w:gridCol w:w="1416"/>
        <w:gridCol w:w="1926"/>
        <w:gridCol w:w="1438"/>
        <w:gridCol w:w="1841"/>
      </w:tblGrid>
      <w:tr w14:paraId="526D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blHeader/>
          <w:jc w:val="center"/>
        </w:trPr>
        <w:tc>
          <w:tcPr>
            <w:tcW w:w="393" w:type="dxa"/>
            <w:tcBorders>
              <w:left w:val="single" w:color="auto" w:sz="4" w:space="0"/>
            </w:tcBorders>
            <w:vAlign w:val="center"/>
          </w:tcPr>
          <w:p w14:paraId="03339AF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1028" w:type="dxa"/>
            <w:tcBorders>
              <w:left w:val="single" w:color="auto" w:sz="4" w:space="0"/>
            </w:tcBorders>
            <w:vAlign w:val="center"/>
          </w:tcPr>
          <w:p w14:paraId="5A9762E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姓名</w:t>
            </w:r>
          </w:p>
        </w:tc>
        <w:tc>
          <w:tcPr>
            <w:tcW w:w="1416" w:type="dxa"/>
            <w:vAlign w:val="center"/>
          </w:tcPr>
          <w:p w14:paraId="1687B3CF">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人员类型</w:t>
            </w:r>
          </w:p>
        </w:tc>
        <w:tc>
          <w:tcPr>
            <w:tcW w:w="1926" w:type="dxa"/>
            <w:vAlign w:val="center"/>
          </w:tcPr>
          <w:p w14:paraId="2D001891">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证书编号</w:t>
            </w:r>
          </w:p>
        </w:tc>
        <w:tc>
          <w:tcPr>
            <w:tcW w:w="1438" w:type="dxa"/>
            <w:vAlign w:val="center"/>
          </w:tcPr>
          <w:p w14:paraId="6B97B208">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有效期限</w:t>
            </w:r>
          </w:p>
        </w:tc>
        <w:tc>
          <w:tcPr>
            <w:tcW w:w="1841" w:type="dxa"/>
            <w:vAlign w:val="center"/>
          </w:tcPr>
          <w:p w14:paraId="41E11282">
            <w:pPr>
              <w:adjustRightInd w:val="0"/>
              <w:snapToGrid w:val="0"/>
              <w:spacing w:line="300" w:lineRule="exact"/>
              <w:jc w:val="center"/>
              <w:rPr>
                <w:rFonts w:hint="default" w:ascii="宋体" w:hAnsi="宋体" w:eastAsia="宋体" w:cs="宋体"/>
                <w:b/>
                <w:color w:val="000000" w:themeColor="text1"/>
                <w:sz w:val="21"/>
                <w:szCs w:val="21"/>
                <w:lang w:val="en-US" w:eastAsia="zh-CN"/>
                <w14:textFill>
                  <w14:solidFill>
                    <w14:schemeClr w14:val="tx1"/>
                  </w14:solidFill>
                </w14:textFill>
              </w:rPr>
            </w:pPr>
            <w:r>
              <w:rPr>
                <w:rFonts w:hint="eastAsia" w:hAnsi="宋体" w:cs="宋体"/>
                <w:b/>
                <w:color w:val="000000" w:themeColor="text1"/>
                <w:sz w:val="21"/>
                <w:szCs w:val="21"/>
                <w:lang w:val="en-US" w:eastAsia="zh-CN"/>
                <w14:textFill>
                  <w14:solidFill>
                    <w14:schemeClr w14:val="tx1"/>
                  </w14:solidFill>
                </w14:textFill>
              </w:rPr>
              <w:t>发证部门</w:t>
            </w:r>
          </w:p>
        </w:tc>
      </w:tr>
      <w:tr w14:paraId="0986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393" w:type="dxa"/>
            <w:tcBorders>
              <w:left w:val="single" w:color="auto" w:sz="4" w:space="0"/>
            </w:tcBorders>
            <w:vAlign w:val="center"/>
          </w:tcPr>
          <w:p w14:paraId="11D6FB3B">
            <w:pPr>
              <w:numPr>
                <w:ilvl w:val="0"/>
                <w:numId w:val="8"/>
              </w:numPr>
              <w:tabs>
                <w:tab w:val="left" w:pos="180"/>
              </w:tabs>
              <w:adjustRightInd w:val="0"/>
              <w:snapToGrid w:val="0"/>
              <w:spacing w:line="300" w:lineRule="exact"/>
              <w:ind w:left="0"/>
              <w:jc w:val="center"/>
              <w:rPr>
                <w:rFonts w:hint="eastAsia" w:ascii="宋体" w:hAnsi="宋体" w:eastAsia="宋体" w:cs="宋体"/>
                <w:color w:val="000000" w:themeColor="text1"/>
                <w:kern w:val="0"/>
                <w:sz w:val="21"/>
                <w:szCs w:val="21"/>
                <w14:textFill>
                  <w14:solidFill>
                    <w14:schemeClr w14:val="tx1"/>
                  </w14:solidFill>
                </w14:textFill>
              </w:rPr>
            </w:pPr>
          </w:p>
        </w:tc>
        <w:tc>
          <w:tcPr>
            <w:tcW w:w="1028" w:type="dxa"/>
            <w:tcBorders>
              <w:left w:val="single" w:color="auto" w:sz="4" w:space="0"/>
            </w:tcBorders>
            <w:shd w:val="clear" w:color="auto" w:fill="auto"/>
            <w:vAlign w:val="center"/>
          </w:tcPr>
          <w:p w14:paraId="14FFB1EB">
            <w:pPr>
              <w:adjustRightInd w:val="0"/>
              <w:snapToGrid w:val="0"/>
              <w:spacing w:line="300" w:lineRule="exact"/>
              <w:jc w:val="center"/>
              <w:rPr>
                <w:rFonts w:hint="eastAsia" w:ascii="宋体" w:hAnsi="宋体" w:eastAsia="宋体" w:cs="宋体"/>
                <w:sz w:val="21"/>
                <w:szCs w:val="21"/>
                <w:lang w:val="en-US" w:eastAsia="zh-CN" w:bidi="ar-SA"/>
              </w:rPr>
            </w:pPr>
            <w:r>
              <w:rPr>
                <w:rFonts w:hint="eastAsia" w:ascii="宋体" w:hAnsi="宋体" w:cs="宋体"/>
                <w:sz w:val="21"/>
                <w:szCs w:val="21"/>
                <w:lang w:val="en-US" w:eastAsia="zh-CN"/>
              </w:rPr>
              <w:t>葛茂东</w:t>
            </w:r>
          </w:p>
        </w:tc>
        <w:tc>
          <w:tcPr>
            <w:tcW w:w="1416" w:type="dxa"/>
            <w:shd w:val="clear" w:color="auto" w:fill="auto"/>
            <w:vAlign w:val="center"/>
          </w:tcPr>
          <w:p w14:paraId="21B69C8C">
            <w:pPr>
              <w:adjustRightInd w:val="0"/>
              <w:snapToGrid w:val="0"/>
              <w:spacing w:line="300" w:lineRule="exact"/>
              <w:jc w:val="center"/>
              <w:rPr>
                <w:rFonts w:hint="eastAsia" w:ascii="宋体" w:hAnsi="宋体" w:eastAsia="宋体" w:cs="宋体"/>
                <w:sz w:val="21"/>
                <w:szCs w:val="21"/>
                <w:lang w:val="en-US" w:eastAsia="zh-CN" w:bidi="ar-SA"/>
              </w:rPr>
            </w:pPr>
            <w:r>
              <w:rPr>
                <w:rFonts w:hint="eastAsia" w:ascii="宋体" w:hAnsi="宋体" w:cs="宋体"/>
                <w:sz w:val="21"/>
                <w:szCs w:val="21"/>
                <w:lang w:val="en-US" w:eastAsia="zh-CN"/>
              </w:rPr>
              <w:t>主要负责人</w:t>
            </w:r>
          </w:p>
        </w:tc>
        <w:tc>
          <w:tcPr>
            <w:tcW w:w="1926" w:type="dxa"/>
            <w:shd w:val="clear" w:color="auto" w:fill="auto"/>
            <w:vAlign w:val="center"/>
          </w:tcPr>
          <w:p w14:paraId="3097CA0E">
            <w:pPr>
              <w:adjustRightInd w:val="0"/>
              <w:snapToGrid w:val="0"/>
              <w:spacing w:line="300" w:lineRule="exact"/>
              <w:jc w:val="both"/>
              <w:rPr>
                <w:rFonts w:hint="eastAsia" w:ascii="宋体" w:hAnsi="宋体" w:eastAsia="宋体" w:cs="宋体"/>
                <w:sz w:val="21"/>
                <w:szCs w:val="21"/>
                <w:lang w:val="en-US" w:eastAsia="zh-CN" w:bidi="ar-SA"/>
              </w:rPr>
            </w:pPr>
            <w:r>
              <w:rPr>
                <w:rFonts w:hint="eastAsia" w:ascii="宋体" w:hAnsi="宋体" w:cs="宋体"/>
                <w:sz w:val="21"/>
                <w:szCs w:val="21"/>
                <w:lang w:val="en-US" w:eastAsia="zh-CN"/>
              </w:rPr>
              <w:t>FJ</w:t>
            </w:r>
            <w:r>
              <w:rPr>
                <w:rFonts w:hint="eastAsia" w:ascii="宋体" w:hAnsi="宋体" w:eastAsia="宋体" w:cs="宋体"/>
                <w:sz w:val="21"/>
                <w:szCs w:val="21"/>
                <w:lang w:val="en-US" w:eastAsia="zh-CN"/>
              </w:rPr>
              <w:t>7902024F</w:t>
            </w:r>
            <w:r>
              <w:rPr>
                <w:rFonts w:hint="eastAsia" w:ascii="宋体" w:hAnsi="宋体" w:cs="宋体"/>
                <w:sz w:val="21"/>
                <w:szCs w:val="21"/>
                <w:lang w:val="en-US" w:eastAsia="zh-CN"/>
              </w:rPr>
              <w:t>Z</w:t>
            </w:r>
            <w:r>
              <w:rPr>
                <w:rFonts w:hint="eastAsia" w:ascii="宋体" w:hAnsi="宋体" w:eastAsia="宋体" w:cs="宋体"/>
                <w:sz w:val="21"/>
                <w:szCs w:val="21"/>
                <w:lang w:val="en-US" w:eastAsia="zh-CN"/>
              </w:rPr>
              <w:t>3202</w:t>
            </w:r>
          </w:p>
        </w:tc>
        <w:tc>
          <w:tcPr>
            <w:tcW w:w="1438" w:type="dxa"/>
            <w:shd w:val="clear" w:color="auto" w:fill="auto"/>
            <w:vAlign w:val="center"/>
          </w:tcPr>
          <w:p w14:paraId="5C18B62C">
            <w:pPr>
              <w:adjustRightInd w:val="0"/>
              <w:snapToGrid w:val="0"/>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2024.09.12-</w:t>
            </w:r>
          </w:p>
          <w:p w14:paraId="6F6F3419">
            <w:pPr>
              <w:adjustRightInd w:val="0"/>
              <w:snapToGrid w:val="0"/>
              <w:spacing w:line="300" w:lineRule="exact"/>
              <w:jc w:val="center"/>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lang w:val="en-US" w:eastAsia="zh-CN"/>
                <w14:textFill>
                  <w14:solidFill>
                    <w14:schemeClr w14:val="tx1"/>
                  </w14:solidFill>
                </w14:textFill>
              </w:rPr>
              <w:t>2027.09.11</w:t>
            </w:r>
          </w:p>
        </w:tc>
        <w:tc>
          <w:tcPr>
            <w:tcW w:w="1841" w:type="dxa"/>
            <w:shd w:val="clear" w:color="auto" w:fill="auto"/>
            <w:vAlign w:val="center"/>
          </w:tcPr>
          <w:p w14:paraId="0E4DAC64">
            <w:pPr>
              <w:adjustRightInd w:val="0"/>
              <w:snapToGrid w:val="0"/>
              <w:spacing w:line="300" w:lineRule="exact"/>
              <w:jc w:val="center"/>
              <w:rPr>
                <w:rFonts w:hint="eastAsia" w:ascii="宋体" w:hAnsi="宋体" w:eastAsia="宋体" w:cs="宋体"/>
                <w:sz w:val="21"/>
                <w:szCs w:val="21"/>
                <w:u w:val="none"/>
                <w:lang w:val="en-US" w:eastAsia="zh-CN" w:bidi="ar-SA"/>
              </w:rPr>
            </w:pPr>
            <w:r>
              <w:rPr>
                <w:rFonts w:hint="eastAsia" w:ascii="宋体" w:hAnsi="宋体" w:cs="宋体"/>
                <w:sz w:val="21"/>
                <w:szCs w:val="21"/>
                <w:u w:val="none"/>
                <w:lang w:val="en-US" w:eastAsia="zh-CN"/>
              </w:rPr>
              <w:t>玉溪惠人安全技术服务有限公司</w:t>
            </w:r>
          </w:p>
        </w:tc>
      </w:tr>
      <w:tr w14:paraId="6F85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393" w:type="dxa"/>
            <w:tcBorders>
              <w:left w:val="single" w:color="auto" w:sz="4" w:space="0"/>
            </w:tcBorders>
            <w:vAlign w:val="center"/>
          </w:tcPr>
          <w:p w14:paraId="03F13B29">
            <w:pPr>
              <w:numPr>
                <w:ilvl w:val="0"/>
                <w:numId w:val="8"/>
              </w:numPr>
              <w:tabs>
                <w:tab w:val="left" w:pos="180"/>
              </w:tabs>
              <w:adjustRightInd w:val="0"/>
              <w:snapToGrid w:val="0"/>
              <w:spacing w:line="300" w:lineRule="exact"/>
              <w:ind w:left="0"/>
              <w:jc w:val="center"/>
              <w:rPr>
                <w:rFonts w:hint="eastAsia" w:ascii="宋体" w:hAnsi="宋体" w:eastAsia="宋体" w:cs="宋体"/>
                <w:color w:val="000000" w:themeColor="text1"/>
                <w:kern w:val="0"/>
                <w:sz w:val="21"/>
                <w:szCs w:val="21"/>
                <w14:textFill>
                  <w14:solidFill>
                    <w14:schemeClr w14:val="tx1"/>
                  </w14:solidFill>
                </w14:textFill>
              </w:rPr>
            </w:pPr>
          </w:p>
        </w:tc>
        <w:tc>
          <w:tcPr>
            <w:tcW w:w="1028" w:type="dxa"/>
            <w:tcBorders>
              <w:left w:val="single" w:color="auto" w:sz="4" w:space="0"/>
            </w:tcBorders>
            <w:vAlign w:val="center"/>
          </w:tcPr>
          <w:p w14:paraId="106BAF52">
            <w:pPr>
              <w:adjustRightInd w:val="0"/>
              <w:snapToGrid w:val="0"/>
              <w:spacing w:line="300" w:lineRule="exact"/>
              <w:jc w:val="center"/>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cs="宋体"/>
                <w:sz w:val="21"/>
                <w:szCs w:val="21"/>
                <w:lang w:val="en-US" w:eastAsia="zh-CN"/>
              </w:rPr>
              <w:t>葛熹奇</w:t>
            </w:r>
          </w:p>
        </w:tc>
        <w:tc>
          <w:tcPr>
            <w:tcW w:w="1416" w:type="dxa"/>
            <w:vAlign w:val="center"/>
          </w:tcPr>
          <w:p w14:paraId="15907E50">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sz w:val="21"/>
                <w:szCs w:val="21"/>
                <w:lang w:val="en-US" w:eastAsia="zh-CN"/>
              </w:rPr>
              <w:t>安全生产管理人员</w:t>
            </w:r>
          </w:p>
        </w:tc>
        <w:tc>
          <w:tcPr>
            <w:tcW w:w="1926" w:type="dxa"/>
            <w:vAlign w:val="center"/>
          </w:tcPr>
          <w:p w14:paraId="709F8326">
            <w:pPr>
              <w:adjustRightInd w:val="0"/>
              <w:snapToGrid w:val="0"/>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530421198805030527</w:t>
            </w:r>
          </w:p>
        </w:tc>
        <w:tc>
          <w:tcPr>
            <w:tcW w:w="1438" w:type="dxa"/>
            <w:vAlign w:val="center"/>
          </w:tcPr>
          <w:p w14:paraId="371432A5">
            <w:pPr>
              <w:adjustRightInd w:val="0"/>
              <w:snapToGrid w:val="0"/>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2024.</w:t>
            </w:r>
            <w:r>
              <w:rPr>
                <w:rFonts w:hint="eastAsia" w:hAnsi="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05</w:t>
            </w:r>
            <w:r>
              <w:rPr>
                <w:rFonts w:hint="eastAsia" w:ascii="宋体" w:hAnsi="宋体" w:eastAsia="宋体" w:cs="宋体"/>
                <w:color w:val="000000" w:themeColor="text1"/>
                <w:sz w:val="21"/>
                <w:szCs w:val="21"/>
                <w:lang w:val="en-US" w:eastAsia="zh-CN"/>
                <w14:textFill>
                  <w14:solidFill>
                    <w14:schemeClr w14:val="tx1"/>
                  </w14:solidFill>
                </w14:textFill>
              </w:rPr>
              <w:t>-</w:t>
            </w:r>
          </w:p>
          <w:p w14:paraId="6D436A71">
            <w:pPr>
              <w:adjustRightInd w:val="0"/>
              <w:snapToGrid w:val="0"/>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2027.</w:t>
            </w:r>
            <w:r>
              <w:rPr>
                <w:rFonts w:hint="eastAsia" w:hAnsi="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04</w:t>
            </w:r>
          </w:p>
        </w:tc>
        <w:tc>
          <w:tcPr>
            <w:tcW w:w="1841" w:type="dxa"/>
            <w:vAlign w:val="center"/>
          </w:tcPr>
          <w:p w14:paraId="03E1B20E">
            <w:pPr>
              <w:adjustRightInd w:val="0"/>
              <w:snapToGrid w:val="0"/>
              <w:spacing w:line="30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玉溪市应急管理局</w:t>
            </w:r>
          </w:p>
        </w:tc>
      </w:tr>
      <w:bookmarkEnd w:id="240"/>
    </w:tbl>
    <w:p w14:paraId="640786A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14:textFill>
            <w14:solidFill>
              <w14:schemeClr w14:val="tx1"/>
            </w14:solidFill>
          </w14:textFill>
        </w:rPr>
      </w:pPr>
      <w:bookmarkStart w:id="242" w:name="_Toc1418"/>
      <w:bookmarkStart w:id="243" w:name="_Toc6281"/>
      <w:bookmarkStart w:id="244" w:name="_Toc21904"/>
      <w:r>
        <w:rPr>
          <w:rFonts w:hint="default" w:ascii="Times New Roman" w:hAnsi="Times New Roman" w:eastAsia="黑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5 </w:t>
      </w:r>
      <w:r>
        <w:rPr>
          <w:rFonts w:hint="default" w:ascii="Times New Roman" w:hAnsi="Times New Roman" w:eastAsia="黑体" w:cs="Times New Roman"/>
          <w:color w:val="000000" w:themeColor="text1"/>
          <w14:textFill>
            <w14:solidFill>
              <w14:schemeClr w14:val="tx1"/>
            </w14:solidFill>
          </w14:textFill>
        </w:rPr>
        <w:t>安全生产资金投入</w:t>
      </w:r>
      <w:bookmarkEnd w:id="242"/>
      <w:bookmarkEnd w:id="243"/>
      <w:bookmarkEnd w:id="244"/>
    </w:p>
    <w:p w14:paraId="5A0F2D49">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ascii="宋体" w:hAnsi="宋体" w:cs="宋体"/>
          <w:color w:val="000000" w:themeColor="text1"/>
          <w:sz w:val="28"/>
          <w:szCs w:val="28"/>
          <w14:textFill>
            <w14:solidFill>
              <w14:schemeClr w14:val="tx1"/>
            </w14:solidFill>
          </w14:textFill>
        </w:rPr>
      </w:pPr>
      <w:bookmarkStart w:id="245" w:name="_Toc17317"/>
      <w:r>
        <w:rPr>
          <w:rFonts w:hint="eastAsia" w:ascii="宋体" w:hAnsi="宋体" w:cs="宋体"/>
          <w:color w:val="000000" w:themeColor="text1"/>
          <w:sz w:val="28"/>
          <w:szCs w:val="28"/>
          <w14:textFill>
            <w14:solidFill>
              <w14:schemeClr w14:val="tx1"/>
            </w14:solidFill>
          </w14:textFill>
        </w:rPr>
        <w:t>企业建立了安全费用提取及使用台账，安全费用按照《企业安全生产费用提取和使用管理办法》（</w:t>
      </w:r>
      <w:r>
        <w:rPr>
          <w:rFonts w:hint="eastAsia" w:hAnsi="宋体" w:cs="宋体"/>
          <w:color w:val="000000" w:themeColor="text1"/>
          <w:sz w:val="28"/>
          <w:szCs w:val="28"/>
          <w:lang w:val="en-US" w:eastAsia="zh-CN"/>
          <w14:textFill>
            <w14:solidFill>
              <w14:schemeClr w14:val="tx1"/>
            </w14:solidFill>
          </w14:textFill>
        </w:rPr>
        <w:t>财资</w:t>
      </w:r>
      <w:r>
        <w:rPr>
          <w:rFonts w:hint="eastAsia" w:ascii="宋体" w:hAnsi="宋体" w:cs="宋体"/>
          <w:color w:val="000000" w:themeColor="text1"/>
          <w:sz w:val="28"/>
          <w:szCs w:val="28"/>
          <w14:textFill>
            <w14:solidFill>
              <w14:schemeClr w14:val="tx1"/>
            </w14:solidFill>
          </w14:textFill>
        </w:rPr>
        <w:t>〔2022〕136号）规定，提取的安全费用在成本中列支，并严格按照安全生产费用管理制度进行审核和提取。企业安全生产费用主要用于安全生产检查、评价、安全咨询服务、安全生产宣传、教育、培训等支出；完善、改造和维护安全防护设施设备支出，包括作业场所的监控、监测、防火、防机械伤害、防坠落、防尘、防毒、防噪声与振动等设施设备支出；配备、维护、保养应急救援器材、设备；配备和更新现场安全标识及作业人员安全防护用品支出；安全设施及特种设备检测检验支出等。企业职业安全卫生投入费用主要用于防护设施建设与维护、个人劳动防护用品购买、工作场所职业卫生检测评价、职业卫生宣传培训、员工健康监护等。</w:t>
      </w:r>
    </w:p>
    <w:p w14:paraId="37D35D93">
      <w:pPr>
        <w:pStyle w:val="71"/>
        <w:keepNext w:val="0"/>
        <w:keepLines w:val="0"/>
        <w:pageBreakBefore w:val="0"/>
        <w:widowControl w:val="0"/>
        <w:kinsoku/>
        <w:wordWrap/>
        <w:overflowPunct/>
        <w:topLinePunct w:val="0"/>
        <w:autoSpaceDE/>
        <w:autoSpaceDN/>
        <w:bidi w:val="0"/>
        <w:adjustRightInd w:val="0"/>
        <w:snapToGrid w:val="0"/>
        <w:spacing w:line="500" w:lineRule="exact"/>
        <w:ind w:firstLine="560"/>
        <w:jc w:val="both"/>
        <w:textAlignment w:val="auto"/>
        <w:outlineLvl w:val="9"/>
        <w:rPr>
          <w:rFonts w:hint="eastAsia" w:ascii="宋体" w:hAnsi="宋体" w:cs="宋体"/>
          <w:b w:val="0"/>
          <w:bCs/>
          <w:color w:val="000000" w:themeColor="text1"/>
          <w:kern w:val="2"/>
          <w:sz w:val="28"/>
          <w:szCs w:val="28"/>
          <w14:textFill>
            <w14:solidFill>
              <w14:schemeClr w14:val="tx1"/>
            </w14:solidFill>
          </w14:textFill>
        </w:rPr>
      </w:pPr>
      <w:r>
        <w:rPr>
          <w:rFonts w:hint="eastAsia" w:ascii="宋体" w:hAnsi="宋体" w:cs="宋体"/>
          <w:b w:val="0"/>
          <w:bCs/>
          <w:color w:val="000000" w:themeColor="text1"/>
          <w:kern w:val="2"/>
          <w:sz w:val="28"/>
          <w:szCs w:val="28"/>
          <w:highlight w:val="none"/>
          <w14:textFill>
            <w14:solidFill>
              <w14:schemeClr w14:val="tx1"/>
            </w14:solidFill>
          </w14:textFill>
        </w:rPr>
        <w:t>企业202</w:t>
      </w:r>
      <w:r>
        <w:rPr>
          <w:rFonts w:hint="eastAsia" w:ascii="宋体" w:hAnsi="宋体" w:cs="宋体"/>
          <w:b w:val="0"/>
          <w:bCs/>
          <w:color w:val="000000" w:themeColor="text1"/>
          <w:kern w:val="2"/>
          <w:sz w:val="28"/>
          <w:szCs w:val="28"/>
          <w:highlight w:val="none"/>
          <w:lang w:val="en-US" w:eastAsia="zh-CN"/>
          <w14:textFill>
            <w14:solidFill>
              <w14:schemeClr w14:val="tx1"/>
            </w14:solidFill>
          </w14:textFill>
        </w:rPr>
        <w:t>4</w:t>
      </w:r>
      <w:r>
        <w:rPr>
          <w:rFonts w:hint="eastAsia" w:ascii="宋体" w:hAnsi="宋体" w:cs="宋体"/>
          <w:b w:val="0"/>
          <w:bCs/>
          <w:color w:val="000000" w:themeColor="text1"/>
          <w:kern w:val="2"/>
          <w:sz w:val="28"/>
          <w:szCs w:val="28"/>
          <w:highlight w:val="none"/>
          <w14:textFill>
            <w14:solidFill>
              <w14:schemeClr w14:val="tx1"/>
            </w14:solidFill>
          </w14:textFill>
        </w:rPr>
        <w:t>年</w:t>
      </w:r>
      <w:r>
        <w:rPr>
          <w:rFonts w:hint="eastAsia" w:ascii="宋体" w:hAnsi="宋体" w:cs="宋体"/>
          <w:b w:val="0"/>
          <w:bCs/>
          <w:color w:val="000000" w:themeColor="text1"/>
          <w:kern w:val="2"/>
          <w:sz w:val="28"/>
          <w:szCs w:val="28"/>
          <w:highlight w:val="none"/>
          <w:lang w:val="en-US" w:eastAsia="zh-CN"/>
          <w14:textFill>
            <w14:solidFill>
              <w14:schemeClr w14:val="tx1"/>
            </w14:solidFill>
          </w14:textFill>
        </w:rPr>
        <w:t>1-10月</w:t>
      </w:r>
      <w:r>
        <w:rPr>
          <w:rFonts w:hint="eastAsia" w:ascii="宋体" w:hAnsi="宋体" w:cs="宋体"/>
          <w:b w:val="0"/>
          <w:bCs/>
          <w:color w:val="000000" w:themeColor="text1"/>
          <w:kern w:val="2"/>
          <w:sz w:val="28"/>
          <w:szCs w:val="28"/>
          <w:highlight w:val="none"/>
          <w14:textFill>
            <w14:solidFill>
              <w14:schemeClr w14:val="tx1"/>
            </w14:solidFill>
          </w14:textFill>
        </w:rPr>
        <w:t>安全专项资金投入明细见表</w:t>
      </w:r>
      <w:r>
        <w:rPr>
          <w:rFonts w:hint="eastAsia" w:ascii="宋体" w:hAnsi="宋体" w:cs="宋体"/>
          <w:b w:val="0"/>
          <w:bCs/>
          <w:color w:val="000000" w:themeColor="text1"/>
          <w:kern w:val="2"/>
          <w:sz w:val="28"/>
          <w:szCs w:val="28"/>
          <w:highlight w:val="none"/>
          <w:lang w:val="en-US" w:eastAsia="zh-CN"/>
          <w14:textFill>
            <w14:solidFill>
              <w14:schemeClr w14:val="tx1"/>
            </w14:solidFill>
          </w14:textFill>
        </w:rPr>
        <w:t>2-12</w:t>
      </w:r>
      <w:r>
        <w:rPr>
          <w:rFonts w:hint="eastAsia" w:ascii="宋体" w:hAnsi="宋体" w:cs="宋体"/>
          <w:b w:val="0"/>
          <w:bCs/>
          <w:color w:val="000000" w:themeColor="text1"/>
          <w:kern w:val="2"/>
          <w:sz w:val="28"/>
          <w:szCs w:val="28"/>
          <w:highlight w:val="none"/>
          <w14:textFill>
            <w14:solidFill>
              <w14:schemeClr w14:val="tx1"/>
            </w14:solidFill>
          </w14:textFill>
        </w:rPr>
        <w:t>。</w:t>
      </w:r>
    </w:p>
    <w:p w14:paraId="6CCCC4A3">
      <w:pPr>
        <w:pStyle w:val="71"/>
        <w:keepNext w:val="0"/>
        <w:keepLines w:val="0"/>
        <w:pageBreakBefore w:val="0"/>
        <w:widowControl w:val="0"/>
        <w:kinsoku/>
        <w:wordWrap/>
        <w:overflowPunct/>
        <w:topLinePunct w:val="0"/>
        <w:autoSpaceDE/>
        <w:autoSpaceDN/>
        <w:bidi w:val="0"/>
        <w:adjustRightInd w:val="0"/>
        <w:snapToGrid w:val="0"/>
        <w:spacing w:line="500" w:lineRule="exact"/>
        <w:ind w:firstLine="560"/>
        <w:jc w:val="center"/>
        <w:textAlignment w:val="auto"/>
        <w:outlineLvl w:val="9"/>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表2-1</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 xml:space="preserve"> 202</w:t>
      </w:r>
      <w:r>
        <w:rPr>
          <w:rFonts w:hint="eastAsia" w:ascii="宋体" w:hAnsi="宋体" w:cs="宋体"/>
          <w:color w:val="000000" w:themeColor="text1"/>
          <w:szCs w:val="21"/>
          <w:lang w:val="en-US" w:eastAsia="zh-CN"/>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1-10月</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安全费用投入明细</w:t>
      </w:r>
    </w:p>
    <w:tbl>
      <w:tblPr>
        <w:tblStyle w:val="53"/>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459"/>
        <w:gridCol w:w="2385"/>
        <w:gridCol w:w="2088"/>
      </w:tblGrid>
      <w:tr w14:paraId="79FF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1008" w:type="dxa"/>
            <w:vAlign w:val="center"/>
          </w:tcPr>
          <w:p w14:paraId="20FFCD1E">
            <w:pPr>
              <w:tabs>
                <w:tab w:val="left" w:pos="2700"/>
              </w:tabs>
              <w:adjustRightInd w:val="0"/>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3459" w:type="dxa"/>
            <w:vAlign w:val="center"/>
          </w:tcPr>
          <w:p w14:paraId="0E579296">
            <w:pPr>
              <w:tabs>
                <w:tab w:val="left" w:pos="2700"/>
              </w:tabs>
              <w:adjustRightInd w:val="0"/>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w:t>
            </w:r>
          </w:p>
        </w:tc>
        <w:tc>
          <w:tcPr>
            <w:tcW w:w="2385" w:type="dxa"/>
            <w:vAlign w:val="center"/>
          </w:tcPr>
          <w:p w14:paraId="35CE9636">
            <w:pPr>
              <w:tabs>
                <w:tab w:val="left" w:pos="2700"/>
              </w:tabs>
              <w:adjustRightInd w:val="0"/>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支出费用（元）</w:t>
            </w:r>
          </w:p>
        </w:tc>
        <w:tc>
          <w:tcPr>
            <w:tcW w:w="2088" w:type="dxa"/>
            <w:vAlign w:val="center"/>
          </w:tcPr>
          <w:p w14:paraId="06ABF607">
            <w:pPr>
              <w:tabs>
                <w:tab w:val="left" w:pos="2700"/>
              </w:tabs>
              <w:adjustRightInd w:val="0"/>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备注</w:t>
            </w:r>
          </w:p>
        </w:tc>
      </w:tr>
      <w:tr w14:paraId="05A5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7D3C5535">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3459" w:type="dxa"/>
            <w:vAlign w:val="center"/>
          </w:tcPr>
          <w:p w14:paraId="472094DE">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应急照明配置</w:t>
            </w:r>
          </w:p>
        </w:tc>
        <w:tc>
          <w:tcPr>
            <w:tcW w:w="2385" w:type="dxa"/>
            <w:vAlign w:val="center"/>
          </w:tcPr>
          <w:p w14:paraId="1038F4FF">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10</w:t>
            </w:r>
            <w:r>
              <w:rPr>
                <w:rFonts w:hint="eastAsia" w:ascii="宋体" w:hAnsi="宋体" w:cs="宋体"/>
                <w:color w:val="000000" w:themeColor="text1"/>
                <w:szCs w:val="21"/>
                <w:lang w:val="en-US" w:eastAsia="zh-CN"/>
                <w14:textFill>
                  <w14:solidFill>
                    <w14:schemeClr w14:val="tx1"/>
                  </w14:solidFill>
                </w14:textFill>
              </w:rPr>
              <w:t>80</w:t>
            </w:r>
          </w:p>
        </w:tc>
        <w:tc>
          <w:tcPr>
            <w:tcW w:w="2088" w:type="dxa"/>
            <w:vAlign w:val="center"/>
          </w:tcPr>
          <w:p w14:paraId="3C7776D6">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2BE5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07E97AD4">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3459" w:type="dxa"/>
            <w:vAlign w:val="center"/>
          </w:tcPr>
          <w:p w14:paraId="000E3D7C">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警示标志更新设置</w:t>
            </w:r>
          </w:p>
        </w:tc>
        <w:tc>
          <w:tcPr>
            <w:tcW w:w="2385" w:type="dxa"/>
            <w:vAlign w:val="center"/>
          </w:tcPr>
          <w:p w14:paraId="08200E07">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9</w:t>
            </w:r>
            <w:r>
              <w:rPr>
                <w:rFonts w:hint="eastAsia" w:ascii="宋体" w:hAnsi="宋体" w:cs="宋体"/>
                <w:color w:val="000000" w:themeColor="text1"/>
                <w:szCs w:val="21"/>
                <w:lang w:val="en-US" w:eastAsia="zh-CN"/>
                <w14:textFill>
                  <w14:solidFill>
                    <w14:schemeClr w14:val="tx1"/>
                  </w14:solidFill>
                </w14:textFill>
              </w:rPr>
              <w:t>60</w:t>
            </w:r>
          </w:p>
        </w:tc>
        <w:tc>
          <w:tcPr>
            <w:tcW w:w="2088" w:type="dxa"/>
            <w:vAlign w:val="center"/>
          </w:tcPr>
          <w:p w14:paraId="24E46338">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1701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46B55F70">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3459" w:type="dxa"/>
            <w:vAlign w:val="center"/>
          </w:tcPr>
          <w:p w14:paraId="168EFA3E">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劳动防护用品配备</w:t>
            </w:r>
          </w:p>
        </w:tc>
        <w:tc>
          <w:tcPr>
            <w:tcW w:w="2385" w:type="dxa"/>
            <w:vAlign w:val="center"/>
          </w:tcPr>
          <w:p w14:paraId="20902ACA">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lang w:val="en-US" w:eastAsia="zh-CN"/>
                <w14:textFill>
                  <w14:solidFill>
                    <w14:schemeClr w14:val="tx1"/>
                  </w14:solidFill>
                </w14:textFill>
              </w:rPr>
              <w:t>260</w:t>
            </w:r>
          </w:p>
        </w:tc>
        <w:tc>
          <w:tcPr>
            <w:tcW w:w="2088" w:type="dxa"/>
            <w:vAlign w:val="center"/>
          </w:tcPr>
          <w:p w14:paraId="247C6051">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5D38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51B5B57F">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3459" w:type="dxa"/>
            <w:vAlign w:val="center"/>
          </w:tcPr>
          <w:p w14:paraId="2B418EE9">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安全培训、应急演练</w:t>
            </w:r>
          </w:p>
        </w:tc>
        <w:tc>
          <w:tcPr>
            <w:tcW w:w="2385" w:type="dxa"/>
            <w:vAlign w:val="center"/>
          </w:tcPr>
          <w:p w14:paraId="728EFF26">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w:t>
            </w:r>
            <w:r>
              <w:rPr>
                <w:rFonts w:hint="eastAsia" w:hAnsi="宋体" w:cs="宋体"/>
                <w:color w:val="000000" w:themeColor="text1"/>
                <w:szCs w:val="21"/>
                <w:lang w:val="en-US" w:eastAsia="zh-CN"/>
                <w14:textFill>
                  <w14:solidFill>
                    <w14:schemeClr w14:val="tx1"/>
                  </w14:solidFill>
                </w14:textFill>
              </w:rPr>
              <w:t>9</w:t>
            </w:r>
            <w:r>
              <w:rPr>
                <w:rFonts w:hint="eastAsia" w:ascii="宋体" w:hAnsi="宋体" w:cs="宋体"/>
                <w:color w:val="000000" w:themeColor="text1"/>
                <w:szCs w:val="21"/>
                <w:lang w:val="en-US" w:eastAsia="zh-CN"/>
                <w14:textFill>
                  <w14:solidFill>
                    <w14:schemeClr w14:val="tx1"/>
                  </w14:solidFill>
                </w14:textFill>
              </w:rPr>
              <w:t>80</w:t>
            </w:r>
          </w:p>
        </w:tc>
        <w:tc>
          <w:tcPr>
            <w:tcW w:w="2088" w:type="dxa"/>
            <w:vAlign w:val="center"/>
          </w:tcPr>
          <w:p w14:paraId="22E00748">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57E8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78C08639">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3459" w:type="dxa"/>
            <w:vAlign w:val="center"/>
          </w:tcPr>
          <w:p w14:paraId="4A130D26">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应急救援物资、消防器材配备</w:t>
            </w:r>
          </w:p>
        </w:tc>
        <w:tc>
          <w:tcPr>
            <w:tcW w:w="2385" w:type="dxa"/>
            <w:vAlign w:val="center"/>
          </w:tcPr>
          <w:p w14:paraId="7E10979A">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w:t>
            </w:r>
            <w:r>
              <w:rPr>
                <w:rFonts w:hint="eastAsia" w:hAnsi="宋体" w:cs="宋体"/>
                <w:color w:val="000000" w:themeColor="text1"/>
                <w:szCs w:val="21"/>
                <w:lang w:val="en-US" w:eastAsia="zh-CN"/>
                <w14:textFill>
                  <w14:solidFill>
                    <w14:schemeClr w14:val="tx1"/>
                  </w14:solidFill>
                </w14:textFill>
              </w:rPr>
              <w:t>88</w:t>
            </w:r>
            <w:r>
              <w:rPr>
                <w:rFonts w:hint="eastAsia" w:ascii="宋体" w:hAnsi="宋体" w:cs="宋体"/>
                <w:color w:val="000000" w:themeColor="text1"/>
                <w:szCs w:val="21"/>
                <w:lang w:val="en-US" w:eastAsia="zh-CN"/>
                <w14:textFill>
                  <w14:solidFill>
                    <w14:schemeClr w14:val="tx1"/>
                  </w14:solidFill>
                </w14:textFill>
              </w:rPr>
              <w:t>0</w:t>
            </w:r>
          </w:p>
        </w:tc>
        <w:tc>
          <w:tcPr>
            <w:tcW w:w="2088" w:type="dxa"/>
            <w:vAlign w:val="center"/>
          </w:tcPr>
          <w:p w14:paraId="2980F1DD">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7FD2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0F2B0E38">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3459" w:type="dxa"/>
            <w:vAlign w:val="center"/>
          </w:tcPr>
          <w:p w14:paraId="302F49F7">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安全隐患整改投入</w:t>
            </w:r>
          </w:p>
        </w:tc>
        <w:tc>
          <w:tcPr>
            <w:tcW w:w="2385" w:type="dxa"/>
            <w:vAlign w:val="center"/>
          </w:tcPr>
          <w:p w14:paraId="064A3D4E">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r>
              <w:rPr>
                <w:rFonts w:hint="eastAsia" w:hAnsi="宋体" w:cs="宋体"/>
                <w:color w:val="000000" w:themeColor="text1"/>
                <w:szCs w:val="21"/>
                <w:lang w:val="en-US" w:eastAsia="zh-CN"/>
                <w14:textFill>
                  <w14:solidFill>
                    <w14:schemeClr w14:val="tx1"/>
                  </w14:solidFill>
                </w14:textFill>
              </w:rPr>
              <w:t>30</w:t>
            </w:r>
            <w:r>
              <w:rPr>
                <w:rFonts w:hint="eastAsia" w:ascii="宋体" w:hAnsi="宋体" w:cs="宋体"/>
                <w:color w:val="000000" w:themeColor="text1"/>
                <w:szCs w:val="21"/>
                <w:lang w:val="en-US" w:eastAsia="zh-CN"/>
                <w14:textFill>
                  <w14:solidFill>
                    <w14:schemeClr w14:val="tx1"/>
                  </w14:solidFill>
                </w14:textFill>
              </w:rPr>
              <w:t>0</w:t>
            </w:r>
          </w:p>
        </w:tc>
        <w:tc>
          <w:tcPr>
            <w:tcW w:w="2088" w:type="dxa"/>
            <w:vAlign w:val="center"/>
          </w:tcPr>
          <w:p w14:paraId="723DF172">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0EF8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1434FF5E">
            <w:pPr>
              <w:tabs>
                <w:tab w:val="left" w:pos="2700"/>
              </w:tabs>
              <w:adjustRightInd w:val="0"/>
              <w:snapToGrid w:val="0"/>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7</w:t>
            </w:r>
          </w:p>
        </w:tc>
        <w:tc>
          <w:tcPr>
            <w:tcW w:w="3459" w:type="dxa"/>
            <w:vAlign w:val="center"/>
          </w:tcPr>
          <w:p w14:paraId="4468CF27">
            <w:pPr>
              <w:tabs>
                <w:tab w:val="left" w:pos="2700"/>
              </w:tabs>
              <w:adjustRightInd w:val="0"/>
              <w:snapToGrid w:val="0"/>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应急预案修订编制</w:t>
            </w:r>
          </w:p>
        </w:tc>
        <w:tc>
          <w:tcPr>
            <w:tcW w:w="2385" w:type="dxa"/>
            <w:vAlign w:val="center"/>
          </w:tcPr>
          <w:p w14:paraId="7303E80E">
            <w:pPr>
              <w:tabs>
                <w:tab w:val="left" w:pos="2700"/>
              </w:tabs>
              <w:adjustRightInd w:val="0"/>
              <w:snapToGrid w:val="0"/>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8</w:t>
            </w:r>
            <w:r>
              <w:rPr>
                <w:rFonts w:hint="eastAsia" w:hAnsi="宋体" w:cs="宋体"/>
                <w:color w:val="000000" w:themeColor="text1"/>
                <w:szCs w:val="21"/>
                <w:lang w:val="en-US" w:eastAsia="zh-CN"/>
                <w14:textFill>
                  <w14:solidFill>
                    <w14:schemeClr w14:val="tx1"/>
                  </w14:solidFill>
                </w14:textFill>
              </w:rPr>
              <w:t>0</w:t>
            </w:r>
            <w:r>
              <w:rPr>
                <w:rFonts w:hint="eastAsia" w:ascii="宋体" w:hAnsi="宋体" w:cs="宋体"/>
                <w:color w:val="000000" w:themeColor="text1"/>
                <w:szCs w:val="21"/>
                <w:lang w:val="en-US" w:eastAsia="zh-CN"/>
                <w14:textFill>
                  <w14:solidFill>
                    <w14:schemeClr w14:val="tx1"/>
                  </w14:solidFill>
                </w14:textFill>
              </w:rPr>
              <w:t>00</w:t>
            </w:r>
          </w:p>
        </w:tc>
        <w:tc>
          <w:tcPr>
            <w:tcW w:w="2088" w:type="dxa"/>
            <w:vAlign w:val="center"/>
          </w:tcPr>
          <w:p w14:paraId="2B64C0AA">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5FD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1E5677F9">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8</w:t>
            </w:r>
          </w:p>
        </w:tc>
        <w:tc>
          <w:tcPr>
            <w:tcW w:w="3459" w:type="dxa"/>
            <w:vAlign w:val="center"/>
          </w:tcPr>
          <w:p w14:paraId="39BE5FC3">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安全评价</w:t>
            </w:r>
          </w:p>
        </w:tc>
        <w:tc>
          <w:tcPr>
            <w:tcW w:w="2385" w:type="dxa"/>
            <w:vAlign w:val="center"/>
          </w:tcPr>
          <w:p w14:paraId="56C820D0">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w:t>
            </w:r>
            <w:r>
              <w:rPr>
                <w:rFonts w:hint="eastAsia" w:hAnsi="宋体" w:cs="宋体"/>
                <w:color w:val="000000" w:themeColor="text1"/>
                <w:szCs w:val="21"/>
                <w:lang w:val="en-US" w:eastAsia="zh-CN"/>
                <w14:textFill>
                  <w14:solidFill>
                    <w14:schemeClr w14:val="tx1"/>
                  </w14:solidFill>
                </w14:textFill>
              </w:rPr>
              <w:t>8</w:t>
            </w:r>
            <w:r>
              <w:rPr>
                <w:rFonts w:hint="eastAsia" w:ascii="宋体" w:hAnsi="宋体" w:cs="宋体"/>
                <w:color w:val="000000" w:themeColor="text1"/>
                <w:szCs w:val="21"/>
                <w:lang w:val="en-US" w:eastAsia="zh-CN"/>
                <w14:textFill>
                  <w14:solidFill>
                    <w14:schemeClr w14:val="tx1"/>
                  </w14:solidFill>
                </w14:textFill>
              </w:rPr>
              <w:t>000</w:t>
            </w:r>
          </w:p>
        </w:tc>
        <w:tc>
          <w:tcPr>
            <w:tcW w:w="2088" w:type="dxa"/>
            <w:vAlign w:val="center"/>
          </w:tcPr>
          <w:p w14:paraId="03D3D6D7">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7B5B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0CB4214C">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9</w:t>
            </w:r>
          </w:p>
        </w:tc>
        <w:tc>
          <w:tcPr>
            <w:tcW w:w="3459" w:type="dxa"/>
            <w:vAlign w:val="center"/>
          </w:tcPr>
          <w:p w14:paraId="08CFA1F8">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保险费</w:t>
            </w:r>
          </w:p>
        </w:tc>
        <w:tc>
          <w:tcPr>
            <w:tcW w:w="2385" w:type="dxa"/>
            <w:vAlign w:val="center"/>
          </w:tcPr>
          <w:p w14:paraId="6458E40D">
            <w:pPr>
              <w:tabs>
                <w:tab w:val="left" w:pos="2700"/>
              </w:tabs>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8712</w:t>
            </w:r>
          </w:p>
        </w:tc>
        <w:tc>
          <w:tcPr>
            <w:tcW w:w="2088" w:type="dxa"/>
            <w:vAlign w:val="center"/>
          </w:tcPr>
          <w:p w14:paraId="52BBD1CF">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tr w14:paraId="50D1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8" w:type="dxa"/>
            <w:vAlign w:val="center"/>
          </w:tcPr>
          <w:p w14:paraId="5F9EEA06">
            <w:pPr>
              <w:tabs>
                <w:tab w:val="left" w:pos="2700"/>
              </w:tabs>
              <w:adjustRightInd w:val="0"/>
              <w:snapToGrid w:val="0"/>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10</w:t>
            </w:r>
          </w:p>
        </w:tc>
        <w:tc>
          <w:tcPr>
            <w:tcW w:w="3459" w:type="dxa"/>
            <w:vAlign w:val="center"/>
          </w:tcPr>
          <w:p w14:paraId="468A496D">
            <w:pPr>
              <w:tabs>
                <w:tab w:val="left" w:pos="2700"/>
              </w:tabs>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w:t>
            </w:r>
          </w:p>
        </w:tc>
        <w:tc>
          <w:tcPr>
            <w:tcW w:w="2385" w:type="dxa"/>
            <w:vAlign w:val="center"/>
          </w:tcPr>
          <w:p w14:paraId="7740615A">
            <w:pPr>
              <w:tabs>
                <w:tab w:val="left" w:pos="2700"/>
              </w:tabs>
              <w:adjustRightInd w:val="0"/>
              <w:snapToGrid w:val="0"/>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50172</w:t>
            </w:r>
          </w:p>
        </w:tc>
        <w:tc>
          <w:tcPr>
            <w:tcW w:w="2088" w:type="dxa"/>
            <w:vAlign w:val="center"/>
          </w:tcPr>
          <w:p w14:paraId="6D6BDCEF">
            <w:pPr>
              <w:tabs>
                <w:tab w:val="left" w:pos="2700"/>
              </w:tabs>
              <w:adjustRightInd w:val="0"/>
              <w:snapToGrid w:val="0"/>
              <w:jc w:val="center"/>
              <w:rPr>
                <w:rFonts w:ascii="宋体" w:hAnsi="宋体" w:cs="宋体"/>
                <w:color w:val="000000" w:themeColor="text1"/>
                <w:szCs w:val="21"/>
                <w14:textFill>
                  <w14:solidFill>
                    <w14:schemeClr w14:val="tx1"/>
                  </w14:solidFill>
                </w14:textFill>
              </w:rPr>
            </w:pPr>
          </w:p>
        </w:tc>
      </w:tr>
      <w:bookmarkEnd w:id="245"/>
    </w:tbl>
    <w:p w14:paraId="2F520509">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zh-CN" w:eastAsia="zh-CN"/>
          <w14:textFill>
            <w14:solidFill>
              <w14:schemeClr w14:val="tx1"/>
            </w14:solidFill>
          </w14:textFill>
        </w:rPr>
      </w:pPr>
      <w:bookmarkStart w:id="246" w:name="_Toc12615"/>
      <w:bookmarkStart w:id="247" w:name="_Toc78190030"/>
      <w:bookmarkStart w:id="248" w:name="_Toc7879"/>
      <w:bookmarkStart w:id="249" w:name="_Toc4541"/>
      <w:bookmarkStart w:id="250" w:name="bookmark3"/>
      <w:r>
        <w:rPr>
          <w:rFonts w:hint="default"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lang w:val="zh-CN"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6 </w:t>
      </w:r>
      <w:r>
        <w:rPr>
          <w:rFonts w:hint="default" w:ascii="Times New Roman" w:hAnsi="Times New Roman" w:eastAsia="黑体" w:cs="Times New Roman"/>
          <w:color w:val="000000" w:themeColor="text1"/>
          <w:lang w:val="zh-CN" w:eastAsia="zh-CN"/>
          <w14:textFill>
            <w14:solidFill>
              <w14:schemeClr w14:val="tx1"/>
            </w14:solidFill>
          </w14:textFill>
        </w:rPr>
        <w:t>劳动防护用品的配备</w:t>
      </w:r>
      <w:bookmarkEnd w:id="246"/>
      <w:bookmarkEnd w:id="247"/>
      <w:bookmarkEnd w:id="248"/>
    </w:p>
    <w:p w14:paraId="37A9EED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color w:val="000000" w:themeColor="text1"/>
          <w:sz w:val="28"/>
          <w:szCs w:val="28"/>
          <w:lang w:val="zh-CN" w:eastAsia="zh-CN"/>
          <w14:textFill>
            <w14:solidFill>
              <w14:schemeClr w14:val="tx1"/>
            </w14:solidFill>
          </w14:textFill>
        </w:rPr>
      </w:pPr>
      <w:r>
        <w:rPr>
          <w:rFonts w:hint="default" w:ascii="Times New Roman" w:hAnsi="Times New Roman" w:eastAsia="宋体" w:cs="Times New Roman"/>
          <w:color w:val="000000" w:themeColor="text1"/>
          <w:sz w:val="28"/>
          <w:szCs w:val="28"/>
          <w:lang w:val="zh-CN" w:eastAsia="zh-CN"/>
          <w14:textFill>
            <w14:solidFill>
              <w14:schemeClr w14:val="tx1"/>
            </w14:solidFill>
          </w14:textFill>
        </w:rPr>
        <w:t>公司为员工配发了劳动防护用品，能满足安全生产的需要。主要配发了</w:t>
      </w:r>
      <w:r>
        <w:rPr>
          <w:rFonts w:hint="eastAsia" w:ascii="Times New Roman" w:cs="Times New Roman"/>
          <w:color w:val="000000" w:themeColor="text1"/>
          <w:sz w:val="28"/>
          <w:szCs w:val="28"/>
          <w:lang w:val="en-US" w:eastAsia="zh-CN"/>
          <w14:textFill>
            <w14:solidFill>
              <w14:schemeClr w14:val="tx1"/>
            </w14:solidFill>
          </w14:textFill>
        </w:rPr>
        <w:t>线手套、乳胶</w:t>
      </w:r>
      <w:r>
        <w:rPr>
          <w:rFonts w:hint="default" w:ascii="Times New Roman" w:hAnsi="Times New Roman" w:cs="Times New Roman"/>
          <w:color w:val="000000" w:themeColor="text1"/>
          <w:sz w:val="28"/>
          <w:szCs w:val="28"/>
          <w:lang w:val="zh-CN" w:eastAsia="zh-CN"/>
          <w14:textFill>
            <w14:solidFill>
              <w14:schemeClr w14:val="tx1"/>
            </w14:solidFill>
          </w14:textFill>
        </w:rPr>
        <w:t>手套</w:t>
      </w:r>
      <w:r>
        <w:rPr>
          <w:rFonts w:hint="default" w:ascii="Times New Roman" w:hAnsi="Times New Roman" w:eastAsia="宋体" w:cs="Times New Roman"/>
          <w:color w:val="000000" w:themeColor="text1"/>
          <w:sz w:val="28"/>
          <w:szCs w:val="28"/>
          <w:lang w:val="zh-CN" w:eastAsia="zh-CN"/>
          <w14:textFill>
            <w14:solidFill>
              <w14:schemeClr w14:val="tx1"/>
            </w14:solidFill>
          </w14:textFill>
        </w:rPr>
        <w:t>等</w:t>
      </w:r>
      <w:r>
        <w:rPr>
          <w:rFonts w:hint="default" w:ascii="Times New Roman" w:hAnsi="Times New Roman" w:cs="Times New Roman"/>
          <w:color w:val="000000" w:themeColor="text1"/>
          <w:sz w:val="28"/>
          <w:szCs w:val="28"/>
          <w:lang w:val="zh-CN" w:eastAsia="zh-CN"/>
          <w14:textFill>
            <w14:solidFill>
              <w14:schemeClr w14:val="tx1"/>
            </w14:solidFill>
          </w14:textFill>
        </w:rPr>
        <w:t>，</w:t>
      </w:r>
      <w:r>
        <w:rPr>
          <w:rFonts w:hint="default" w:ascii="Times New Roman" w:hAnsi="Times New Roman" w:eastAsia="宋体" w:cs="Times New Roman"/>
          <w:color w:val="000000" w:themeColor="text1"/>
          <w:sz w:val="28"/>
          <w:szCs w:val="28"/>
          <w:lang w:val="zh-CN" w:eastAsia="zh-CN"/>
          <w14:textFill>
            <w14:solidFill>
              <w14:schemeClr w14:val="tx1"/>
            </w14:solidFill>
          </w14:textFill>
        </w:rPr>
        <w:t>并已建立</w:t>
      </w:r>
      <w:r>
        <w:rPr>
          <w:rFonts w:hint="default" w:ascii="Times New Roman" w:hAnsi="Times New Roman" w:cs="Times New Roman"/>
          <w:color w:val="000000" w:themeColor="text1"/>
          <w:sz w:val="28"/>
          <w:szCs w:val="28"/>
          <w:lang w:val="zh-CN" w:eastAsia="zh-CN"/>
          <w14:textFill>
            <w14:solidFill>
              <w14:schemeClr w14:val="tx1"/>
            </w14:solidFill>
          </w14:textFill>
        </w:rPr>
        <w:t>了</w:t>
      </w:r>
      <w:r>
        <w:rPr>
          <w:rFonts w:hint="default" w:ascii="Times New Roman" w:hAnsi="Times New Roman" w:eastAsia="宋体" w:cs="Times New Roman"/>
          <w:color w:val="000000" w:themeColor="text1"/>
          <w:sz w:val="28"/>
          <w:szCs w:val="28"/>
          <w:lang w:val="zh-CN" w:eastAsia="zh-CN"/>
          <w14:textFill>
            <w14:solidFill>
              <w14:schemeClr w14:val="tx1"/>
            </w14:solidFill>
          </w14:textFill>
        </w:rPr>
        <w:t>劳</w:t>
      </w:r>
      <w:r>
        <w:rPr>
          <w:rFonts w:hint="default" w:ascii="Times New Roman" w:hAnsi="Times New Roman" w:cs="Times New Roman"/>
          <w:color w:val="000000" w:themeColor="text1"/>
          <w:sz w:val="28"/>
          <w:szCs w:val="28"/>
          <w:lang w:val="zh-CN" w:eastAsia="zh-CN"/>
          <w14:textFill>
            <w14:solidFill>
              <w14:schemeClr w14:val="tx1"/>
            </w14:solidFill>
          </w14:textFill>
        </w:rPr>
        <w:t>动防护</w:t>
      </w:r>
      <w:r>
        <w:rPr>
          <w:rFonts w:hint="default" w:ascii="Times New Roman" w:hAnsi="Times New Roman" w:eastAsia="宋体" w:cs="Times New Roman"/>
          <w:color w:val="000000" w:themeColor="text1"/>
          <w:sz w:val="28"/>
          <w:szCs w:val="28"/>
          <w:lang w:val="zh-CN" w:eastAsia="zh-CN"/>
          <w14:textFill>
            <w14:solidFill>
              <w14:schemeClr w14:val="tx1"/>
            </w14:solidFill>
          </w14:textFill>
        </w:rPr>
        <w:t>用品发放台账记录</w:t>
      </w:r>
      <w:r>
        <w:rPr>
          <w:rFonts w:hint="default" w:ascii="Times New Roman" w:hAnsi="Times New Roman" w:cs="Times New Roman"/>
          <w:color w:val="000000" w:themeColor="text1"/>
          <w:sz w:val="28"/>
          <w:szCs w:val="28"/>
          <w:lang w:val="zh-CN" w:eastAsia="zh-CN"/>
          <w14:textFill>
            <w14:solidFill>
              <w14:schemeClr w14:val="tx1"/>
            </w14:solidFill>
          </w14:textFill>
        </w:rPr>
        <w:t>，</w:t>
      </w:r>
      <w:r>
        <w:rPr>
          <w:rFonts w:hint="default" w:ascii="Times New Roman" w:hAnsi="Times New Roman" w:cs="Times New Roman"/>
          <w:color w:val="000000" w:themeColor="text1"/>
          <w:sz w:val="28"/>
          <w:szCs w:val="28"/>
          <w:lang w:val="en-US" w:eastAsia="zh-CN"/>
          <w14:textFill>
            <w14:solidFill>
              <w14:schemeClr w14:val="tx1"/>
            </w14:solidFill>
          </w14:textFill>
        </w:rPr>
        <w:t>发放记录详见附件1</w:t>
      </w:r>
      <w:r>
        <w:rPr>
          <w:rFonts w:hint="eastAsia" w:ascii="Times New Roman" w:cs="Times New Roman"/>
          <w:color w:val="000000" w:themeColor="text1"/>
          <w:sz w:val="28"/>
          <w:szCs w:val="28"/>
          <w:lang w:val="en-US" w:eastAsia="zh-CN"/>
          <w14:textFill>
            <w14:solidFill>
              <w14:schemeClr w14:val="tx1"/>
            </w14:solidFill>
          </w14:textFill>
        </w:rPr>
        <w:t>0</w:t>
      </w:r>
      <w:r>
        <w:rPr>
          <w:rFonts w:hint="default" w:ascii="Times New Roman" w:hAnsi="Times New Roman" w:eastAsia="宋体" w:cs="Times New Roman"/>
          <w:color w:val="000000" w:themeColor="text1"/>
          <w:sz w:val="28"/>
          <w:szCs w:val="28"/>
          <w:lang w:val="zh-CN" w:eastAsia="zh-CN"/>
          <w14:textFill>
            <w14:solidFill>
              <w14:schemeClr w14:val="tx1"/>
            </w14:solidFill>
          </w14:textFill>
        </w:rPr>
        <w:t>。</w:t>
      </w:r>
    </w:p>
    <w:p w14:paraId="11572F56">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zh-CN" w:eastAsia="zh-CN"/>
          <w14:textFill>
            <w14:solidFill>
              <w14:schemeClr w14:val="tx1"/>
            </w14:solidFill>
          </w14:textFill>
        </w:rPr>
      </w:pPr>
      <w:bookmarkStart w:id="251" w:name="_Toc12041"/>
      <w:r>
        <w:rPr>
          <w:rFonts w:hint="eastAsia"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eastAsia="黑体" w:cs="Times New Roman"/>
          <w:color w:val="000000" w:themeColor="text1"/>
          <w:lang w:val="zh-CN"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7 </w:t>
      </w:r>
      <w:r>
        <w:rPr>
          <w:rFonts w:hint="eastAsia" w:ascii="Times New Roman" w:hAnsi="Times New Roman" w:eastAsia="黑体" w:cs="Times New Roman"/>
          <w:color w:val="000000" w:themeColor="text1"/>
          <w:lang w:val="zh-CN" w:eastAsia="zh-CN"/>
          <w14:textFill>
            <w14:solidFill>
              <w14:schemeClr w14:val="tx1"/>
            </w14:solidFill>
          </w14:textFill>
        </w:rPr>
        <w:t>安全警示、标志</w:t>
      </w:r>
      <w:bookmarkEnd w:id="251"/>
    </w:p>
    <w:p w14:paraId="07BFD63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Times New Roman"/>
          <w:color w:val="000000" w:themeColor="text1"/>
          <w:sz w:val="28"/>
          <w:szCs w:val="28"/>
          <w:lang w:val="zh-CN" w:eastAsia="zh-CN"/>
          <w14:textFill>
            <w14:solidFill>
              <w14:schemeClr w14:val="tx1"/>
            </w14:solidFill>
          </w14:textFill>
        </w:rPr>
      </w:pPr>
      <w:r>
        <w:rPr>
          <w:rFonts w:hint="eastAsia" w:ascii="宋体" w:hAnsi="宋体" w:eastAsia="宋体" w:cs="Times New Roman"/>
          <w:color w:val="000000" w:themeColor="text1"/>
          <w:sz w:val="28"/>
          <w:szCs w:val="28"/>
          <w:lang w:val="zh-CN" w:eastAsia="zh-CN"/>
          <w14:textFill>
            <w14:solidFill>
              <w14:schemeClr w14:val="tx1"/>
            </w14:solidFill>
          </w14:textFill>
        </w:rPr>
        <w:t>该企业在</w:t>
      </w:r>
      <w:r>
        <w:rPr>
          <w:rFonts w:hint="eastAsia" w:hAnsi="宋体" w:cs="Times New Roman"/>
          <w:color w:val="000000" w:themeColor="text1"/>
          <w:sz w:val="28"/>
          <w:szCs w:val="28"/>
          <w:lang w:val="en-US" w:eastAsia="zh-CN"/>
          <w14:textFill>
            <w14:solidFill>
              <w14:schemeClr w14:val="tx1"/>
            </w14:solidFill>
          </w14:textFill>
        </w:rPr>
        <w:t>生产区</w:t>
      </w:r>
      <w:r>
        <w:rPr>
          <w:rFonts w:hint="eastAsia" w:ascii="宋体" w:hAnsi="宋体" w:eastAsia="宋体" w:cs="Times New Roman"/>
          <w:color w:val="000000" w:themeColor="text1"/>
          <w:sz w:val="28"/>
          <w:szCs w:val="28"/>
          <w:lang w:val="zh-CN" w:eastAsia="zh-CN"/>
          <w14:textFill>
            <w14:solidFill>
              <w14:schemeClr w14:val="tx1"/>
            </w14:solidFill>
          </w14:textFill>
        </w:rPr>
        <w:t>设置了</w:t>
      </w:r>
      <w:r>
        <w:rPr>
          <w:rFonts w:hint="eastAsia" w:hAnsi="宋体" w:cs="Times New Roman"/>
          <w:color w:val="000000" w:themeColor="text1"/>
          <w:sz w:val="28"/>
          <w:szCs w:val="28"/>
          <w:lang w:val="zh-CN" w:eastAsia="zh-CN"/>
          <w14:textFill>
            <w14:solidFill>
              <w14:schemeClr w14:val="tx1"/>
            </w14:solidFill>
          </w14:textFill>
        </w:rPr>
        <w:t>“</w:t>
      </w:r>
      <w:r>
        <w:rPr>
          <w:rFonts w:hint="eastAsia" w:hAnsi="宋体" w:cs="Times New Roman"/>
          <w:color w:val="000000" w:themeColor="text1"/>
          <w:sz w:val="28"/>
          <w:szCs w:val="28"/>
          <w:lang w:val="en-US" w:eastAsia="zh-CN"/>
          <w14:textFill>
            <w14:solidFill>
              <w14:schemeClr w14:val="tx1"/>
            </w14:solidFill>
          </w14:textFill>
        </w:rPr>
        <w:t>有电危险</w:t>
      </w:r>
      <w:r>
        <w:rPr>
          <w:rFonts w:hint="eastAsia" w:hAnsi="宋体" w:cs="Times New Roman"/>
          <w:color w:val="000000" w:themeColor="text1"/>
          <w:sz w:val="28"/>
          <w:szCs w:val="28"/>
          <w:lang w:val="zh-CN" w:eastAsia="zh-CN"/>
          <w14:textFill>
            <w14:solidFill>
              <w14:schemeClr w14:val="tx1"/>
            </w14:solidFill>
          </w14:textFill>
        </w:rPr>
        <w:t>”“必须戴安全帽”“当心</w:t>
      </w:r>
      <w:r>
        <w:rPr>
          <w:rFonts w:hint="eastAsia" w:hAnsi="宋体" w:cs="Times New Roman"/>
          <w:color w:val="000000" w:themeColor="text1"/>
          <w:sz w:val="28"/>
          <w:szCs w:val="28"/>
          <w:lang w:val="en-US" w:eastAsia="zh-CN"/>
          <w14:textFill>
            <w14:solidFill>
              <w14:schemeClr w14:val="tx1"/>
            </w14:solidFill>
          </w14:textFill>
        </w:rPr>
        <w:t>触电</w:t>
      </w:r>
      <w:r>
        <w:rPr>
          <w:rFonts w:hint="eastAsia" w:hAnsi="宋体" w:cs="Times New Roman"/>
          <w:color w:val="000000" w:themeColor="text1"/>
          <w:sz w:val="28"/>
          <w:szCs w:val="28"/>
          <w:lang w:val="zh-CN" w:eastAsia="zh-CN"/>
          <w14:textFill>
            <w14:solidFill>
              <w14:schemeClr w14:val="tx1"/>
            </w14:solidFill>
          </w14:textFill>
        </w:rPr>
        <w:t>”“当心车辆”</w:t>
      </w:r>
      <w:r>
        <w:rPr>
          <w:rFonts w:hint="eastAsia" w:ascii="宋体" w:hAnsi="宋体" w:eastAsia="宋体" w:cs="Times New Roman"/>
          <w:color w:val="000000" w:themeColor="text1"/>
          <w:sz w:val="28"/>
          <w:szCs w:val="28"/>
          <w:lang w:val="zh-CN" w:eastAsia="zh-CN"/>
          <w14:textFill>
            <w14:solidFill>
              <w14:schemeClr w14:val="tx1"/>
            </w14:solidFill>
          </w14:textFill>
        </w:rPr>
        <w:t>“注意安全”“当心机械伤</w:t>
      </w:r>
      <w:r>
        <w:rPr>
          <w:rFonts w:hint="eastAsia" w:hAnsi="宋体" w:cs="Times New Roman"/>
          <w:color w:val="000000" w:themeColor="text1"/>
          <w:sz w:val="28"/>
          <w:szCs w:val="28"/>
          <w:lang w:val="en-US" w:eastAsia="zh-CN"/>
          <w14:textFill>
            <w14:solidFill>
              <w14:schemeClr w14:val="tx1"/>
            </w14:solidFill>
          </w14:textFill>
        </w:rPr>
        <w:t>人</w:t>
      </w:r>
      <w:r>
        <w:rPr>
          <w:rFonts w:hint="eastAsia" w:ascii="宋体" w:hAnsi="宋体" w:eastAsia="宋体" w:cs="Times New Roman"/>
          <w:color w:val="000000" w:themeColor="text1"/>
          <w:sz w:val="28"/>
          <w:szCs w:val="28"/>
          <w:lang w:val="zh-CN" w:eastAsia="zh-CN"/>
          <w14:textFill>
            <w14:solidFill>
              <w14:schemeClr w14:val="tx1"/>
            </w14:solidFill>
          </w14:textFill>
        </w:rPr>
        <w:t>”“当心</w:t>
      </w:r>
      <w:r>
        <w:rPr>
          <w:rFonts w:hint="eastAsia" w:hAnsi="宋体" w:cs="Times New Roman"/>
          <w:color w:val="000000" w:themeColor="text1"/>
          <w:sz w:val="28"/>
          <w:szCs w:val="28"/>
          <w:lang w:val="zh-CN" w:eastAsia="zh-CN"/>
          <w14:textFill>
            <w14:solidFill>
              <w14:schemeClr w14:val="tx1"/>
            </w14:solidFill>
          </w14:textFill>
        </w:rPr>
        <w:t>落</w:t>
      </w:r>
      <w:r>
        <w:rPr>
          <w:rFonts w:hint="eastAsia" w:ascii="宋体" w:hAnsi="宋体" w:eastAsia="宋体" w:cs="Times New Roman"/>
          <w:color w:val="000000" w:themeColor="text1"/>
          <w:sz w:val="28"/>
          <w:szCs w:val="28"/>
          <w:lang w:val="zh-CN" w:eastAsia="zh-CN"/>
          <w14:textFill>
            <w14:solidFill>
              <w14:schemeClr w14:val="tx1"/>
            </w14:solidFill>
          </w14:textFill>
        </w:rPr>
        <w:t>物”</w:t>
      </w:r>
      <w:r>
        <w:rPr>
          <w:rFonts w:hint="eastAsia" w:hAnsi="宋体" w:cs="Times New Roman"/>
          <w:color w:val="000000" w:themeColor="text1"/>
          <w:sz w:val="28"/>
          <w:szCs w:val="28"/>
          <w:lang w:val="zh-CN" w:eastAsia="zh-CN"/>
          <w14:textFill>
            <w14:solidFill>
              <w14:schemeClr w14:val="tx1"/>
            </w14:solidFill>
          </w14:textFill>
        </w:rPr>
        <w:t>等</w:t>
      </w:r>
      <w:r>
        <w:rPr>
          <w:rFonts w:hint="eastAsia" w:ascii="宋体" w:hAnsi="宋体" w:eastAsia="宋体" w:cs="Times New Roman"/>
          <w:color w:val="000000" w:themeColor="text1"/>
          <w:sz w:val="28"/>
          <w:szCs w:val="28"/>
          <w:lang w:val="zh-CN" w:eastAsia="zh-CN"/>
          <w14:textFill>
            <w14:solidFill>
              <w14:schemeClr w14:val="tx1"/>
            </w14:solidFill>
          </w14:textFill>
        </w:rPr>
        <w:t>安全警示标志。</w:t>
      </w:r>
    </w:p>
    <w:p w14:paraId="2161614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sz w:val="28"/>
          <w:szCs w:val="28"/>
          <w14:textFill>
            <w14:solidFill>
              <w14:schemeClr w14:val="tx1"/>
            </w14:solidFill>
          </w14:textFill>
        </w:rPr>
      </w:pPr>
      <w:bookmarkStart w:id="252" w:name="_Toc20469"/>
      <w:bookmarkStart w:id="253" w:name="_Toc31170"/>
      <w:r>
        <w:rPr>
          <w:rFonts w:hint="eastAsia"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eastAsia="黑体" w:cs="Times New Roman"/>
          <w:color w:val="000000" w:themeColor="text1"/>
          <w:lang w:val="zh-CN"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8 </w:t>
      </w:r>
      <w:r>
        <w:rPr>
          <w:rFonts w:hint="eastAsia" w:ascii="Times New Roman" w:hAnsi="Times New Roman" w:eastAsia="黑体" w:cs="Times New Roman"/>
          <w:color w:val="000000" w:themeColor="text1"/>
          <w:lang w:val="zh-CN" w:eastAsia="zh-CN"/>
          <w14:textFill>
            <w14:solidFill>
              <w14:schemeClr w14:val="tx1"/>
            </w14:solidFill>
          </w14:textFill>
        </w:rPr>
        <w:t>应急救援预案</w:t>
      </w:r>
      <w:bookmarkEnd w:id="249"/>
      <w:bookmarkEnd w:id="250"/>
      <w:bookmarkEnd w:id="252"/>
      <w:bookmarkEnd w:id="253"/>
    </w:p>
    <w:p w14:paraId="6A22442C">
      <w:pPr>
        <w:keepNext w:val="0"/>
        <w:keepLines w:val="0"/>
        <w:pageBreakBefore w:val="0"/>
        <w:widowControl w:val="0"/>
        <w:tabs>
          <w:tab w:val="left" w:pos="425"/>
        </w:tabs>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该企业已编制了《</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eastAsia" w:ascii="宋体" w:hAnsi="宋体" w:eastAsia="宋体" w:cs="宋体"/>
          <w:color w:val="000000" w:themeColor="text1"/>
          <w:sz w:val="28"/>
          <w:szCs w:val="28"/>
          <w14:textFill>
            <w14:solidFill>
              <w14:schemeClr w14:val="tx1"/>
            </w14:solidFill>
          </w14:textFill>
        </w:rPr>
        <w:t>生产安全事故应急预案》，预案中明确了应急救援领导小组及职责和分工、事故的应急措施等内容</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企业根据需要，配备了应急物资。</w:t>
      </w:r>
      <w:r>
        <w:rPr>
          <w:rFonts w:hint="eastAsia" w:ascii="宋体" w:hAnsi="宋体" w:eastAsia="宋体" w:cs="宋体"/>
          <w:color w:val="000000" w:themeColor="text1"/>
          <w:sz w:val="28"/>
          <w:szCs w:val="28"/>
          <w:lang w:val="en-US" w:eastAsia="zh-CN"/>
          <w14:textFill>
            <w14:solidFill>
              <w14:schemeClr w14:val="tx1"/>
            </w14:solidFill>
          </w14:textFill>
        </w:rPr>
        <w:t>并开展了应急预案的学习培训和演练，演练记录详见附件15</w:t>
      </w:r>
      <w:r>
        <w:rPr>
          <w:rFonts w:hint="eastAsia" w:ascii="宋体" w:hAnsi="宋体" w:eastAsia="宋体" w:cs="宋体"/>
          <w:color w:val="000000" w:themeColor="text1"/>
          <w:sz w:val="28"/>
          <w:szCs w:val="28"/>
          <w14:textFill>
            <w14:solidFill>
              <w14:schemeClr w14:val="tx1"/>
            </w14:solidFill>
          </w14:textFill>
        </w:rPr>
        <w:t>。</w:t>
      </w:r>
    </w:p>
    <w:p w14:paraId="288B753C">
      <w:pPr>
        <w:keepNext w:val="0"/>
        <w:keepLines w:val="0"/>
        <w:pageBreakBefore w:val="0"/>
        <w:widowControl w:val="0"/>
        <w:tabs>
          <w:tab w:val="left" w:pos="425"/>
        </w:tabs>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该企业的应急预案已经过专家评审</w:t>
      </w:r>
      <w:r>
        <w:rPr>
          <w:rFonts w:hint="eastAsia" w:hAnsi="宋体" w:cs="宋体"/>
          <w:color w:val="000000" w:themeColor="text1"/>
          <w:sz w:val="28"/>
          <w:szCs w:val="28"/>
          <w:lang w:val="en-US" w:eastAsia="zh-CN"/>
          <w14:textFill>
            <w14:solidFill>
              <w14:schemeClr w14:val="tx1"/>
            </w14:solidFill>
          </w14:textFill>
        </w:rPr>
        <w:t>后</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于202</w:t>
      </w: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auto"/>
          <w:sz w:val="28"/>
          <w:szCs w:val="28"/>
          <w:highlight w:val="none"/>
        </w:rPr>
        <w:t>年</w:t>
      </w:r>
      <w:r>
        <w:rPr>
          <w:rFonts w:hint="eastAsia" w:hAnsi="宋体" w:cs="宋体"/>
          <w:color w:val="auto"/>
          <w:sz w:val="28"/>
          <w:szCs w:val="28"/>
          <w:highlight w:val="none"/>
          <w:lang w:val="en-US" w:eastAsia="zh-CN"/>
        </w:rPr>
        <w:t>12</w:t>
      </w:r>
      <w:r>
        <w:rPr>
          <w:rFonts w:hint="eastAsia" w:ascii="宋体" w:hAnsi="宋体" w:eastAsia="宋体" w:cs="宋体"/>
          <w:color w:val="auto"/>
          <w:sz w:val="28"/>
          <w:szCs w:val="28"/>
          <w:highlight w:val="none"/>
        </w:rPr>
        <w:t>月</w:t>
      </w:r>
      <w:r>
        <w:rPr>
          <w:rFonts w:hint="eastAsia" w:hAnsi="宋体" w:cs="宋体"/>
          <w:color w:val="auto"/>
          <w:sz w:val="28"/>
          <w:szCs w:val="28"/>
          <w:highlight w:val="none"/>
          <w:lang w:val="en-US" w:eastAsia="zh-CN"/>
        </w:rPr>
        <w:t>06</w:t>
      </w:r>
      <w:r>
        <w:rPr>
          <w:rFonts w:hint="eastAsia" w:ascii="宋体" w:hAnsi="宋体" w:eastAsia="宋体" w:cs="宋体"/>
          <w:color w:val="auto"/>
          <w:sz w:val="28"/>
          <w:szCs w:val="28"/>
          <w:highlight w:val="none"/>
        </w:rPr>
        <w:t>日</w:t>
      </w:r>
      <w:r>
        <w:rPr>
          <w:rFonts w:hint="eastAsia" w:ascii="宋体" w:hAnsi="宋体" w:eastAsia="宋体" w:cs="宋体"/>
          <w:color w:val="000000" w:themeColor="text1"/>
          <w:sz w:val="28"/>
          <w:szCs w:val="28"/>
          <w:highlight w:val="none"/>
          <w14:textFill>
            <w14:solidFill>
              <w14:schemeClr w14:val="tx1"/>
            </w14:solidFill>
          </w14:textFill>
        </w:rPr>
        <w:t>到</w:t>
      </w:r>
      <w:r>
        <w:rPr>
          <w:rFonts w:hint="eastAsia" w:hAnsi="宋体" w:cs="宋体"/>
          <w:color w:val="000000" w:themeColor="text1"/>
          <w:sz w:val="28"/>
          <w:szCs w:val="28"/>
          <w:highlight w:val="none"/>
          <w:lang w:val="en-US" w:eastAsia="zh-CN"/>
          <w14:textFill>
            <w14:solidFill>
              <w14:schemeClr w14:val="tx1"/>
            </w14:solidFill>
          </w14:textFill>
        </w:rPr>
        <w:t>红塔区</w:t>
      </w:r>
      <w:r>
        <w:rPr>
          <w:rFonts w:hint="eastAsia" w:ascii="宋体" w:hAnsi="宋体" w:eastAsia="宋体" w:cs="宋体"/>
          <w:color w:val="000000" w:themeColor="text1"/>
          <w:sz w:val="28"/>
          <w:szCs w:val="28"/>
          <w:highlight w:val="none"/>
          <w14:textFill>
            <w14:solidFill>
              <w14:schemeClr w14:val="tx1"/>
            </w14:solidFill>
          </w14:textFill>
        </w:rPr>
        <w:t>应急管理局进行备案，备案编号</w:t>
      </w:r>
      <w:r>
        <w:rPr>
          <w:rFonts w:hint="eastAsia" w:hAnsi="宋体" w:cs="宋体"/>
          <w:color w:val="000000" w:themeColor="text1"/>
          <w:sz w:val="28"/>
          <w:szCs w:val="28"/>
          <w:highlight w:val="none"/>
          <w:lang w:eastAsia="zh-CN"/>
          <w14:textFill>
            <w14:solidFill>
              <w14:schemeClr w14:val="tx1"/>
            </w14:solidFill>
          </w14:textFill>
        </w:rPr>
        <w:t>：</w:t>
      </w:r>
      <w:r>
        <w:rPr>
          <w:rFonts w:hint="eastAsia" w:hAnsi="宋体" w:cs="宋体"/>
          <w:color w:val="000000" w:themeColor="text1"/>
          <w:sz w:val="28"/>
          <w:szCs w:val="28"/>
          <w:highlight w:val="none"/>
          <w:lang w:val="en-US" w:eastAsia="zh-CN"/>
          <w14:textFill>
            <w14:solidFill>
              <w14:schemeClr w14:val="tx1"/>
            </w14:solidFill>
          </w14:textFill>
        </w:rPr>
        <w:t>530402-2024-0081</w:t>
      </w:r>
      <w:r>
        <w:rPr>
          <w:rFonts w:hint="eastAsia" w:ascii="宋体" w:hAnsi="宋体" w:eastAsia="宋体" w:cs="宋体"/>
          <w:color w:val="000000" w:themeColor="text1"/>
          <w:sz w:val="28"/>
          <w:szCs w:val="28"/>
          <w:highlight w:val="none"/>
          <w:lang w:val="en-US" w:eastAsia="zh-CN"/>
          <w14:textFill>
            <w14:solidFill>
              <w14:schemeClr w14:val="tx1"/>
            </w14:solidFill>
          </w14:textFill>
        </w:rPr>
        <w:t>，详见附件1</w:t>
      </w:r>
      <w:r>
        <w:rPr>
          <w:rFonts w:hint="eastAsia" w:hAnsi="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w:t>
      </w:r>
    </w:p>
    <w:p w14:paraId="6106DB7B">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zh-CN" w:eastAsia="zh-CN"/>
          <w14:textFill>
            <w14:solidFill>
              <w14:schemeClr w14:val="tx1"/>
            </w14:solidFill>
          </w14:textFill>
        </w:rPr>
      </w:pPr>
      <w:bookmarkStart w:id="254" w:name="_Toc314143767"/>
      <w:bookmarkStart w:id="255" w:name="_Toc313524421"/>
      <w:bookmarkStart w:id="256" w:name="_Toc314238227"/>
      <w:bookmarkStart w:id="257" w:name="_Toc341693595"/>
      <w:bookmarkStart w:id="258" w:name="_Toc18844"/>
      <w:bookmarkStart w:id="259" w:name="_Toc3755"/>
      <w:bookmarkStart w:id="260" w:name="_Toc10638"/>
      <w:r>
        <w:rPr>
          <w:rFonts w:hint="eastAsia"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eastAsia="黑体" w:cs="Times New Roman"/>
          <w:color w:val="000000" w:themeColor="text1"/>
          <w:lang w:val="zh-CN" w:eastAsia="zh-CN"/>
          <w14:textFill>
            <w14:solidFill>
              <w14:schemeClr w14:val="tx1"/>
            </w14:solidFill>
          </w14:textFill>
        </w:rPr>
        <w:t>.</w:t>
      </w:r>
      <w:bookmarkEnd w:id="254"/>
      <w:bookmarkEnd w:id="255"/>
      <w:bookmarkEnd w:id="256"/>
      <w:bookmarkEnd w:id="257"/>
      <w:r>
        <w:rPr>
          <w:rFonts w:hint="eastAsia" w:ascii="Times New Roman" w:hAnsi="Times New Roman" w:cs="Times New Roman"/>
          <w:color w:val="000000" w:themeColor="text1"/>
          <w:lang w:val="en-US" w:eastAsia="zh-CN"/>
          <w14:textFill>
            <w14:solidFill>
              <w14:schemeClr w14:val="tx1"/>
            </w14:solidFill>
          </w14:textFill>
        </w:rPr>
        <w:t xml:space="preserve">9 </w:t>
      </w:r>
      <w:r>
        <w:rPr>
          <w:rFonts w:hint="eastAsia" w:ascii="Times New Roman" w:hAnsi="Times New Roman" w:eastAsia="黑体" w:cs="Times New Roman"/>
          <w:color w:val="000000" w:themeColor="text1"/>
          <w:lang w:val="zh-CN" w:eastAsia="zh-CN"/>
          <w14:textFill>
            <w14:solidFill>
              <w14:schemeClr w14:val="tx1"/>
            </w14:solidFill>
          </w14:textFill>
        </w:rPr>
        <w:t>保险缴纳情况</w:t>
      </w:r>
      <w:bookmarkEnd w:id="258"/>
      <w:bookmarkEnd w:id="259"/>
      <w:bookmarkEnd w:id="260"/>
    </w:p>
    <w:p w14:paraId="1B15B86D">
      <w:pPr>
        <w:keepNext w:val="0"/>
        <w:keepLines w:val="0"/>
        <w:pageBreakBefore w:val="0"/>
        <w:widowControl w:val="0"/>
        <w:tabs>
          <w:tab w:val="center" w:pos="4156"/>
          <w:tab w:val="left" w:pos="6600"/>
        </w:tabs>
        <w:kinsoku/>
        <w:wordWrap/>
        <w:overflowPunct/>
        <w:topLinePunct w:val="0"/>
        <w:autoSpaceDE/>
        <w:autoSpaceDN/>
        <w:bidi w:val="0"/>
        <w:adjustRightInd/>
        <w:snapToGrid/>
        <w:spacing w:line="520" w:lineRule="exact"/>
        <w:ind w:firstLine="560" w:firstLineChars="200"/>
        <w:jc w:val="left"/>
        <w:textAlignment w:val="auto"/>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已购买工伤保险</w:t>
      </w:r>
      <w:r>
        <w:rPr>
          <w:rFonts w:hint="eastAsia"/>
          <w:color w:val="000000" w:themeColor="text1"/>
          <w:sz w:val="28"/>
          <w:szCs w:val="28"/>
          <w14:textFill>
            <w14:solidFill>
              <w14:schemeClr w14:val="tx1"/>
            </w14:solidFill>
          </w14:textFill>
        </w:rPr>
        <w:t>，</w:t>
      </w:r>
      <w:r>
        <w:rPr>
          <w:rFonts w:hint="eastAsia"/>
          <w:color w:val="000000" w:themeColor="text1"/>
          <w:sz w:val="28"/>
          <w:szCs w:val="28"/>
          <w:highlight w:val="none"/>
          <w14:textFill>
            <w14:solidFill>
              <w14:schemeClr w14:val="tx1"/>
            </w14:solidFill>
          </w14:textFill>
        </w:rPr>
        <w:t>参保凭证详见附件</w:t>
      </w:r>
      <w:r>
        <w:rPr>
          <w:rFonts w:hint="eastAsia"/>
          <w:color w:val="000000" w:themeColor="text1"/>
          <w:sz w:val="28"/>
          <w:szCs w:val="28"/>
          <w:highlight w:val="none"/>
          <w:lang w:val="en-US" w:eastAsia="zh-CN"/>
          <w14:textFill>
            <w14:solidFill>
              <w14:schemeClr w14:val="tx1"/>
            </w14:solidFill>
          </w14:textFill>
        </w:rPr>
        <w:t>7</w:t>
      </w:r>
      <w:r>
        <w:rPr>
          <w:color w:val="000000" w:themeColor="text1"/>
          <w:sz w:val="28"/>
          <w:szCs w:val="28"/>
          <w:highlight w:val="none"/>
          <w14:textFill>
            <w14:solidFill>
              <w14:schemeClr w14:val="tx1"/>
            </w14:solidFill>
          </w14:textFill>
        </w:rPr>
        <w:t>。</w:t>
      </w:r>
    </w:p>
    <w:p w14:paraId="18248859">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zh-CN" w:eastAsia="zh-CN"/>
          <w14:textFill>
            <w14:solidFill>
              <w14:schemeClr w14:val="tx1"/>
            </w14:solidFill>
          </w14:textFill>
        </w:rPr>
      </w:pPr>
      <w:bookmarkStart w:id="261" w:name="_Toc30075"/>
      <w:bookmarkStart w:id="262" w:name="_Toc8505"/>
      <w:bookmarkStart w:id="263" w:name="_Toc61474400"/>
      <w:bookmarkStart w:id="264" w:name="_Toc30001378"/>
      <w:bookmarkStart w:id="265" w:name="_Toc8950"/>
      <w:r>
        <w:rPr>
          <w:rFonts w:hint="eastAsia"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eastAsia="黑体" w:cs="Times New Roman"/>
          <w:color w:val="000000" w:themeColor="text1"/>
          <w:lang w:val="zh-CN"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10</w:t>
      </w:r>
      <w:r>
        <w:rPr>
          <w:rFonts w:hint="eastAsia" w:ascii="Times New Roman" w:hAnsi="Times New Roman" w:eastAsia="黑体" w:cs="Times New Roman"/>
          <w:color w:val="000000" w:themeColor="text1"/>
          <w:lang w:val="zh-CN" w:eastAsia="zh-CN"/>
          <w14:textFill>
            <w14:solidFill>
              <w14:schemeClr w14:val="tx1"/>
            </w14:solidFill>
          </w14:textFill>
        </w:rPr>
        <w:t>安全生产标准化创建情况</w:t>
      </w:r>
      <w:bookmarkEnd w:id="261"/>
      <w:bookmarkEnd w:id="262"/>
      <w:bookmarkEnd w:id="263"/>
      <w:bookmarkEnd w:id="264"/>
      <w:bookmarkEnd w:id="265"/>
    </w:p>
    <w:p w14:paraId="4DBBDFAF">
      <w:pPr>
        <w:pStyle w:val="195"/>
        <w:widowControl w:val="0"/>
        <w:adjustRightInd w:val="0"/>
        <w:snapToGrid w:val="0"/>
        <w:spacing w:line="500" w:lineRule="exact"/>
        <w:ind w:firstLine="560" w:firstLineChars="200"/>
        <w:rPr>
          <w:rFonts w:hint="eastAsia"/>
          <w:color w:val="000000" w:themeColor="text1"/>
          <w:sz w:val="28"/>
          <w:szCs w:val="28"/>
          <w14:textFill>
            <w14:solidFill>
              <w14:schemeClr w14:val="tx1"/>
            </w14:solidFill>
          </w14:textFill>
        </w:rPr>
      </w:pPr>
      <w:r>
        <w:rPr>
          <w:rFonts w:hint="eastAsia" w:ascii="宋体" w:hAnsi="Times New Roman" w:cs="Times New Roman"/>
          <w:color w:val="000000" w:themeColor="text1"/>
          <w:sz w:val="28"/>
          <w:szCs w:val="28"/>
          <w:lang w:val="en-US" w:eastAsia="zh-CN" w:bidi="ar-SA"/>
          <w14:textFill>
            <w14:solidFill>
              <w14:schemeClr w14:val="tx1"/>
            </w14:solidFill>
          </w14:textFill>
        </w:rPr>
        <w:t>云南玉溪洁灵娜精细日化有限责任公司</w:t>
      </w:r>
      <w:r>
        <w:rPr>
          <w:rFonts w:hint="eastAsia" w:ascii="宋体" w:hAnsi="Times New Roman" w:eastAsia="宋体" w:cs="Times New Roman"/>
          <w:color w:val="000000" w:themeColor="text1"/>
          <w:sz w:val="28"/>
          <w:szCs w:val="28"/>
          <w:lang w:val="en-US" w:eastAsia="zh-CN" w:bidi="ar-SA"/>
          <w14:textFill>
            <w14:solidFill>
              <w14:schemeClr w14:val="tx1"/>
            </w14:solidFill>
          </w14:textFill>
        </w:rPr>
        <w:t>目前</w:t>
      </w:r>
      <w:r>
        <w:rPr>
          <w:rFonts w:hint="eastAsia" w:ascii="宋体" w:hAnsi="Times New Roman" w:cs="Times New Roman"/>
          <w:color w:val="000000" w:themeColor="text1"/>
          <w:sz w:val="28"/>
          <w:szCs w:val="28"/>
          <w:lang w:val="en-US" w:eastAsia="zh-CN" w:bidi="ar-SA"/>
          <w14:textFill>
            <w14:solidFill>
              <w14:schemeClr w14:val="tx1"/>
            </w14:solidFill>
          </w14:textFill>
        </w:rPr>
        <w:t>准备</w:t>
      </w:r>
      <w:r>
        <w:rPr>
          <w:rFonts w:hint="eastAsia" w:ascii="宋体" w:hAnsi="Times New Roman" w:eastAsia="宋体" w:cs="Times New Roman"/>
          <w:color w:val="000000" w:themeColor="text1"/>
          <w:sz w:val="28"/>
          <w:szCs w:val="28"/>
          <w:lang w:val="en-US" w:eastAsia="zh-CN" w:bidi="ar-SA"/>
          <w14:textFill>
            <w14:solidFill>
              <w14:schemeClr w14:val="tx1"/>
            </w14:solidFill>
          </w14:textFill>
        </w:rPr>
        <w:t>开展安全生产标准化创建工作。</w:t>
      </w:r>
    </w:p>
    <w:bookmarkEnd w:id="241"/>
    <w:p w14:paraId="5B0FB141">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en-US" w:eastAsia="zh-CN"/>
          <w14:textFill>
            <w14:solidFill>
              <w14:schemeClr w14:val="tx1"/>
            </w14:solidFill>
          </w14:textFill>
        </w:rPr>
      </w:pPr>
      <w:bookmarkStart w:id="266" w:name="_Toc12870"/>
      <w:bookmarkStart w:id="267" w:name="_Toc16633"/>
      <w:bookmarkStart w:id="268" w:name="_Toc313453493"/>
      <w:bookmarkStart w:id="269" w:name="_Toc10298"/>
      <w:bookmarkStart w:id="270" w:name="_Toc335926184"/>
      <w:r>
        <w:rPr>
          <w:rFonts w:hint="eastAsia" w:ascii="Times New Roman" w:hAnsi="Times New Roman" w:eastAsia="黑体" w:cs="Times New Roman"/>
          <w:color w:val="000000" w:themeColor="text1"/>
          <w:lang w:val="zh-CN"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eastAsia="黑体" w:cs="Times New Roman"/>
          <w:color w:val="000000" w:themeColor="text1"/>
          <w:lang w:val="zh-CN" w:eastAsia="zh-CN"/>
          <w14:textFill>
            <w14:solidFill>
              <w14:schemeClr w14:val="tx1"/>
            </w14:solidFill>
          </w14:textFill>
        </w:rPr>
        <w:t>.</w:t>
      </w:r>
      <w:r>
        <w:rPr>
          <w:rFonts w:hint="eastAsia" w:ascii="Times New Roman" w:hAnsi="Times New Roman" w:eastAsia="黑体"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eastAsia="黑体" w:cs="Times New Roman"/>
          <w:color w:val="000000" w:themeColor="text1"/>
          <w:lang w:val="en-US" w:eastAsia="zh-CN"/>
          <w14:textFill>
            <w14:solidFill>
              <w14:schemeClr w14:val="tx1"/>
            </w14:solidFill>
          </w14:textFill>
        </w:rPr>
        <w:t xml:space="preserve"> 安全生产情况</w:t>
      </w:r>
      <w:bookmarkEnd w:id="266"/>
    </w:p>
    <w:p w14:paraId="07262787">
      <w:pPr>
        <w:keepNext w:val="0"/>
        <w:keepLines w:val="0"/>
        <w:pageBreakBefore w:val="0"/>
        <w:widowControl w:val="0"/>
        <w:tabs>
          <w:tab w:val="center" w:pos="4156"/>
          <w:tab w:val="left" w:pos="6600"/>
        </w:tabs>
        <w:kinsoku/>
        <w:wordWrap/>
        <w:overflowPunct/>
        <w:topLinePunct w:val="0"/>
        <w:autoSpaceDE/>
        <w:autoSpaceDN/>
        <w:bidi w:val="0"/>
        <w:adjustRightInd/>
        <w:snapToGrid/>
        <w:spacing w:line="520" w:lineRule="exact"/>
        <w:ind w:firstLine="560" w:firstLineChars="200"/>
        <w:jc w:val="both"/>
        <w:textAlignment w:val="auto"/>
        <w:rPr>
          <w:rFonts w:hint="default" w:ascii="宋体" w:hAnsi="Times New Roman" w:eastAsia="宋体" w:cs="Times New Roman"/>
          <w:color w:val="000000" w:themeColor="text1"/>
          <w:sz w:val="28"/>
          <w:szCs w:val="28"/>
          <w:lang w:val="en-US" w:eastAsia="zh-CN"/>
          <w14:textFill>
            <w14:solidFill>
              <w14:schemeClr w14:val="tx1"/>
            </w14:solidFill>
          </w14:textFill>
        </w:rPr>
        <w:sectPr>
          <w:footerReference r:id="rId7" w:type="default"/>
          <w:pgSz w:w="11906" w:h="16838"/>
          <w:pgMar w:top="1440" w:right="1800" w:bottom="1440" w:left="1800" w:header="850" w:footer="992" w:gutter="0"/>
          <w:pgNumType w:fmt="decimal"/>
          <w:cols w:space="708" w:num="1"/>
          <w:docGrid w:type="lines" w:linePitch="360" w:charSpace="0"/>
        </w:sectPr>
      </w:pPr>
      <w:r>
        <w:rPr>
          <w:rFonts w:hint="eastAsia" w:ascii="宋体" w:hAnsi="Times New Roman" w:eastAsia="宋体" w:cs="Times New Roman"/>
          <w:color w:val="000000" w:themeColor="text1"/>
          <w:sz w:val="28"/>
          <w:szCs w:val="28"/>
          <w14:textFill>
            <w14:solidFill>
              <w14:schemeClr w14:val="tx1"/>
            </w14:solidFill>
          </w14:textFill>
        </w:rPr>
        <w:t>该项目自建成投产以来，严格按照国家安全生产等法律法规要求进行生产。根据国家法律法规的规定制定了安全生产管理制度，规范了生产工作行为，并严格执行。根据评价组了解及企业介绍，</w:t>
      </w:r>
      <w:r>
        <w:rPr>
          <w:rFonts w:hint="eastAsia" w:ascii="宋体" w:hAnsi="Times New Roman" w:eastAsia="宋体" w:cs="Times New Roman"/>
          <w:color w:val="000000" w:themeColor="text1"/>
          <w:sz w:val="28"/>
          <w:szCs w:val="28"/>
          <w:lang w:val="en-US" w:eastAsia="zh-CN"/>
          <w14:textFill>
            <w14:solidFill>
              <w14:schemeClr w14:val="tx1"/>
            </w14:solidFill>
          </w14:textFill>
        </w:rPr>
        <w:t>公司从建厂之日</w:t>
      </w:r>
      <w:r>
        <w:rPr>
          <w:rFonts w:hint="eastAsia" w:ascii="宋体" w:hAnsi="Times New Roman" w:eastAsia="宋体" w:cs="Times New Roman"/>
          <w:color w:val="000000" w:themeColor="text1"/>
          <w:sz w:val="28"/>
          <w:szCs w:val="28"/>
          <w14:textFill>
            <w14:solidFill>
              <w14:schemeClr w14:val="tx1"/>
            </w14:solidFill>
          </w14:textFill>
        </w:rPr>
        <w:t>至评价基准日</w:t>
      </w:r>
      <w:r>
        <w:rPr>
          <w:rFonts w:hint="eastAsia" w:ascii="宋体" w:hAnsi="Times New Roman" w:eastAsia="宋体" w:cs="Times New Roman"/>
          <w:color w:val="000000" w:themeColor="text1"/>
          <w:sz w:val="28"/>
          <w:szCs w:val="28"/>
          <w:lang w:eastAsia="zh-CN"/>
          <w14:textFill>
            <w14:solidFill>
              <w14:schemeClr w14:val="tx1"/>
            </w14:solidFill>
          </w14:textFill>
        </w:rPr>
        <w:t>，</w:t>
      </w:r>
      <w:r>
        <w:rPr>
          <w:rFonts w:hint="eastAsia" w:ascii="宋体" w:hAnsi="Times New Roman" w:eastAsia="宋体" w:cs="Times New Roman"/>
          <w:color w:val="000000" w:themeColor="text1"/>
          <w:sz w:val="28"/>
          <w:szCs w:val="28"/>
          <w14:textFill>
            <w14:solidFill>
              <w14:schemeClr w14:val="tx1"/>
            </w14:solidFill>
          </w14:textFill>
        </w:rPr>
        <w:t>未发生生产安全事故。</w:t>
      </w:r>
    </w:p>
    <w:p w14:paraId="0F071077">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271" w:name="_Toc4075"/>
      <w:r>
        <w:rPr>
          <w:rFonts w:hint="default" w:ascii="Times New Roman" w:hAnsi="Times New Roman" w:eastAsia="楷体"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 xml:space="preserve">7 </w:t>
      </w:r>
      <w:r>
        <w:rPr>
          <w:rFonts w:hint="default" w:ascii="Times New Roman" w:hAnsi="Times New Roman" w:eastAsia="楷体" w:cs="Times New Roman"/>
          <w:color w:val="000000" w:themeColor="text1"/>
          <w14:textFill>
            <w14:solidFill>
              <w14:schemeClr w14:val="tx1"/>
            </w14:solidFill>
          </w14:textFill>
        </w:rPr>
        <w:t>现场照片</w:t>
      </w:r>
      <w:bookmarkEnd w:id="267"/>
      <w:bookmarkEnd w:id="271"/>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14:paraId="7D7B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0" w:type="dxa"/>
          </w:tcPr>
          <w:p w14:paraId="44F3F5D1">
            <w:pPr>
              <w:pStyle w:val="71"/>
              <w:spacing w:line="360" w:lineRule="auto"/>
              <w:jc w:val="both"/>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1280" cy="1900555"/>
                  <wp:effectExtent l="0" t="0" r="0" b="4445"/>
                  <wp:docPr id="14" name="图片 14" descr="微信图片_202410311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031135743"/>
                          <pic:cNvPicPr>
                            <a:picLocks noChangeAspect="1"/>
                          </pic:cNvPicPr>
                        </pic:nvPicPr>
                        <pic:blipFill>
                          <a:blip r:embed="rId17"/>
                          <a:stretch>
                            <a:fillRect/>
                          </a:stretch>
                        </pic:blipFill>
                        <pic:spPr>
                          <a:xfrm>
                            <a:off x="0" y="0"/>
                            <a:ext cx="2621280" cy="1900555"/>
                          </a:xfrm>
                          <a:prstGeom prst="rect">
                            <a:avLst/>
                          </a:prstGeom>
                        </pic:spPr>
                      </pic:pic>
                    </a:graphicData>
                  </a:graphic>
                </wp:inline>
              </w:drawing>
            </w:r>
          </w:p>
        </w:tc>
        <w:tc>
          <w:tcPr>
            <w:tcW w:w="4360" w:type="dxa"/>
          </w:tcPr>
          <w:p w14:paraId="579F706D">
            <w:pPr>
              <w:pStyle w:val="71"/>
              <w:spacing w:line="360" w:lineRule="auto"/>
              <w:jc w:val="both"/>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1280" cy="1984375"/>
                  <wp:effectExtent l="0" t="0" r="0" b="12065"/>
                  <wp:docPr id="20" name="图片 20" descr="微信图片_20241031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1031135810"/>
                          <pic:cNvPicPr>
                            <a:picLocks noChangeAspect="1"/>
                          </pic:cNvPicPr>
                        </pic:nvPicPr>
                        <pic:blipFill>
                          <a:blip r:embed="rId18"/>
                          <a:stretch>
                            <a:fillRect/>
                          </a:stretch>
                        </pic:blipFill>
                        <pic:spPr>
                          <a:xfrm>
                            <a:off x="0" y="0"/>
                            <a:ext cx="2621280" cy="1984375"/>
                          </a:xfrm>
                          <a:prstGeom prst="rect">
                            <a:avLst/>
                          </a:prstGeom>
                        </pic:spPr>
                      </pic:pic>
                    </a:graphicData>
                  </a:graphic>
                </wp:inline>
              </w:drawing>
            </w:r>
          </w:p>
        </w:tc>
      </w:tr>
      <w:tr w14:paraId="4749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DFF17CB">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厂区南侧</w:t>
            </w:r>
          </w:p>
        </w:tc>
        <w:tc>
          <w:tcPr>
            <w:tcW w:w="4360" w:type="dxa"/>
          </w:tcPr>
          <w:p w14:paraId="11CDF0FA">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厂区全貌</w:t>
            </w:r>
          </w:p>
        </w:tc>
      </w:tr>
      <w:tr w14:paraId="419C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354B869">
            <w:pPr>
              <w:pStyle w:val="71"/>
              <w:spacing w:line="36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5725" cy="1970405"/>
                  <wp:effectExtent l="0" t="0" r="10795" b="10795"/>
                  <wp:docPr id="26" name="图片 26" descr="194a37500e9d5fb01ba3e9fe5d09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4a37500e9d5fb01ba3e9fe5d0929d"/>
                          <pic:cNvPicPr>
                            <a:picLocks noChangeAspect="1"/>
                          </pic:cNvPicPr>
                        </pic:nvPicPr>
                        <pic:blipFill>
                          <a:blip r:embed="rId19"/>
                          <a:stretch>
                            <a:fillRect/>
                          </a:stretch>
                        </pic:blipFill>
                        <pic:spPr>
                          <a:xfrm>
                            <a:off x="0" y="0"/>
                            <a:ext cx="2625725" cy="1970405"/>
                          </a:xfrm>
                          <a:prstGeom prst="rect">
                            <a:avLst/>
                          </a:prstGeom>
                        </pic:spPr>
                      </pic:pic>
                    </a:graphicData>
                  </a:graphic>
                </wp:inline>
              </w:drawing>
            </w:r>
          </w:p>
        </w:tc>
        <w:tc>
          <w:tcPr>
            <w:tcW w:w="4360" w:type="dxa"/>
          </w:tcPr>
          <w:p w14:paraId="04661819">
            <w:pPr>
              <w:pStyle w:val="71"/>
              <w:spacing w:line="36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5725" cy="1970405"/>
                  <wp:effectExtent l="0" t="0" r="10795" b="10795"/>
                  <wp:docPr id="28" name="图片 28" descr="218316cb480f028beb298ddaef1c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8316cb480f028beb298ddaef1cd3a"/>
                          <pic:cNvPicPr>
                            <a:picLocks noChangeAspect="1"/>
                          </pic:cNvPicPr>
                        </pic:nvPicPr>
                        <pic:blipFill>
                          <a:blip r:embed="rId20"/>
                          <a:stretch>
                            <a:fillRect/>
                          </a:stretch>
                        </pic:blipFill>
                        <pic:spPr>
                          <a:xfrm>
                            <a:off x="0" y="0"/>
                            <a:ext cx="2625725" cy="1970405"/>
                          </a:xfrm>
                          <a:prstGeom prst="rect">
                            <a:avLst/>
                          </a:prstGeom>
                        </pic:spPr>
                      </pic:pic>
                    </a:graphicData>
                  </a:graphic>
                </wp:inline>
              </w:drawing>
            </w:r>
          </w:p>
        </w:tc>
      </w:tr>
      <w:tr w14:paraId="2393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B5DBD43">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原料储存间</w:t>
            </w:r>
          </w:p>
        </w:tc>
        <w:tc>
          <w:tcPr>
            <w:tcW w:w="4360" w:type="dxa"/>
          </w:tcPr>
          <w:p w14:paraId="4B8793C1">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辅料储存间</w:t>
            </w:r>
          </w:p>
        </w:tc>
      </w:tr>
      <w:tr w14:paraId="0B9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trPr>
        <w:tc>
          <w:tcPr>
            <w:tcW w:w="4360" w:type="dxa"/>
          </w:tcPr>
          <w:p w14:paraId="453BE77B">
            <w:pPr>
              <w:pStyle w:val="71"/>
              <w:jc w:val="both"/>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-22860</wp:posOffset>
                  </wp:positionH>
                  <wp:positionV relativeFrom="paragraph">
                    <wp:posOffset>55880</wp:posOffset>
                  </wp:positionV>
                  <wp:extent cx="2621915" cy="1966595"/>
                  <wp:effectExtent l="0" t="0" r="14605" b="14605"/>
                  <wp:wrapNone/>
                  <wp:docPr id="54" name="图片 54" descr="51c20fe0b0546f23b4abe2ac69b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1c20fe0b0546f23b4abe2ac69b6097"/>
                          <pic:cNvPicPr>
                            <a:picLocks noChangeAspect="1"/>
                          </pic:cNvPicPr>
                        </pic:nvPicPr>
                        <pic:blipFill>
                          <a:blip r:embed="rId21"/>
                          <a:stretch>
                            <a:fillRect/>
                          </a:stretch>
                        </pic:blipFill>
                        <pic:spPr>
                          <a:xfrm>
                            <a:off x="0" y="0"/>
                            <a:ext cx="2621915" cy="1966595"/>
                          </a:xfrm>
                          <a:prstGeom prst="rect">
                            <a:avLst/>
                          </a:prstGeom>
                        </pic:spPr>
                      </pic:pic>
                    </a:graphicData>
                  </a:graphic>
                </wp:anchor>
              </w:drawing>
            </w:r>
          </w:p>
          <w:p w14:paraId="7C889E88">
            <w:pPr>
              <w:pStyle w:val="71"/>
              <w:jc w:val="both"/>
              <w:rPr>
                <w:rFonts w:hint="eastAsia" w:asciiTheme="minorEastAsia" w:hAnsiTheme="minorEastAsia" w:eastAsiaTheme="minorEastAsia"/>
                <w:color w:val="000000" w:themeColor="text1"/>
                <w:lang w:eastAsia="zh-CN"/>
                <w14:textFill>
                  <w14:solidFill>
                    <w14:schemeClr w14:val="tx1"/>
                  </w14:solidFill>
                </w14:textFill>
              </w:rPr>
            </w:pPr>
          </w:p>
          <w:p w14:paraId="1CCF8B58">
            <w:pPr>
              <w:pStyle w:val="71"/>
              <w:jc w:val="both"/>
              <w:rPr>
                <w:rFonts w:hint="eastAsia" w:asciiTheme="minorEastAsia" w:hAnsiTheme="minorEastAsia" w:eastAsiaTheme="minorEastAsia"/>
                <w:color w:val="000000" w:themeColor="text1"/>
                <w:lang w:eastAsia="zh-CN"/>
                <w14:textFill>
                  <w14:solidFill>
                    <w14:schemeClr w14:val="tx1"/>
                  </w14:solidFill>
                </w14:textFill>
              </w:rPr>
            </w:pPr>
          </w:p>
          <w:p w14:paraId="3EF02078">
            <w:pPr>
              <w:pStyle w:val="71"/>
              <w:jc w:val="both"/>
              <w:rPr>
                <w:rFonts w:hint="eastAsia" w:asciiTheme="minorEastAsia" w:hAnsiTheme="minorEastAsia" w:eastAsiaTheme="minorEastAsia"/>
                <w:color w:val="000000" w:themeColor="text1"/>
                <w:lang w:eastAsia="zh-CN"/>
                <w14:textFill>
                  <w14:solidFill>
                    <w14:schemeClr w14:val="tx1"/>
                  </w14:solidFill>
                </w14:textFill>
              </w:rPr>
            </w:pPr>
          </w:p>
        </w:tc>
        <w:tc>
          <w:tcPr>
            <w:tcW w:w="4360" w:type="dxa"/>
          </w:tcPr>
          <w:p w14:paraId="09A1929F">
            <w:pPr>
              <w:pStyle w:val="71"/>
              <w:spacing w:line="360" w:lineRule="auto"/>
              <w:jc w:val="both"/>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drawing>
                <wp:inline distT="0" distB="0" distL="114300" distR="114300">
                  <wp:extent cx="2625725" cy="1970405"/>
                  <wp:effectExtent l="0" t="0" r="10795" b="10795"/>
                  <wp:docPr id="59" name="图片 59" descr="53722a82b81e00b7ab8a47ebbec8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3722a82b81e00b7ab8a47ebbec8a41"/>
                          <pic:cNvPicPr>
                            <a:picLocks noChangeAspect="1"/>
                          </pic:cNvPicPr>
                        </pic:nvPicPr>
                        <pic:blipFill>
                          <a:blip r:embed="rId22"/>
                          <a:stretch>
                            <a:fillRect/>
                          </a:stretch>
                        </pic:blipFill>
                        <pic:spPr>
                          <a:xfrm>
                            <a:off x="0" y="0"/>
                            <a:ext cx="2625725" cy="1970405"/>
                          </a:xfrm>
                          <a:prstGeom prst="rect">
                            <a:avLst/>
                          </a:prstGeom>
                        </pic:spPr>
                      </pic:pic>
                    </a:graphicData>
                  </a:graphic>
                </wp:inline>
              </w:drawing>
            </w:r>
          </w:p>
        </w:tc>
      </w:tr>
      <w:tr w14:paraId="405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9336A80">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配料间</w:t>
            </w:r>
          </w:p>
        </w:tc>
        <w:tc>
          <w:tcPr>
            <w:tcW w:w="4360" w:type="dxa"/>
          </w:tcPr>
          <w:p w14:paraId="292FF985">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成品包装间</w:t>
            </w:r>
          </w:p>
        </w:tc>
      </w:tr>
      <w:tr w14:paraId="19FD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0CCB8DE">
            <w:pPr>
              <w:pStyle w:val="71"/>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621915" cy="1966595"/>
                  <wp:effectExtent l="0" t="0" r="14605" b="14605"/>
                  <wp:docPr id="60" name="图片 60" descr="9bff95c4c4a02ef84c1cac5cf131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bff95c4c4a02ef84c1cac5cf13106e"/>
                          <pic:cNvPicPr>
                            <a:picLocks noChangeAspect="1"/>
                          </pic:cNvPicPr>
                        </pic:nvPicPr>
                        <pic:blipFill>
                          <a:blip r:embed="rId23"/>
                          <a:stretch>
                            <a:fillRect/>
                          </a:stretch>
                        </pic:blipFill>
                        <pic:spPr>
                          <a:xfrm>
                            <a:off x="0" y="0"/>
                            <a:ext cx="2621915" cy="1966595"/>
                          </a:xfrm>
                          <a:prstGeom prst="rect">
                            <a:avLst/>
                          </a:prstGeom>
                        </pic:spPr>
                      </pic:pic>
                    </a:graphicData>
                  </a:graphic>
                </wp:inline>
              </w:drawing>
            </w:r>
          </w:p>
        </w:tc>
        <w:tc>
          <w:tcPr>
            <w:tcW w:w="4360" w:type="dxa"/>
          </w:tcPr>
          <w:p w14:paraId="5D2D4275">
            <w:pPr>
              <w:pStyle w:val="71"/>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38100</wp:posOffset>
                  </wp:positionH>
                  <wp:positionV relativeFrom="paragraph">
                    <wp:posOffset>55880</wp:posOffset>
                  </wp:positionV>
                  <wp:extent cx="2621915" cy="1966595"/>
                  <wp:effectExtent l="0" t="0" r="14605" b="14605"/>
                  <wp:wrapNone/>
                  <wp:docPr id="63" name="图片 63" descr="d9ff3bf1c5e7c6b04addbec83f15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9ff3bf1c5e7c6b04addbec83f15bce"/>
                          <pic:cNvPicPr>
                            <a:picLocks noChangeAspect="1"/>
                          </pic:cNvPicPr>
                        </pic:nvPicPr>
                        <pic:blipFill>
                          <a:blip r:embed="rId24"/>
                          <a:stretch>
                            <a:fillRect/>
                          </a:stretch>
                        </pic:blipFill>
                        <pic:spPr>
                          <a:xfrm>
                            <a:off x="0" y="0"/>
                            <a:ext cx="2621915" cy="1966595"/>
                          </a:xfrm>
                          <a:prstGeom prst="rect">
                            <a:avLst/>
                          </a:prstGeom>
                        </pic:spPr>
                      </pic:pic>
                    </a:graphicData>
                  </a:graphic>
                </wp:anchor>
              </w:drawing>
            </w:r>
          </w:p>
        </w:tc>
      </w:tr>
      <w:tr w14:paraId="686D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9CBE05A">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成品间</w:t>
            </w:r>
          </w:p>
        </w:tc>
        <w:tc>
          <w:tcPr>
            <w:tcW w:w="4360" w:type="dxa"/>
          </w:tcPr>
          <w:p w14:paraId="28655185">
            <w:pPr>
              <w:pStyle w:val="71"/>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装卸平台</w:t>
            </w:r>
          </w:p>
        </w:tc>
      </w:tr>
      <w:tr w14:paraId="09C9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2DB02260">
            <w:pPr>
              <w:pStyle w:val="71"/>
              <w:spacing w:line="36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5725" cy="1970405"/>
                  <wp:effectExtent l="0" t="0" r="10795" b="10795"/>
                  <wp:docPr id="64" name="图片 64" descr="6b0a3fc8dc80af70d17c31bc6ec7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b0a3fc8dc80af70d17c31bc6ec7ce3"/>
                          <pic:cNvPicPr>
                            <a:picLocks noChangeAspect="1"/>
                          </pic:cNvPicPr>
                        </pic:nvPicPr>
                        <pic:blipFill>
                          <a:blip r:embed="rId25"/>
                          <a:stretch>
                            <a:fillRect/>
                          </a:stretch>
                        </pic:blipFill>
                        <pic:spPr>
                          <a:xfrm>
                            <a:off x="0" y="0"/>
                            <a:ext cx="2625725" cy="1970405"/>
                          </a:xfrm>
                          <a:prstGeom prst="rect">
                            <a:avLst/>
                          </a:prstGeom>
                        </pic:spPr>
                      </pic:pic>
                    </a:graphicData>
                  </a:graphic>
                </wp:inline>
              </w:drawing>
            </w:r>
          </w:p>
        </w:tc>
        <w:tc>
          <w:tcPr>
            <w:tcW w:w="4360" w:type="dxa"/>
          </w:tcPr>
          <w:p w14:paraId="4F112003">
            <w:pPr>
              <w:pStyle w:val="71"/>
              <w:spacing w:line="36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625725" cy="1970405"/>
                  <wp:effectExtent l="0" t="0" r="10795" b="10795"/>
                  <wp:docPr id="65" name="图片 65" descr="82696368dd4588df6f29d5afc0ee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2696368dd4588df6f29d5afc0eeafd"/>
                          <pic:cNvPicPr>
                            <a:picLocks noChangeAspect="1"/>
                          </pic:cNvPicPr>
                        </pic:nvPicPr>
                        <pic:blipFill>
                          <a:blip r:embed="rId26"/>
                          <a:stretch>
                            <a:fillRect/>
                          </a:stretch>
                        </pic:blipFill>
                        <pic:spPr>
                          <a:xfrm>
                            <a:off x="0" y="0"/>
                            <a:ext cx="2625725" cy="1970405"/>
                          </a:xfrm>
                          <a:prstGeom prst="rect">
                            <a:avLst/>
                          </a:prstGeom>
                        </pic:spPr>
                      </pic:pic>
                    </a:graphicData>
                  </a:graphic>
                </wp:inline>
              </w:drawing>
            </w:r>
          </w:p>
        </w:tc>
      </w:tr>
      <w:tr w14:paraId="6828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858DD75">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bCs/>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废水收集池</w:t>
            </w:r>
          </w:p>
        </w:tc>
        <w:tc>
          <w:tcPr>
            <w:tcW w:w="4360" w:type="dxa"/>
          </w:tcPr>
          <w:p w14:paraId="6D7F7B94">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bCs/>
                <w:color w:val="000000" w:themeColor="text1"/>
                <w:lang w:val="en-US" w:eastAsia="zh-CN"/>
                <w14:textFill>
                  <w14:solidFill>
                    <w14:schemeClr w14:val="tx1"/>
                  </w14:solidFill>
                </w14:textFill>
              </w:rPr>
            </w:pPr>
            <w:r>
              <w:rPr>
                <w:rFonts w:hint="eastAsia"/>
                <w:bCs/>
                <w:color w:val="000000" w:themeColor="text1"/>
                <w:szCs w:val="24"/>
                <w:lang w:val="en-US" w:eastAsia="zh-CN"/>
                <w14:textFill>
                  <w14:solidFill>
                    <w14:schemeClr w14:val="tx1"/>
                  </w14:solidFill>
                </w14:textFill>
              </w:rPr>
              <w:t>控制</w:t>
            </w:r>
            <w:r>
              <w:rPr>
                <w:rFonts w:hint="eastAsia" w:ascii="Times New Roman"/>
                <w:bCs/>
                <w:color w:val="000000" w:themeColor="text1"/>
                <w:szCs w:val="24"/>
                <w:lang w:val="en-US" w:eastAsia="zh-CN"/>
                <w14:textFill>
                  <w14:solidFill>
                    <w14:schemeClr w14:val="tx1"/>
                  </w14:solidFill>
                </w14:textFill>
              </w:rPr>
              <w:t>室</w:t>
            </w:r>
          </w:p>
        </w:tc>
      </w:tr>
      <w:tr w14:paraId="08F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2B19A2D3">
            <w:pPr>
              <w:pStyle w:val="71"/>
              <w:spacing w:line="360" w:lineRule="auto"/>
              <w:jc w:val="center"/>
              <w:rPr>
                <w:rFonts w:hint="eastAsia" w:eastAsia="宋体"/>
                <w:bCs/>
                <w:color w:val="000000" w:themeColor="text1"/>
                <w:lang w:eastAsia="zh-CN"/>
                <w14:textFill>
                  <w14:solidFill>
                    <w14:schemeClr w14:val="tx1"/>
                  </w14:solidFill>
                </w14:textFill>
              </w:rPr>
            </w:pPr>
            <w:r>
              <w:rPr>
                <w:rFonts w:hint="eastAsia" w:eastAsia="宋体"/>
                <w:bCs/>
                <w:color w:val="000000" w:themeColor="text1"/>
                <w:lang w:eastAsia="zh-CN"/>
                <w14:textFill>
                  <w14:solidFill>
                    <w14:schemeClr w14:val="tx1"/>
                  </w14:solidFill>
                </w14:textFill>
              </w:rPr>
              <w:drawing>
                <wp:inline distT="0" distB="0" distL="114300" distR="114300">
                  <wp:extent cx="2625090" cy="1924685"/>
                  <wp:effectExtent l="0" t="0" r="11430" b="10795"/>
                  <wp:docPr id="67" name="图片 67" descr="0766a4f195dc212573219e1c16a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766a4f195dc212573219e1c16a8809"/>
                          <pic:cNvPicPr>
                            <a:picLocks noChangeAspect="1"/>
                          </pic:cNvPicPr>
                        </pic:nvPicPr>
                        <pic:blipFill>
                          <a:blip r:embed="rId27"/>
                          <a:stretch>
                            <a:fillRect/>
                          </a:stretch>
                        </pic:blipFill>
                        <pic:spPr>
                          <a:xfrm>
                            <a:off x="0" y="0"/>
                            <a:ext cx="2625090" cy="1924685"/>
                          </a:xfrm>
                          <a:prstGeom prst="rect">
                            <a:avLst/>
                          </a:prstGeom>
                        </pic:spPr>
                      </pic:pic>
                    </a:graphicData>
                  </a:graphic>
                </wp:inline>
              </w:drawing>
            </w:r>
          </w:p>
        </w:tc>
        <w:tc>
          <w:tcPr>
            <w:tcW w:w="4360" w:type="dxa"/>
          </w:tcPr>
          <w:p w14:paraId="5E6FC9D8">
            <w:pPr>
              <w:pStyle w:val="71"/>
              <w:spacing w:line="360" w:lineRule="auto"/>
              <w:jc w:val="center"/>
              <w:rPr>
                <w:rFonts w:hint="eastAsia" w:eastAsia="宋体"/>
                <w:bCs/>
                <w:color w:val="000000" w:themeColor="text1"/>
                <w:lang w:eastAsia="zh-CN"/>
                <w14:textFill>
                  <w14:solidFill>
                    <w14:schemeClr w14:val="tx1"/>
                  </w14:solidFill>
                </w14:textFill>
              </w:rPr>
            </w:pPr>
            <w:r>
              <w:rPr>
                <w:rFonts w:hint="eastAsia" w:eastAsia="宋体"/>
                <w:bCs/>
                <w:color w:val="000000" w:themeColor="text1"/>
                <w:lang w:eastAsia="zh-CN"/>
                <w14:textFill>
                  <w14:solidFill>
                    <w14:schemeClr w14:val="tx1"/>
                  </w14:solidFill>
                </w14:textFill>
              </w:rPr>
              <w:drawing>
                <wp:inline distT="0" distB="0" distL="114300" distR="114300">
                  <wp:extent cx="2623820" cy="1905000"/>
                  <wp:effectExtent l="0" t="0" r="12700" b="0"/>
                  <wp:docPr id="68" name="图片 68" descr="d0b4304d72b3764d8440b3fab596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0b4304d72b3764d8440b3fab596ce3"/>
                          <pic:cNvPicPr>
                            <a:picLocks noChangeAspect="1"/>
                          </pic:cNvPicPr>
                        </pic:nvPicPr>
                        <pic:blipFill>
                          <a:blip r:embed="rId28"/>
                          <a:stretch>
                            <a:fillRect/>
                          </a:stretch>
                        </pic:blipFill>
                        <pic:spPr>
                          <a:xfrm>
                            <a:off x="0" y="0"/>
                            <a:ext cx="2623820" cy="1905000"/>
                          </a:xfrm>
                          <a:prstGeom prst="rect">
                            <a:avLst/>
                          </a:prstGeom>
                        </pic:spPr>
                      </pic:pic>
                    </a:graphicData>
                  </a:graphic>
                </wp:inline>
              </w:drawing>
            </w:r>
          </w:p>
        </w:tc>
      </w:tr>
      <w:tr w14:paraId="1E5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164E9BB">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4360" w:type="dxa"/>
          </w:tcPr>
          <w:p w14:paraId="2022A378">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空气储罐</w:t>
            </w:r>
          </w:p>
        </w:tc>
      </w:tr>
      <w:tr w14:paraId="09C3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01552F7">
            <w:pPr>
              <w:pStyle w:val="71"/>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625725" cy="1970405"/>
                  <wp:effectExtent l="0" t="0" r="10795" b="10795"/>
                  <wp:docPr id="69" name="图片 69" descr="800719055deb010134ed19d5b909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00719055deb010134ed19d5b9091c1"/>
                          <pic:cNvPicPr>
                            <a:picLocks noChangeAspect="1"/>
                          </pic:cNvPicPr>
                        </pic:nvPicPr>
                        <pic:blipFill>
                          <a:blip r:embed="rId29"/>
                          <a:stretch>
                            <a:fillRect/>
                          </a:stretch>
                        </pic:blipFill>
                        <pic:spPr>
                          <a:xfrm>
                            <a:off x="0" y="0"/>
                            <a:ext cx="2625725" cy="1970405"/>
                          </a:xfrm>
                          <a:prstGeom prst="rect">
                            <a:avLst/>
                          </a:prstGeom>
                        </pic:spPr>
                      </pic:pic>
                    </a:graphicData>
                  </a:graphic>
                </wp:inline>
              </w:drawing>
            </w:r>
          </w:p>
        </w:tc>
        <w:tc>
          <w:tcPr>
            <w:tcW w:w="4360" w:type="dxa"/>
          </w:tcPr>
          <w:p w14:paraId="3FF6C5AE">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621915" cy="1971675"/>
                  <wp:effectExtent l="0" t="0" r="14605" b="9525"/>
                  <wp:docPr id="70" name="图片 70" descr="fff3b8adfc7366a6455544ad5381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ff3b8adfc7366a6455544ad5381e49"/>
                          <pic:cNvPicPr>
                            <a:picLocks noChangeAspect="1"/>
                          </pic:cNvPicPr>
                        </pic:nvPicPr>
                        <pic:blipFill>
                          <a:blip r:embed="rId30"/>
                          <a:stretch>
                            <a:fillRect/>
                          </a:stretch>
                        </pic:blipFill>
                        <pic:spPr>
                          <a:xfrm>
                            <a:off x="0" y="0"/>
                            <a:ext cx="2621915" cy="1971675"/>
                          </a:xfrm>
                          <a:prstGeom prst="rect">
                            <a:avLst/>
                          </a:prstGeom>
                        </pic:spPr>
                      </pic:pic>
                    </a:graphicData>
                  </a:graphic>
                </wp:inline>
              </w:drawing>
            </w:r>
          </w:p>
        </w:tc>
      </w:tr>
      <w:tr w14:paraId="3C8B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0" w:type="dxa"/>
          </w:tcPr>
          <w:p w14:paraId="3DD25D90">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搅拌罐</w:t>
            </w:r>
          </w:p>
        </w:tc>
        <w:tc>
          <w:tcPr>
            <w:tcW w:w="4360" w:type="dxa"/>
          </w:tcPr>
          <w:p w14:paraId="6E2F40F5">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生产区</w:t>
            </w:r>
          </w:p>
        </w:tc>
      </w:tr>
      <w:tr w14:paraId="11A8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614DD78">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625725" cy="1970405"/>
                  <wp:effectExtent l="0" t="0" r="10795" b="10795"/>
                  <wp:docPr id="71" name="图片 71" descr="766cde87db11a82292d89279a97b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66cde87db11a82292d89279a97bcfc"/>
                          <pic:cNvPicPr>
                            <a:picLocks noChangeAspect="1"/>
                          </pic:cNvPicPr>
                        </pic:nvPicPr>
                        <pic:blipFill>
                          <a:blip r:embed="rId31"/>
                          <a:stretch>
                            <a:fillRect/>
                          </a:stretch>
                        </pic:blipFill>
                        <pic:spPr>
                          <a:xfrm>
                            <a:off x="0" y="0"/>
                            <a:ext cx="2625725" cy="1970405"/>
                          </a:xfrm>
                          <a:prstGeom prst="rect">
                            <a:avLst/>
                          </a:prstGeom>
                        </pic:spPr>
                      </pic:pic>
                    </a:graphicData>
                  </a:graphic>
                </wp:inline>
              </w:drawing>
            </w:r>
          </w:p>
        </w:tc>
        <w:tc>
          <w:tcPr>
            <w:tcW w:w="4360" w:type="dxa"/>
          </w:tcPr>
          <w:p w14:paraId="74017E0F">
            <w:pPr>
              <w:tabs>
                <w:tab w:val="left" w:pos="3480"/>
              </w:tabs>
              <w:bidi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623820" cy="1981835"/>
                  <wp:effectExtent l="0" t="0" r="12700" b="14605"/>
                  <wp:docPr id="72" name="图片 72" descr="2ea643ddfcf9484bf1812b936008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ea643ddfcf9484bf1812b93600840a"/>
                          <pic:cNvPicPr>
                            <a:picLocks noChangeAspect="1"/>
                          </pic:cNvPicPr>
                        </pic:nvPicPr>
                        <pic:blipFill>
                          <a:blip r:embed="rId32"/>
                          <a:stretch>
                            <a:fillRect/>
                          </a:stretch>
                        </pic:blipFill>
                        <pic:spPr>
                          <a:xfrm>
                            <a:off x="0" y="0"/>
                            <a:ext cx="2623820" cy="1981835"/>
                          </a:xfrm>
                          <a:prstGeom prst="rect">
                            <a:avLst/>
                          </a:prstGeom>
                        </pic:spPr>
                      </pic:pic>
                    </a:graphicData>
                  </a:graphic>
                </wp:inline>
              </w:drawing>
            </w:r>
          </w:p>
        </w:tc>
      </w:tr>
      <w:tr w14:paraId="5EE0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360" w:type="dxa"/>
          </w:tcPr>
          <w:p w14:paraId="6D92EE29">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管理制度</w:t>
            </w:r>
          </w:p>
        </w:tc>
        <w:tc>
          <w:tcPr>
            <w:tcW w:w="4360" w:type="dxa"/>
          </w:tcPr>
          <w:p w14:paraId="31F2631A">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规章制度</w:t>
            </w:r>
          </w:p>
        </w:tc>
      </w:tr>
      <w:tr w14:paraId="1B2E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F38986F">
            <w:pPr>
              <w:pStyle w:val="71"/>
              <w:spacing w:line="360" w:lineRule="auto"/>
              <w:jc w:val="center"/>
              <w:rPr>
                <w:rFonts w:hint="eastAsia" w:eastAsia="宋体"/>
                <w:bCs/>
                <w:color w:val="000000" w:themeColor="text1"/>
                <w:lang w:eastAsia="zh-CN"/>
                <w14:textFill>
                  <w14:solidFill>
                    <w14:schemeClr w14:val="tx1"/>
                  </w14:solidFill>
                </w14:textFill>
              </w:rPr>
            </w:pPr>
            <w:r>
              <w:rPr>
                <w:rFonts w:hint="eastAsia" w:eastAsia="宋体"/>
                <w:bCs/>
                <w:color w:val="000000" w:themeColor="text1"/>
                <w:lang w:eastAsia="zh-CN"/>
                <w14:textFill>
                  <w14:solidFill>
                    <w14:schemeClr w14:val="tx1"/>
                  </w14:solidFill>
                </w14:textFill>
              </w:rPr>
              <w:drawing>
                <wp:inline distT="0" distB="0" distL="114300" distR="114300">
                  <wp:extent cx="2456180" cy="3275965"/>
                  <wp:effectExtent l="0" t="0" r="12700" b="635"/>
                  <wp:docPr id="4" name="图片 4" descr="99b96570e1b0214d439fb0cb8822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b96570e1b0214d439fb0cb8822dfa"/>
                          <pic:cNvPicPr>
                            <a:picLocks noChangeAspect="1"/>
                          </pic:cNvPicPr>
                        </pic:nvPicPr>
                        <pic:blipFill>
                          <a:blip r:embed="rId33"/>
                          <a:stretch>
                            <a:fillRect/>
                          </a:stretch>
                        </pic:blipFill>
                        <pic:spPr>
                          <a:xfrm>
                            <a:off x="0" y="0"/>
                            <a:ext cx="2456180" cy="3275965"/>
                          </a:xfrm>
                          <a:prstGeom prst="rect">
                            <a:avLst/>
                          </a:prstGeom>
                        </pic:spPr>
                      </pic:pic>
                    </a:graphicData>
                  </a:graphic>
                </wp:inline>
              </w:drawing>
            </w:r>
          </w:p>
        </w:tc>
        <w:tc>
          <w:tcPr>
            <w:tcW w:w="4360" w:type="dxa"/>
          </w:tcPr>
          <w:p w14:paraId="449A4C70">
            <w:pPr>
              <w:pStyle w:val="71"/>
              <w:spacing w:line="360" w:lineRule="auto"/>
              <w:jc w:val="center"/>
              <w:rPr>
                <w:rFonts w:hint="eastAsia" w:eastAsia="宋体"/>
                <w:bCs/>
                <w:color w:val="000000" w:themeColor="text1"/>
                <w:lang w:eastAsia="zh-CN"/>
                <w14:textFill>
                  <w14:solidFill>
                    <w14:schemeClr w14:val="tx1"/>
                  </w14:solidFill>
                </w14:textFill>
              </w:rPr>
            </w:pPr>
            <w:r>
              <w:rPr>
                <w:rFonts w:hint="eastAsia" w:eastAsia="宋体"/>
                <w:bCs/>
                <w:color w:val="000000" w:themeColor="text1"/>
                <w:lang w:eastAsia="zh-CN"/>
                <w14:textFill>
                  <w14:solidFill>
                    <w14:schemeClr w14:val="tx1"/>
                  </w14:solidFill>
                </w14:textFill>
              </w:rPr>
              <w:drawing>
                <wp:inline distT="0" distB="0" distL="114300" distR="114300">
                  <wp:extent cx="2455545" cy="3275965"/>
                  <wp:effectExtent l="0" t="0" r="13335" b="635"/>
                  <wp:docPr id="5" name="图片 5" descr="b5530fdf062f08c81226c3209ce7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530fdf062f08c81226c3209ce7a46"/>
                          <pic:cNvPicPr>
                            <a:picLocks noChangeAspect="1"/>
                          </pic:cNvPicPr>
                        </pic:nvPicPr>
                        <pic:blipFill>
                          <a:blip r:embed="rId34"/>
                          <a:stretch>
                            <a:fillRect/>
                          </a:stretch>
                        </pic:blipFill>
                        <pic:spPr>
                          <a:xfrm>
                            <a:off x="0" y="0"/>
                            <a:ext cx="2455545" cy="3275965"/>
                          </a:xfrm>
                          <a:prstGeom prst="rect">
                            <a:avLst/>
                          </a:prstGeom>
                        </pic:spPr>
                      </pic:pic>
                    </a:graphicData>
                  </a:graphic>
                </wp:inline>
              </w:drawing>
            </w:r>
          </w:p>
        </w:tc>
      </w:tr>
      <w:tr w14:paraId="080D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360" w:type="dxa"/>
          </w:tcPr>
          <w:p w14:paraId="1A44D5BB">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评价师与业主合影（左一评价师</w:t>
            </w:r>
            <w:r>
              <w:rPr>
                <w:rFonts w:hint="eastAsia" w:ascii="宋体" w:hAnsi="宋体" w:eastAsia="宋体" w:cs="宋体"/>
                <w:bCs/>
                <w:color w:val="000000" w:themeColor="text1"/>
                <w:lang w:val="en-US" w:eastAsia="zh-CN"/>
                <w14:textFill>
                  <w14:solidFill>
                    <w14:schemeClr w14:val="tx1"/>
                  </w14:solidFill>
                </w14:textFill>
              </w:rPr>
              <w:t>周忠菊</w:t>
            </w:r>
            <w:r>
              <w:rPr>
                <w:rFonts w:hint="eastAsia" w:ascii="宋体" w:hAnsi="宋体" w:cs="宋体"/>
                <w:bCs/>
                <w:color w:val="000000" w:themeColor="text1"/>
                <w:lang w:val="en-US" w:eastAsia="zh-CN"/>
                <w14:textFill>
                  <w14:solidFill>
                    <w14:schemeClr w14:val="tx1"/>
                  </w14:solidFill>
                </w14:textFill>
              </w:rPr>
              <w:t>）</w:t>
            </w:r>
          </w:p>
        </w:tc>
        <w:tc>
          <w:tcPr>
            <w:tcW w:w="4360" w:type="dxa"/>
          </w:tcPr>
          <w:p w14:paraId="13D852BC">
            <w:pPr>
              <w:pStyle w:val="7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评价师与业主合影（右一评价师李毅雄</w:t>
            </w:r>
            <w:r>
              <w:rPr>
                <w:rFonts w:hint="eastAsia" w:ascii="宋体" w:hAnsi="宋体" w:cs="宋体"/>
                <w:bCs/>
                <w:color w:val="000000" w:themeColor="text1"/>
                <w:lang w:val="en-US" w:eastAsia="zh-CN"/>
                <w14:textFill>
                  <w14:solidFill>
                    <w14:schemeClr w14:val="tx1"/>
                  </w14:solidFill>
                </w14:textFill>
              </w:rPr>
              <w:t>）</w:t>
            </w:r>
          </w:p>
        </w:tc>
      </w:tr>
    </w:tbl>
    <w:p w14:paraId="64754519">
      <w:pPr>
        <w:pStyle w:val="5"/>
        <w:outlineLvl w:val="9"/>
        <w:rPr>
          <w:rFonts w:ascii="Times New Roman" w:hAnsi="Times New Roman"/>
          <w:color w:val="000000" w:themeColor="text1"/>
          <w14:textFill>
            <w14:solidFill>
              <w14:schemeClr w14:val="tx1"/>
            </w14:solidFill>
          </w14:textFill>
        </w:rPr>
        <w:sectPr>
          <w:pgSz w:w="11906" w:h="16838"/>
          <w:pgMar w:top="1587" w:right="1701" w:bottom="1701" w:left="1701" w:header="851" w:footer="992" w:gutter="0"/>
          <w:pgBorders>
            <w:top w:val="none" w:sz="0" w:space="0"/>
            <w:left w:val="none" w:sz="0" w:space="0"/>
            <w:bottom w:val="none" w:sz="0" w:space="0"/>
            <w:right w:val="none" w:sz="0" w:space="0"/>
          </w:pgBorders>
          <w:pgNumType w:fmt="decimal"/>
          <w:cols w:space="720" w:num="1"/>
          <w:docGrid w:type="lines" w:linePitch="330" w:charSpace="0"/>
        </w:sectPr>
      </w:pPr>
    </w:p>
    <w:bookmarkEnd w:id="268"/>
    <w:bookmarkEnd w:id="269"/>
    <w:bookmarkEnd w:id="270"/>
    <w:p w14:paraId="165C4933">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272" w:name="_Toc25262"/>
      <w:bookmarkStart w:id="273" w:name="_Toc30428"/>
      <w:bookmarkStart w:id="274" w:name="_Toc17554"/>
      <w:bookmarkStart w:id="275" w:name="_Toc6580"/>
      <w:bookmarkStart w:id="276" w:name="_Toc12314"/>
      <w:bookmarkStart w:id="277" w:name="_Toc313453543"/>
      <w:bookmarkStart w:id="278" w:name="_Toc335926205"/>
      <w:r>
        <w:rPr>
          <w:rFonts w:hint="default" w:ascii="Times New Roman" w:hAnsi="Times New Roman" w:eastAsia="黑体" w:cs="Times New Roman"/>
          <w:color w:val="000000" w:themeColor="text1"/>
          <w14:textFill>
            <w14:solidFill>
              <w14:schemeClr w14:val="tx1"/>
            </w14:solidFill>
          </w14:textFill>
        </w:rPr>
        <w:t>第3章  主要危险、有害因素辨识与分析</w:t>
      </w:r>
      <w:bookmarkEnd w:id="272"/>
      <w:bookmarkEnd w:id="273"/>
      <w:bookmarkEnd w:id="274"/>
      <w:bookmarkEnd w:id="275"/>
    </w:p>
    <w:p w14:paraId="050E2BF3">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jc w:val="both"/>
        <w:textAlignment w:val="auto"/>
        <w:rPr>
          <w:rFonts w:ascii="Times New Roman"/>
          <w:color w:val="000000" w:themeColor="text1"/>
          <w:sz w:val="28"/>
          <w14:textFill>
            <w14:solidFill>
              <w14:schemeClr w14:val="tx1"/>
            </w14:solidFill>
          </w14:textFill>
        </w:rPr>
      </w:pPr>
      <w:bookmarkStart w:id="279" w:name="_Toc18363"/>
      <w:bookmarkStart w:id="280" w:name="_Toc532203511"/>
      <w:bookmarkStart w:id="281" w:name="_Toc2018"/>
      <w:bookmarkStart w:id="282" w:name="_Toc201697580"/>
      <w:bookmarkStart w:id="283" w:name="_Toc398"/>
      <w:bookmarkStart w:id="284" w:name="_Toc121910214"/>
      <w:bookmarkStart w:id="285" w:name="_Toc29010"/>
      <w:bookmarkStart w:id="286" w:name="_Toc5642_WPSOffice_Level2"/>
      <w:bookmarkStart w:id="287" w:name="_Toc57"/>
      <w:bookmarkStart w:id="288" w:name="_Toc395212950"/>
      <w:bookmarkStart w:id="289" w:name="_Toc439100950"/>
      <w:bookmarkStart w:id="290" w:name="_Toc293305107"/>
      <w:bookmarkStart w:id="291" w:name="_Toc184653866"/>
      <w:bookmarkStart w:id="292" w:name="_Toc27399"/>
      <w:bookmarkStart w:id="293" w:name="_Toc5414"/>
      <w:bookmarkStart w:id="294" w:name="_Toc181545896"/>
      <w:bookmarkStart w:id="295" w:name="_Toc17555"/>
      <w:bookmarkStart w:id="296" w:name="_Toc395212044"/>
      <w:bookmarkStart w:id="297" w:name="_Toc24936"/>
      <w:bookmarkStart w:id="298" w:name="_Toc312139931"/>
      <w:bookmarkStart w:id="299" w:name="_Toc208138638"/>
      <w:bookmarkStart w:id="300" w:name="_Toc7563"/>
      <w:r>
        <w:rPr>
          <w:rFonts w:ascii="Times New Roman"/>
          <w:color w:val="000000" w:themeColor="text1"/>
          <w:sz w:val="28"/>
          <w14:textFill>
            <w14:solidFill>
              <w14:schemeClr w14:val="tx1"/>
            </w14:solidFill>
          </w14:textFill>
        </w:rPr>
        <w:t>本章</w:t>
      </w:r>
      <w:r>
        <w:rPr>
          <w:rFonts w:hint="eastAsia" w:ascii="Times New Roman"/>
          <w:color w:val="000000" w:themeColor="text1"/>
          <w:sz w:val="28"/>
          <w:lang w:eastAsia="zh-CN"/>
          <w14:textFill>
            <w14:solidFill>
              <w14:schemeClr w14:val="tx1"/>
            </w14:solidFill>
          </w14:textFill>
        </w:rPr>
        <w:t>主要</w:t>
      </w:r>
      <w:r>
        <w:rPr>
          <w:rFonts w:ascii="Times New Roman"/>
          <w:color w:val="000000" w:themeColor="text1"/>
          <w:sz w:val="28"/>
          <w14:textFill>
            <w14:solidFill>
              <w14:schemeClr w14:val="tx1"/>
            </w14:solidFill>
          </w14:textFill>
        </w:rPr>
        <w:t>针对</w:t>
      </w:r>
      <w:r>
        <w:rPr>
          <w:rFonts w:hint="eastAsia" w:ascii="Times New Roman"/>
          <w:color w:val="000000" w:themeColor="text1"/>
          <w:sz w:val="28"/>
          <w14:textFill>
            <w14:solidFill>
              <w14:schemeClr w14:val="tx1"/>
            </w14:solidFill>
          </w14:textFill>
        </w:rPr>
        <w:t>项目</w:t>
      </w:r>
      <w:r>
        <w:rPr>
          <w:rFonts w:ascii="Times New Roman"/>
          <w:color w:val="000000" w:themeColor="text1"/>
          <w:sz w:val="28"/>
          <w14:textFill>
            <w14:solidFill>
              <w14:schemeClr w14:val="tx1"/>
            </w14:solidFill>
          </w14:textFill>
        </w:rPr>
        <w:t>现状及公辅</w:t>
      </w:r>
      <w:r>
        <w:rPr>
          <w:rFonts w:hint="eastAsia" w:ascii="Times New Roman"/>
          <w:color w:val="000000" w:themeColor="text1"/>
          <w:sz w:val="28"/>
          <w:lang w:val="en-US" w:eastAsia="zh-CN"/>
          <w14:textFill>
            <w14:solidFill>
              <w14:schemeClr w14:val="tx1"/>
            </w14:solidFill>
          </w14:textFill>
        </w:rPr>
        <w:t>辅助</w:t>
      </w:r>
      <w:r>
        <w:rPr>
          <w:rFonts w:ascii="Times New Roman"/>
          <w:color w:val="000000" w:themeColor="text1"/>
          <w:sz w:val="28"/>
          <w14:textFill>
            <w14:solidFill>
              <w14:schemeClr w14:val="tx1"/>
            </w14:solidFill>
          </w14:textFill>
        </w:rPr>
        <w:t>设施的生产现状情况，对设施、装置和生产系统中可能存在的危险、有害因素进行辨识和分析，确定其主要危险、有害因素的种类及其存在部位和可能产生的后果，以确定评价对象，选用评价方法和提出有针对性的措施，便于该项目在以后的生产过程中对其固有和潜在的危险、有害因素，按照消除、减弱、预防、控制原则，保证生产系统的安全运行。简言之，就是识别系统危险性，找出引发原因，把握薄弱环节，寻找预防事故的最佳途径。</w:t>
      </w:r>
    </w:p>
    <w:p w14:paraId="3A94ED10">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301" w:name="_Toc9265"/>
      <w:bookmarkStart w:id="302" w:name="_Toc992"/>
      <w:r>
        <w:rPr>
          <w:rFonts w:hint="default" w:ascii="Times New Roman" w:hAnsi="Times New Roman" w:eastAsia="楷体" w:cs="Times New Roman"/>
          <w:color w:val="000000" w:themeColor="text1"/>
          <w14:textFill>
            <w14:solidFill>
              <w14:schemeClr w14:val="tx1"/>
            </w14:solidFill>
          </w14:textFill>
        </w:rPr>
        <w:t>3.1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辨识与分析的目的</w:t>
      </w:r>
      <w:bookmarkEnd w:id="301"/>
      <w:bookmarkEnd w:id="302"/>
    </w:p>
    <w:p w14:paraId="13A23CA3">
      <w:pPr>
        <w:keepNext w:val="0"/>
        <w:keepLines w:val="0"/>
        <w:pageBreakBefore w:val="0"/>
        <w:widowControl w:val="0"/>
        <w:kinsoku/>
        <w:wordWrap/>
        <w:overflowPunct/>
        <w:topLinePunct w:val="0"/>
        <w:autoSpaceDE/>
        <w:autoSpaceDN/>
        <w:bidi w:val="0"/>
        <w:spacing w:line="520" w:lineRule="exact"/>
        <w:ind w:firstLine="560" w:firstLineChars="200"/>
        <w:textAlignment w:val="auto"/>
        <w:rPr>
          <w:rStyle w:val="308"/>
          <w:color w:val="000000" w:themeColor="text1"/>
          <w14:textFill>
            <w14:solidFill>
              <w14:schemeClr w14:val="tx1"/>
            </w14:solidFill>
          </w14:textFill>
        </w:rPr>
      </w:pPr>
      <w:r>
        <w:rPr>
          <w:rStyle w:val="308"/>
          <w:color w:val="000000" w:themeColor="text1"/>
          <w14:textFill>
            <w14:solidFill>
              <w14:schemeClr w14:val="tx1"/>
            </w14:solidFill>
          </w14:textFill>
        </w:rPr>
        <w:t>危险、有害因素辨识与分析是安全评价的基础。</w:t>
      </w:r>
    </w:p>
    <w:p w14:paraId="2591A4B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308"/>
          <w:color w:val="000000" w:themeColor="text1"/>
          <w14:textFill>
            <w14:solidFill>
              <w14:schemeClr w14:val="tx1"/>
            </w14:solidFill>
          </w14:textFill>
        </w:rPr>
      </w:pPr>
      <w:r>
        <w:rPr>
          <w:rStyle w:val="308"/>
          <w:color w:val="000000" w:themeColor="text1"/>
          <w14:textFill>
            <w14:solidFill>
              <w14:schemeClr w14:val="tx1"/>
            </w14:solidFill>
          </w14:textFill>
        </w:rPr>
        <w:t>危险因素是指系统（人、机械、材料、设施、工艺、环境）中存在的，能对人造成伤亡，对物造成突发性损害的因素。</w:t>
      </w:r>
    </w:p>
    <w:p w14:paraId="08A0BF89">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308"/>
          <w:color w:val="000000" w:themeColor="text1"/>
          <w14:textFill>
            <w14:solidFill>
              <w14:schemeClr w14:val="tx1"/>
            </w14:solidFill>
          </w14:textFill>
        </w:rPr>
      </w:pPr>
      <w:r>
        <w:rPr>
          <w:rStyle w:val="308"/>
          <w:color w:val="000000" w:themeColor="text1"/>
          <w14:textFill>
            <w14:solidFill>
              <w14:schemeClr w14:val="tx1"/>
            </w14:solidFill>
          </w14:textFill>
        </w:rPr>
        <w:t>有害因素是指影响人的身体健康，导致疾病，或对物造成慢性损害的因素。</w:t>
      </w:r>
    </w:p>
    <w:p w14:paraId="0DE20774">
      <w:pPr>
        <w:keepNext w:val="0"/>
        <w:keepLines w:val="0"/>
        <w:pageBreakBefore w:val="0"/>
        <w:widowControl w:val="0"/>
        <w:kinsoku/>
        <w:wordWrap/>
        <w:overflowPunct/>
        <w:topLinePunct w:val="0"/>
        <w:autoSpaceDE/>
        <w:autoSpaceDN/>
        <w:bidi w:val="0"/>
        <w:spacing w:line="520" w:lineRule="exact"/>
        <w:ind w:firstLine="560" w:firstLineChars="200"/>
        <w:textAlignment w:val="auto"/>
        <w:rPr>
          <w:rStyle w:val="308"/>
          <w:color w:val="000000" w:themeColor="text1"/>
          <w14:textFill>
            <w14:solidFill>
              <w14:schemeClr w14:val="tx1"/>
            </w14:solidFill>
          </w14:textFill>
        </w:rPr>
      </w:pPr>
      <w:r>
        <w:rPr>
          <w:rStyle w:val="308"/>
          <w:color w:val="000000" w:themeColor="text1"/>
          <w14:textFill>
            <w14:solidFill>
              <w14:schemeClr w14:val="tx1"/>
            </w14:solidFill>
          </w14:textFill>
        </w:rPr>
        <w:t>主要危险、有害因素的识别，就是找出生产、经营过程中最有可能引发重大事故，导致不良后果的人、机、物、工艺、环境和组织等，识别可能发生的事故、后果和条件，以便采取预防和控制措施。</w:t>
      </w:r>
    </w:p>
    <w:p w14:paraId="014F8FCD">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303" w:name="_Toc8116"/>
      <w:r>
        <w:rPr>
          <w:rFonts w:hint="default" w:ascii="Times New Roman" w:hAnsi="Times New Roman" w:eastAsia="楷体" w:cs="Times New Roman"/>
          <w:color w:val="000000" w:themeColor="text1"/>
          <w14:textFill>
            <w14:solidFill>
              <w14:schemeClr w14:val="tx1"/>
            </w14:solidFill>
          </w14:textFill>
        </w:rPr>
        <w:t>3.</w:t>
      </w:r>
      <w:r>
        <w:rPr>
          <w:rFonts w:hint="default" w:ascii="Times New Roman" w:hAnsi="Times New Roman" w:eastAsia="楷体"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辨识与分析的依据</w:t>
      </w:r>
      <w:bookmarkEnd w:id="279"/>
      <w:bookmarkEnd w:id="280"/>
      <w:bookmarkEnd w:id="281"/>
      <w:bookmarkEnd w:id="303"/>
    </w:p>
    <w:p w14:paraId="4F96CCE9">
      <w:pPr>
        <w:keepNext w:val="0"/>
        <w:keepLines w:val="0"/>
        <w:pageBreakBefore w:val="0"/>
        <w:widowControl w:val="0"/>
        <w:kinsoku/>
        <w:wordWrap/>
        <w:overflowPunct/>
        <w:autoSpaceDE/>
        <w:autoSpaceDN/>
        <w:bidi w:val="0"/>
        <w:adjustRightInd/>
        <w:snapToGrid/>
        <w:spacing w:line="500" w:lineRule="exact"/>
        <w:ind w:firstLine="560" w:firstLineChars="200"/>
        <w:textAlignment w:val="auto"/>
        <w:rPr>
          <w:snapToGrid w:val="0"/>
          <w:color w:val="000000" w:themeColor="text1"/>
          <w:kern w:val="0"/>
          <w:sz w:val="28"/>
          <w:szCs w:val="28"/>
          <w14:textFill>
            <w14:solidFill>
              <w14:schemeClr w14:val="tx1"/>
            </w14:solidFill>
          </w14:textFill>
        </w:rPr>
      </w:pPr>
      <w:r>
        <w:rPr>
          <w:rFonts w:ascii="宋体" w:hAnsi="Times New Roman" w:eastAsia="宋体" w:cs="Times New Roman"/>
          <w:snapToGrid w:val="0"/>
          <w:color w:val="000000" w:themeColor="text1"/>
          <w:kern w:val="0"/>
          <w:sz w:val="28"/>
          <w:szCs w:val="28"/>
          <w14:textFill>
            <w14:solidFill>
              <w14:schemeClr w14:val="tx1"/>
            </w14:solidFill>
          </w14:textFill>
        </w:rPr>
        <w:t>按照《企业职工伤亡事故分类》（GB6441-1986），综合考虑起因物、引起事故的诱导性原因、致害物、伤害方式等，将</w:t>
      </w:r>
      <w:r>
        <w:rPr>
          <w:rFonts w:hint="eastAsia" w:ascii="宋体" w:hAnsi="Times New Roman" w:eastAsia="宋体" w:cs="Times New Roman"/>
          <w:snapToGrid w:val="0"/>
          <w:color w:val="000000" w:themeColor="text1"/>
          <w:kern w:val="0"/>
          <w:sz w:val="28"/>
          <w:szCs w:val="28"/>
          <w14:textFill>
            <w14:solidFill>
              <w14:schemeClr w14:val="tx1"/>
            </w14:solidFill>
          </w14:textFill>
        </w:rPr>
        <w:t>事故类别</w:t>
      </w:r>
      <w:r>
        <w:rPr>
          <w:rFonts w:ascii="宋体" w:hAnsi="Times New Roman" w:eastAsia="宋体" w:cs="Times New Roman"/>
          <w:snapToGrid w:val="0"/>
          <w:color w:val="000000" w:themeColor="text1"/>
          <w:kern w:val="0"/>
          <w:sz w:val="28"/>
          <w:szCs w:val="28"/>
          <w14:textFill>
            <w14:solidFill>
              <w14:schemeClr w14:val="tx1"/>
            </w14:solidFill>
          </w14:textFill>
        </w:rPr>
        <w:t>分为20类，分别为物体打击、车辆伤害、机械伤害</w:t>
      </w:r>
      <w:r>
        <w:rPr>
          <w:snapToGrid w:val="0"/>
          <w:color w:val="000000" w:themeColor="text1"/>
          <w:kern w:val="0"/>
          <w:sz w:val="28"/>
          <w:szCs w:val="28"/>
          <w14:textFill>
            <w14:solidFill>
              <w14:schemeClr w14:val="tx1"/>
            </w14:solidFill>
          </w14:textFill>
        </w:rPr>
        <w:t>、起重伤害、触电、淹溺、灼烫、火灾、高处坠落、坍塌、冒顶片帮、透水、放炮、瓦斯爆炸、火药爆炸、锅炉爆炸、容器爆炸、其他爆炸、中毒和窒息及其他伤害。</w:t>
      </w:r>
    </w:p>
    <w:p w14:paraId="01ADB07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根据《生产过程危险和有害因素分类与代码》（GB/T13861-20</w:t>
      </w:r>
      <w:r>
        <w:rPr>
          <w:color w:val="000000" w:themeColor="text1"/>
          <w:sz w:val="28"/>
          <w:szCs w:val="28"/>
          <w14:textFill>
            <w14:solidFill>
              <w14:schemeClr w14:val="tx1"/>
            </w14:solidFill>
          </w14:textFill>
        </w:rPr>
        <w:t>22</w:t>
      </w:r>
      <w:r>
        <w:rPr>
          <w:rFonts w:hint="eastAsia"/>
          <w:color w:val="000000" w:themeColor="text1"/>
          <w:sz w:val="28"/>
          <w:szCs w:val="28"/>
          <w14:textFill>
            <w14:solidFill>
              <w14:schemeClr w14:val="tx1"/>
            </w14:solidFill>
          </w14:textFill>
        </w:rPr>
        <w:t>）的规定，将危险因素分为四类：</w:t>
      </w:r>
    </w:p>
    <w:p w14:paraId="3383E3E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一、人的因素</w:t>
      </w:r>
    </w:p>
    <w:p w14:paraId="677E060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1.心理、生理性危险和有害因素；</w:t>
      </w:r>
    </w:p>
    <w:p w14:paraId="3F79A5EE">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2.行为性危险和有害因素。</w:t>
      </w:r>
    </w:p>
    <w:p w14:paraId="74395E7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二、物的因素</w:t>
      </w:r>
    </w:p>
    <w:p w14:paraId="5209284B">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1.物理性危险和有害因素；</w:t>
      </w:r>
    </w:p>
    <w:p w14:paraId="7836A16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2.化学性危险和有害因素；</w:t>
      </w:r>
    </w:p>
    <w:p w14:paraId="1C5D20B7">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3.生物性危险和有害因素。</w:t>
      </w:r>
    </w:p>
    <w:p w14:paraId="7784877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三、环境因素</w:t>
      </w:r>
    </w:p>
    <w:p w14:paraId="58DDFF28">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1.室内作业场所环境不良；</w:t>
      </w:r>
    </w:p>
    <w:p w14:paraId="58FF2144">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2.室外作业场地环境不良；</w:t>
      </w:r>
    </w:p>
    <w:p w14:paraId="7E0199E3">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3.地下（含水下）作业环境不良；</w:t>
      </w:r>
    </w:p>
    <w:p w14:paraId="69864BA8">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4.其他作业环境不良。</w:t>
      </w:r>
    </w:p>
    <w:p w14:paraId="7D5ACF6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四、管理因素</w:t>
      </w:r>
    </w:p>
    <w:p w14:paraId="5B7741B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1.职业安全卫生组织机构</w:t>
      </w:r>
      <w:r>
        <w:rPr>
          <w:rFonts w:hint="eastAsia"/>
          <w:color w:val="000000" w:themeColor="text1"/>
          <w:sz w:val="28"/>
          <w:szCs w:val="28"/>
          <w:lang w:val="en-US" w:eastAsia="zh-CN"/>
          <w14:textFill>
            <w14:solidFill>
              <w14:schemeClr w14:val="tx1"/>
            </w14:solidFill>
          </w14:textFill>
        </w:rPr>
        <w:t>设置和人员配备</w:t>
      </w:r>
      <w:r>
        <w:rPr>
          <w:rFonts w:hint="eastAsia"/>
          <w:color w:val="000000" w:themeColor="text1"/>
          <w:sz w:val="28"/>
          <w:szCs w:val="28"/>
          <w14:textFill>
            <w14:solidFill>
              <w14:schemeClr w14:val="tx1"/>
            </w14:solidFill>
          </w14:textFill>
        </w:rPr>
        <w:t>不健全；</w:t>
      </w:r>
    </w:p>
    <w:p w14:paraId="6DC69895">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2.职业安全卫生责任制</w:t>
      </w:r>
      <w:r>
        <w:rPr>
          <w:rFonts w:hint="eastAsia"/>
          <w:color w:val="000000" w:themeColor="text1"/>
          <w:sz w:val="28"/>
          <w:szCs w:val="28"/>
          <w:lang w:val="en-US" w:eastAsia="zh-CN"/>
          <w14:textFill>
            <w14:solidFill>
              <w14:schemeClr w14:val="tx1"/>
            </w14:solidFill>
          </w14:textFill>
        </w:rPr>
        <w:t>不完善或</w:t>
      </w:r>
      <w:r>
        <w:rPr>
          <w:rFonts w:hint="eastAsia"/>
          <w:color w:val="000000" w:themeColor="text1"/>
          <w:sz w:val="28"/>
          <w:szCs w:val="28"/>
          <w14:textFill>
            <w14:solidFill>
              <w14:schemeClr w14:val="tx1"/>
            </w14:solidFill>
          </w14:textFill>
        </w:rPr>
        <w:t>未落实；</w:t>
      </w:r>
    </w:p>
    <w:p w14:paraId="3DD30D2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3.职业安全卫生管理规章制度不完善</w:t>
      </w:r>
      <w:r>
        <w:rPr>
          <w:rFonts w:hint="eastAsia"/>
          <w:color w:val="000000" w:themeColor="text1"/>
          <w:sz w:val="28"/>
          <w:szCs w:val="28"/>
          <w:lang w:val="en-US" w:eastAsia="zh-CN"/>
          <w14:textFill>
            <w14:solidFill>
              <w14:schemeClr w14:val="tx1"/>
            </w14:solidFill>
          </w14:textFill>
        </w:rPr>
        <w:t>或未落实</w:t>
      </w:r>
      <w:r>
        <w:rPr>
          <w:rFonts w:hint="eastAsia"/>
          <w:color w:val="000000" w:themeColor="text1"/>
          <w:sz w:val="28"/>
          <w:szCs w:val="28"/>
          <w14:textFill>
            <w14:solidFill>
              <w14:schemeClr w14:val="tx1"/>
            </w14:solidFill>
          </w14:textFill>
        </w:rPr>
        <w:t>；</w:t>
      </w:r>
    </w:p>
    <w:p w14:paraId="31E7518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4.职业安全卫生投入不足；</w:t>
      </w:r>
    </w:p>
    <w:p w14:paraId="3DB067F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w:t>
      </w:r>
      <w:r>
        <w:rPr>
          <w:rFonts w:hint="eastAsia"/>
          <w:color w:val="000000" w:themeColor="text1"/>
          <w:sz w:val="28"/>
          <w:szCs w:val="28"/>
          <w:lang w:val="en-US" w:eastAsia="zh-CN"/>
          <w14:textFill>
            <w14:solidFill>
              <w14:schemeClr w14:val="tx1"/>
            </w14:solidFill>
          </w14:textFill>
        </w:rPr>
        <w:t>应急管理缺陷</w:t>
      </w:r>
      <w:r>
        <w:rPr>
          <w:rFonts w:hint="eastAsia"/>
          <w:color w:val="000000" w:themeColor="text1"/>
          <w:sz w:val="28"/>
          <w:szCs w:val="28"/>
          <w14:textFill>
            <w14:solidFill>
              <w14:schemeClr w14:val="tx1"/>
            </w14:solidFill>
          </w14:textFill>
        </w:rPr>
        <w:t>；</w:t>
      </w:r>
    </w:p>
    <w:p w14:paraId="74EB268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6.其他管理因素缺陷。</w:t>
      </w:r>
    </w:p>
    <w:p w14:paraId="616FBA41">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304" w:name="_Toc10846"/>
      <w:r>
        <w:rPr>
          <w:rFonts w:hint="eastAsia" w:ascii="Times New Roman" w:hAnsi="Times New Roman" w:cs="Times New Roman"/>
          <w:color w:val="000000" w:themeColor="text1"/>
          <w:lang w:val="en-US" w:eastAsia="zh-CN"/>
          <w14:textFill>
            <w14:solidFill>
              <w14:schemeClr w14:val="tx1"/>
            </w14:solidFill>
          </w14:textFill>
        </w:rPr>
        <w:t>3.3</w:t>
      </w:r>
      <w:r>
        <w:rPr>
          <w:rFonts w:hint="default" w:ascii="Times New Roman" w:hAnsi="Times New Roman" w:eastAsia="楷体" w:cs="Times New Roman"/>
          <w:color w:val="000000" w:themeColor="text1"/>
          <w14:textFill>
            <w14:solidFill>
              <w14:schemeClr w14:val="tx1"/>
            </w14:solidFill>
          </w14:textFill>
        </w:rPr>
        <w:t>危险、有害因素产生的原因</w:t>
      </w:r>
      <w:bookmarkEnd w:id="304"/>
    </w:p>
    <w:p w14:paraId="79034ABD">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zh-CN" w:eastAsia="zh-CN"/>
          <w14:textFill>
            <w14:solidFill>
              <w14:schemeClr w14:val="tx1"/>
            </w14:solidFill>
          </w14:textFill>
        </w:rPr>
      </w:pPr>
      <w:bookmarkStart w:id="305" w:name="_Toc103178286"/>
      <w:bookmarkStart w:id="306" w:name="_Toc28262"/>
      <w:bookmarkStart w:id="307" w:name="_Toc458245982"/>
      <w:bookmarkStart w:id="308" w:name="_Toc51340665"/>
      <w:bookmarkStart w:id="309" w:name="_Toc15863"/>
      <w:bookmarkStart w:id="310" w:name="_Toc54294431"/>
      <w:bookmarkStart w:id="311" w:name="_Toc129520625"/>
      <w:bookmarkStart w:id="312" w:name="_Toc26725"/>
      <w:r>
        <w:rPr>
          <w:rFonts w:hint="eastAsia" w:ascii="Times New Roman" w:hAnsi="Times New Roman" w:cs="Times New Roman"/>
          <w:color w:val="000000" w:themeColor="text1"/>
          <w:lang w:val="en-US" w:eastAsia="zh-CN"/>
          <w14:textFill>
            <w14:solidFill>
              <w14:schemeClr w14:val="tx1"/>
            </w14:solidFill>
          </w14:textFill>
        </w:rPr>
        <w:t>3.3.1</w:t>
      </w:r>
      <w:r>
        <w:rPr>
          <w:rFonts w:hint="eastAsia" w:ascii="Times New Roman" w:hAnsi="Times New Roman" w:eastAsia="黑体" w:cs="Times New Roman"/>
          <w:color w:val="000000" w:themeColor="text1"/>
          <w:lang w:val="zh-CN" w:eastAsia="zh-CN"/>
          <w14:textFill>
            <w14:solidFill>
              <w14:schemeClr w14:val="tx1"/>
            </w14:solidFill>
          </w14:textFill>
        </w:rPr>
        <w:t>运行失控与设备故障</w:t>
      </w:r>
      <w:bookmarkEnd w:id="305"/>
      <w:bookmarkEnd w:id="306"/>
      <w:bookmarkEnd w:id="307"/>
      <w:bookmarkEnd w:id="308"/>
      <w:bookmarkEnd w:id="309"/>
      <w:bookmarkEnd w:id="310"/>
      <w:bookmarkEnd w:id="311"/>
      <w:bookmarkEnd w:id="312"/>
    </w:p>
    <w:p w14:paraId="178B767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Times New Roman" w:eastAsia="宋体" w:cs="Times New Roman"/>
          <w:color w:val="000000" w:themeColor="text1"/>
          <w:sz w:val="28"/>
          <w:szCs w:val="28"/>
          <w14:textFill>
            <w14:solidFill>
              <w14:schemeClr w14:val="tx1"/>
            </w14:solidFill>
          </w14:textFill>
        </w:rPr>
      </w:pPr>
      <w:r>
        <w:rPr>
          <w:rFonts w:hint="eastAsia" w:ascii="宋体" w:hAnsi="Times New Roman" w:eastAsia="宋体" w:cs="Times New Roman"/>
          <w:color w:val="000000" w:themeColor="text1"/>
          <w:sz w:val="28"/>
          <w:szCs w:val="28"/>
          <w14:textFill>
            <w14:solidFill>
              <w14:schemeClr w14:val="tx1"/>
            </w14:solidFill>
          </w14:textFill>
        </w:rPr>
        <w:t>运行失控是指装置运行过程中偏离或超过了正常的工艺技术条件</w:t>
      </w:r>
      <w:r>
        <w:rPr>
          <w:rFonts w:hint="eastAsia" w:ascii="宋体" w:hAnsi="Times New Roman" w:eastAsia="宋体" w:cs="Times New Roman"/>
          <w:color w:val="000000" w:themeColor="text1"/>
          <w:sz w:val="28"/>
          <w:szCs w:val="28"/>
          <w:lang w:eastAsia="zh-CN"/>
          <w14:textFill>
            <w14:solidFill>
              <w14:schemeClr w14:val="tx1"/>
            </w14:solidFill>
          </w14:textFill>
        </w:rPr>
        <w:t>，</w:t>
      </w:r>
      <w:r>
        <w:rPr>
          <w:rFonts w:hint="eastAsia" w:ascii="宋体" w:hAnsi="Times New Roman" w:eastAsia="宋体" w:cs="Times New Roman"/>
          <w:color w:val="000000" w:themeColor="text1"/>
          <w:sz w:val="28"/>
          <w:szCs w:val="28"/>
          <w14:textFill>
            <w14:solidFill>
              <w14:schemeClr w14:val="tx1"/>
            </w14:solidFill>
          </w14:textFill>
        </w:rPr>
        <w:t>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14:paraId="59E7497E">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cs="Times New Roman"/>
          <w:color w:val="000000" w:themeColor="text1"/>
          <w:lang w:val="en-US" w:eastAsia="zh-CN"/>
          <w14:textFill>
            <w14:solidFill>
              <w14:schemeClr w14:val="tx1"/>
            </w14:solidFill>
          </w14:textFill>
        </w:rPr>
      </w:pPr>
      <w:bookmarkStart w:id="313" w:name="_Toc458245983"/>
      <w:bookmarkStart w:id="314" w:name="_Toc1925"/>
      <w:bookmarkStart w:id="315" w:name="_Toc129520626"/>
      <w:bookmarkStart w:id="316" w:name="_Toc54294432"/>
      <w:bookmarkStart w:id="317" w:name="_Toc15921"/>
      <w:bookmarkStart w:id="318" w:name="_Toc51340666"/>
      <w:bookmarkStart w:id="319" w:name="_Toc103178287"/>
      <w:bookmarkStart w:id="320" w:name="_Toc27372"/>
      <w:r>
        <w:rPr>
          <w:rFonts w:hint="eastAsia" w:ascii="Times New Roman" w:hAnsi="Times New Roman" w:cs="Times New Roman"/>
          <w:color w:val="000000" w:themeColor="text1"/>
          <w:lang w:val="en-US" w:eastAsia="zh-CN"/>
          <w14:textFill>
            <w14:solidFill>
              <w14:schemeClr w14:val="tx1"/>
            </w14:solidFill>
          </w14:textFill>
        </w:rPr>
        <w:t>3.3.2人员失误</w:t>
      </w:r>
      <w:bookmarkEnd w:id="313"/>
      <w:bookmarkEnd w:id="314"/>
      <w:bookmarkEnd w:id="315"/>
      <w:bookmarkEnd w:id="316"/>
      <w:bookmarkEnd w:id="317"/>
      <w:bookmarkEnd w:id="318"/>
      <w:bookmarkEnd w:id="319"/>
      <w:bookmarkEnd w:id="320"/>
    </w:p>
    <w:p w14:paraId="6C3BFB9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Times New Roman" w:eastAsia="宋体" w:cs="Times New Roman"/>
          <w:color w:val="000000" w:themeColor="text1"/>
          <w:sz w:val="28"/>
          <w:szCs w:val="28"/>
          <w14:textFill>
            <w14:solidFill>
              <w14:schemeClr w14:val="tx1"/>
            </w14:solidFill>
          </w14:textFill>
        </w:rPr>
      </w:pPr>
      <w:r>
        <w:rPr>
          <w:rFonts w:hint="eastAsia" w:ascii="宋体" w:hAnsi="Times New Roman" w:eastAsia="宋体" w:cs="Times New Roman"/>
          <w:color w:val="000000" w:themeColor="text1"/>
          <w:sz w:val="28"/>
          <w:szCs w:val="28"/>
          <w14:textFill>
            <w14:solidFill>
              <w14:schemeClr w14:val="tx1"/>
            </w14:solidFill>
          </w14:textFill>
        </w:rPr>
        <w:t>人员失误系指不安全行为（指职工在劳动过程中违反劳动纪律、操作程序、方法等具有危险性</w:t>
      </w:r>
      <w:r>
        <w:rPr>
          <w:rFonts w:hint="eastAsia" w:ascii="宋体" w:hAnsi="Times New Roman" w:eastAsia="宋体" w:cs="Times New Roman"/>
          <w:color w:val="000000" w:themeColor="text1"/>
          <w:sz w:val="28"/>
          <w:szCs w:val="28"/>
          <w:lang w:eastAsia="zh-CN"/>
          <w14:textFill>
            <w14:solidFill>
              <w14:schemeClr w14:val="tx1"/>
            </w14:solidFill>
          </w14:textFill>
        </w:rPr>
        <w:t>的做法</w:t>
      </w:r>
      <w:r>
        <w:rPr>
          <w:rFonts w:hint="eastAsia" w:ascii="宋体" w:hAnsi="Times New Roman" w:eastAsia="宋体" w:cs="Times New Roman"/>
          <w:color w:val="000000" w:themeColor="text1"/>
          <w:sz w:val="28"/>
          <w:szCs w:val="28"/>
          <w14:textFill>
            <w14:solidFill>
              <w14:schemeClr w14:val="tx1"/>
            </w14:solidFill>
          </w14:textFill>
        </w:rPr>
        <w:t>）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14:paraId="0192F782">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cs="Times New Roman"/>
          <w:color w:val="000000" w:themeColor="text1"/>
          <w:lang w:val="en-US" w:eastAsia="zh-CN"/>
          <w14:textFill>
            <w14:solidFill>
              <w14:schemeClr w14:val="tx1"/>
            </w14:solidFill>
          </w14:textFill>
        </w:rPr>
      </w:pPr>
      <w:bookmarkStart w:id="321" w:name="_Toc21793"/>
      <w:bookmarkStart w:id="322" w:name="_Toc458245984"/>
      <w:bookmarkStart w:id="323" w:name="_Toc54294433"/>
      <w:bookmarkStart w:id="324" w:name="_Toc19594"/>
      <w:bookmarkStart w:id="325" w:name="_Toc51340667"/>
      <w:bookmarkStart w:id="326" w:name="_Toc103178288"/>
      <w:bookmarkStart w:id="327" w:name="_Toc129520627"/>
      <w:bookmarkStart w:id="328" w:name="_Toc26989"/>
      <w:r>
        <w:rPr>
          <w:rFonts w:hint="eastAsia" w:ascii="Times New Roman" w:hAnsi="Times New Roman" w:cs="Times New Roman"/>
          <w:color w:val="000000" w:themeColor="text1"/>
          <w:lang w:val="en-US" w:eastAsia="zh-CN"/>
          <w14:textFill>
            <w14:solidFill>
              <w14:schemeClr w14:val="tx1"/>
            </w14:solidFill>
          </w14:textFill>
        </w:rPr>
        <w:t>3.3.3管理缺陷</w:t>
      </w:r>
      <w:bookmarkEnd w:id="321"/>
      <w:bookmarkEnd w:id="322"/>
      <w:bookmarkEnd w:id="323"/>
      <w:bookmarkEnd w:id="324"/>
      <w:bookmarkEnd w:id="325"/>
      <w:bookmarkEnd w:id="326"/>
      <w:bookmarkEnd w:id="327"/>
      <w:bookmarkEnd w:id="328"/>
    </w:p>
    <w:p w14:paraId="06F848CA">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Times New Roman" w:eastAsia="宋体" w:cs="Times New Roman"/>
          <w:color w:val="000000" w:themeColor="text1"/>
          <w:sz w:val="28"/>
          <w:szCs w:val="28"/>
          <w14:textFill>
            <w14:solidFill>
              <w14:schemeClr w14:val="tx1"/>
            </w14:solidFill>
          </w14:textFill>
        </w:rPr>
      </w:pPr>
      <w:r>
        <w:rPr>
          <w:rFonts w:hint="eastAsia" w:ascii="宋体" w:hAnsi="Times New Roman" w:eastAsia="宋体" w:cs="Times New Roman"/>
          <w:color w:val="000000" w:themeColor="text1"/>
          <w:sz w:val="28"/>
          <w:szCs w:val="28"/>
          <w14:textFill>
            <w14:solidFill>
              <w14:schemeClr w14:val="tx1"/>
            </w14:solidFill>
          </w14:textFill>
        </w:rPr>
        <w:t>安全管理是为保证及时、有效地实现既定的安全目标，是在预测、分析的基础上进行的计划、组织、协调、检查等工作，是预防故障和人员失误发生的有效手段，因此，管理缺陷是影响运行失控发生的重要因素。</w:t>
      </w:r>
    </w:p>
    <w:p w14:paraId="6BE2F25D">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cs="Times New Roman"/>
          <w:color w:val="000000" w:themeColor="text1"/>
          <w:lang w:val="en-US" w:eastAsia="zh-CN"/>
          <w14:textFill>
            <w14:solidFill>
              <w14:schemeClr w14:val="tx1"/>
            </w14:solidFill>
          </w14:textFill>
        </w:rPr>
      </w:pPr>
      <w:bookmarkStart w:id="329" w:name="_Toc129520628"/>
      <w:bookmarkStart w:id="330" w:name="_Toc51340668"/>
      <w:bookmarkStart w:id="331" w:name="_Toc29774"/>
      <w:bookmarkStart w:id="332" w:name="_Toc458245985"/>
      <w:bookmarkStart w:id="333" w:name="_Toc54294434"/>
      <w:bookmarkStart w:id="334" w:name="_Toc8544"/>
      <w:bookmarkStart w:id="335" w:name="_Toc103178289"/>
      <w:bookmarkStart w:id="336" w:name="_Toc26588"/>
      <w:r>
        <w:rPr>
          <w:rFonts w:hint="eastAsia" w:ascii="Times New Roman" w:hAnsi="Times New Roman" w:cs="Times New Roman"/>
          <w:color w:val="000000" w:themeColor="text1"/>
          <w:lang w:val="en-US" w:eastAsia="zh-CN"/>
          <w14:textFill>
            <w14:solidFill>
              <w14:schemeClr w14:val="tx1"/>
            </w14:solidFill>
          </w14:textFill>
        </w:rPr>
        <w:t>3.3.4环境因素</w:t>
      </w:r>
      <w:bookmarkEnd w:id="329"/>
      <w:bookmarkEnd w:id="330"/>
      <w:bookmarkEnd w:id="331"/>
      <w:bookmarkEnd w:id="332"/>
      <w:bookmarkEnd w:id="333"/>
      <w:bookmarkEnd w:id="334"/>
      <w:bookmarkEnd w:id="335"/>
      <w:bookmarkEnd w:id="336"/>
    </w:p>
    <w:p w14:paraId="0381FB4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Times New Roman" w:eastAsia="宋体" w:cs="Times New Roman"/>
          <w:color w:val="000000" w:themeColor="text1"/>
          <w:sz w:val="28"/>
          <w:szCs w:val="28"/>
          <w14:textFill>
            <w14:solidFill>
              <w14:schemeClr w14:val="tx1"/>
            </w14:solidFill>
          </w14:textFill>
        </w:rPr>
      </w:pPr>
      <w:r>
        <w:rPr>
          <w:rFonts w:hint="eastAsia" w:ascii="宋体" w:hAnsi="Times New Roman" w:eastAsia="宋体" w:cs="Times New Roman"/>
          <w:color w:val="000000" w:themeColor="text1"/>
          <w:sz w:val="28"/>
          <w:szCs w:val="28"/>
          <w14:textFill>
            <w14:solidFill>
              <w14:schemeClr w14:val="tx1"/>
            </w14:solidFill>
          </w14:textFill>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bookmarkEnd w:id="282"/>
    <w:bookmarkEnd w:id="283"/>
    <w:bookmarkEnd w:id="284"/>
    <w:bookmarkEnd w:id="285"/>
    <w:bookmarkEnd w:id="286"/>
    <w:p w14:paraId="3ED96A98">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lang w:val="en-US" w:eastAsia="zh-CN"/>
          <w14:textFill>
            <w14:solidFill>
              <w14:schemeClr w14:val="tx1"/>
            </w14:solidFill>
          </w14:textFill>
        </w:rPr>
      </w:pPr>
      <w:bookmarkStart w:id="337" w:name="_Toc329728275"/>
      <w:bookmarkStart w:id="338" w:name="_Toc26114"/>
      <w:bookmarkStart w:id="339" w:name="_Toc7360"/>
      <w:bookmarkStart w:id="340" w:name="_Toc532203512"/>
      <w:bookmarkStart w:id="341" w:name="_Toc32537"/>
      <w:bookmarkStart w:id="342" w:name="_Toc6701"/>
      <w:r>
        <w:rPr>
          <w:rFonts w:hint="default" w:ascii="Times New Roman" w:hAnsi="Times New Roman" w:eastAsia="楷体" w:cs="Times New Roman"/>
          <w:color w:val="000000" w:themeColor="text1"/>
          <w14:textFill>
            <w14:solidFill>
              <w14:schemeClr w14:val="tx1"/>
            </w14:solidFill>
          </w14:textFill>
        </w:rPr>
        <w:t>3.</w:t>
      </w:r>
      <w:r>
        <w:rPr>
          <w:rFonts w:hint="default" w:ascii="Times New Roman" w:hAnsi="Times New Roman" w:eastAsia="楷体"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主要危险、有害物质</w:t>
      </w:r>
      <w:bookmarkEnd w:id="337"/>
      <w:bookmarkEnd w:id="338"/>
      <w:bookmarkEnd w:id="339"/>
      <w:bookmarkEnd w:id="340"/>
      <w:bookmarkEnd w:id="341"/>
      <w:r>
        <w:rPr>
          <w:rFonts w:hint="eastAsia" w:ascii="Times New Roman" w:hAnsi="Times New Roman" w:cs="Times New Roman"/>
          <w:color w:val="000000" w:themeColor="text1"/>
          <w:lang w:val="en-US" w:eastAsia="zh-CN"/>
          <w14:textFill>
            <w14:solidFill>
              <w14:schemeClr w14:val="tx1"/>
            </w14:solidFill>
          </w14:textFill>
        </w:rPr>
        <w:t>辨识与分析</w:t>
      </w:r>
      <w:bookmarkEnd w:id="342"/>
    </w:p>
    <w:p w14:paraId="161AAA5E">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43" w:name="_Toc313453512"/>
      <w:bookmarkStart w:id="344" w:name="_Toc30001389"/>
      <w:bookmarkStart w:id="345" w:name="_Toc9036"/>
      <w:bookmarkStart w:id="346" w:name="_Toc344298869"/>
      <w:bookmarkStart w:id="347" w:name="_Toc27785"/>
      <w:bookmarkStart w:id="348" w:name="_Toc61474411"/>
      <w:bookmarkStart w:id="349" w:name="_Toc26636"/>
      <w:r>
        <w:rPr>
          <w:rFonts w:hint="default" w:ascii="Times New Roman" w:hAnsi="Times New Roman" w:cs="Times New Roman"/>
          <w:color w:val="000000" w:themeColor="text1"/>
          <w:lang w:val="en-US" w:eastAsia="zh-CN"/>
          <w14:textFill>
            <w14:solidFill>
              <w14:schemeClr w14:val="tx1"/>
            </w14:solidFill>
          </w14:textFill>
        </w:rPr>
        <w:t>3.4.1主要危险、有害物质辨识</w:t>
      </w:r>
      <w:bookmarkEnd w:id="343"/>
      <w:bookmarkEnd w:id="344"/>
      <w:bookmarkEnd w:id="345"/>
      <w:bookmarkEnd w:id="346"/>
      <w:bookmarkEnd w:id="347"/>
      <w:bookmarkEnd w:id="348"/>
      <w:bookmarkEnd w:id="349"/>
    </w:p>
    <w:p w14:paraId="5D78A84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default" w:ascii="宋体" w:hAnsi="Times New Roman" w:eastAsia="宋体" w:cs="Times New Roman"/>
          <w:color w:val="000000" w:themeColor="text1"/>
          <w:sz w:val="28"/>
          <w:szCs w:val="28"/>
          <w14:textFill>
            <w14:solidFill>
              <w14:schemeClr w14:val="tx1"/>
            </w14:solidFill>
          </w14:textFill>
        </w:rPr>
      </w:pPr>
      <w:bookmarkStart w:id="350" w:name="_Toc313453513"/>
      <w:bookmarkStart w:id="351" w:name="_Toc225136744"/>
      <w:r>
        <w:rPr>
          <w:rFonts w:hint="default" w:ascii="宋体" w:hAnsi="Times New Roman" w:eastAsia="宋体" w:cs="Times New Roman"/>
          <w:color w:val="000000" w:themeColor="text1"/>
          <w:sz w:val="28"/>
          <w:szCs w:val="28"/>
          <w14:textFill>
            <w14:solidFill>
              <w14:schemeClr w14:val="tx1"/>
            </w14:solidFill>
          </w14:textFill>
        </w:rPr>
        <w:t>对</w:t>
      </w:r>
      <w:r>
        <w:rPr>
          <w:rFonts w:hint="eastAsia" w:cs="Times New Roman"/>
          <w:color w:val="000000" w:themeColor="text1"/>
          <w:sz w:val="28"/>
          <w:szCs w:val="28"/>
          <w:lang w:val="en-US" w:eastAsia="zh-CN"/>
          <w14:textFill>
            <w14:solidFill>
              <w14:schemeClr w14:val="tx1"/>
            </w14:solidFill>
          </w14:textFill>
        </w:rPr>
        <w:t>云南玉溪洁灵娜精细日化有限责任公司年产3万吨洗涤用品项目</w:t>
      </w:r>
      <w:r>
        <w:rPr>
          <w:rFonts w:hint="default" w:ascii="宋体" w:hAnsi="Times New Roman" w:eastAsia="宋体" w:cs="Times New Roman"/>
          <w:color w:val="000000" w:themeColor="text1"/>
          <w:sz w:val="28"/>
          <w:szCs w:val="28"/>
          <w14:textFill>
            <w14:solidFill>
              <w14:schemeClr w14:val="tx1"/>
            </w14:solidFill>
          </w14:textFill>
        </w:rPr>
        <w:t>进行分析后，本项目所涉及的主要危险、有害物质有：</w:t>
      </w:r>
    </w:p>
    <w:p w14:paraId="7F4CAE43">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default" w:ascii="宋体" w:hAnsi="Times New Roman" w:eastAsia="宋体" w:cs="Times New Roman"/>
          <w:color w:val="000000" w:themeColor="text1"/>
          <w:sz w:val="28"/>
          <w:szCs w:val="28"/>
          <w14:textFill>
            <w14:solidFill>
              <w14:schemeClr w14:val="tx1"/>
            </w14:solidFill>
          </w14:textFill>
        </w:rPr>
      </w:pPr>
      <w:r>
        <w:rPr>
          <w:rFonts w:hint="default" w:ascii="宋体" w:hAnsi="Times New Roman" w:eastAsia="宋体" w:cs="Times New Roman"/>
          <w:color w:val="000000" w:themeColor="text1"/>
          <w:sz w:val="28"/>
          <w:szCs w:val="28"/>
          <w14:textFill>
            <w14:solidFill>
              <w14:schemeClr w14:val="tx1"/>
            </w14:solidFill>
          </w14:textFill>
        </w:rPr>
        <w:t>1、生产过程中</w:t>
      </w:r>
      <w:r>
        <w:rPr>
          <w:rFonts w:hint="eastAsia" w:cs="Times New Roman"/>
          <w:color w:val="000000" w:themeColor="text1"/>
          <w:sz w:val="28"/>
          <w:szCs w:val="28"/>
          <w:lang w:val="en-US" w:eastAsia="zh-CN"/>
          <w14:textFill>
            <w14:solidFill>
              <w14:schemeClr w14:val="tx1"/>
            </w14:solidFill>
          </w14:textFill>
        </w:rPr>
        <w:t>配料</w:t>
      </w:r>
      <w:r>
        <w:rPr>
          <w:rFonts w:hint="default" w:ascii="宋体" w:hAnsi="Times New Roman" w:eastAsia="宋体" w:cs="Times New Roman"/>
          <w:color w:val="000000" w:themeColor="text1"/>
          <w:sz w:val="28"/>
          <w:szCs w:val="28"/>
          <w14:textFill>
            <w14:solidFill>
              <w14:schemeClr w14:val="tx1"/>
            </w14:solidFill>
          </w14:textFill>
        </w:rPr>
        <w:t>使用的原料有</w:t>
      </w:r>
      <w:r>
        <w:rPr>
          <w:rFonts w:hint="eastAsia" w:cs="Times New Roman"/>
          <w:color w:val="000000" w:themeColor="text1"/>
          <w:sz w:val="28"/>
          <w:szCs w:val="28"/>
          <w:lang w:val="en-US" w:eastAsia="zh-CN"/>
          <w14:textFill>
            <w14:solidFill>
              <w14:schemeClr w14:val="tx1"/>
            </w14:solidFill>
          </w14:textFill>
        </w:rPr>
        <w:t>氢氧化钠</w:t>
      </w:r>
      <w:r>
        <w:rPr>
          <w:rFonts w:hint="default" w:ascii="宋体" w:hAnsi="Times New Roman" w:eastAsia="宋体" w:cs="Times New Roman"/>
          <w:color w:val="000000" w:themeColor="text1"/>
          <w:sz w:val="28"/>
          <w:szCs w:val="28"/>
          <w14:textFill>
            <w14:solidFill>
              <w14:schemeClr w14:val="tx1"/>
            </w14:solidFill>
          </w14:textFill>
        </w:rPr>
        <w:t>；</w:t>
      </w:r>
    </w:p>
    <w:p w14:paraId="072B71BE">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default" w:ascii="宋体" w:hAnsi="Times New Roman" w:eastAsia="宋体" w:cs="Times New Roman"/>
          <w:color w:val="000000" w:themeColor="text1"/>
          <w:sz w:val="28"/>
          <w:szCs w:val="28"/>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2</w:t>
      </w:r>
      <w:r>
        <w:rPr>
          <w:rFonts w:hint="default" w:ascii="宋体" w:hAnsi="Times New Roman" w:eastAsia="宋体" w:cs="Times New Roman"/>
          <w:color w:val="000000" w:themeColor="text1"/>
          <w:sz w:val="28"/>
          <w:szCs w:val="28"/>
          <w14:textFill>
            <w14:solidFill>
              <w14:schemeClr w14:val="tx1"/>
            </w14:solidFill>
          </w14:textFill>
        </w:rPr>
        <w:t>、</w:t>
      </w:r>
      <w:r>
        <w:rPr>
          <w:rFonts w:hint="eastAsia" w:cs="Times New Roman"/>
          <w:color w:val="000000" w:themeColor="text1"/>
          <w:sz w:val="28"/>
          <w:szCs w:val="28"/>
          <w:lang w:val="en-US" w:eastAsia="zh-CN"/>
          <w14:textFill>
            <w14:solidFill>
              <w14:schemeClr w14:val="tx1"/>
            </w14:solidFill>
          </w14:textFill>
        </w:rPr>
        <w:t>生产</w:t>
      </w:r>
      <w:r>
        <w:rPr>
          <w:rFonts w:hint="default" w:ascii="宋体" w:hAnsi="Times New Roman" w:eastAsia="宋体" w:cs="Times New Roman"/>
          <w:color w:val="000000" w:themeColor="text1"/>
          <w:sz w:val="28"/>
          <w:szCs w:val="28"/>
          <w14:textFill>
            <w14:solidFill>
              <w14:schemeClr w14:val="tx1"/>
            </w14:solidFill>
          </w14:textFill>
        </w:rPr>
        <w:t>过程使用的压缩空气；</w:t>
      </w:r>
    </w:p>
    <w:p w14:paraId="5642606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default" w:ascii="宋体" w:hAnsi="Times New Roman" w:eastAsia="宋体" w:cs="Times New Roman"/>
          <w:color w:val="000000" w:themeColor="text1"/>
          <w:sz w:val="28"/>
          <w:szCs w:val="28"/>
          <w14:textFill>
            <w14:solidFill>
              <w14:schemeClr w14:val="tx1"/>
            </w14:solidFill>
          </w14:textFill>
        </w:rPr>
      </w:pPr>
    </w:p>
    <w:p w14:paraId="2881098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52" w:name="_Toc11202"/>
      <w:bookmarkStart w:id="353" w:name="_Toc30001390"/>
      <w:bookmarkStart w:id="354" w:name="_Toc61474412"/>
      <w:bookmarkStart w:id="355" w:name="_Toc344298870"/>
      <w:bookmarkStart w:id="356" w:name="_Toc11687"/>
      <w:bookmarkStart w:id="357" w:name="_Toc18156"/>
      <w:r>
        <w:rPr>
          <w:rFonts w:hint="default" w:ascii="Times New Roman" w:hAnsi="Times New Roman" w:cs="Times New Roman"/>
          <w:color w:val="000000" w:themeColor="text1"/>
          <w:lang w:val="en-US" w:eastAsia="zh-CN"/>
          <w14:textFill>
            <w14:solidFill>
              <w14:schemeClr w14:val="tx1"/>
            </w14:solidFill>
          </w14:textFill>
        </w:rPr>
        <w:t>3.4.2危险化学品辨识</w:t>
      </w:r>
      <w:bookmarkEnd w:id="350"/>
      <w:bookmarkEnd w:id="351"/>
      <w:bookmarkEnd w:id="352"/>
      <w:bookmarkEnd w:id="353"/>
      <w:bookmarkEnd w:id="354"/>
      <w:bookmarkEnd w:id="355"/>
      <w:bookmarkEnd w:id="356"/>
      <w:bookmarkEnd w:id="357"/>
    </w:p>
    <w:p w14:paraId="42E62182">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bookmarkStart w:id="358" w:name="_Toc344298871"/>
      <w:r>
        <w:rPr>
          <w:rFonts w:hint="default" w:ascii="Times New Roman" w:hAnsi="Times New Roman" w:eastAsia="宋体" w:cs="Times New Roman"/>
          <w:color w:val="000000" w:themeColor="text1"/>
          <w:kern w:val="0"/>
          <w14:textFill>
            <w14:solidFill>
              <w14:schemeClr w14:val="tx1"/>
            </w14:solidFill>
          </w14:textFill>
        </w:rPr>
        <w:t>3.4.2.1危险化学品辨识</w:t>
      </w:r>
      <w:bookmarkEnd w:id="358"/>
    </w:p>
    <w:p w14:paraId="51246426">
      <w:pPr>
        <w:adjustRightInd w:val="0"/>
        <w:snapToGrid w:val="0"/>
        <w:spacing w:line="500" w:lineRule="exact"/>
        <w:ind w:firstLine="560" w:firstLineChars="20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依据《危险化学品目录（2</w:t>
      </w:r>
      <w:r>
        <w:rPr>
          <w:rFonts w:hint="eastAsia" w:ascii="Times New Roman" w:hAnsi="Times New Roman" w:cs="Times New Roman"/>
          <w:color w:val="000000" w:themeColor="text1"/>
          <w:sz w:val="28"/>
          <w:szCs w:val="28"/>
          <w:lang w:val="en-US" w:eastAsia="zh-CN"/>
          <w14:textFill>
            <w14:solidFill>
              <w14:schemeClr w14:val="tx1"/>
            </w14:solidFill>
          </w14:textFill>
        </w:rPr>
        <w:t>022调整版</w:t>
      </w:r>
      <w:r>
        <w:rPr>
          <w:rFonts w:hint="default" w:ascii="Times New Roman" w:hAnsi="Times New Roman" w:cs="Times New Roman"/>
          <w:color w:val="000000" w:themeColor="text1"/>
          <w:sz w:val="28"/>
          <w:szCs w:val="28"/>
          <w14:textFill>
            <w14:solidFill>
              <w14:schemeClr w14:val="tx1"/>
            </w14:solidFill>
          </w14:textFill>
        </w:rPr>
        <w:t>）》（原国家安全生产监督管理总局等十部委公告20</w:t>
      </w:r>
      <w:r>
        <w:rPr>
          <w:rFonts w:hint="eastAsia" w:ascii="Times New Roman" w:hAnsi="Times New Roman" w:cs="Times New Roman"/>
          <w:color w:val="000000" w:themeColor="text1"/>
          <w:sz w:val="28"/>
          <w:szCs w:val="28"/>
          <w:lang w:val="en-US" w:eastAsia="zh-CN"/>
          <w14:textFill>
            <w14:solidFill>
              <w14:schemeClr w14:val="tx1"/>
            </w14:solidFill>
          </w14:textFill>
        </w:rPr>
        <w:t>22</w:t>
      </w:r>
      <w:r>
        <w:rPr>
          <w:rFonts w:hint="default" w:ascii="Times New Roman" w:hAnsi="Times New Roman" w:cs="Times New Roman"/>
          <w:color w:val="000000" w:themeColor="text1"/>
          <w:sz w:val="28"/>
          <w:szCs w:val="28"/>
          <w14:textFill>
            <w14:solidFill>
              <w14:schemeClr w14:val="tx1"/>
            </w14:solidFill>
          </w14:textFill>
        </w:rPr>
        <w:t>年第</w:t>
      </w:r>
      <w:r>
        <w:rPr>
          <w:rFonts w:hint="eastAsia" w:ascii="Times New Roman" w:hAnsi="Times New Roman" w:cs="Times New Roman"/>
          <w:color w:val="000000" w:themeColor="text1"/>
          <w:sz w:val="28"/>
          <w:szCs w:val="28"/>
          <w:lang w:val="en-US" w:eastAsia="zh-CN"/>
          <w14:textFill>
            <w14:solidFill>
              <w14:schemeClr w14:val="tx1"/>
            </w14:solidFill>
          </w14:textFill>
        </w:rPr>
        <w:t>8</w:t>
      </w:r>
      <w:r>
        <w:rPr>
          <w:rFonts w:hint="default" w:ascii="Times New Roman" w:hAnsi="Times New Roman" w:cs="Times New Roman"/>
          <w:color w:val="000000" w:themeColor="text1"/>
          <w:sz w:val="28"/>
          <w:szCs w:val="28"/>
          <w14:textFill>
            <w14:solidFill>
              <w14:schemeClr w14:val="tx1"/>
            </w14:solidFill>
          </w14:textFill>
        </w:rPr>
        <w:t>号）</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《国家安全监管总局办公厅关于印发危险化学品目录（2015版）实施指南（试行）的通知》（安监总厅管三〔2015〕80号）判别判定可知，</w:t>
      </w:r>
      <w:r>
        <w:rPr>
          <w:rFonts w:hint="eastAsia" w:ascii="Times New Roman" w:hAnsi="Times New Roman" w:cs="Times New Roman"/>
          <w:color w:val="000000" w:themeColor="text1"/>
          <w:sz w:val="28"/>
          <w:szCs w:val="28"/>
          <w:lang w:val="en-US" w:eastAsia="zh-CN"/>
          <w14:textFill>
            <w14:solidFill>
              <w14:schemeClr w14:val="tx1"/>
            </w14:solidFill>
          </w14:textFill>
        </w:rPr>
        <w:t>云南玉溪洁灵娜精细日化有限责任公司年产3万吨洗涤用品项目</w:t>
      </w:r>
      <w:r>
        <w:rPr>
          <w:rFonts w:hint="default" w:ascii="Times New Roman" w:hAnsi="Times New Roman" w:cs="Times New Roman"/>
          <w:color w:val="000000" w:themeColor="text1"/>
          <w:sz w:val="28"/>
          <w:szCs w:val="28"/>
          <w14:textFill>
            <w14:solidFill>
              <w14:schemeClr w14:val="tx1"/>
            </w14:solidFill>
          </w14:textFill>
        </w:rPr>
        <w:t>正常运行过程中</w:t>
      </w:r>
      <w:r>
        <w:rPr>
          <w:rFonts w:hint="eastAsia" w:ascii="Times New Roman" w:hAnsi="Times New Roman" w:cs="Times New Roman"/>
          <w:color w:val="000000" w:themeColor="text1"/>
          <w:sz w:val="28"/>
          <w:szCs w:val="28"/>
          <w14:textFill>
            <w14:solidFill>
              <w14:schemeClr w14:val="tx1"/>
            </w14:solidFill>
          </w14:textFill>
        </w:rPr>
        <w:t>涉及的</w:t>
      </w:r>
      <w:r>
        <w:rPr>
          <w:rFonts w:hint="default" w:ascii="Times New Roman" w:hAnsi="Times New Roman" w:cs="Times New Roman"/>
          <w:color w:val="000000" w:themeColor="text1"/>
          <w:sz w:val="28"/>
          <w:szCs w:val="28"/>
          <w14:textFill>
            <w14:solidFill>
              <w14:schemeClr w14:val="tx1"/>
            </w14:solidFill>
          </w14:textFill>
        </w:rPr>
        <w:t>危险化学品有：</w:t>
      </w:r>
      <w:r>
        <w:rPr>
          <w:rFonts w:hint="eastAsia" w:ascii="Times New Roman" w:hAnsi="Times New Roman" w:cs="Times New Roman"/>
          <w:color w:val="000000" w:themeColor="text1"/>
          <w:sz w:val="28"/>
          <w:szCs w:val="28"/>
          <w:lang w:val="en-US" w:eastAsia="zh-CN"/>
          <w14:textFill>
            <w14:solidFill>
              <w14:schemeClr w14:val="tx1"/>
            </w14:solidFill>
          </w14:textFill>
        </w:rPr>
        <w:t>氢氧化钠（NaOH）。</w:t>
      </w:r>
      <w:r>
        <w:rPr>
          <w:rFonts w:hint="eastAsia" w:ascii="Times New Roman" w:cs="Times New Roman"/>
          <w:color w:val="000000" w:themeColor="text1"/>
          <w:sz w:val="28"/>
          <w:szCs w:val="28"/>
          <w:lang w:val="en-US" w:eastAsia="zh-CN"/>
          <w14:textFill>
            <w14:solidFill>
              <w14:schemeClr w14:val="tx1"/>
            </w14:solidFill>
          </w14:textFill>
        </w:rPr>
        <w:t>氢氧化钠</w:t>
      </w:r>
      <w:r>
        <w:rPr>
          <w:rFonts w:hint="default" w:ascii="Times New Roman" w:hAnsi="Times New Roman" w:cs="Times New Roman"/>
          <w:color w:val="000000" w:themeColor="text1"/>
          <w:sz w:val="28"/>
          <w:szCs w:val="28"/>
          <w:lang w:val="en-US" w:eastAsia="zh-CN"/>
          <w14:textFill>
            <w14:solidFill>
              <w14:schemeClr w14:val="tx1"/>
            </w14:solidFill>
          </w14:textFill>
        </w:rPr>
        <w:t>具有一定的危险性</w:t>
      </w:r>
      <w:r>
        <w:rPr>
          <w:rFonts w:hint="eastAsia" w:ascii="Times New Roman" w:cs="Times New Roman"/>
          <w:color w:val="000000" w:themeColor="text1"/>
          <w:sz w:val="28"/>
          <w:szCs w:val="28"/>
          <w:lang w:val="en-US" w:eastAsia="zh-CN"/>
          <w14:textFill>
            <w14:solidFill>
              <w14:schemeClr w14:val="tx1"/>
            </w14:solidFill>
          </w14:textFill>
        </w:rPr>
        <w:t>，使用过程中特别是配料过程中应重视。</w:t>
      </w:r>
    </w:p>
    <w:p w14:paraId="172617AF">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bookmarkStart w:id="359" w:name="_Toc344298872"/>
      <w:r>
        <w:rPr>
          <w:rFonts w:hint="default" w:ascii="Times New Roman" w:hAnsi="Times New Roman" w:eastAsia="宋体" w:cs="Times New Roman"/>
          <w:color w:val="000000" w:themeColor="text1"/>
          <w:kern w:val="0"/>
          <w14:textFill>
            <w14:solidFill>
              <w14:schemeClr w14:val="tx1"/>
            </w14:solidFill>
          </w14:textFill>
        </w:rPr>
        <w:t>3.4.2.2剧毒品、易制毒品、监控化学品及重点监管危险化学品辨识</w:t>
      </w:r>
      <w:bookmarkEnd w:id="359"/>
    </w:p>
    <w:p w14:paraId="1275FDEF">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w:t>
      </w:r>
      <w:r>
        <w:rPr>
          <w:rFonts w:hint="default" w:ascii="Times New Roman" w:hAnsi="Times New Roman" w:cs="Times New Roman"/>
          <w:color w:val="000000" w:themeColor="text1"/>
          <w:sz w:val="28"/>
          <w:szCs w:val="21"/>
          <w14:textFill>
            <w14:solidFill>
              <w14:schemeClr w14:val="tx1"/>
            </w14:solidFill>
          </w14:textFill>
        </w:rPr>
        <w:t>《危险化学品目录（2022调整版）》</w:t>
      </w:r>
      <w:r>
        <w:rPr>
          <w:rFonts w:hint="default" w:ascii="Times New Roman" w:hAnsi="Times New Roman" w:cs="Times New Roman"/>
          <w:color w:val="000000" w:themeColor="text1"/>
          <w:sz w:val="28"/>
          <w:szCs w:val="28"/>
          <w14:textFill>
            <w14:solidFill>
              <w14:schemeClr w14:val="tx1"/>
            </w14:solidFill>
          </w14:textFill>
        </w:rPr>
        <w:t>的相关规定，该项目在生产过程中未涉及剧毒化学品。</w:t>
      </w:r>
    </w:p>
    <w:p w14:paraId="64E209D5">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易制毒化学品管理条例》（国务院令第445号，根据国务院第666号令修改）、《非药品类易制毒化学品生产、经营许可办法》（国家安全生产监督管理总局令第5号）、《国务院办公厅关于同意将N-苯乙基-4-哌啶酮、4-苯胺基-N-苯乙基哌啶、N-甲基-1-苯基-1-氯-2-丙胺、溴素、1-苯基-1-丙酮列入易制毒化学品品种目录的函》（国办函〔2017）120号）的相关规定，该项目在生产过程中未涉及易制毒化学品。</w:t>
      </w:r>
    </w:p>
    <w:p w14:paraId="6E3FFB3C">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根据《易制爆危险化学品名录（2017版）》，该项目在生产过程中未涉及易制爆危险化学品。</w:t>
      </w:r>
    </w:p>
    <w:p w14:paraId="2A103CB4">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根据《中华人民共和国监控化学品管理条例》</w:t>
      </w:r>
      <w:r>
        <w:rPr>
          <w:rFonts w:hint="default" w:ascii="Times New Roman" w:hAnsi="Times New Roman" w:cs="Times New Roman"/>
          <w:color w:val="000000" w:themeColor="text1"/>
          <w:kern w:val="0"/>
          <w:sz w:val="28"/>
          <w:szCs w:val="28"/>
          <w14:textFill>
            <w14:solidFill>
              <w14:schemeClr w14:val="tx1"/>
            </w14:solidFill>
          </w14:textFill>
        </w:rPr>
        <w:t>（</w:t>
      </w:r>
      <w:r>
        <w:rPr>
          <w:rFonts w:hint="default" w:ascii="Times New Roman" w:hAnsi="Times New Roman" w:cs="Times New Roman"/>
          <w:color w:val="000000" w:themeColor="text1"/>
          <w:sz w:val="28"/>
          <w:szCs w:val="20"/>
          <w14:textFill>
            <w14:solidFill>
              <w14:schemeClr w14:val="tx1"/>
            </w14:solidFill>
          </w14:textFill>
        </w:rPr>
        <w:t>中华人民共和国国务院令第190号公布，中华人民共和国国务院令第588号修订）</w:t>
      </w:r>
      <w:r>
        <w:rPr>
          <w:rFonts w:hint="default" w:ascii="Times New Roman" w:hAnsi="Times New Roman" w:cs="Times New Roman"/>
          <w:color w:val="000000" w:themeColor="text1"/>
          <w:sz w:val="28"/>
          <w:szCs w:val="28"/>
          <w14:textFill>
            <w14:solidFill>
              <w14:schemeClr w14:val="tx1"/>
            </w14:solidFill>
          </w14:textFill>
        </w:rPr>
        <w:t>，该项目在生产过程中未涉及监控化学品。</w:t>
      </w:r>
    </w:p>
    <w:p w14:paraId="77F5045C">
      <w:pPr>
        <w:adjustRightInd w:val="0"/>
        <w:snapToGrid w:val="0"/>
        <w:spacing w:line="500" w:lineRule="exact"/>
        <w:ind w:firstLine="560" w:firstLineChars="200"/>
        <w:rPr>
          <w:rFonts w:hint="eastAsia" w:asci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根据《国家安全监管总局关于公布首批重点监管的危险化学品名录的通知》（安监总管三〔2011〕95号）、《国家安全监管总局关于公布第二批重点监管危险化学品名录的通知》（安监总管三〔2013〕12号）</w:t>
      </w:r>
      <w:r>
        <w:rPr>
          <w:rFonts w:hint="eastAsia" w:ascii="Times New Roman"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《危险化学品目录》（20</w:t>
      </w:r>
      <w:r>
        <w:rPr>
          <w:rFonts w:hint="eastAsia" w:ascii="Times New Roman" w:cs="Times New Roman"/>
          <w:color w:val="000000" w:themeColor="text1"/>
          <w:sz w:val="28"/>
          <w:szCs w:val="28"/>
          <w:lang w:val="en-US" w:eastAsia="zh-CN"/>
          <w14:textFill>
            <w14:solidFill>
              <w14:schemeClr w14:val="tx1"/>
            </w14:solidFill>
          </w14:textFill>
        </w:rPr>
        <w:t>22调整</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版）</w:t>
      </w:r>
      <w:r>
        <w:rPr>
          <w:rFonts w:hint="default" w:ascii="Times New Roman" w:hAnsi="Times New Roman" w:cs="Times New Roman"/>
          <w:color w:val="000000" w:themeColor="text1"/>
          <w:sz w:val="28"/>
          <w:szCs w:val="28"/>
          <w14:textFill>
            <w14:solidFill>
              <w14:schemeClr w14:val="tx1"/>
            </w14:solidFill>
          </w14:textFill>
        </w:rPr>
        <w:t>进行判定，该项目在生产过程中涉及的危险化学品有</w:t>
      </w:r>
      <w:r>
        <w:rPr>
          <w:rFonts w:hint="eastAsia" w:ascii="Times New Roman" w:cs="Times New Roman"/>
          <w:color w:val="000000" w:themeColor="text1"/>
          <w:sz w:val="28"/>
          <w:szCs w:val="28"/>
          <w:lang w:val="en-US" w:eastAsia="zh-CN"/>
          <w14:textFill>
            <w14:solidFill>
              <w14:schemeClr w14:val="tx1"/>
            </w14:solidFill>
          </w14:textFill>
        </w:rPr>
        <w:t>氢氧化钠</w:t>
      </w:r>
      <w:r>
        <w:rPr>
          <w:rFonts w:hint="eastAsia" w:ascii="宋体" w:hAnsi="Times New Roman" w:eastAsia="宋体" w:cs="Times New Roman"/>
          <w:color w:val="000000" w:themeColor="text1"/>
          <w:sz w:val="28"/>
          <w:lang w:val="en-US" w:eastAsia="zh-CN"/>
          <w14:textFill>
            <w14:solidFill>
              <w14:schemeClr w14:val="tx1"/>
            </w14:solidFill>
          </w14:textFill>
        </w:rPr>
        <w:t>（NaOH）</w:t>
      </w:r>
      <w:r>
        <w:rPr>
          <w:rFonts w:hint="eastAsia" w:ascii="Times New Roman" w:cs="Times New Roman"/>
          <w:color w:val="000000" w:themeColor="text1"/>
          <w:sz w:val="28"/>
          <w:szCs w:val="28"/>
          <w:lang w:val="en-US" w:eastAsia="zh-CN"/>
          <w14:textFill>
            <w14:solidFill>
              <w14:schemeClr w14:val="tx1"/>
            </w14:solidFill>
          </w14:textFill>
        </w:rPr>
        <w:t>。</w:t>
      </w:r>
    </w:p>
    <w:p w14:paraId="6CCF2504">
      <w:pPr>
        <w:adjustRightInd w:val="0"/>
        <w:snapToGrid w:val="0"/>
        <w:spacing w:line="500" w:lineRule="exact"/>
        <w:ind w:firstLine="560" w:firstLineChars="200"/>
        <w:rPr>
          <w:rFonts w:hint="default" w:ascii="Times New Roman" w:hAnsi="Times New Roman" w:eastAsia="宋体" w:cs="Times New Roman"/>
          <w:color w:val="000000" w:themeColor="text1"/>
          <w:sz w:val="28"/>
          <w:szCs w:val="28"/>
          <w:lang w:val="zh-CN"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综上所述，该项目未涉及监控化学品，未涉及易制毒化学品，未涉及剧毒化学品，未涉及易制爆危险化学品，涉及到的危险化学品有</w:t>
      </w:r>
      <w:r>
        <w:rPr>
          <w:rFonts w:hint="eastAsia" w:ascii="Times New Roman" w:cs="Times New Roman"/>
          <w:color w:val="000000" w:themeColor="text1"/>
          <w:sz w:val="28"/>
          <w:szCs w:val="28"/>
          <w:lang w:val="en-US" w:eastAsia="zh-CN"/>
          <w14:textFill>
            <w14:solidFill>
              <w14:schemeClr w14:val="tx1"/>
            </w14:solidFill>
          </w14:textFill>
        </w:rPr>
        <w:t>氢氧化钠</w:t>
      </w:r>
      <w:r>
        <w:rPr>
          <w:rFonts w:hint="default" w:ascii="Times New Roman" w:hAnsi="Times New Roman" w:cs="Times New Roman"/>
          <w:color w:val="000000" w:themeColor="text1"/>
          <w:sz w:val="28"/>
          <w:szCs w:val="28"/>
          <w14:textFill>
            <w14:solidFill>
              <w14:schemeClr w14:val="tx1"/>
            </w14:solidFill>
          </w14:textFill>
        </w:rPr>
        <w:t>。</w:t>
      </w:r>
    </w:p>
    <w:p w14:paraId="3C7FC91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60" w:name="_Toc9831"/>
      <w:bookmarkStart w:id="361" w:name="_Toc532203513"/>
      <w:bookmarkStart w:id="362" w:name="_Toc11387"/>
      <w:bookmarkStart w:id="363" w:name="_Toc11269"/>
      <w:r>
        <w:rPr>
          <w:rFonts w:hint="default" w:ascii="Times New Roman" w:hAnsi="Times New Roman" w:cs="Times New Roman"/>
          <w:color w:val="000000" w:themeColor="text1"/>
          <w:lang w:val="en-US" w:eastAsia="zh-CN"/>
          <w14:textFill>
            <w14:solidFill>
              <w14:schemeClr w14:val="tx1"/>
            </w14:solidFill>
          </w14:textFill>
        </w:rPr>
        <w:t>3.4.</w:t>
      </w:r>
      <w:r>
        <w:rPr>
          <w:rFonts w:hint="eastAsia" w:ascii="Times New Roman" w:hAnsi="Times New Roman" w:cs="Times New Roman"/>
          <w:color w:val="000000" w:themeColor="text1"/>
          <w:lang w:val="en-US" w:eastAsia="zh-CN"/>
          <w14:textFill>
            <w14:solidFill>
              <w14:schemeClr w14:val="tx1"/>
            </w14:solidFill>
          </w14:textFill>
        </w:rPr>
        <w:t xml:space="preserve">3 </w:t>
      </w:r>
      <w:bookmarkEnd w:id="360"/>
      <w:bookmarkEnd w:id="361"/>
      <w:bookmarkEnd w:id="362"/>
      <w:r>
        <w:rPr>
          <w:rFonts w:hint="eastAsia" w:ascii="Times New Roman" w:hAnsi="Times New Roman" w:cs="Times New Roman"/>
          <w:color w:val="000000" w:themeColor="text1"/>
          <w:lang w:val="en-US" w:eastAsia="zh-CN"/>
          <w14:textFill>
            <w14:solidFill>
              <w14:schemeClr w14:val="tx1"/>
            </w14:solidFill>
          </w14:textFill>
        </w:rPr>
        <w:t>危险物质的理化特性</w:t>
      </w:r>
      <w:bookmarkEnd w:id="363"/>
    </w:p>
    <w:p w14:paraId="79E3AA9B">
      <w:pPr>
        <w:keepNext/>
        <w:keepLines/>
        <w:pageBreakBefore w:val="0"/>
        <w:widowControl w:val="0"/>
        <w:tabs>
          <w:tab w:val="left" w:pos="2924"/>
          <w:tab w:val="center" w:pos="4522"/>
        </w:tabs>
        <w:kinsoku/>
        <w:wordWrap/>
        <w:overflowPunct/>
        <w:topLinePunct w:val="0"/>
        <w:autoSpaceDE/>
        <w:autoSpaceDN/>
        <w:bidi w:val="0"/>
        <w:adjustRightInd w:val="0"/>
        <w:snapToGrid w:val="0"/>
        <w:spacing w:line="520" w:lineRule="exact"/>
        <w:jc w:val="center"/>
        <w:textAlignment w:val="auto"/>
        <w:rPr>
          <w:rFonts w:hint="default" w:ascii="Times New Roman" w:hAnsi="Times New Roman" w:cs="Times New Roman"/>
          <w:b/>
          <w:bCs/>
          <w:color w:val="000000" w:themeColor="text1"/>
          <w:lang w:val="zh-CN"/>
          <w14:textFill>
            <w14:solidFill>
              <w14:schemeClr w14:val="tx1"/>
            </w14:solidFill>
          </w14:textFill>
        </w:rPr>
      </w:pPr>
      <w:bookmarkStart w:id="364" w:name="_Toc15385_WPSOffice_Level2"/>
      <w:bookmarkStart w:id="365" w:name="_Toc7772"/>
      <w:bookmarkStart w:id="366" w:name="_Toc17647"/>
      <w:bookmarkStart w:id="367" w:name="_Toc201697582"/>
      <w:r>
        <w:rPr>
          <w:rFonts w:hint="default" w:ascii="Times New Roman" w:hAnsi="Times New Roman" w:cs="Times New Roman"/>
          <w:b/>
          <w:bCs/>
          <w:color w:val="000000" w:themeColor="text1"/>
          <w:lang w:val="zh-CN"/>
          <w14:textFill>
            <w14:solidFill>
              <w14:schemeClr w14:val="tx1"/>
            </w14:solidFill>
          </w14:textFill>
        </w:rPr>
        <w:t>表</w:t>
      </w:r>
      <w:r>
        <w:rPr>
          <w:rFonts w:hint="default" w:ascii="Times New Roman" w:hAnsi="Times New Roman" w:cs="Times New Roman"/>
          <w:b/>
          <w:bCs/>
          <w:color w:val="000000" w:themeColor="text1"/>
          <w14:textFill>
            <w14:solidFill>
              <w14:schemeClr w14:val="tx1"/>
            </w14:solidFill>
          </w14:textFill>
        </w:rPr>
        <w:t>3-</w:t>
      </w:r>
      <w:r>
        <w:rPr>
          <w:rFonts w:hint="eastAsia" w:asci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eastAsia="zh-CN"/>
          <w14:textFill>
            <w14:solidFill>
              <w14:schemeClr w14:val="tx1"/>
            </w14:solidFill>
          </w14:textFill>
        </w:rPr>
        <w:t>氢氧化钠</w:t>
      </w:r>
      <w:r>
        <w:rPr>
          <w:rFonts w:hint="default" w:ascii="Times New Roman" w:hAnsi="Times New Roman" w:cs="Times New Roman"/>
          <w:b/>
          <w:bCs/>
          <w:color w:val="000000" w:themeColor="text1"/>
          <w:lang w:val="en-US" w:eastAsia="zh-CN"/>
          <w14:textFill>
            <w14:solidFill>
              <w14:schemeClr w14:val="tx1"/>
            </w14:solidFill>
          </w14:textFill>
        </w:rPr>
        <w:t>的</w:t>
      </w:r>
      <w:r>
        <w:rPr>
          <w:rFonts w:hint="default" w:ascii="Times New Roman" w:hAnsi="Times New Roman" w:cs="Times New Roman"/>
          <w:b/>
          <w:bCs/>
          <w:color w:val="000000" w:themeColor="text1"/>
          <w:lang w:val="zh-CN"/>
          <w14:textFill>
            <w14:solidFill>
              <w14:schemeClr w14:val="tx1"/>
            </w14:solidFill>
          </w14:textFill>
        </w:rPr>
        <w:t>理化特性表</w:t>
      </w:r>
    </w:p>
    <w:tbl>
      <w:tblPr>
        <w:tblStyle w:val="52"/>
        <w:tblW w:w="49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456"/>
        <w:gridCol w:w="896"/>
        <w:gridCol w:w="489"/>
        <w:gridCol w:w="317"/>
        <w:gridCol w:w="1166"/>
        <w:gridCol w:w="57"/>
        <w:gridCol w:w="780"/>
        <w:gridCol w:w="1795"/>
        <w:gridCol w:w="348"/>
        <w:gridCol w:w="904"/>
      </w:tblGrid>
      <w:tr w14:paraId="02251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262" w:type="pct"/>
            <w:vMerge w:val="restart"/>
            <w:tcBorders>
              <w:tl2br w:val="nil"/>
              <w:tr2bl w:val="nil"/>
            </w:tcBorders>
            <w:noWrap w:val="0"/>
            <w:vAlign w:val="center"/>
          </w:tcPr>
          <w:p w14:paraId="090CF9E2">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标识</w:t>
            </w:r>
          </w:p>
        </w:tc>
        <w:tc>
          <w:tcPr>
            <w:tcW w:w="2978" w:type="pct"/>
            <w:gridSpan w:val="7"/>
            <w:tcBorders>
              <w:tl2br w:val="nil"/>
              <w:tr2bl w:val="nil"/>
            </w:tcBorders>
            <w:noWrap w:val="0"/>
            <w:vAlign w:val="center"/>
          </w:tcPr>
          <w:p w14:paraId="448F0D9B">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中文名：</w:t>
            </w:r>
            <w:r>
              <w:rPr>
                <w:rFonts w:ascii="Times New Roman" w:hAnsi="Times New Roman" w:eastAsia="宋体" w:cs="Arial"/>
                <w:color w:val="000000" w:themeColor="text1"/>
                <w:sz w:val="21"/>
                <w:szCs w:val="24"/>
                <w14:textFill>
                  <w14:solidFill>
                    <w14:schemeClr w14:val="tx1"/>
                  </w14:solidFill>
                </w14:textFill>
              </w:rPr>
              <w:t>氢氧化钠</w:t>
            </w:r>
            <w:r>
              <w:rPr>
                <w:rFonts w:ascii="Times New Roman" w:hAnsi="Times New Roman"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z w:val="21"/>
                <w:szCs w:val="24"/>
                <w14:textFill>
                  <w14:solidFill>
                    <w14:schemeClr w14:val="tx1"/>
                  </w14:solidFill>
                </w14:textFill>
              </w:rPr>
              <w:t>烧碱</w:t>
            </w:r>
            <w:r>
              <w:rPr>
                <w:rFonts w:hint="eastAsia" w:ascii="宋体" w:hAnsi="宋体" w:eastAsia="宋体" w:cs="Times New Roman"/>
                <w:color w:val="000000" w:themeColor="text1"/>
                <w:sz w:val="21"/>
                <w:szCs w:val="21"/>
                <w14:textFill>
                  <w14:solidFill>
                    <w14:schemeClr w14:val="tx1"/>
                  </w14:solidFill>
                </w14:textFill>
              </w:rPr>
              <w:t>；苛性钠</w:t>
            </w:r>
          </w:p>
        </w:tc>
        <w:tc>
          <w:tcPr>
            <w:tcW w:w="1758" w:type="pct"/>
            <w:gridSpan w:val="3"/>
            <w:tcBorders>
              <w:tl2br w:val="nil"/>
              <w:tr2bl w:val="nil"/>
            </w:tcBorders>
            <w:noWrap w:val="0"/>
            <w:vAlign w:val="center"/>
          </w:tcPr>
          <w:p w14:paraId="08EA9ECB">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危险货物编号：</w:t>
            </w:r>
            <w:r>
              <w:rPr>
                <w:rFonts w:ascii="Times New Roman" w:hAnsi="Times New Roman" w:eastAsia="宋体" w:cs="Arial"/>
                <w:color w:val="000000" w:themeColor="text1"/>
                <w:sz w:val="21"/>
                <w:szCs w:val="24"/>
                <w14:textFill>
                  <w14:solidFill>
                    <w14:schemeClr w14:val="tx1"/>
                  </w14:solidFill>
                </w14:textFill>
              </w:rPr>
              <w:t>82001</w:t>
            </w:r>
          </w:p>
        </w:tc>
      </w:tr>
      <w:tr w14:paraId="0AEF6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62" w:type="pct"/>
            <w:vMerge w:val="continue"/>
            <w:tcBorders>
              <w:tl2br w:val="nil"/>
              <w:tr2bl w:val="nil"/>
            </w:tcBorders>
            <w:noWrap w:val="0"/>
            <w:vAlign w:val="center"/>
          </w:tcPr>
          <w:p w14:paraId="6ECF5811">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2978" w:type="pct"/>
            <w:gridSpan w:val="7"/>
            <w:tcBorders>
              <w:tl2br w:val="nil"/>
              <w:tr2bl w:val="nil"/>
            </w:tcBorders>
            <w:noWrap w:val="0"/>
            <w:vAlign w:val="center"/>
          </w:tcPr>
          <w:p w14:paraId="1C519EF9">
            <w:pPr>
              <w:spacing w:line="240" w:lineRule="auto"/>
              <w:ind w:firstLine="0" w:firstLineChars="0"/>
              <w:rPr>
                <w:rFonts w:ascii="Times New Roman" w:hAnsi="Times New Roman" w:eastAsia="宋体" w:cs="Arial"/>
                <w:color w:val="000000" w:themeColor="text1"/>
                <w:spacing w:val="10"/>
                <w:sz w:val="21"/>
                <w:szCs w:val="21"/>
                <w14:textFill>
                  <w14:solidFill>
                    <w14:schemeClr w14:val="tx1"/>
                  </w14:solidFill>
                </w14:textFill>
              </w:rPr>
            </w:pPr>
            <w:r>
              <w:rPr>
                <w:rFonts w:ascii="Times New Roman" w:hAnsi="Times New Roman" w:eastAsia="宋体" w:cs="Arial"/>
                <w:color w:val="000000" w:themeColor="text1"/>
                <w:spacing w:val="10"/>
                <w:sz w:val="21"/>
                <w:szCs w:val="21"/>
                <w14:textFill>
                  <w14:solidFill>
                    <w14:schemeClr w14:val="tx1"/>
                  </w14:solidFill>
                </w14:textFill>
              </w:rPr>
              <w:t>英文名：</w:t>
            </w:r>
            <w:r>
              <w:rPr>
                <w:rFonts w:ascii="Times New Roman" w:hAnsi="Times New Roman" w:eastAsia="宋体" w:cs="Arial"/>
                <w:color w:val="000000" w:themeColor="text1"/>
                <w:sz w:val="21"/>
                <w:szCs w:val="24"/>
                <w14:textFill>
                  <w14:solidFill>
                    <w14:schemeClr w14:val="tx1"/>
                  </w14:solidFill>
                </w14:textFill>
              </w:rPr>
              <w:t>Sodiun hydroxide；Caustic soda</w:t>
            </w:r>
            <w:r>
              <w:rPr>
                <w:rFonts w:hint="eastAsia" w:ascii="宋体" w:hAnsi="宋体" w:eastAsia="宋体" w:cs="Times New Roman"/>
                <w:color w:val="000000" w:themeColor="text1"/>
                <w:spacing w:val="10"/>
                <w:sz w:val="21"/>
                <w:szCs w:val="21"/>
                <w14:textFill>
                  <w14:solidFill>
                    <w14:schemeClr w14:val="tx1"/>
                  </w14:solidFill>
                </w14:textFill>
              </w:rPr>
              <w:t>；S</w:t>
            </w:r>
            <w:r>
              <w:rPr>
                <w:rFonts w:ascii="宋体" w:hAnsi="宋体" w:eastAsia="宋体" w:cs="Times New Roman"/>
                <w:color w:val="000000" w:themeColor="text1"/>
                <w:spacing w:val="10"/>
                <w:sz w:val="21"/>
                <w:szCs w:val="21"/>
                <w14:textFill>
                  <w14:solidFill>
                    <w14:schemeClr w14:val="tx1"/>
                  </w14:solidFill>
                </w14:textFill>
              </w:rPr>
              <w:t>odiun hydr</w:t>
            </w:r>
            <w:r>
              <w:rPr>
                <w:rFonts w:hint="eastAsia" w:ascii="宋体" w:hAnsi="宋体" w:eastAsia="宋体" w:cs="Times New Roman"/>
                <w:color w:val="000000" w:themeColor="text1"/>
                <w:spacing w:val="10"/>
                <w:sz w:val="21"/>
                <w:szCs w:val="21"/>
                <w14:textFill>
                  <w14:solidFill>
                    <w14:schemeClr w14:val="tx1"/>
                  </w14:solidFill>
                </w14:textFill>
              </w:rPr>
              <w:t>ate</w:t>
            </w:r>
          </w:p>
        </w:tc>
        <w:tc>
          <w:tcPr>
            <w:tcW w:w="1758" w:type="pct"/>
            <w:gridSpan w:val="3"/>
            <w:tcBorders>
              <w:tl2br w:val="nil"/>
              <w:tr2bl w:val="nil"/>
            </w:tcBorders>
            <w:noWrap w:val="0"/>
            <w:vAlign w:val="center"/>
          </w:tcPr>
          <w:p w14:paraId="00262D2B">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UN编号：1823</w:t>
            </w:r>
          </w:p>
        </w:tc>
      </w:tr>
      <w:tr w14:paraId="4903E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262" w:type="pct"/>
            <w:vMerge w:val="continue"/>
            <w:tcBorders>
              <w:tl2br w:val="nil"/>
              <w:tr2bl w:val="nil"/>
            </w:tcBorders>
            <w:noWrap w:val="0"/>
            <w:vAlign w:val="center"/>
          </w:tcPr>
          <w:p w14:paraId="3F26B355">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1639" w:type="pct"/>
            <w:gridSpan w:val="3"/>
            <w:tcBorders>
              <w:tl2br w:val="nil"/>
              <w:tr2bl w:val="nil"/>
            </w:tcBorders>
            <w:noWrap w:val="0"/>
            <w:vAlign w:val="center"/>
          </w:tcPr>
          <w:p w14:paraId="500B4200">
            <w:pPr>
              <w:spacing w:line="240" w:lineRule="auto"/>
              <w:ind w:left="920" w:hanging="920" w:hangingChars="40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分子式：</w:t>
            </w:r>
            <w:r>
              <w:rPr>
                <w:rFonts w:ascii="Times New Roman" w:hAnsi="Times New Roman" w:eastAsia="宋体" w:cs="Arial"/>
                <w:color w:val="000000" w:themeColor="text1"/>
                <w:sz w:val="21"/>
                <w:szCs w:val="24"/>
                <w14:textFill>
                  <w14:solidFill>
                    <w14:schemeClr w14:val="tx1"/>
                  </w14:solidFill>
                </w14:textFill>
              </w:rPr>
              <w:t>NaOH</w:t>
            </w:r>
          </w:p>
        </w:tc>
        <w:tc>
          <w:tcPr>
            <w:tcW w:w="1339" w:type="pct"/>
            <w:gridSpan w:val="4"/>
            <w:tcBorders>
              <w:tl2br w:val="nil"/>
              <w:tr2bl w:val="nil"/>
            </w:tcBorders>
            <w:noWrap w:val="0"/>
            <w:vAlign w:val="center"/>
          </w:tcPr>
          <w:p w14:paraId="5DC70574">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分子量：</w:t>
            </w:r>
            <w:r>
              <w:rPr>
                <w:rFonts w:ascii="Times New Roman" w:hAnsi="Times New Roman" w:eastAsia="宋体" w:cs="Arial"/>
                <w:color w:val="000000" w:themeColor="text1"/>
                <w:sz w:val="21"/>
                <w:szCs w:val="24"/>
                <w14:textFill>
                  <w14:solidFill>
                    <w14:schemeClr w14:val="tx1"/>
                  </w14:solidFill>
                </w14:textFill>
              </w:rPr>
              <w:t>40.01</w:t>
            </w:r>
          </w:p>
        </w:tc>
        <w:tc>
          <w:tcPr>
            <w:tcW w:w="1758" w:type="pct"/>
            <w:gridSpan w:val="3"/>
            <w:tcBorders>
              <w:tl2br w:val="nil"/>
              <w:tr2bl w:val="nil"/>
            </w:tcBorders>
            <w:noWrap w:val="0"/>
            <w:vAlign w:val="center"/>
          </w:tcPr>
          <w:p w14:paraId="1269BBBE">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CAS号：</w:t>
            </w:r>
            <w:r>
              <w:rPr>
                <w:rFonts w:ascii="Times New Roman" w:hAnsi="Times New Roman" w:eastAsia="宋体" w:cs="Arial"/>
                <w:color w:val="000000" w:themeColor="text1"/>
                <w:sz w:val="21"/>
                <w:szCs w:val="24"/>
                <w14:textFill>
                  <w14:solidFill>
                    <w14:schemeClr w14:val="tx1"/>
                  </w14:solidFill>
                </w14:textFill>
              </w:rPr>
              <w:t>1310-73-2</w:t>
            </w:r>
          </w:p>
        </w:tc>
      </w:tr>
      <w:tr w14:paraId="5B700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262" w:type="pct"/>
            <w:vMerge w:val="restart"/>
            <w:tcBorders>
              <w:tl2br w:val="nil"/>
              <w:tr2bl w:val="nil"/>
            </w:tcBorders>
            <w:noWrap w:val="0"/>
            <w:vAlign w:val="center"/>
          </w:tcPr>
          <w:p w14:paraId="53D178BB">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理化性质</w:t>
            </w:r>
          </w:p>
        </w:tc>
        <w:tc>
          <w:tcPr>
            <w:tcW w:w="840" w:type="pct"/>
            <w:tcBorders>
              <w:tl2br w:val="nil"/>
              <w:tr2bl w:val="nil"/>
            </w:tcBorders>
            <w:noWrap w:val="0"/>
            <w:vAlign w:val="center"/>
          </w:tcPr>
          <w:p w14:paraId="763E52BD">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外观与性状</w:t>
            </w:r>
          </w:p>
        </w:tc>
        <w:tc>
          <w:tcPr>
            <w:tcW w:w="3896" w:type="pct"/>
            <w:gridSpan w:val="9"/>
            <w:tcBorders>
              <w:tl2br w:val="nil"/>
              <w:tr2bl w:val="nil"/>
            </w:tcBorders>
            <w:noWrap w:val="0"/>
            <w:vAlign w:val="center"/>
          </w:tcPr>
          <w:p w14:paraId="09158ABE">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白色不透明固体，易潮解。</w:t>
            </w:r>
          </w:p>
        </w:tc>
      </w:tr>
      <w:tr w14:paraId="70BF0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2" w:type="pct"/>
            <w:vMerge w:val="continue"/>
            <w:tcBorders>
              <w:tl2br w:val="nil"/>
              <w:tr2bl w:val="nil"/>
            </w:tcBorders>
            <w:noWrap w:val="0"/>
            <w:vAlign w:val="center"/>
          </w:tcPr>
          <w:p w14:paraId="4AA0EB4C">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1134D7AB">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熔点（</w:t>
            </w:r>
            <w:r>
              <w:rPr>
                <w:rFonts w:ascii="宋体" w:hAnsi="宋体"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w:t>
            </w:r>
          </w:p>
        </w:tc>
        <w:tc>
          <w:tcPr>
            <w:tcW w:w="517" w:type="pct"/>
            <w:tcBorders>
              <w:tl2br w:val="nil"/>
              <w:tr2bl w:val="nil"/>
            </w:tcBorders>
            <w:noWrap w:val="0"/>
            <w:vAlign w:val="center"/>
          </w:tcPr>
          <w:p w14:paraId="4C81F517">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318.4</w:t>
            </w:r>
          </w:p>
        </w:tc>
        <w:tc>
          <w:tcPr>
            <w:tcW w:w="1171" w:type="pct"/>
            <w:gridSpan w:val="4"/>
            <w:tcBorders>
              <w:tl2br w:val="nil"/>
              <w:tr2bl w:val="nil"/>
            </w:tcBorders>
            <w:noWrap w:val="0"/>
            <w:vAlign w:val="center"/>
          </w:tcPr>
          <w:p w14:paraId="13BC4A35">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相对密度</w:t>
            </w:r>
            <w:r>
              <w:rPr>
                <w:rFonts w:hint="eastAsia" w:cs="Arial"/>
                <w:color w:val="000000" w:themeColor="text1"/>
                <w:spacing w:val="10"/>
                <w:sz w:val="21"/>
                <w:szCs w:val="24"/>
                <w:lang w:eastAsia="zh-CN"/>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水=1</w:t>
            </w:r>
            <w:r>
              <w:rPr>
                <w:rFonts w:hint="eastAsia" w:cs="Arial"/>
                <w:color w:val="000000" w:themeColor="text1"/>
                <w:spacing w:val="10"/>
                <w:sz w:val="21"/>
                <w:szCs w:val="24"/>
                <w:lang w:eastAsia="zh-CN"/>
                <w14:textFill>
                  <w14:solidFill>
                    <w14:schemeClr w14:val="tx1"/>
                  </w14:solidFill>
                </w14:textFill>
              </w:rPr>
              <w:t>）</w:t>
            </w:r>
          </w:p>
        </w:tc>
        <w:tc>
          <w:tcPr>
            <w:tcW w:w="449" w:type="pct"/>
            <w:tcBorders>
              <w:tl2br w:val="nil"/>
              <w:tr2bl w:val="nil"/>
            </w:tcBorders>
            <w:noWrap w:val="0"/>
            <w:vAlign w:val="center"/>
          </w:tcPr>
          <w:p w14:paraId="1FC756FC">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2.12</w:t>
            </w:r>
          </w:p>
        </w:tc>
        <w:tc>
          <w:tcPr>
            <w:tcW w:w="1237" w:type="pct"/>
            <w:gridSpan w:val="2"/>
            <w:tcBorders>
              <w:tl2br w:val="nil"/>
              <w:tr2bl w:val="nil"/>
            </w:tcBorders>
            <w:noWrap w:val="0"/>
            <w:vAlign w:val="center"/>
          </w:tcPr>
          <w:p w14:paraId="45DD38FC">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相对密度</w:t>
            </w:r>
            <w:r>
              <w:rPr>
                <w:rFonts w:hint="eastAsia" w:cs="Arial"/>
                <w:color w:val="000000" w:themeColor="text1"/>
                <w:spacing w:val="10"/>
                <w:sz w:val="21"/>
                <w:szCs w:val="24"/>
                <w:lang w:eastAsia="zh-CN"/>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空气=1</w:t>
            </w:r>
            <w:r>
              <w:rPr>
                <w:rFonts w:hint="eastAsia" w:cs="Arial"/>
                <w:color w:val="000000" w:themeColor="text1"/>
                <w:spacing w:val="10"/>
                <w:sz w:val="21"/>
                <w:szCs w:val="24"/>
                <w:lang w:eastAsia="zh-CN"/>
                <w14:textFill>
                  <w14:solidFill>
                    <w14:schemeClr w14:val="tx1"/>
                  </w14:solidFill>
                </w14:textFill>
              </w:rPr>
              <w:t>）</w:t>
            </w:r>
          </w:p>
        </w:tc>
        <w:tc>
          <w:tcPr>
            <w:tcW w:w="521" w:type="pct"/>
            <w:tcBorders>
              <w:tl2br w:val="nil"/>
              <w:tr2bl w:val="nil"/>
            </w:tcBorders>
            <w:noWrap w:val="0"/>
            <w:vAlign w:val="center"/>
          </w:tcPr>
          <w:p w14:paraId="18431578">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w:t>
            </w:r>
          </w:p>
        </w:tc>
      </w:tr>
      <w:tr w14:paraId="0929E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262" w:type="pct"/>
            <w:vMerge w:val="continue"/>
            <w:tcBorders>
              <w:tl2br w:val="nil"/>
              <w:tr2bl w:val="nil"/>
            </w:tcBorders>
            <w:noWrap w:val="0"/>
            <w:vAlign w:val="center"/>
          </w:tcPr>
          <w:p w14:paraId="245AB145">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61617039">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沸点（</w:t>
            </w:r>
            <w:r>
              <w:rPr>
                <w:rFonts w:ascii="宋体" w:hAnsi="宋体"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w:t>
            </w:r>
          </w:p>
        </w:tc>
        <w:tc>
          <w:tcPr>
            <w:tcW w:w="517" w:type="pct"/>
            <w:tcBorders>
              <w:tl2br w:val="nil"/>
              <w:tr2bl w:val="nil"/>
            </w:tcBorders>
            <w:noWrap w:val="0"/>
            <w:vAlign w:val="center"/>
          </w:tcPr>
          <w:p w14:paraId="77BE78BF">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1390</w:t>
            </w:r>
          </w:p>
        </w:tc>
        <w:tc>
          <w:tcPr>
            <w:tcW w:w="1620" w:type="pct"/>
            <w:gridSpan w:val="5"/>
            <w:tcBorders>
              <w:tl2br w:val="nil"/>
              <w:tr2bl w:val="nil"/>
            </w:tcBorders>
            <w:noWrap w:val="0"/>
            <w:vAlign w:val="center"/>
          </w:tcPr>
          <w:p w14:paraId="3F5F32C7">
            <w:pPr>
              <w:spacing w:line="240" w:lineRule="auto"/>
              <w:ind w:left="-40"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hint="eastAsia" w:cs="Arial"/>
                <w:color w:val="000000" w:themeColor="text1"/>
                <w:spacing w:val="10"/>
                <w:sz w:val="21"/>
                <w:szCs w:val="24"/>
                <w:lang w:eastAsia="zh-CN"/>
                <w14:textFill>
                  <w14:solidFill>
                    <w14:schemeClr w14:val="tx1"/>
                  </w14:solidFill>
                </w14:textFill>
              </w:rPr>
              <w:t>饱和蒸汽</w:t>
            </w:r>
            <w:r>
              <w:rPr>
                <w:rFonts w:ascii="Times New Roman" w:hAnsi="Times New Roman" w:eastAsia="宋体" w:cs="Arial"/>
                <w:color w:val="000000" w:themeColor="text1"/>
                <w:spacing w:val="10"/>
                <w:sz w:val="21"/>
                <w:szCs w:val="24"/>
                <w14:textFill>
                  <w14:solidFill>
                    <w14:schemeClr w14:val="tx1"/>
                  </w14:solidFill>
                </w14:textFill>
              </w:rPr>
              <w:t>压（kPa）</w:t>
            </w:r>
          </w:p>
        </w:tc>
        <w:tc>
          <w:tcPr>
            <w:tcW w:w="1758" w:type="pct"/>
            <w:gridSpan w:val="3"/>
            <w:tcBorders>
              <w:tl2br w:val="nil"/>
              <w:tr2bl w:val="nil"/>
            </w:tcBorders>
            <w:noWrap w:val="0"/>
            <w:vAlign w:val="center"/>
          </w:tcPr>
          <w:p w14:paraId="0C432F42">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0.13/739</w:t>
            </w:r>
            <w:r>
              <w:rPr>
                <w:rFonts w:ascii="宋体" w:hAnsi="宋体" w:eastAsia="宋体" w:cs="Arial"/>
                <w:color w:val="000000" w:themeColor="text1"/>
                <w:spacing w:val="10"/>
                <w:sz w:val="21"/>
                <w:szCs w:val="24"/>
                <w14:textFill>
                  <w14:solidFill>
                    <w14:schemeClr w14:val="tx1"/>
                  </w14:solidFill>
                </w14:textFill>
              </w:rPr>
              <w:t>℃</w:t>
            </w:r>
          </w:p>
        </w:tc>
      </w:tr>
      <w:tr w14:paraId="4E5B1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262" w:type="pct"/>
            <w:vMerge w:val="continue"/>
            <w:tcBorders>
              <w:tl2br w:val="nil"/>
              <w:tr2bl w:val="nil"/>
            </w:tcBorders>
            <w:noWrap w:val="0"/>
            <w:vAlign w:val="center"/>
          </w:tcPr>
          <w:p w14:paraId="2332DCC1">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6B772275">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溶解性</w:t>
            </w:r>
          </w:p>
        </w:tc>
        <w:tc>
          <w:tcPr>
            <w:tcW w:w="3896" w:type="pct"/>
            <w:gridSpan w:val="9"/>
            <w:tcBorders>
              <w:tl2br w:val="nil"/>
              <w:tr2bl w:val="nil"/>
            </w:tcBorders>
            <w:noWrap w:val="0"/>
            <w:vAlign w:val="center"/>
          </w:tcPr>
          <w:p w14:paraId="682A5C10">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易溶于水、乙醇、甘油，不溶于丙酮。</w:t>
            </w:r>
          </w:p>
        </w:tc>
      </w:tr>
      <w:tr w14:paraId="65362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262" w:type="pct"/>
            <w:vMerge w:val="restart"/>
            <w:tcBorders>
              <w:tl2br w:val="nil"/>
              <w:tr2bl w:val="nil"/>
            </w:tcBorders>
            <w:noWrap w:val="0"/>
            <w:vAlign w:val="center"/>
          </w:tcPr>
          <w:p w14:paraId="5F8FAFF6">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毒性及健康危害</w:t>
            </w:r>
          </w:p>
        </w:tc>
        <w:tc>
          <w:tcPr>
            <w:tcW w:w="840" w:type="pct"/>
            <w:tcBorders>
              <w:tl2br w:val="nil"/>
              <w:tr2bl w:val="nil"/>
            </w:tcBorders>
            <w:noWrap w:val="0"/>
            <w:vAlign w:val="center"/>
          </w:tcPr>
          <w:p w14:paraId="2055BE1F">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侵入途径</w:t>
            </w:r>
          </w:p>
        </w:tc>
        <w:tc>
          <w:tcPr>
            <w:tcW w:w="3896" w:type="pct"/>
            <w:gridSpan w:val="9"/>
            <w:tcBorders>
              <w:tl2br w:val="nil"/>
              <w:tr2bl w:val="nil"/>
            </w:tcBorders>
            <w:noWrap w:val="0"/>
            <w:vAlign w:val="center"/>
          </w:tcPr>
          <w:p w14:paraId="56ED802B">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吸入、食入</w:t>
            </w:r>
            <w:r>
              <w:rPr>
                <w:rFonts w:hint="eastAsia" w:ascii="宋体" w:hAnsi="宋体" w:eastAsia="宋体" w:cs="Times New Roman"/>
                <w:color w:val="000000" w:themeColor="text1"/>
                <w:spacing w:val="10"/>
                <w:sz w:val="21"/>
                <w:szCs w:val="21"/>
                <w14:textFill>
                  <w14:solidFill>
                    <w14:schemeClr w14:val="tx1"/>
                  </w14:solidFill>
                </w14:textFill>
              </w:rPr>
              <w:t>、经皮吸收</w:t>
            </w:r>
            <w:r>
              <w:rPr>
                <w:rFonts w:ascii="Times New Roman" w:hAnsi="Times New Roman" w:eastAsia="宋体" w:cs="Arial"/>
                <w:color w:val="000000" w:themeColor="text1"/>
                <w:spacing w:val="10"/>
                <w:sz w:val="21"/>
                <w:szCs w:val="24"/>
                <w14:textFill>
                  <w14:solidFill>
                    <w14:schemeClr w14:val="tx1"/>
                  </w14:solidFill>
                </w14:textFill>
              </w:rPr>
              <w:t>。</w:t>
            </w:r>
          </w:p>
        </w:tc>
      </w:tr>
      <w:tr w14:paraId="263EC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262" w:type="pct"/>
            <w:vMerge w:val="continue"/>
            <w:tcBorders>
              <w:tl2br w:val="nil"/>
              <w:tr2bl w:val="nil"/>
            </w:tcBorders>
            <w:noWrap w:val="0"/>
            <w:vAlign w:val="center"/>
          </w:tcPr>
          <w:p w14:paraId="05630AE3">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2248B1D6">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毒性</w:t>
            </w:r>
          </w:p>
        </w:tc>
        <w:tc>
          <w:tcPr>
            <w:tcW w:w="3896" w:type="pct"/>
            <w:gridSpan w:val="9"/>
            <w:tcBorders>
              <w:tl2br w:val="nil"/>
              <w:tr2bl w:val="nil"/>
            </w:tcBorders>
            <w:noWrap w:val="0"/>
            <w:vAlign w:val="center"/>
          </w:tcPr>
          <w:p w14:paraId="3B239D37">
            <w:pPr>
              <w:spacing w:line="240" w:lineRule="auto"/>
              <w:ind w:firstLine="0" w:firstLineChars="0"/>
              <w:rPr>
                <w:rFonts w:hint="eastAsia" w:ascii="Times New Roman" w:hAnsi="Times New Roman" w:eastAsia="宋体" w:cs="Arial"/>
                <w:color w:val="000000" w:themeColor="text1"/>
                <w:sz w:val="21"/>
                <w:szCs w:val="24"/>
                <w:lang w:eastAsia="zh-CN"/>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 xml:space="preserve"> LD</w:t>
            </w:r>
            <w:r>
              <w:rPr>
                <w:rFonts w:ascii="Times New Roman" w:hAnsi="Times New Roman" w:eastAsia="宋体" w:cs="Arial"/>
                <w:color w:val="000000" w:themeColor="text1"/>
                <w:spacing w:val="10"/>
                <w:sz w:val="21"/>
                <w:szCs w:val="24"/>
                <w:vertAlign w:val="subscript"/>
                <w14:textFill>
                  <w14:solidFill>
                    <w14:schemeClr w14:val="tx1"/>
                  </w14:solidFill>
                </w14:textFill>
              </w:rPr>
              <w:t>50</w:t>
            </w:r>
            <w:r>
              <w:rPr>
                <w:rFonts w:ascii="Times New Roman" w:hAnsi="Times New Roman" w:eastAsia="宋体" w:cs="Arial"/>
                <w:color w:val="000000" w:themeColor="text1"/>
                <w:spacing w:val="10"/>
                <w:sz w:val="21"/>
                <w:szCs w:val="24"/>
                <w14:textFill>
                  <w14:solidFill>
                    <w14:schemeClr w14:val="tx1"/>
                  </w14:solidFill>
                </w14:textFill>
              </w:rPr>
              <w:t>：</w:t>
            </w:r>
          </w:p>
          <w:p w14:paraId="25CDC181">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 xml:space="preserve"> LC</w:t>
            </w:r>
            <w:r>
              <w:rPr>
                <w:rFonts w:ascii="Times New Roman" w:hAnsi="Times New Roman" w:eastAsia="宋体" w:cs="Arial"/>
                <w:color w:val="000000" w:themeColor="text1"/>
                <w:spacing w:val="10"/>
                <w:sz w:val="21"/>
                <w:szCs w:val="24"/>
                <w:vertAlign w:val="subscript"/>
                <w14:textFill>
                  <w14:solidFill>
                    <w14:schemeClr w14:val="tx1"/>
                  </w14:solidFill>
                </w14:textFill>
              </w:rPr>
              <w:t>50</w:t>
            </w:r>
            <w:r>
              <w:rPr>
                <w:rFonts w:ascii="Times New Roman" w:hAnsi="Times New Roman" w:eastAsia="宋体" w:cs="Arial"/>
                <w:color w:val="000000" w:themeColor="text1"/>
                <w:spacing w:val="10"/>
                <w:sz w:val="21"/>
                <w:szCs w:val="24"/>
                <w14:textFill>
                  <w14:solidFill>
                    <w14:schemeClr w14:val="tx1"/>
                  </w14:solidFill>
                </w14:textFill>
              </w:rPr>
              <w:t>：</w:t>
            </w:r>
          </w:p>
        </w:tc>
      </w:tr>
      <w:tr w14:paraId="2008D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9" w:hRule="atLeast"/>
          <w:jc w:val="center"/>
        </w:trPr>
        <w:tc>
          <w:tcPr>
            <w:tcW w:w="262" w:type="pct"/>
            <w:vMerge w:val="continue"/>
            <w:tcBorders>
              <w:tl2br w:val="nil"/>
              <w:tr2bl w:val="nil"/>
            </w:tcBorders>
            <w:noWrap w:val="0"/>
            <w:vAlign w:val="center"/>
          </w:tcPr>
          <w:p w14:paraId="030F7D56">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3AF46479">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健康危害</w:t>
            </w:r>
          </w:p>
        </w:tc>
        <w:tc>
          <w:tcPr>
            <w:tcW w:w="3896" w:type="pct"/>
            <w:gridSpan w:val="9"/>
            <w:tcBorders>
              <w:tl2br w:val="nil"/>
              <w:tr2bl w:val="nil"/>
            </w:tcBorders>
            <w:noWrap w:val="0"/>
            <w:vAlign w:val="center"/>
          </w:tcPr>
          <w:p w14:paraId="722C1239">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本品有强烈刺激和腐蚀性。粉尘或烟雾刺激眼和呼吸道，腐蚀鼻中隔；皮肤和眼直接接触可引起灼伤；误服可造成消化道灼伤，</w:t>
            </w:r>
            <w:r>
              <w:rPr>
                <w:rFonts w:hint="eastAsia" w:cs="Arial"/>
                <w:color w:val="000000" w:themeColor="text1"/>
                <w:sz w:val="21"/>
                <w:szCs w:val="24"/>
                <w:lang w:eastAsia="zh-CN"/>
                <w14:textFill>
                  <w14:solidFill>
                    <w14:schemeClr w14:val="tx1"/>
                  </w14:solidFill>
                </w14:textFill>
              </w:rPr>
              <w:t>黏膜</w:t>
            </w:r>
            <w:r>
              <w:rPr>
                <w:rFonts w:ascii="Times New Roman" w:hAnsi="Times New Roman" w:eastAsia="宋体" w:cs="Arial"/>
                <w:color w:val="000000" w:themeColor="text1"/>
                <w:sz w:val="21"/>
                <w:szCs w:val="24"/>
                <w14:textFill>
                  <w14:solidFill>
                    <w14:schemeClr w14:val="tx1"/>
                  </w14:solidFill>
                </w14:textFill>
              </w:rPr>
              <w:t>糜烂、出血和休克。</w:t>
            </w:r>
          </w:p>
        </w:tc>
      </w:tr>
      <w:tr w14:paraId="57D18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62" w:type="pct"/>
            <w:vMerge w:val="continue"/>
            <w:tcBorders>
              <w:tl2br w:val="nil"/>
              <w:tr2bl w:val="nil"/>
            </w:tcBorders>
            <w:noWrap w:val="0"/>
            <w:vAlign w:val="center"/>
          </w:tcPr>
          <w:p w14:paraId="0B4A3B44">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1450A0E0">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急救方法</w:t>
            </w:r>
          </w:p>
        </w:tc>
        <w:tc>
          <w:tcPr>
            <w:tcW w:w="3896" w:type="pct"/>
            <w:gridSpan w:val="9"/>
            <w:tcBorders>
              <w:tl2br w:val="nil"/>
              <w:tr2bl w:val="nil"/>
            </w:tcBorders>
            <w:noWrap w:val="0"/>
            <w:vAlign w:val="center"/>
          </w:tcPr>
          <w:p w14:paraId="6B574A83">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皮肤接触：立即用水冲洗至少15分钟。若有灼伤，就医治疗。眼睛接触：立即提起眼睑，用流动清水或生理盐水冲洗至少15分钟。或用3%硼酸溶液冲洗。就医。吸入：迅速脱离现场至空气新鲜处。必要时进行人工呼吸。就医。食入：患者清醒时立即漱口，口服稀释的醋或柠檬汁，就医</w:t>
            </w:r>
          </w:p>
        </w:tc>
      </w:tr>
      <w:tr w14:paraId="69DE7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262" w:type="pct"/>
            <w:vMerge w:val="restart"/>
            <w:tcBorders>
              <w:tl2br w:val="nil"/>
              <w:tr2bl w:val="nil"/>
            </w:tcBorders>
            <w:noWrap w:val="0"/>
            <w:vAlign w:val="center"/>
          </w:tcPr>
          <w:p w14:paraId="105E4789">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燃烧爆炸危险性</w:t>
            </w:r>
          </w:p>
        </w:tc>
        <w:tc>
          <w:tcPr>
            <w:tcW w:w="840" w:type="pct"/>
            <w:tcBorders>
              <w:tl2br w:val="nil"/>
              <w:tr2bl w:val="nil"/>
            </w:tcBorders>
            <w:noWrap w:val="0"/>
            <w:vAlign w:val="center"/>
          </w:tcPr>
          <w:p w14:paraId="706752DA">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燃烧性</w:t>
            </w:r>
          </w:p>
        </w:tc>
        <w:tc>
          <w:tcPr>
            <w:tcW w:w="982" w:type="pct"/>
            <w:gridSpan w:val="3"/>
            <w:tcBorders>
              <w:tl2br w:val="nil"/>
              <w:tr2bl w:val="nil"/>
            </w:tcBorders>
            <w:noWrap w:val="0"/>
            <w:vAlign w:val="center"/>
          </w:tcPr>
          <w:p w14:paraId="32356FAB">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不燃</w:t>
            </w:r>
          </w:p>
        </w:tc>
        <w:tc>
          <w:tcPr>
            <w:tcW w:w="1155" w:type="pct"/>
            <w:gridSpan w:val="3"/>
            <w:tcBorders>
              <w:tl2br w:val="nil"/>
              <w:tr2bl w:val="nil"/>
            </w:tcBorders>
            <w:noWrap w:val="0"/>
            <w:vAlign w:val="center"/>
          </w:tcPr>
          <w:p w14:paraId="273AE8F6">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燃烧分解物</w:t>
            </w:r>
          </w:p>
        </w:tc>
        <w:tc>
          <w:tcPr>
            <w:tcW w:w="1758" w:type="pct"/>
            <w:gridSpan w:val="3"/>
            <w:tcBorders>
              <w:tl2br w:val="nil"/>
              <w:tr2bl w:val="nil"/>
            </w:tcBorders>
            <w:noWrap w:val="0"/>
            <w:vAlign w:val="center"/>
          </w:tcPr>
          <w:p w14:paraId="04010ADF">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z w:val="21"/>
                <w:szCs w:val="24"/>
                <w14:textFill>
                  <w14:solidFill>
                    <w14:schemeClr w14:val="tx1"/>
                  </w14:solidFill>
                </w14:textFill>
              </w:rPr>
              <w:t>可能产生有害的毒性烟雾。</w:t>
            </w:r>
          </w:p>
        </w:tc>
      </w:tr>
      <w:tr w14:paraId="7DF72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262" w:type="pct"/>
            <w:vMerge w:val="continue"/>
            <w:tcBorders>
              <w:tl2br w:val="nil"/>
              <w:tr2bl w:val="nil"/>
            </w:tcBorders>
            <w:noWrap w:val="0"/>
            <w:vAlign w:val="center"/>
          </w:tcPr>
          <w:p w14:paraId="1B9D1B2A">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3E91FF40">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闪点</w:t>
            </w:r>
            <w:r>
              <w:rPr>
                <w:rFonts w:hint="eastAsia" w:cs="Arial"/>
                <w:color w:val="000000" w:themeColor="text1"/>
                <w:spacing w:val="10"/>
                <w:sz w:val="21"/>
                <w:szCs w:val="24"/>
                <w:lang w:eastAsia="zh-CN"/>
                <w14:textFill>
                  <w14:solidFill>
                    <w14:schemeClr w14:val="tx1"/>
                  </w14:solidFill>
                </w14:textFill>
              </w:rPr>
              <w:t>(</w:t>
            </w:r>
            <w:r>
              <w:rPr>
                <w:rFonts w:ascii="宋体" w:hAnsi="宋体"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w:t>
            </w:r>
          </w:p>
        </w:tc>
        <w:tc>
          <w:tcPr>
            <w:tcW w:w="982" w:type="pct"/>
            <w:gridSpan w:val="3"/>
            <w:tcBorders>
              <w:tl2br w:val="nil"/>
              <w:tr2bl w:val="nil"/>
            </w:tcBorders>
            <w:noWrap w:val="0"/>
            <w:vAlign w:val="center"/>
          </w:tcPr>
          <w:p w14:paraId="6788016B">
            <w:pPr>
              <w:spacing w:line="240" w:lineRule="auto"/>
              <w:ind w:firstLine="0" w:firstLineChars="0"/>
              <w:jc w:val="center"/>
              <w:rPr>
                <w:rFonts w:ascii="Times New Roman" w:hAnsi="Times New Roman" w:eastAsia="宋体" w:cs="Arial"/>
                <w:color w:val="000000" w:themeColor="text1"/>
                <w:spacing w:val="10"/>
                <w:sz w:val="21"/>
                <w:szCs w:val="21"/>
                <w14:textFill>
                  <w14:solidFill>
                    <w14:schemeClr w14:val="tx1"/>
                  </w14:solidFill>
                </w14:textFill>
              </w:rPr>
            </w:pPr>
            <w:r>
              <w:rPr>
                <w:rFonts w:ascii="Times New Roman" w:hAnsi="Times New Roman" w:eastAsia="宋体" w:cs="Arial"/>
                <w:color w:val="000000" w:themeColor="text1"/>
                <w:spacing w:val="10"/>
                <w:sz w:val="21"/>
                <w:szCs w:val="21"/>
                <w14:textFill>
                  <w14:solidFill>
                    <w14:schemeClr w14:val="tx1"/>
                  </w14:solidFill>
                </w14:textFill>
              </w:rPr>
              <w:t>/</w:t>
            </w:r>
          </w:p>
        </w:tc>
        <w:tc>
          <w:tcPr>
            <w:tcW w:w="1155" w:type="pct"/>
            <w:gridSpan w:val="3"/>
            <w:tcBorders>
              <w:tl2br w:val="nil"/>
              <w:tr2bl w:val="nil"/>
            </w:tcBorders>
            <w:noWrap w:val="0"/>
            <w:vAlign w:val="center"/>
          </w:tcPr>
          <w:p w14:paraId="5EA8A923">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爆炸上限（v%）</w:t>
            </w:r>
          </w:p>
        </w:tc>
        <w:tc>
          <w:tcPr>
            <w:tcW w:w="1758" w:type="pct"/>
            <w:gridSpan w:val="3"/>
            <w:tcBorders>
              <w:tl2br w:val="nil"/>
              <w:tr2bl w:val="nil"/>
            </w:tcBorders>
            <w:noWrap w:val="0"/>
            <w:vAlign w:val="center"/>
          </w:tcPr>
          <w:p w14:paraId="4860FA11">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w:t>
            </w:r>
          </w:p>
        </w:tc>
      </w:tr>
      <w:tr w14:paraId="0331E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262" w:type="pct"/>
            <w:vMerge w:val="continue"/>
            <w:tcBorders>
              <w:tl2br w:val="nil"/>
              <w:tr2bl w:val="nil"/>
            </w:tcBorders>
            <w:noWrap w:val="0"/>
            <w:vAlign w:val="center"/>
          </w:tcPr>
          <w:p w14:paraId="07ABC740">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39A03ED5">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引燃温度</w:t>
            </w:r>
            <w:r>
              <w:rPr>
                <w:rFonts w:hint="eastAsia" w:cs="Arial"/>
                <w:color w:val="000000" w:themeColor="text1"/>
                <w:spacing w:val="10"/>
                <w:sz w:val="21"/>
                <w:szCs w:val="24"/>
                <w:lang w:eastAsia="zh-CN"/>
                <w14:textFill>
                  <w14:solidFill>
                    <w14:schemeClr w14:val="tx1"/>
                  </w14:solidFill>
                </w14:textFill>
              </w:rPr>
              <w:t>(</w:t>
            </w:r>
            <w:r>
              <w:rPr>
                <w:rFonts w:ascii="宋体" w:hAnsi="宋体"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pacing w:val="10"/>
                <w:sz w:val="21"/>
                <w:szCs w:val="24"/>
                <w14:textFill>
                  <w14:solidFill>
                    <w14:schemeClr w14:val="tx1"/>
                  </w14:solidFill>
                </w14:textFill>
              </w:rPr>
              <w:t>)</w:t>
            </w:r>
          </w:p>
        </w:tc>
        <w:tc>
          <w:tcPr>
            <w:tcW w:w="982" w:type="pct"/>
            <w:gridSpan w:val="3"/>
            <w:tcBorders>
              <w:tl2br w:val="nil"/>
              <w:tr2bl w:val="nil"/>
            </w:tcBorders>
            <w:noWrap w:val="0"/>
            <w:vAlign w:val="center"/>
          </w:tcPr>
          <w:p w14:paraId="7E9E704B">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w:t>
            </w:r>
          </w:p>
        </w:tc>
        <w:tc>
          <w:tcPr>
            <w:tcW w:w="1155" w:type="pct"/>
            <w:gridSpan w:val="3"/>
            <w:tcBorders>
              <w:tl2br w:val="nil"/>
              <w:tr2bl w:val="nil"/>
            </w:tcBorders>
            <w:noWrap w:val="0"/>
            <w:vAlign w:val="center"/>
          </w:tcPr>
          <w:p w14:paraId="22B7F38B">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爆炸下限（v%）</w:t>
            </w:r>
          </w:p>
        </w:tc>
        <w:tc>
          <w:tcPr>
            <w:tcW w:w="1758" w:type="pct"/>
            <w:gridSpan w:val="3"/>
            <w:tcBorders>
              <w:tl2br w:val="nil"/>
              <w:tr2bl w:val="nil"/>
            </w:tcBorders>
            <w:noWrap w:val="0"/>
            <w:vAlign w:val="center"/>
          </w:tcPr>
          <w:p w14:paraId="6D271991">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w:t>
            </w:r>
          </w:p>
        </w:tc>
      </w:tr>
      <w:tr w14:paraId="62500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262" w:type="pct"/>
            <w:vMerge w:val="continue"/>
            <w:tcBorders>
              <w:tl2br w:val="nil"/>
              <w:tr2bl w:val="nil"/>
            </w:tcBorders>
            <w:noWrap w:val="0"/>
            <w:vAlign w:val="center"/>
          </w:tcPr>
          <w:p w14:paraId="6AC3320C">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4ADB75D2">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危险特性</w:t>
            </w:r>
          </w:p>
        </w:tc>
        <w:tc>
          <w:tcPr>
            <w:tcW w:w="3896" w:type="pct"/>
            <w:gridSpan w:val="9"/>
            <w:tcBorders>
              <w:tl2br w:val="nil"/>
              <w:tr2bl w:val="nil"/>
            </w:tcBorders>
            <w:noWrap w:val="0"/>
            <w:vAlign w:val="center"/>
          </w:tcPr>
          <w:p w14:paraId="6819BFA9">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与酸发生中和反应并放热。遇潮时对铝、锌和锡有腐蚀性，并放出易燃易爆的氢气。本品不会燃烧</w:t>
            </w:r>
            <w:r>
              <w:rPr>
                <w:rFonts w:hint="eastAsia" w:ascii="宋体" w:hAnsi="宋体" w:cs="Times New Roman"/>
                <w:color w:val="000000" w:themeColor="text1"/>
                <w:sz w:val="21"/>
                <w:szCs w:val="21"/>
                <w:lang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 xml:space="preserve"> 遇水和水蒸气大量放热</w:t>
            </w:r>
            <w:r>
              <w:rPr>
                <w:rFonts w:hint="eastAsia" w:ascii="宋体" w:hAnsi="宋体" w:cs="Times New Roman"/>
                <w:color w:val="000000" w:themeColor="text1"/>
                <w:sz w:val="21"/>
                <w:szCs w:val="21"/>
                <w:lang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 xml:space="preserve"> 形成腐蚀性溶液。具有强腐蚀性。</w:t>
            </w:r>
          </w:p>
        </w:tc>
      </w:tr>
      <w:tr w14:paraId="02179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262" w:type="pct"/>
            <w:vMerge w:val="continue"/>
            <w:tcBorders>
              <w:tl2br w:val="nil"/>
              <w:tr2bl w:val="nil"/>
            </w:tcBorders>
            <w:noWrap w:val="0"/>
            <w:vAlign w:val="center"/>
          </w:tcPr>
          <w:p w14:paraId="1E0F176B">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09188CC0">
            <w:pPr>
              <w:spacing w:line="240" w:lineRule="auto"/>
              <w:ind w:firstLine="0" w:firstLineChars="0"/>
              <w:jc w:val="center"/>
              <w:rPr>
                <w:rFonts w:ascii="宋体" w:hAnsi="宋体" w:eastAsia="宋体" w:cs="Times New Roman"/>
                <w:color w:val="000000" w:themeColor="text1"/>
                <w:spacing w:val="4"/>
                <w:sz w:val="21"/>
                <w:szCs w:val="21"/>
                <w14:textFill>
                  <w14:solidFill>
                    <w14:schemeClr w14:val="tx1"/>
                  </w14:solidFill>
                </w14:textFill>
              </w:rPr>
            </w:pPr>
            <w:r>
              <w:rPr>
                <w:rFonts w:hint="eastAsia" w:ascii="宋体" w:hAnsi="宋体" w:eastAsia="宋体" w:cs="Times New Roman"/>
                <w:color w:val="000000" w:themeColor="text1"/>
                <w:spacing w:val="4"/>
                <w:sz w:val="21"/>
                <w:szCs w:val="21"/>
                <w14:textFill>
                  <w14:solidFill>
                    <w14:schemeClr w14:val="tx1"/>
                  </w14:solidFill>
                </w14:textFill>
              </w:rPr>
              <w:t>建规火险分级</w:t>
            </w:r>
          </w:p>
        </w:tc>
        <w:tc>
          <w:tcPr>
            <w:tcW w:w="982" w:type="pct"/>
            <w:gridSpan w:val="3"/>
            <w:tcBorders>
              <w:tl2br w:val="nil"/>
              <w:tr2bl w:val="nil"/>
            </w:tcBorders>
            <w:noWrap w:val="0"/>
            <w:vAlign w:val="center"/>
          </w:tcPr>
          <w:p w14:paraId="4D1E76AB">
            <w:pPr>
              <w:spacing w:line="240" w:lineRule="auto"/>
              <w:ind w:firstLine="0" w:firstLineChars="0"/>
              <w:jc w:val="center"/>
              <w:rPr>
                <w:rFonts w:hint="eastAsia"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戊</w:t>
            </w:r>
          </w:p>
        </w:tc>
        <w:tc>
          <w:tcPr>
            <w:tcW w:w="673" w:type="pct"/>
            <w:tcBorders>
              <w:tl2br w:val="nil"/>
              <w:tr2bl w:val="nil"/>
            </w:tcBorders>
            <w:noWrap w:val="0"/>
            <w:vAlign w:val="center"/>
          </w:tcPr>
          <w:p w14:paraId="368B3553">
            <w:pPr>
              <w:spacing w:line="240" w:lineRule="auto"/>
              <w:ind w:firstLine="0" w:firstLineChars="0"/>
              <w:jc w:val="center"/>
              <w:rPr>
                <w:rFonts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稳定性</w:t>
            </w:r>
          </w:p>
        </w:tc>
        <w:tc>
          <w:tcPr>
            <w:tcW w:w="481" w:type="pct"/>
            <w:gridSpan w:val="2"/>
            <w:tcBorders>
              <w:tl2br w:val="nil"/>
              <w:tr2bl w:val="nil"/>
            </w:tcBorders>
            <w:noWrap w:val="0"/>
            <w:vAlign w:val="center"/>
          </w:tcPr>
          <w:p w14:paraId="41DA6691">
            <w:pPr>
              <w:spacing w:line="240" w:lineRule="auto"/>
              <w:ind w:firstLine="0" w:firstLineChars="0"/>
              <w:jc w:val="center"/>
              <w:rPr>
                <w:rFonts w:hint="eastAsia"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稳定</w:t>
            </w:r>
          </w:p>
        </w:tc>
        <w:tc>
          <w:tcPr>
            <w:tcW w:w="1036" w:type="pct"/>
            <w:tcBorders>
              <w:tl2br w:val="nil"/>
              <w:tr2bl w:val="nil"/>
            </w:tcBorders>
            <w:noWrap w:val="0"/>
            <w:vAlign w:val="center"/>
          </w:tcPr>
          <w:p w14:paraId="4B2538A8">
            <w:pPr>
              <w:spacing w:line="240" w:lineRule="auto"/>
              <w:ind w:firstLine="0" w:firstLineChars="0"/>
              <w:jc w:val="center"/>
              <w:rPr>
                <w:rFonts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聚合危害</w:t>
            </w:r>
          </w:p>
        </w:tc>
        <w:tc>
          <w:tcPr>
            <w:tcW w:w="722" w:type="pct"/>
            <w:gridSpan w:val="2"/>
            <w:tcBorders>
              <w:tl2br w:val="nil"/>
              <w:tr2bl w:val="nil"/>
            </w:tcBorders>
            <w:noWrap w:val="0"/>
            <w:vAlign w:val="center"/>
          </w:tcPr>
          <w:p w14:paraId="4218E7EC">
            <w:pPr>
              <w:spacing w:line="240" w:lineRule="auto"/>
              <w:ind w:firstLine="0" w:firstLineChars="0"/>
              <w:jc w:val="center"/>
              <w:rPr>
                <w:rFonts w:hint="eastAsia"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不聚合</w:t>
            </w:r>
          </w:p>
        </w:tc>
      </w:tr>
      <w:tr w14:paraId="345F6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262" w:type="pct"/>
            <w:vMerge w:val="continue"/>
            <w:tcBorders>
              <w:tl2br w:val="nil"/>
              <w:tr2bl w:val="nil"/>
            </w:tcBorders>
            <w:noWrap w:val="0"/>
            <w:vAlign w:val="center"/>
          </w:tcPr>
          <w:p w14:paraId="573D611F">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244A0A2A">
            <w:pPr>
              <w:spacing w:line="240" w:lineRule="auto"/>
              <w:ind w:firstLine="0" w:firstLineChars="0"/>
              <w:jc w:val="center"/>
              <w:rPr>
                <w:rFonts w:ascii="宋体" w:hAnsi="宋体" w:eastAsia="宋体" w:cs="Times New Roman"/>
                <w:color w:val="000000" w:themeColor="text1"/>
                <w:spacing w:val="10"/>
                <w:sz w:val="21"/>
                <w:szCs w:val="21"/>
                <w14:textFill>
                  <w14:solidFill>
                    <w14:schemeClr w14:val="tx1"/>
                  </w14:solidFill>
                </w14:textFill>
              </w:rPr>
            </w:pPr>
            <w:r>
              <w:rPr>
                <w:rFonts w:hint="eastAsia" w:ascii="宋体" w:hAnsi="宋体" w:eastAsia="宋体" w:cs="Times New Roman"/>
                <w:color w:val="000000" w:themeColor="text1"/>
                <w:spacing w:val="10"/>
                <w:sz w:val="21"/>
                <w:szCs w:val="21"/>
                <w14:textFill>
                  <w14:solidFill>
                    <w14:schemeClr w14:val="tx1"/>
                  </w14:solidFill>
                </w14:textFill>
              </w:rPr>
              <w:t>禁忌物</w:t>
            </w:r>
          </w:p>
        </w:tc>
        <w:tc>
          <w:tcPr>
            <w:tcW w:w="3896" w:type="pct"/>
            <w:gridSpan w:val="9"/>
            <w:tcBorders>
              <w:tl2br w:val="nil"/>
              <w:tr2bl w:val="nil"/>
            </w:tcBorders>
            <w:noWrap w:val="0"/>
            <w:vAlign w:val="center"/>
          </w:tcPr>
          <w:p w14:paraId="0EF9B172">
            <w:pPr>
              <w:spacing w:line="240" w:lineRule="auto"/>
              <w:ind w:firstLine="0" w:firstLineChars="0"/>
              <w:rPr>
                <w:rFonts w:hint="eastAsia" w:ascii="宋体" w:hAnsi="宋体" w:eastAsia="宋体" w:cs="Times New Roman"/>
                <w:b/>
                <w:color w:val="000000" w:themeColor="text1"/>
                <w:spacing w:val="10"/>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强酸、易燃或可燃物、二氧化碳、过氧化物、水。</w:t>
            </w:r>
          </w:p>
        </w:tc>
      </w:tr>
      <w:tr w14:paraId="37DC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262" w:type="pct"/>
            <w:vMerge w:val="continue"/>
            <w:tcBorders>
              <w:tl2br w:val="nil"/>
              <w:tr2bl w:val="nil"/>
            </w:tcBorders>
            <w:noWrap w:val="0"/>
            <w:vAlign w:val="center"/>
          </w:tcPr>
          <w:p w14:paraId="15FD329B">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1CCA5213">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储运条件</w:t>
            </w:r>
          </w:p>
          <w:p w14:paraId="1AC817C4">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与泄漏处理</w:t>
            </w:r>
          </w:p>
        </w:tc>
        <w:tc>
          <w:tcPr>
            <w:tcW w:w="3896" w:type="pct"/>
            <w:gridSpan w:val="9"/>
            <w:tcBorders>
              <w:tl2br w:val="nil"/>
              <w:tr2bl w:val="nil"/>
            </w:tcBorders>
            <w:noWrap w:val="0"/>
            <w:vAlign w:val="center"/>
          </w:tcPr>
          <w:p w14:paraId="239BEB8B">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b/>
                <w:color w:val="000000" w:themeColor="text1"/>
                <w:spacing w:val="10"/>
                <w:sz w:val="21"/>
                <w:szCs w:val="24"/>
                <w14:textFill>
                  <w14:solidFill>
                    <w14:schemeClr w14:val="tx1"/>
                  </w14:solidFill>
                </w14:textFill>
              </w:rPr>
              <w:t>储运条件</w:t>
            </w:r>
            <w:r>
              <w:rPr>
                <w:rFonts w:ascii="Times New Roman" w:hAnsi="Times New Roman" w:eastAsia="宋体" w:cs="Arial"/>
                <w:color w:val="000000" w:themeColor="text1"/>
                <w:spacing w:val="10"/>
                <w:sz w:val="21"/>
                <w:szCs w:val="24"/>
                <w14:textFill>
                  <w14:solidFill>
                    <w14:schemeClr w14:val="tx1"/>
                  </w14:solidFill>
                </w14:textFill>
              </w:rPr>
              <w:t>：储存于干燥清洁的仓间内，注意防潮和雨淋。应与易燃或可燃物及酸类分开存放。搬运时应轻装轻卸，防止包装和容器损坏。雨天不宜运输。</w:t>
            </w:r>
            <w:r>
              <w:rPr>
                <w:rFonts w:ascii="Times New Roman" w:hAnsi="Times New Roman" w:eastAsia="宋体" w:cs="Arial"/>
                <w:b/>
                <w:color w:val="000000" w:themeColor="text1"/>
                <w:spacing w:val="10"/>
                <w:sz w:val="21"/>
                <w:szCs w:val="24"/>
                <w14:textFill>
                  <w14:solidFill>
                    <w14:schemeClr w14:val="tx1"/>
                  </w14:solidFill>
                </w14:textFill>
              </w:rPr>
              <w:t>泄漏处理</w:t>
            </w:r>
            <w:r>
              <w:rPr>
                <w:rFonts w:ascii="Times New Roman" w:hAnsi="Times New Roman" w:eastAsia="宋体" w:cs="Arial"/>
                <w:color w:val="000000" w:themeColor="text1"/>
                <w:spacing w:val="10"/>
                <w:sz w:val="21"/>
                <w:szCs w:val="24"/>
                <w14:textFill>
                  <w14:solidFill>
                    <w14:schemeClr w14:val="tx1"/>
                  </w14:solidFill>
                </w14:textFill>
              </w:rPr>
              <w:t>：</w:t>
            </w:r>
            <w:r>
              <w:rPr>
                <w:rFonts w:ascii="Times New Roman" w:hAnsi="Times New Roman" w:eastAsia="宋体" w:cs="Arial"/>
                <w:color w:val="000000" w:themeColor="text1"/>
                <w:sz w:val="21"/>
                <w:szCs w:val="24"/>
                <w14:textFill>
                  <w14:solidFill>
                    <w14:schemeClr w14:val="tx1"/>
                  </w14:solidFill>
                </w14:textFill>
              </w:rPr>
              <w:t>隔离泄漏污染区，周围设警告标志，建议应急处理人员戴好防毒面具，穿化学防护服。不要直接接触泄漏物，用洁清的铲子收集于干燥</w:t>
            </w:r>
            <w:r>
              <w:rPr>
                <w:rFonts w:hint="eastAsia" w:cs="Arial"/>
                <w:color w:val="000000" w:themeColor="text1"/>
                <w:sz w:val="21"/>
                <w:szCs w:val="24"/>
                <w:lang w:eastAsia="zh-CN"/>
                <w14:textFill>
                  <w14:solidFill>
                    <w14:schemeClr w14:val="tx1"/>
                  </w14:solidFill>
                </w14:textFill>
              </w:rPr>
              <w:t>洁净有盖的</w:t>
            </w:r>
            <w:r>
              <w:rPr>
                <w:rFonts w:ascii="Times New Roman" w:hAnsi="Times New Roman" w:eastAsia="宋体" w:cs="Arial"/>
                <w:color w:val="000000" w:themeColor="text1"/>
                <w:sz w:val="21"/>
                <w:szCs w:val="24"/>
                <w14:textFill>
                  <w14:solidFill>
                    <w14:schemeClr w14:val="tx1"/>
                  </w14:solidFill>
                </w14:textFill>
              </w:rPr>
              <w:t>容器中，以少量加入大量水中，调节至中性，再放入废水系统。也可以用大量水冲洗，经稀释的洗水放入废水系统。如大量泄漏，收集回收或无害处理后废弃。</w:t>
            </w:r>
          </w:p>
        </w:tc>
      </w:tr>
      <w:tr w14:paraId="16E27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2" w:type="pct"/>
            <w:vMerge w:val="continue"/>
            <w:tcBorders>
              <w:tl2br w:val="nil"/>
              <w:tr2bl w:val="nil"/>
            </w:tcBorders>
            <w:noWrap w:val="0"/>
            <w:vAlign w:val="center"/>
          </w:tcPr>
          <w:p w14:paraId="5513F5B5">
            <w:pPr>
              <w:widowControl/>
              <w:spacing w:line="240" w:lineRule="auto"/>
              <w:ind w:firstLine="0" w:firstLineChars="0"/>
              <w:jc w:val="left"/>
              <w:rPr>
                <w:rFonts w:ascii="Times New Roman" w:hAnsi="Times New Roman" w:eastAsia="宋体" w:cs="Arial"/>
                <w:color w:val="000000" w:themeColor="text1"/>
                <w:spacing w:val="10"/>
                <w:sz w:val="21"/>
                <w:szCs w:val="24"/>
                <w14:textFill>
                  <w14:solidFill>
                    <w14:schemeClr w14:val="tx1"/>
                  </w14:solidFill>
                </w14:textFill>
              </w:rPr>
            </w:pPr>
          </w:p>
        </w:tc>
        <w:tc>
          <w:tcPr>
            <w:tcW w:w="840" w:type="pct"/>
            <w:tcBorders>
              <w:tl2br w:val="nil"/>
              <w:tr2bl w:val="nil"/>
            </w:tcBorders>
            <w:noWrap w:val="0"/>
            <w:vAlign w:val="center"/>
          </w:tcPr>
          <w:p w14:paraId="78B6CD66">
            <w:pPr>
              <w:spacing w:line="240" w:lineRule="auto"/>
              <w:ind w:firstLine="0" w:firstLineChars="0"/>
              <w:jc w:val="center"/>
              <w:rPr>
                <w:rFonts w:ascii="Times New Roman" w:hAnsi="Times New Roman" w:eastAsia="宋体" w:cs="Arial"/>
                <w:color w:val="000000" w:themeColor="text1"/>
                <w:spacing w:val="10"/>
                <w:sz w:val="21"/>
                <w:szCs w:val="24"/>
                <w14:textFill>
                  <w14:solidFill>
                    <w14:schemeClr w14:val="tx1"/>
                  </w14:solidFill>
                </w14:textFill>
              </w:rPr>
            </w:pPr>
            <w:r>
              <w:rPr>
                <w:rFonts w:ascii="Times New Roman" w:hAnsi="Times New Roman" w:eastAsia="宋体" w:cs="Arial"/>
                <w:color w:val="000000" w:themeColor="text1"/>
                <w:spacing w:val="10"/>
                <w:sz w:val="21"/>
                <w:szCs w:val="24"/>
                <w14:textFill>
                  <w14:solidFill>
                    <w14:schemeClr w14:val="tx1"/>
                  </w14:solidFill>
                </w14:textFill>
              </w:rPr>
              <w:t>灭火方法</w:t>
            </w:r>
          </w:p>
        </w:tc>
        <w:tc>
          <w:tcPr>
            <w:tcW w:w="3896" w:type="pct"/>
            <w:gridSpan w:val="9"/>
            <w:tcBorders>
              <w:tl2br w:val="nil"/>
              <w:tr2bl w:val="nil"/>
            </w:tcBorders>
            <w:noWrap w:val="0"/>
            <w:vAlign w:val="center"/>
          </w:tcPr>
          <w:p w14:paraId="1EB0F998">
            <w:pPr>
              <w:spacing w:line="240" w:lineRule="auto"/>
              <w:ind w:firstLine="0" w:firstLineChars="0"/>
              <w:rPr>
                <w:rFonts w:ascii="Times New Roman" w:hAnsi="Times New Roman" w:eastAsia="宋体" w:cs="Arial"/>
                <w:color w:val="000000" w:themeColor="text1"/>
                <w:spacing w:val="10"/>
                <w:sz w:val="21"/>
                <w:szCs w:val="24"/>
                <w14:textFill>
                  <w14:solidFill>
                    <w14:schemeClr w14:val="tx1"/>
                  </w14:solidFill>
                </w14:textFill>
              </w:rPr>
            </w:pPr>
            <w:r>
              <w:rPr>
                <w:rFonts w:ascii="宋体" w:hAnsi="宋体" w:eastAsia="宋体" w:cs="Times New Roman"/>
                <w:color w:val="000000" w:themeColor="text1"/>
                <w:sz w:val="21"/>
                <w:szCs w:val="24"/>
                <w14:textFill>
                  <w14:solidFill>
                    <w14:schemeClr w14:val="tx1"/>
                  </w14:solidFill>
                </w14:textFill>
              </w:rPr>
              <w:t>用水、砂土扑救，但须防止物品遇水产生飞溅，造成灼伤。</w:t>
            </w:r>
          </w:p>
        </w:tc>
      </w:tr>
    </w:tbl>
    <w:p w14:paraId="72E9A773">
      <w:pPr>
        <w:keepNext/>
        <w:keepLines/>
        <w:pageBreakBefore w:val="0"/>
        <w:widowControl w:val="0"/>
        <w:tabs>
          <w:tab w:val="left" w:pos="2924"/>
          <w:tab w:val="center" w:pos="45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lang w:val="zh-CN"/>
          <w14:textFill>
            <w14:solidFill>
              <w14:schemeClr w14:val="tx1"/>
            </w14:solidFill>
          </w14:textFill>
        </w:rPr>
      </w:pPr>
    </w:p>
    <w:p w14:paraId="220ACD7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color w:val="000000" w:themeColor="text1"/>
          <w14:textFill>
            <w14:solidFill>
              <w14:schemeClr w14:val="tx1"/>
            </w14:solidFill>
          </w14:textFill>
        </w:rPr>
      </w:pPr>
      <w:bookmarkStart w:id="368" w:name="_Toc28571"/>
      <w:bookmarkStart w:id="369" w:name="_Toc9728"/>
      <w:r>
        <w:rPr>
          <w:rFonts w:hint="default" w:ascii="Times New Roman" w:hAnsi="Times New Roman" w:cs="Times New Roman"/>
          <w:color w:val="000000" w:themeColor="text1"/>
          <w:lang w:val="en-US" w:eastAsia="zh-CN"/>
          <w14:textFill>
            <w14:solidFill>
              <w14:schemeClr w14:val="tx1"/>
            </w14:solidFill>
          </w14:textFill>
        </w:rPr>
        <w:t>3.4.</w:t>
      </w:r>
      <w:r>
        <w:rPr>
          <w:rFonts w:hint="eastAsia" w:ascii="Times New Roman" w:hAnsi="Times New Roman" w:cs="Times New Roman"/>
          <w:color w:val="000000" w:themeColor="text1"/>
          <w:lang w:val="en-US" w:eastAsia="zh-CN"/>
          <w14:textFill>
            <w14:solidFill>
              <w14:schemeClr w14:val="tx1"/>
            </w14:solidFill>
          </w14:textFill>
        </w:rPr>
        <w:t xml:space="preserve">4 </w:t>
      </w:r>
      <w:r>
        <w:rPr>
          <w:rFonts w:hint="default" w:ascii="Times New Roman" w:hAnsi="Times New Roman" w:cs="Times New Roman"/>
          <w:color w:val="000000" w:themeColor="text1"/>
          <w:lang w:val="en-US" w:eastAsia="zh-CN"/>
          <w14:textFill>
            <w14:solidFill>
              <w14:schemeClr w14:val="tx1"/>
            </w14:solidFill>
          </w14:textFill>
        </w:rPr>
        <w:t>物质危险特性汇总表</w:t>
      </w:r>
      <w:bookmarkEnd w:id="368"/>
      <w:bookmarkEnd w:id="369"/>
    </w:p>
    <w:p w14:paraId="75B6294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表3-</w:t>
      </w:r>
      <w:r>
        <w:rPr>
          <w:rFonts w:hint="eastAsia" w:ascii="Times New Roman" w:cs="Times New Roman"/>
          <w:b/>
          <w:color w:val="000000" w:themeColor="text1"/>
          <w:lang w:val="en-US" w:eastAsia="zh-CN"/>
          <w14:textFill>
            <w14:solidFill>
              <w14:schemeClr w14:val="tx1"/>
            </w14:solidFill>
          </w14:textFill>
        </w:rPr>
        <w:t>8</w:t>
      </w:r>
      <w:r>
        <w:rPr>
          <w:rFonts w:hint="default" w:ascii="Times New Roman" w:hAnsi="Times New Roman" w:cs="Times New Roman"/>
          <w:b/>
          <w:color w:val="000000" w:themeColor="text1"/>
          <w14:textFill>
            <w14:solidFill>
              <w14:schemeClr w14:val="tx1"/>
            </w14:solidFill>
          </w14:textFill>
        </w:rPr>
        <w:t>物质危险特性汇总表</w:t>
      </w:r>
    </w:p>
    <w:tbl>
      <w:tblPr>
        <w:tblStyle w:val="52"/>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24"/>
        <w:gridCol w:w="1658"/>
        <w:gridCol w:w="5832"/>
      </w:tblGrid>
      <w:tr w14:paraId="2B44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1" w:type="dxa"/>
            <w:noWrap/>
            <w:vAlign w:val="center"/>
          </w:tcPr>
          <w:p w14:paraId="79AC1AB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224" w:type="dxa"/>
            <w:noWrap/>
            <w:vAlign w:val="center"/>
          </w:tcPr>
          <w:p w14:paraId="6B3B952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危险、有害</w:t>
            </w:r>
          </w:p>
          <w:p w14:paraId="188D292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物质名称</w:t>
            </w:r>
          </w:p>
        </w:tc>
        <w:tc>
          <w:tcPr>
            <w:tcW w:w="1658" w:type="dxa"/>
            <w:noWrap/>
            <w:vAlign w:val="center"/>
          </w:tcPr>
          <w:p w14:paraId="7926E74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主要存在场所</w:t>
            </w:r>
          </w:p>
        </w:tc>
        <w:tc>
          <w:tcPr>
            <w:tcW w:w="5832" w:type="dxa"/>
            <w:noWrap/>
            <w:vAlign w:val="center"/>
          </w:tcPr>
          <w:p w14:paraId="5D7EB36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主要危险特性</w:t>
            </w:r>
          </w:p>
        </w:tc>
      </w:tr>
      <w:tr w14:paraId="3710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681" w:type="dxa"/>
            <w:noWrap/>
            <w:vAlign w:val="center"/>
          </w:tcPr>
          <w:p w14:paraId="31FC554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w:t>
            </w:r>
          </w:p>
        </w:tc>
        <w:tc>
          <w:tcPr>
            <w:tcW w:w="1224" w:type="dxa"/>
            <w:noWrap/>
            <w:vAlign w:val="center"/>
          </w:tcPr>
          <w:p w14:paraId="4AC0434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氢氧化钠</w:t>
            </w:r>
          </w:p>
        </w:tc>
        <w:tc>
          <w:tcPr>
            <w:tcW w:w="1658" w:type="dxa"/>
            <w:noWrap/>
            <w:vAlign w:val="center"/>
          </w:tcPr>
          <w:p w14:paraId="37492D5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脱硫塔加氢氧化钠吸收烟气。</w:t>
            </w:r>
          </w:p>
        </w:tc>
        <w:tc>
          <w:tcPr>
            <w:tcW w:w="5832" w:type="dxa"/>
            <w:noWrap/>
            <w:vAlign w:val="center"/>
          </w:tcPr>
          <w:p w14:paraId="19C2C73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有强烈刺激和腐蚀性。粉尘刺激眼和呼吸道,腐蚀鼻中隔；皮肤和眼直接接触可引起灼伤；误服可造成消化道灼伤，黏膜糜烂、出血和休克。</w:t>
            </w:r>
          </w:p>
        </w:tc>
      </w:tr>
    </w:tbl>
    <w:p w14:paraId="1ECF9C77">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370" w:name="_Toc24809"/>
      <w:bookmarkStart w:id="371" w:name="_Toc22390"/>
      <w:bookmarkStart w:id="372" w:name="_Toc12119"/>
      <w:bookmarkStart w:id="373" w:name="_Toc28911"/>
      <w:r>
        <w:rPr>
          <w:rFonts w:hint="default" w:ascii="Times New Roman" w:hAnsi="Times New Roman" w:eastAsia="楷体" w:cs="Times New Roman"/>
          <w:color w:val="000000" w:themeColor="text1"/>
          <w14:textFill>
            <w14:solidFill>
              <w14:schemeClr w14:val="tx1"/>
            </w14:solidFill>
          </w14:textFill>
        </w:rPr>
        <w:t>3.5</w:t>
      </w:r>
      <w:r>
        <w:rPr>
          <w:rFonts w:hint="eastAsia" w:ascii="Times New Roman" w:hAnsi="Times New Roman" w:cs="Times New Roman"/>
          <w:color w:val="000000" w:themeColor="text1"/>
          <w:lang w:val="en-US" w:eastAsia="zh-CN"/>
          <w14:textFill>
            <w14:solidFill>
              <w14:schemeClr w14:val="tx1"/>
            </w14:solidFill>
          </w14:textFill>
        </w:rPr>
        <w:t>厂址及总平面布置</w:t>
      </w:r>
      <w:r>
        <w:rPr>
          <w:rFonts w:hint="default" w:ascii="Times New Roman" w:hAnsi="Times New Roman" w:eastAsia="楷体" w:cs="Times New Roman"/>
          <w:color w:val="000000" w:themeColor="text1"/>
          <w14:textFill>
            <w14:solidFill>
              <w14:schemeClr w14:val="tx1"/>
            </w14:solidFill>
          </w14:textFill>
        </w:rPr>
        <w:t>主要危险、有害因素辨识与分析</w:t>
      </w:r>
      <w:bookmarkEnd w:id="370"/>
      <w:bookmarkEnd w:id="371"/>
      <w:bookmarkEnd w:id="372"/>
      <w:bookmarkEnd w:id="373"/>
    </w:p>
    <w:p w14:paraId="1DB2333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74" w:name="_Toc11229"/>
      <w:bookmarkStart w:id="375" w:name="_Toc28400"/>
      <w:bookmarkStart w:id="376" w:name="_Toc30001393"/>
      <w:bookmarkStart w:id="377" w:name="_Toc2928"/>
      <w:bookmarkStart w:id="378" w:name="_Toc61474415"/>
      <w:bookmarkStart w:id="379" w:name="_Toc21492"/>
      <w:bookmarkStart w:id="380" w:name="_Toc1906"/>
      <w:r>
        <w:rPr>
          <w:rFonts w:hint="default" w:ascii="Times New Roman" w:hAnsi="Times New Roman" w:cs="Times New Roman"/>
          <w:color w:val="000000" w:themeColor="text1"/>
          <w:lang w:val="en-US" w:eastAsia="zh-CN"/>
          <w14:textFill>
            <w14:solidFill>
              <w14:schemeClr w14:val="tx1"/>
            </w14:solidFill>
          </w14:textFill>
        </w:rPr>
        <w:t>3.5.1厂址危险性分析</w:t>
      </w:r>
      <w:bookmarkEnd w:id="374"/>
      <w:bookmarkEnd w:id="375"/>
      <w:bookmarkEnd w:id="376"/>
      <w:bookmarkEnd w:id="377"/>
      <w:bookmarkEnd w:id="378"/>
      <w:bookmarkEnd w:id="379"/>
      <w:bookmarkEnd w:id="380"/>
    </w:p>
    <w:p w14:paraId="58635803">
      <w:pPr>
        <w:adjustRightInd w:val="0"/>
        <w:snapToGrid w:val="0"/>
        <w:spacing w:line="50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该项目厂址方面的因素主要有项目所在地自然条件以及周边环境对项目的影响。</w:t>
      </w:r>
    </w:p>
    <w:p w14:paraId="76344A2C">
      <w:pPr>
        <w:numPr>
          <w:ilvl w:val="0"/>
          <w:numId w:val="9"/>
        </w:numPr>
        <w:tabs>
          <w:tab w:val="left" w:pos="0"/>
          <w:tab w:val="left" w:pos="840"/>
          <w:tab w:val="left" w:pos="993"/>
        </w:tabs>
        <w:adjustRightInd w:val="0"/>
        <w:snapToGrid w:val="0"/>
        <w:spacing w:line="500" w:lineRule="exact"/>
        <w:ind w:left="0"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气象</w:t>
      </w:r>
    </w:p>
    <w:p w14:paraId="4F0E6714">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1）大风：厂区所在位置场地开阔，</w:t>
      </w:r>
      <w:r>
        <w:rPr>
          <w:color w:val="000000" w:themeColor="text1"/>
          <w:sz w:val="28"/>
          <w:szCs w:val="28"/>
          <w14:textFill>
            <w14:solidFill>
              <w14:schemeClr w14:val="tx1"/>
            </w14:solidFill>
          </w14:textFill>
        </w:rPr>
        <w:t>春季风大</w:t>
      </w:r>
      <w:r>
        <w:rPr>
          <w:color w:val="000000" w:themeColor="text1"/>
          <w:sz w:val="28"/>
          <w14:textFill>
            <w14:solidFill>
              <w14:schemeClr w14:val="tx1"/>
            </w14:solidFill>
          </w14:textFill>
        </w:rPr>
        <w:t>。大风可能导致厂区内建构筑物坍塌；造成高处未佩戴安全防护用品的人员发生高处坠落事故；或导致高处堆放的零散物件坠落，对地面的人员造成物体打击伤害；还可能导致扬尘，造成视线不清，从而引发机械伤害、车辆伤害等事故的发生。</w:t>
      </w:r>
    </w:p>
    <w:p w14:paraId="76955616">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2）高温：高温天气对人体健康的主要影响是产生中暑以及诱</w:t>
      </w:r>
      <w:r>
        <w:rPr>
          <w:rFonts w:hint="eastAsia"/>
          <w:color w:val="000000" w:themeColor="text1"/>
          <w:sz w:val="28"/>
          <w14:textFill>
            <w14:solidFill>
              <w14:schemeClr w14:val="tx1"/>
            </w14:solidFill>
          </w14:textFill>
        </w:rPr>
        <w:t>心脑血管</w:t>
      </w:r>
      <w:r>
        <w:rPr>
          <w:color w:val="000000" w:themeColor="text1"/>
          <w:sz w:val="28"/>
          <w14:textFill>
            <w14:solidFill>
              <w14:schemeClr w14:val="tx1"/>
            </w14:solidFill>
          </w14:textFill>
        </w:rPr>
        <w:t>管疾病导致死亡。该项目在运行过程中，</w:t>
      </w:r>
      <w:r>
        <w:rPr>
          <w:color w:val="000000" w:themeColor="text1"/>
          <w:sz w:val="28"/>
          <w:szCs w:val="28"/>
          <w14:textFill>
            <w14:solidFill>
              <w14:schemeClr w14:val="tx1"/>
            </w14:solidFill>
          </w14:textFill>
        </w:rPr>
        <w:t>极端最高气温</w:t>
      </w:r>
      <w:r>
        <w:rPr>
          <w:rFonts w:hint="eastAsia"/>
          <w:color w:val="000000" w:themeColor="text1"/>
          <w:sz w:val="28"/>
          <w:szCs w:val="28"/>
          <w:lang w:val="en-US" w:eastAsia="zh-CN"/>
          <w14:textFill>
            <w14:solidFill>
              <w14:schemeClr w14:val="tx1"/>
            </w14:solidFill>
          </w14:textFill>
        </w:rPr>
        <w:t>34</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w:t>
      </w:r>
      <w:r>
        <w:rPr>
          <w:color w:val="000000" w:themeColor="text1"/>
          <w:sz w:val="28"/>
          <w14:textFill>
            <w14:solidFill>
              <w14:schemeClr w14:val="tx1"/>
            </w14:solidFill>
          </w14:textFill>
        </w:rPr>
        <w:t>在夏季高温天气下，可能造成作业人员发生中暑的危险。</w:t>
      </w:r>
    </w:p>
    <w:p w14:paraId="5A147271">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3）暴雨：暴雨是主要气象灾害之一。长时间的暴雨容易产生积水或径流淹没低洼地段，造成洪涝灾害。厂区设备可能受潮、房顶漏雨，地面积水导致电气设备、线路、开关装置短路，发生漏电伤人事故。</w:t>
      </w:r>
    </w:p>
    <w:p w14:paraId="5D773AFB">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4）雷击：雷电事故有可能对建筑物和电气设备造成破坏。</w:t>
      </w:r>
    </w:p>
    <w:p w14:paraId="421E9888">
      <w:pPr>
        <w:numPr>
          <w:ilvl w:val="0"/>
          <w:numId w:val="9"/>
        </w:numPr>
        <w:tabs>
          <w:tab w:val="left" w:pos="0"/>
          <w:tab w:val="left" w:pos="840"/>
          <w:tab w:val="left" w:pos="993"/>
        </w:tabs>
        <w:adjustRightInd w:val="0"/>
        <w:snapToGrid w:val="0"/>
        <w:spacing w:line="500" w:lineRule="exact"/>
        <w:ind w:left="0"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地质条件方面危险、有害因素分析</w:t>
      </w:r>
    </w:p>
    <w:p w14:paraId="2ACE8215">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（1）地质</w:t>
      </w:r>
    </w:p>
    <w:p w14:paraId="4F612FF4">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地质灾害主要由地形地貌、地层岩性，地质构造、地下水、地震、暴雨等因素等引发。如</w:t>
      </w:r>
      <w:r>
        <w:rPr>
          <w:rFonts w:hint="eastAsia"/>
          <w:color w:val="000000" w:themeColor="text1"/>
          <w:sz w:val="28"/>
          <w14:textFill>
            <w14:solidFill>
              <w14:schemeClr w14:val="tx1"/>
            </w14:solidFill>
          </w14:textFill>
        </w:rPr>
        <w:t>生产过程中</w:t>
      </w:r>
      <w:r>
        <w:rPr>
          <w:color w:val="000000" w:themeColor="text1"/>
          <w:sz w:val="28"/>
          <w14:textFill>
            <w14:solidFill>
              <w14:schemeClr w14:val="tx1"/>
            </w14:solidFill>
          </w14:textFill>
        </w:rPr>
        <w:t>施工不当，也可破坏斜坡平衡，引发滑坡、崩塌等地质灾害。可能会因为地质不良或未根据地质情况采取相应的措施，造成建构筑物坍塌、地基塌陷、基础不均匀沉降等危险，基础不均匀下沉会导致设备损坏、管线破裂，发生坍塌、触电等事故。</w:t>
      </w:r>
    </w:p>
    <w:p w14:paraId="5E7972B0">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（2）水文地质方面</w:t>
      </w:r>
    </w:p>
    <w:p w14:paraId="7431BBFA">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1）地下水位：地下水位的变化，对工程建筑的危害影响较大，如地下水位上升，可引起浅基础地基承载力的降低，在有地震砂土液化的地区会引起液化的加剧，岩土体产生变形、滑移、崩塌失稳等不良的地质作用，继而可导致建构筑物下沉、位移、倾斜甚至坍塌；</w:t>
      </w:r>
    </w:p>
    <w:p w14:paraId="33055132">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2）地下水侵蚀：地下水侵蚀性的影响主要体现在水对混凝土、可溶性石材、管道以及金属材料的侵蚀和危害。突出表现在地下水的侵蚀性和地下水中的化学性质的积极作用，在工程上带来较大的危害，侵蚀性在或快或慢的进行，可改变各种建筑材料的使用预期，造成建构筑物使用寿命的降低；</w:t>
      </w:r>
    </w:p>
    <w:p w14:paraId="6E08A9E0">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3）过度开采地下水：若厂区或周边企业违规自设水井开采地下水，地下水的过度开采经常造成地面沉陷，塌陷的地面给工程造成极大的危害，可致使场地地质状况下降，导致建构筑物下沉、倾斜甚至坍塌，给人员带来安全隐患。</w:t>
      </w:r>
    </w:p>
    <w:p w14:paraId="5D69F7DA">
      <w:pPr>
        <w:tabs>
          <w:tab w:val="left" w:pos="0"/>
          <w:tab w:val="left" w:pos="840"/>
          <w:tab w:val="left" w:pos="993"/>
        </w:tabs>
        <w:adjustRightInd w:val="0"/>
        <w:snapToGrid w:val="0"/>
        <w:spacing w:line="500" w:lineRule="exact"/>
        <w:ind w:left="560"/>
        <w:rPr>
          <w:color w:val="000000" w:themeColor="text1"/>
          <w:sz w:val="28"/>
          <w14:textFill>
            <w14:solidFill>
              <w14:schemeClr w14:val="tx1"/>
            </w14:solidFill>
          </w14:textFill>
        </w:rPr>
      </w:pPr>
      <w:r>
        <w:rPr>
          <w:color w:val="000000" w:themeColor="text1"/>
          <w:sz w:val="28"/>
          <w14:textFill>
            <w14:solidFill>
              <w14:schemeClr w14:val="tx1"/>
            </w14:solidFill>
          </w14:textFill>
        </w:rPr>
        <w:t>（3）地震</w:t>
      </w:r>
    </w:p>
    <w:p w14:paraId="45563B3D">
      <w:pPr>
        <w:tabs>
          <w:tab w:val="left" w:pos="0"/>
          <w:tab w:val="left" w:pos="840"/>
          <w:tab w:val="left" w:pos="993"/>
        </w:tabs>
        <w:adjustRightInd w:val="0"/>
        <w:snapToGrid w:val="0"/>
        <w:spacing w:line="500" w:lineRule="exact"/>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如各建构筑物抗震设防等级不满足要求，地震可破坏建筑物基础，造成建筑物坍塌，造成人员、财产重大损失。</w:t>
      </w:r>
    </w:p>
    <w:p w14:paraId="182B7339">
      <w:pPr>
        <w:numPr>
          <w:ilvl w:val="0"/>
          <w:numId w:val="9"/>
        </w:numPr>
        <w:tabs>
          <w:tab w:val="left" w:pos="0"/>
          <w:tab w:val="left" w:pos="840"/>
          <w:tab w:val="left" w:pos="993"/>
        </w:tabs>
        <w:adjustRightInd w:val="0"/>
        <w:snapToGrid w:val="0"/>
        <w:spacing w:line="500" w:lineRule="exact"/>
        <w:ind w:left="0"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周边环境因素对企业的影响分析</w:t>
      </w:r>
    </w:p>
    <w:p w14:paraId="55EFFFF0">
      <w:pPr>
        <w:adjustRightInd w:val="0"/>
        <w:snapToGrid w:val="0"/>
        <w:spacing w:line="500" w:lineRule="exact"/>
        <w:ind w:firstLine="560" w:firstLineChars="200"/>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14:textFill>
            <w14:solidFill>
              <w14:schemeClr w14:val="tx1"/>
            </w14:solidFill>
          </w14:textFill>
        </w:rPr>
        <w:t>1</w:t>
      </w:r>
      <w:r>
        <w:rPr>
          <w:rFonts w:hint="default" w:ascii="Times New Roman" w:hAnsi="Times New Roman" w:cs="Times New Roman"/>
          <w:color w:val="000000" w:themeColor="text1"/>
          <w:sz w:val="28"/>
          <w:szCs w:val="28"/>
          <w14:textFill>
            <w14:solidFill>
              <w14:schemeClr w14:val="tx1"/>
            </w14:solidFill>
          </w14:textFill>
        </w:rPr>
        <w:t>）厂外企业发生不可控的安全生产事故，容易影响到本公司厂房和设备设施的安全，引发建（构）筑物坍塌、火灾等事故。事故会造成人员损伤和财产损失，终止生产运行。</w:t>
      </w:r>
      <w:r>
        <w:rPr>
          <w:rFonts w:hint="eastAsia" w:ascii="Times New Roman" w:cs="Times New Roman"/>
          <w:color w:val="000000" w:themeColor="text1"/>
          <w:sz w:val="28"/>
          <w:szCs w:val="28"/>
          <w:lang w:val="en-US" w:eastAsia="zh-CN"/>
          <w14:textFill>
            <w14:solidFill>
              <w14:schemeClr w14:val="tx1"/>
            </w14:solidFill>
          </w14:textFill>
        </w:rPr>
        <w:t>如厂区北侧中国石油加油站发生火灾爆炸等。</w:t>
      </w:r>
    </w:p>
    <w:p w14:paraId="733A76CC">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14:textFill>
            <w14:solidFill>
              <w14:schemeClr w14:val="tx1"/>
            </w14:solidFill>
          </w14:textFill>
        </w:rPr>
        <w:t>2</w:t>
      </w:r>
      <w:r>
        <w:rPr>
          <w:rFonts w:hint="default" w:ascii="Times New Roman" w:hAnsi="Times New Roman" w:cs="Times New Roman"/>
          <w:color w:val="000000" w:themeColor="text1"/>
          <w:sz w:val="28"/>
          <w:szCs w:val="28"/>
          <w14:textFill>
            <w14:solidFill>
              <w14:schemeClr w14:val="tx1"/>
            </w14:solidFill>
          </w14:textFill>
        </w:rPr>
        <w:t>）本公司内部其他相关方事故及本公司周边外单位事故可能影响到本公司内部生产安全，影响范围主要为本公司与周边单位相邻区域。</w:t>
      </w:r>
    </w:p>
    <w:p w14:paraId="24EC5D6F">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81" w:name="_Toc30001394"/>
      <w:bookmarkStart w:id="382" w:name="_Toc17415"/>
      <w:bookmarkStart w:id="383" w:name="_Toc7008"/>
      <w:bookmarkStart w:id="384" w:name="_Toc61474416"/>
      <w:bookmarkStart w:id="385" w:name="_Toc1063"/>
      <w:bookmarkStart w:id="386" w:name="_Toc26286"/>
      <w:bookmarkStart w:id="387" w:name="_Toc14374"/>
      <w:r>
        <w:rPr>
          <w:rFonts w:hint="default" w:ascii="Times New Roman" w:hAnsi="Times New Roman" w:cs="Times New Roman"/>
          <w:color w:val="000000" w:themeColor="text1"/>
          <w:lang w:val="en-US" w:eastAsia="zh-CN"/>
          <w14:textFill>
            <w14:solidFill>
              <w14:schemeClr w14:val="tx1"/>
            </w14:solidFill>
          </w14:textFill>
        </w:rPr>
        <w:t>3.5.2总平面布置危险性分析</w:t>
      </w:r>
      <w:bookmarkEnd w:id="381"/>
      <w:bookmarkEnd w:id="382"/>
      <w:bookmarkEnd w:id="383"/>
      <w:bookmarkEnd w:id="384"/>
      <w:bookmarkEnd w:id="385"/>
      <w:bookmarkEnd w:id="386"/>
      <w:bookmarkEnd w:id="387"/>
    </w:p>
    <w:p w14:paraId="701A57AF">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项目总体布置应全面考虑自然条件、社会环境、安全卫生设施、交通道路、建筑物间的防火间距、枢纽规划和环境绿化等对劳动安全和工业卫生都有直接影响的因素，应统一规划，合理安排。</w:t>
      </w:r>
    </w:p>
    <w:p w14:paraId="5A16126C">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总平面布置可能对项目造成危害的主要是防火间距、风向、道路、采光、通风、布置等方面。总平面布置不合理可能会导致火灾、物体打击、机械伤害、车辆伤害、触电、坍塌等危险。引发事故的原因主要有：</w:t>
      </w:r>
    </w:p>
    <w:p w14:paraId="3CFF9548">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1、设备、设施安全通道预留不足，或相关通道阻塞，可导致设备检修、巡检不便，发生机械伤害、灼烫、触电等类型事故。</w:t>
      </w:r>
    </w:p>
    <w:p w14:paraId="3AB164B6">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2、如建（构）筑物之间通道阻塞致使防火间距预留不足，如发生火灾等事故，可能导致事故范围和等级扩大。</w:t>
      </w:r>
      <w:r>
        <w:rPr>
          <w:rFonts w:hint="default" w:ascii="Times New Roman" w:hAnsi="Times New Roman" w:cs="Times New Roman"/>
          <w:color w:val="000000" w:themeColor="text1"/>
          <w:sz w:val="28"/>
          <w:szCs w:val="28"/>
          <w:lang w:val="en-US" w:eastAsia="zh-CN"/>
          <w14:textFill>
            <w14:solidFill>
              <w14:schemeClr w14:val="tx1"/>
            </w14:solidFill>
          </w14:textFill>
        </w:rPr>
        <w:t>当周边的设施或者建筑发生火灾、坍塌等事故时，可能会对厂内建筑物、设施造成一定影响；厂内建筑物发生火灾时，可能造成周边设施或建构筑物造成火</w:t>
      </w:r>
      <w:r>
        <w:rPr>
          <w:rFonts w:hint="default" w:ascii="瀹嬩綋" w:hAnsi="瀹嬩綋" w:eastAsia="瀹嬩綋" w:cs="瀹嬩綋"/>
          <w:color w:val="000000"/>
          <w:kern w:val="0"/>
          <w:sz w:val="28"/>
          <w:szCs w:val="28"/>
          <w:lang w:val="en-US" w:eastAsia="zh-CN" w:bidi="ar"/>
        </w:rPr>
        <w:t>灾的影响。</w:t>
      </w:r>
    </w:p>
    <w:p w14:paraId="20909247">
      <w:pPr>
        <w:adjustRightInd w:val="0"/>
        <w:snapToGrid w:val="0"/>
        <w:spacing w:line="500" w:lineRule="exact"/>
        <w:ind w:firstLine="560" w:firstLineChars="200"/>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3、设备布置过于拥挤，作业区域空间狭小，未设防护挡板等可导致人员受到机械伤害，物体打击伤害</w:t>
      </w:r>
      <w:r>
        <w:rPr>
          <w:rFonts w:hint="default" w:ascii="Times New Roman" w:hAnsi="Times New Roman" w:cs="Times New Roman"/>
          <w:snapToGrid w:val="0"/>
          <w:color w:val="000000" w:themeColor="text1"/>
          <w:kern w:val="0"/>
          <w:sz w:val="28"/>
          <w:szCs w:val="28"/>
          <w14:textFill>
            <w14:solidFill>
              <w14:schemeClr w14:val="tx1"/>
            </w14:solidFill>
          </w14:textFill>
        </w:rPr>
        <w:t>。</w:t>
      </w:r>
    </w:p>
    <w:p w14:paraId="076D4F73">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4、</w:t>
      </w:r>
      <w:r>
        <w:rPr>
          <w:rFonts w:hint="eastAsia" w:ascii="Times New Roman" w:cs="Times New Roman"/>
          <w:color w:val="000000" w:themeColor="text1"/>
          <w:sz w:val="28"/>
          <w:szCs w:val="28"/>
          <w:lang w:val="en-US" w:eastAsia="zh-CN"/>
          <w14:textFill>
            <w14:solidFill>
              <w14:schemeClr w14:val="tx1"/>
            </w14:solidFill>
          </w14:textFill>
        </w:rPr>
        <w:t>厂区</w:t>
      </w:r>
      <w:r>
        <w:rPr>
          <w:rFonts w:hint="default" w:ascii="Times New Roman" w:hAnsi="Times New Roman" w:cs="Times New Roman"/>
          <w:color w:val="000000" w:themeColor="text1"/>
          <w:sz w:val="28"/>
          <w:szCs w:val="28"/>
          <w14:textFill>
            <w14:solidFill>
              <w14:schemeClr w14:val="tx1"/>
            </w14:solidFill>
          </w14:textFill>
        </w:rPr>
        <w:t>出入口存在死角或宽度不足，未设置交通警示标志等，可能引发车辆伤害。</w:t>
      </w:r>
    </w:p>
    <w:p w14:paraId="1B40D260">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项目</w:t>
      </w:r>
      <w:r>
        <w:rPr>
          <w:rFonts w:hint="default" w:ascii="Times New Roman" w:hAnsi="Times New Roman" w:cs="Times New Roman"/>
          <w:color w:val="000000" w:themeColor="text1"/>
          <w:sz w:val="28"/>
          <w:szCs w:val="28"/>
          <w:lang w:val="en-US" w:eastAsia="zh-CN"/>
          <w14:textFill>
            <w14:solidFill>
              <w14:schemeClr w14:val="tx1"/>
            </w14:solidFill>
          </w14:textFill>
        </w:rPr>
        <w:t>东侧</w:t>
      </w:r>
      <w:r>
        <w:rPr>
          <w:rFonts w:hint="eastAsia" w:ascii="Times New Roman" w:cs="Times New Roman"/>
          <w:color w:val="000000" w:themeColor="text1"/>
          <w:sz w:val="28"/>
          <w:szCs w:val="28"/>
          <w:lang w:val="en-US" w:eastAsia="zh-CN"/>
          <w14:textFill>
            <w14:solidFill>
              <w14:schemeClr w14:val="tx1"/>
            </w14:solidFill>
          </w14:textFill>
        </w:rPr>
        <w:t>紧邻</w:t>
      </w:r>
      <w:r>
        <w:rPr>
          <w:rFonts w:hint="default" w:ascii="Times New Roman" w:hAnsi="Times New Roman" w:cs="Times New Roman"/>
          <w:color w:val="000000" w:themeColor="text1"/>
          <w:sz w:val="28"/>
          <w:szCs w:val="28"/>
          <w:lang w:val="en-US" w:eastAsia="zh-CN"/>
          <w14:textFill>
            <w14:solidFill>
              <w14:schemeClr w14:val="tx1"/>
            </w14:solidFill>
          </w14:textFill>
        </w:rPr>
        <w:t xml:space="preserve"> 102 </w:t>
      </w:r>
      <w:r>
        <w:rPr>
          <w:rFonts w:hint="eastAsia" w:ascii="Times New Roman" w:cs="Times New Roman"/>
          <w:color w:val="000000" w:themeColor="text1"/>
          <w:sz w:val="28"/>
          <w:szCs w:val="28"/>
          <w:lang w:val="en-US" w:eastAsia="zh-CN"/>
          <w14:textFill>
            <w14:solidFill>
              <w14:schemeClr w14:val="tx1"/>
            </w14:solidFill>
          </w14:textFill>
        </w:rPr>
        <w:t>省道，</w:t>
      </w:r>
      <w:r>
        <w:rPr>
          <w:rFonts w:hint="default" w:ascii="Times New Roman" w:hAnsi="Times New Roman" w:cs="Times New Roman"/>
          <w:color w:val="000000" w:themeColor="text1"/>
          <w:sz w:val="28"/>
          <w:szCs w:val="28"/>
          <w:lang w:val="en-US" w:eastAsia="zh-CN"/>
          <w14:textFill>
            <w14:solidFill>
              <w14:schemeClr w14:val="tx1"/>
            </w14:solidFill>
          </w14:textFill>
        </w:rPr>
        <w:t>若厂外道路发生交通事故、车辆火灾爆炸等可能使本项目人员、运输车辆无法正常出行，因救火、疏散等原因，还可能导致厂区周边道路发生交通阻塞。</w:t>
      </w:r>
    </w:p>
    <w:p w14:paraId="431BB7C4">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88" w:name="_Toc8862"/>
      <w:bookmarkStart w:id="389" w:name="_Toc31426"/>
      <w:r>
        <w:rPr>
          <w:rFonts w:hint="default" w:ascii="Times New Roman" w:hAnsi="Times New Roman" w:cs="Times New Roman"/>
          <w:color w:val="000000" w:themeColor="text1"/>
          <w:lang w:val="en-US" w:eastAsia="zh-CN"/>
          <w14:textFill>
            <w14:solidFill>
              <w14:schemeClr w14:val="tx1"/>
            </w14:solidFill>
          </w14:textFill>
        </w:rPr>
        <w:t>3.5.</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公用工程和辅助设施的危险、有害因素辨识</w:t>
      </w:r>
      <w:bookmarkEnd w:id="388"/>
      <w:bookmarkEnd w:id="389"/>
    </w:p>
    <w:p w14:paraId="4CF33747">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3.5.</w:t>
      </w:r>
      <w:r>
        <w:rPr>
          <w:rFonts w:hint="eastAsia" w:ascii="Times New Roman" w:hAnsi="Times New Roman" w:eastAsia="宋体" w:cs="Times New Roman"/>
          <w:color w:val="000000" w:themeColor="text1"/>
          <w:kern w:val="0"/>
          <w:lang w:val="en-US" w:eastAsia="zh-CN"/>
          <w14:textFill>
            <w14:solidFill>
              <w14:schemeClr w14:val="tx1"/>
            </w14:solidFill>
          </w14:textFill>
        </w:rPr>
        <w:t>3</w:t>
      </w:r>
      <w:r>
        <w:rPr>
          <w:rFonts w:hint="default" w:ascii="Times New Roman" w:hAnsi="Times New Roman" w:eastAsia="宋体" w:cs="Times New Roman"/>
          <w:color w:val="000000" w:themeColor="text1"/>
          <w:kern w:val="0"/>
          <w14:textFill>
            <w14:solidFill>
              <w14:schemeClr w14:val="tx1"/>
            </w14:solidFill>
          </w14:textFill>
        </w:rPr>
        <w:t>.1供配电系统危险性分析</w:t>
      </w:r>
    </w:p>
    <w:p w14:paraId="7ECDA40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该项目电气设备主要包括：</w:t>
      </w:r>
      <w:r>
        <w:rPr>
          <w:rFonts w:hint="default" w:ascii="Times New Roman" w:hAnsi="Times New Roman" w:cs="Times New Roman"/>
          <w:color w:val="000000" w:themeColor="text1"/>
          <w:highlight w:val="none"/>
          <w14:textFill>
            <w14:solidFill>
              <w14:schemeClr w14:val="tx1"/>
            </w14:solidFill>
          </w14:textFill>
        </w:rPr>
        <w:t>变压器、</w:t>
      </w:r>
      <w:r>
        <w:rPr>
          <w:rFonts w:hint="default" w:ascii="Times New Roman" w:hAnsi="Times New Roman" w:cs="Times New Roman"/>
          <w:color w:val="000000" w:themeColor="text1"/>
          <w14:textFill>
            <w14:solidFill>
              <w14:schemeClr w14:val="tx1"/>
            </w14:solidFill>
          </w14:textFill>
        </w:rPr>
        <w:t>电力线路、配电柜、照明灯具、用电设备等。这些电气设备主要存在：触电及电气火灾等危险。</w:t>
      </w:r>
    </w:p>
    <w:p w14:paraId="47CA3422">
      <w:pPr>
        <w:pStyle w:val="218"/>
        <w:adjustRightInd w:val="0"/>
        <w:snapToGrid w:val="0"/>
        <w:rPr>
          <w:rFonts w:hint="default" w:ascii="Times New Roman" w:hAnsi="Times New Roman" w:cs="Times New Roman"/>
          <w:color w:val="000000" w:themeColor="text1"/>
          <w:highlight w:val="yellow"/>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asci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变压器危险、有害因素分析</w:t>
      </w:r>
    </w:p>
    <w:p w14:paraId="5093493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变压器是利用电磁感应原理，把交流电能转变为不同电压、电流等参数的另一种电能的设备，发事故的原因主要有：</w:t>
      </w:r>
    </w:p>
    <w:p w14:paraId="3D701FC2">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（1）变压器长期过载，会引起线圈发热，使绝缘逐渐老化，造成匝间短路、相间短路或对地短路，引起变压器燃烧爆炸。</w:t>
      </w:r>
    </w:p>
    <w:p w14:paraId="53230619">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（2）变压器绝缘油在储存、运输或运行维护中不慎使水分、杂质或其他油污等混入油中后，会使绝缘强度大幅度降低。当其绝缘强度降低到一定值时在试验过程中就会发生短路。</w:t>
      </w:r>
    </w:p>
    <w:p w14:paraId="4A4A0350">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（3）硅钢片之间绝缘老化，或者夹紧铁芯的螺栓套管损坏，使铁芯产生很大的涡流，引起发热而使温度升高，也将加速绝缘的老化。</w:t>
      </w:r>
    </w:p>
    <w:p w14:paraId="393E82C8">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（4）在吊芯检修时，常常由于不慎将线圈的绝缘和瓷套管损坏瓷套管损坏后，如继续运行，轻则闪络，重则短路。</w:t>
      </w:r>
    </w:p>
    <w:p w14:paraId="5375A57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线圈内部的接头、线圈之间的连接点和引至高、低压瓷套管的接点及分接开关上各接点，如接触不良会产生局部过热，破坏线圈绝缘，发生短路或断路。此时所产生高温的电弧，同样会使绝缘油迅速分解，产生大量气体，使压力骤增，破坏力极大，后果也十分严重。</w:t>
      </w:r>
    </w:p>
    <w:p w14:paraId="40F60202">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（6）导线接触不良的原因有：螺栓松动、焊接不牢、分接开关接点损坏等。</w:t>
      </w:r>
    </w:p>
    <w:p w14:paraId="7F9AB16C">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（7）当变压器负载发生短路时，变压器将承受相当大的短路电流如保护系统失灵或整定值过大，就有可能烧毁变压器。</w:t>
      </w:r>
    </w:p>
    <w:p w14:paraId="0CC1516D">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（8）变压器未采取隔离、防护措施，致使工作人员意外接触带电体。</w:t>
      </w:r>
    </w:p>
    <w:p w14:paraId="0AB8EE86">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（9）不严格执行工作票制度，如违章作业，操作失误，未穿戴绝缘的劳动服等。</w:t>
      </w:r>
    </w:p>
    <w:p w14:paraId="5C4E51CE">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（10）作业人员未取得电工资质证，缺乏用电常识。</w:t>
      </w:r>
    </w:p>
    <w:p w14:paraId="4929314A">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（11）作业人员缺乏自我保护意识等。</w:t>
      </w:r>
    </w:p>
    <w:p w14:paraId="6FC94365">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（12）其他可能导致事故的原因。</w:t>
      </w:r>
    </w:p>
    <w:p w14:paraId="018FCD6E">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eastAsia" w:asci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电气线路危险、有害因素分析</w:t>
      </w:r>
    </w:p>
    <w:p w14:paraId="1FB46981">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电气线路是电力系统的重要组成部分，一般为架空线路、电缆线路，其主要存在火灾和触电危险。引发事故的原因主要有：</w:t>
      </w:r>
    </w:p>
    <w:p w14:paraId="39FF475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（1）厂外进线的电杆倒折、电线断落或搭在易燃物上，易造成架空线路短路，出现电火花、电弧。</w:t>
      </w:r>
    </w:p>
    <w:p w14:paraId="15F974F8">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（2）电杆杆距过大，线间距过小或布线过松，没有拉紧，在大风和外力作用下，容易碰在一起造成短路，或者布线时把导线拉得过紧也易发生导线断裂事故，引起火灾或触电事故。</w:t>
      </w:r>
    </w:p>
    <w:p w14:paraId="60EB2BE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（3）架空线路遭到雷击，使线路绝缘损坏，并产生下频短路电弧从而使线路跳闸，影响正常供电。</w:t>
      </w:r>
    </w:p>
    <w:p w14:paraId="3EBA529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（4）电缆本身在制造时有缺陷，在敷设时保护铅皮损坏或在运行中电缆绝缘受到机械损伤，引起电缆之间或铅皮之间的绝缘击穿而发生电弧。电弧高温能引燃电缆内的绝缘材料和电缆外层的麻布等。</w:t>
      </w:r>
    </w:p>
    <w:p w14:paraId="3191F2F7">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（5）埋地电缆长期受水、酸碱性土壤腐蚀使保护层破坏，绝缘强度降低，引起电缆短路起火。</w:t>
      </w:r>
    </w:p>
    <w:p w14:paraId="2359F123">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（6）长时间运行中，由于过负荷、过热等原因使电缆绝缘加速老化、干枯，绝缘强度降低，引起电缆相间或对地击穿短路起火。</w:t>
      </w:r>
    </w:p>
    <w:p w14:paraId="25F08018">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（7）电缆外护套破损或密封不良，使电缆发生水渗浸受潮，导致绝缘击穿短路。</w:t>
      </w:r>
    </w:p>
    <w:p w14:paraId="360636D0">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（8）过电压使电缆绝缘击穿发生短路起火。</w:t>
      </w:r>
    </w:p>
    <w:p w14:paraId="77D4008A">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（9）安装时电缆的曲率半径过小，致使绝缘折断受损发生短路。</w:t>
      </w:r>
    </w:p>
    <w:p w14:paraId="574128CE">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（10）电缆终端接头和中间接头接触不良发生短路事故，引起电缆着火。</w:t>
      </w:r>
    </w:p>
    <w:p w14:paraId="2825C78E">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（11）开关设备及其他电气设备短路或接触电阻过大产生高温起火将附近电缆引燃、安装施工和检修时高温焊渣等掉到电缆上引起着火或其他可燃、易燃物品着火后将附近电缆引燃。</w:t>
      </w:r>
    </w:p>
    <w:p w14:paraId="316A1EC5">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（12）电缆绝缘材料腐蚀受损或机械受损等脱落后，人员赤身接触导电线。</w:t>
      </w:r>
    </w:p>
    <w:p w14:paraId="6FDD3D1A">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（13）作业人员缺乏自我保护意识等。</w:t>
      </w:r>
    </w:p>
    <w:p w14:paraId="6DE49E10">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 其他可能导致事故的原因。</w:t>
      </w:r>
    </w:p>
    <w:p w14:paraId="150C0F93">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eastAsia" w:asci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其他电气设备危险、有害因素分析</w:t>
      </w:r>
    </w:p>
    <w:p w14:paraId="52F52C11">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该项目其他电气设备包括配电箱(柜)、照明系统等，主要存在火灾和触电危险。引发事故的原因主要有：</w:t>
      </w:r>
    </w:p>
    <w:p w14:paraId="078EB86C">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 电气设备及线路的日常管理、维护不当，电气设备、线路老化、绝缘破损、漏电且无接地接零保护。</w:t>
      </w:r>
    </w:p>
    <w:p w14:paraId="1326EBFC">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（2）作业人员缺乏用电常识。</w:t>
      </w:r>
    </w:p>
    <w:p w14:paraId="2A0C41C1">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（3）条件不允许而带电作业或施工中误合电闸送电</w:t>
      </w:r>
    </w:p>
    <w:p w14:paraId="78FCE4A6">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（4）无漏电保护器或漏电保护器失效。</w:t>
      </w:r>
    </w:p>
    <w:p w14:paraId="4B63CA3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（5）超标使用保险丝、空气开关等。</w:t>
      </w:r>
    </w:p>
    <w:p w14:paraId="2863306D">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（6）断路器失效、设备无接地接零或失效</w:t>
      </w:r>
    </w:p>
    <w:p w14:paraId="3A832093">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（7）电器开关损坏、漏电。</w:t>
      </w:r>
    </w:p>
    <w:p w14:paraId="1F12E918">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（8）不严格执行工作票制度，违章作业，操作失误等。</w:t>
      </w:r>
    </w:p>
    <w:p w14:paraId="7F42B6E7">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（9）其他可能导致事故的原因。</w:t>
      </w:r>
    </w:p>
    <w:p w14:paraId="16FE5AAB">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3.</w:t>
      </w:r>
      <w:r>
        <w:rPr>
          <w:rFonts w:hint="eastAsia" w:ascii="Times New Roman" w:hAnsi="Times New Roman" w:eastAsia="宋体" w:cs="Times New Roman"/>
          <w:color w:val="000000" w:themeColor="text1"/>
          <w:kern w:val="0"/>
          <w:lang w:val="en-US" w:eastAsia="zh-CN"/>
          <w14:textFill>
            <w14:solidFill>
              <w14:schemeClr w14:val="tx1"/>
            </w14:solidFill>
          </w14:textFill>
        </w:rPr>
        <w:t>5</w:t>
      </w:r>
      <w:r>
        <w:rPr>
          <w:rFonts w:hint="default" w:ascii="Times New Roman" w:hAnsi="Times New Roman" w:eastAsia="宋体" w:cs="Times New Roman"/>
          <w:color w:val="000000" w:themeColor="text1"/>
          <w:kern w:val="0"/>
          <w14:textFill>
            <w14:solidFill>
              <w14:schemeClr w14:val="tx1"/>
            </w14:solidFill>
          </w14:textFill>
        </w:rPr>
        <w:t>.</w:t>
      </w:r>
      <w:r>
        <w:rPr>
          <w:rFonts w:hint="eastAsia" w:ascii="Times New Roman" w:hAnsi="Times New Roman" w:eastAsia="宋体" w:cs="Times New Roman"/>
          <w:color w:val="000000" w:themeColor="text1"/>
          <w:kern w:val="0"/>
          <w:lang w:val="en-US" w:eastAsia="zh-CN"/>
          <w14:textFill>
            <w14:solidFill>
              <w14:schemeClr w14:val="tx1"/>
            </w14:solidFill>
          </w14:textFill>
        </w:rPr>
        <w:t>3</w:t>
      </w:r>
      <w:r>
        <w:rPr>
          <w:rFonts w:hint="default" w:ascii="Times New Roman" w:hAnsi="Times New Roman" w:eastAsia="宋体" w:cs="Times New Roman"/>
          <w:color w:val="000000" w:themeColor="text1"/>
          <w:kern w:val="0"/>
          <w14:textFill>
            <w14:solidFill>
              <w14:schemeClr w14:val="tx1"/>
            </w14:solidFill>
          </w14:textFill>
        </w:rPr>
        <w:t>.2给排水危险、有害因素分析</w:t>
      </w:r>
    </w:p>
    <w:p w14:paraId="3D8FA6F1">
      <w:pPr>
        <w:pStyle w:val="218"/>
        <w:adjustRightInd w:val="0"/>
        <w:snapToGrid w:val="0"/>
        <w:ind w:firstLine="56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eastAsia" w:asci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淹溺危险性分析</w:t>
      </w:r>
    </w:p>
    <w:p w14:paraId="1E7484A1">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w:t>
      </w:r>
      <w:r>
        <w:rPr>
          <w:rFonts w:hint="eastAsia" w:ascii="Times New Roman" w:cs="Times New Roman"/>
          <w:color w:val="000000" w:themeColor="text1"/>
          <w:lang w:val="en-US" w:eastAsia="zh-CN"/>
          <w14:textFill>
            <w14:solidFill>
              <w14:schemeClr w14:val="tx1"/>
            </w14:solidFill>
          </w14:textFill>
        </w:rPr>
        <w:t>生产区设有事故处理池</w:t>
      </w:r>
      <w:r>
        <w:rPr>
          <w:rFonts w:hint="default" w:ascii="Times New Roman" w:hAnsi="Times New Roman" w:cs="Times New Roman"/>
          <w:color w:val="000000" w:themeColor="text1"/>
          <w14:textFill>
            <w14:solidFill>
              <w14:schemeClr w14:val="tx1"/>
            </w14:solidFill>
          </w14:textFill>
        </w:rPr>
        <w:t>，若防护装置设置不足或不符合要求、失效等，则存在人员坠落淹溺的危险。</w:t>
      </w:r>
    </w:p>
    <w:p w14:paraId="2CC689C3">
      <w:pPr>
        <w:pStyle w:val="218"/>
        <w:adjustRightInd w:val="0"/>
        <w:snapToGrid w:val="0"/>
        <w:ind w:firstLine="56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w:t>
      </w:r>
      <w:r>
        <w:rPr>
          <w:rFonts w:hint="eastAsia" w:asci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触电危险性分析</w:t>
      </w:r>
    </w:p>
    <w:p w14:paraId="6F4B7877">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控制柜、动力装置及其他机电设备受潮，导致绝缘性下降，未按要求穿戴劳动防护用品和违章作业，易发生触电事故。</w:t>
      </w:r>
    </w:p>
    <w:p w14:paraId="7888A1A3">
      <w:pPr>
        <w:pStyle w:val="218"/>
        <w:adjustRightInd w:val="0"/>
        <w:snapToGrid w:val="0"/>
        <w:ind w:firstLine="56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w:t>
      </w:r>
      <w:r>
        <w:rPr>
          <w:rFonts w:hint="eastAsia" w:asci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机械伤害危险性分析</w:t>
      </w:r>
    </w:p>
    <w:p w14:paraId="3E2A7054">
      <w:pPr>
        <w:pStyle w:val="218"/>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水泵在使用过程中，可能因防护罩强度不足、缺失、违章操作等原因导致机械伤害事故的发生。</w:t>
      </w:r>
    </w:p>
    <w:p w14:paraId="3A2F9EE7">
      <w:pPr>
        <w:pStyle w:val="218"/>
        <w:adjustRightInd w:val="0"/>
        <w:snapToGrid w:val="0"/>
        <w:ind w:firstLine="56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eastAsia" w:asci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其他危险性分析</w:t>
      </w:r>
    </w:p>
    <w:p w14:paraId="2F02B8BA">
      <w:pPr>
        <w:pStyle w:val="218"/>
        <w:adjustRightInd w:val="0"/>
        <w:snapToGrid w:val="0"/>
        <w:rPr>
          <w:rFonts w:hint="eastAsia" w:asci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除了以上列举的危险、有害因素外，该项目中还存在场地湿滑造成人员不慎摔伤以及泵运行时产生噪声等危害</w:t>
      </w:r>
      <w:r>
        <w:rPr>
          <w:rFonts w:hint="eastAsia" w:ascii="Times New Roman" w:cs="Times New Roman"/>
          <w:color w:val="000000" w:themeColor="text1"/>
          <w:lang w:eastAsia="zh-CN"/>
          <w14:textFill>
            <w14:solidFill>
              <w14:schemeClr w14:val="tx1"/>
            </w14:solidFill>
          </w14:textFill>
        </w:rPr>
        <w:t>。</w:t>
      </w:r>
    </w:p>
    <w:p w14:paraId="1CE916C5">
      <w:pPr>
        <w:pStyle w:val="7"/>
        <w:keepNext w:val="0"/>
        <w:keepLines w:val="0"/>
        <w:pageBreakBefore w:val="0"/>
        <w:widowControl w:val="0"/>
        <w:kinsoku/>
        <w:wordWrap/>
        <w:overflowPunct/>
        <w:topLinePunct w:val="0"/>
        <w:autoSpaceDE/>
        <w:autoSpaceDN/>
        <w:bidi w:val="0"/>
        <w:adjustRightInd/>
        <w:spacing w:line="500" w:lineRule="exact"/>
        <w:ind w:firstLine="562" w:firstLineChars="200"/>
        <w:textAlignment w:val="auto"/>
        <w:rPr>
          <w:rFonts w:hint="eastAsia"/>
          <w:lang w:val="en-US" w:eastAsia="zh-CN"/>
        </w:rPr>
      </w:pPr>
      <w:bookmarkStart w:id="390" w:name="_Toc6655"/>
      <w:bookmarkStart w:id="391" w:name="_Toc19656"/>
      <w:r>
        <w:rPr>
          <w:rFonts w:hint="eastAsia" w:ascii="宋体" w:hAnsi="宋体" w:eastAsia="宋体" w:cs="宋体"/>
          <w:color w:val="000000" w:themeColor="text1"/>
          <w:kern w:val="0"/>
          <w14:textFill>
            <w14:solidFill>
              <w14:schemeClr w14:val="tx1"/>
            </w14:solidFill>
          </w14:textFill>
        </w:rPr>
        <w:t>3.</w:t>
      </w:r>
      <w:r>
        <w:rPr>
          <w:rFonts w:hint="eastAsia" w:ascii="宋体" w:hAnsi="宋体" w:eastAsia="宋体" w:cs="宋体"/>
          <w:color w:val="000000" w:themeColor="text1"/>
          <w:kern w:val="0"/>
          <w:lang w:val="en-US" w:eastAsia="zh-CN"/>
          <w14:textFill>
            <w14:solidFill>
              <w14:schemeClr w14:val="tx1"/>
            </w14:solidFill>
          </w14:textFill>
        </w:rPr>
        <w:t>5</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rPr>
        <w:t>消防系统</w:t>
      </w:r>
      <w:bookmarkEnd w:id="390"/>
      <w:r>
        <w:rPr>
          <w:rFonts w:hint="eastAsia" w:ascii="宋体" w:hAnsi="宋体" w:eastAsia="宋体" w:cs="宋体"/>
        </w:rPr>
        <w:t>危险、有害因素分析</w:t>
      </w:r>
      <w:bookmarkEnd w:id="391"/>
    </w:p>
    <w:p w14:paraId="6ACC3BA2">
      <w:pPr>
        <w:keepNext w:val="0"/>
        <w:keepLines w:val="0"/>
        <w:pageBreakBefore w:val="0"/>
        <w:widowControl w:val="0"/>
        <w:kinsoku/>
        <w:wordWrap/>
        <w:overflowPunct/>
        <w:topLinePunct w:val="0"/>
        <w:autoSpaceDE/>
        <w:autoSpaceDN/>
        <w:bidi w:val="0"/>
        <w:adjustRightInd/>
        <w:spacing w:line="500" w:lineRule="exact"/>
        <w:ind w:left="240" w:leftChars="100" w:firstLine="560" w:firstLineChars="200"/>
        <w:textAlignment w:val="auto"/>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项目的消防设施主要有</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室外</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消</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火</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栓、</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手提式</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干粉灭火器等。</w:t>
      </w:r>
    </w:p>
    <w:p w14:paraId="72E6AF35">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auto"/>
          <w:kern w:val="2"/>
          <w:sz w:val="28"/>
          <w:szCs w:val="28"/>
          <w:highlight w:val="none"/>
          <w:lang w:val="en-US" w:eastAsia="zh-CN" w:bidi="ar-SA"/>
        </w:rPr>
        <w:t>消防</w:t>
      </w:r>
      <w:r>
        <w:rPr>
          <w:rFonts w:hint="eastAsia" w:ascii="Times New Roman" w:hAnsi="Times New Roman" w:eastAsia="宋体" w:cs="Times New Roman"/>
          <w:color w:val="auto"/>
          <w:kern w:val="2"/>
          <w:sz w:val="28"/>
          <w:szCs w:val="28"/>
          <w:highlight w:val="none"/>
          <w:lang w:val="en-US" w:eastAsia="zh-CN" w:bidi="ar-SA"/>
        </w:rPr>
        <w:t>泵站</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供水存在缺陷，如压力不足，水量不足等会影响事故救援，导致事故危害扩大。</w:t>
      </w:r>
    </w:p>
    <w:p w14:paraId="62A9FB6F">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干粉灭火器在配电室等相对狭小空间使用时，细小干粉会对人员造成粉尘伤害。</w:t>
      </w:r>
    </w:p>
    <w:p w14:paraId="7AF1EE84">
      <w:pPr>
        <w:pStyle w:val="7"/>
        <w:keepNext w:val="0"/>
        <w:keepLines w:val="0"/>
        <w:pageBreakBefore w:val="0"/>
        <w:widowControl w:val="0"/>
        <w:kinsoku/>
        <w:wordWrap/>
        <w:overflowPunct/>
        <w:topLinePunct w:val="0"/>
        <w:autoSpaceDE/>
        <w:autoSpaceDN/>
        <w:bidi w:val="0"/>
        <w:adjustRightInd/>
        <w:spacing w:line="500" w:lineRule="exact"/>
        <w:ind w:firstLine="562" w:firstLineChars="200"/>
        <w:textAlignment w:val="auto"/>
        <w:rPr>
          <w:rFonts w:hint="eastAsia" w:ascii="宋体" w:hAnsi="宋体" w:eastAsia="宋体" w:cs="宋体"/>
          <w:sz w:val="28"/>
          <w:szCs w:val="28"/>
          <w:lang w:val="en-US" w:eastAsia="zh-CN"/>
        </w:rPr>
      </w:pPr>
      <w:bookmarkStart w:id="392" w:name="_Toc19882"/>
      <w:r>
        <w:rPr>
          <w:rFonts w:hint="eastAsia" w:ascii="宋体" w:hAnsi="宋体" w:eastAsia="宋体" w:cs="宋体"/>
          <w:color w:val="000000" w:themeColor="text1"/>
          <w:kern w:val="0"/>
          <w:sz w:val="28"/>
          <w:szCs w:val="28"/>
          <w14:textFill>
            <w14:solidFill>
              <w14:schemeClr w14:val="tx1"/>
            </w14:solidFill>
          </w14:textFill>
        </w:rPr>
        <w:t>3.</w:t>
      </w:r>
      <w:r>
        <w:rPr>
          <w:rFonts w:hint="eastAsia" w:ascii="宋体" w:hAnsi="宋体" w:eastAsia="宋体" w:cs="宋体"/>
          <w:color w:val="000000" w:themeColor="text1"/>
          <w:kern w:val="0"/>
          <w:sz w:val="28"/>
          <w:szCs w:val="28"/>
          <w:lang w:val="en-US" w:eastAsia="zh-CN"/>
          <w14:textFill>
            <w14:solidFill>
              <w14:schemeClr w14:val="tx1"/>
            </w14:solidFill>
          </w14:textFill>
        </w:rPr>
        <w:t>5</w:t>
      </w:r>
      <w:r>
        <w:rPr>
          <w:rFonts w:hint="eastAsia" w:ascii="宋体" w:hAnsi="宋体" w:eastAsia="宋体" w:cs="宋体"/>
          <w:color w:val="000000" w:themeColor="text1"/>
          <w:kern w:val="0"/>
          <w:sz w:val="28"/>
          <w:szCs w:val="28"/>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3</w:t>
      </w:r>
      <w:r>
        <w:rPr>
          <w:rFonts w:hint="eastAsia" w:ascii="宋体" w:hAnsi="宋体" w:eastAsia="宋体" w:cs="宋体"/>
          <w:color w:val="000000" w:themeColor="text1"/>
          <w:kern w:val="0"/>
          <w:sz w:val="28"/>
          <w:szCs w:val="28"/>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4</w:t>
      </w:r>
      <w:r>
        <w:rPr>
          <w:rFonts w:hint="eastAsia" w:ascii="宋体" w:hAnsi="宋体" w:eastAsia="宋体" w:cs="宋体"/>
          <w:sz w:val="28"/>
          <w:szCs w:val="28"/>
        </w:rPr>
        <w:t>厂内运输危险</w:t>
      </w:r>
      <w:r>
        <w:rPr>
          <w:rFonts w:hint="eastAsia" w:ascii="宋体" w:hAnsi="宋体" w:eastAsia="宋体" w:cs="宋体"/>
          <w:sz w:val="28"/>
          <w:szCs w:val="28"/>
          <w:lang w:eastAsia="zh-CN"/>
        </w:rPr>
        <w:t>、</w:t>
      </w:r>
      <w:r>
        <w:rPr>
          <w:rFonts w:hint="eastAsia" w:ascii="宋体" w:hAnsi="宋体" w:eastAsia="宋体" w:cs="宋体"/>
          <w:sz w:val="28"/>
          <w:szCs w:val="28"/>
        </w:rPr>
        <w:t>有害因素</w:t>
      </w:r>
      <w:r>
        <w:rPr>
          <w:rFonts w:hint="eastAsia" w:ascii="宋体" w:hAnsi="宋体" w:eastAsia="宋体" w:cs="宋体"/>
          <w:sz w:val="28"/>
          <w:szCs w:val="28"/>
          <w:lang w:val="en-US" w:eastAsia="zh-CN"/>
        </w:rPr>
        <w:t>分析</w:t>
      </w:r>
      <w:bookmarkEnd w:id="392"/>
    </w:p>
    <w:p w14:paraId="6FBF9FEC">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厂内运输设备主要包括</w:t>
      </w:r>
      <w:r>
        <w:rPr>
          <w:rFonts w:hint="eastAsia" w:ascii="宋体" w:hAnsi="宋体" w:eastAsia="宋体" w:cs="宋体"/>
          <w:sz w:val="28"/>
          <w:szCs w:val="28"/>
          <w:lang w:val="en-US" w:eastAsia="zh-CN"/>
        </w:rPr>
        <w:t>手动拖车、外来运输汽车</w:t>
      </w:r>
      <w:r>
        <w:rPr>
          <w:rFonts w:hint="eastAsia" w:ascii="宋体" w:hAnsi="宋体" w:eastAsia="宋体" w:cs="宋体"/>
          <w:sz w:val="28"/>
          <w:szCs w:val="28"/>
        </w:rPr>
        <w:t>等。主要存在的危险</w:t>
      </w:r>
      <w:r>
        <w:rPr>
          <w:rFonts w:hint="eastAsia" w:ascii="宋体" w:hAnsi="宋体" w:eastAsia="宋体" w:cs="宋体"/>
          <w:sz w:val="28"/>
          <w:szCs w:val="28"/>
          <w:lang w:eastAsia="zh-CN"/>
        </w:rPr>
        <w:t>、</w:t>
      </w:r>
      <w:r>
        <w:rPr>
          <w:rFonts w:hint="eastAsia" w:ascii="宋体" w:hAnsi="宋体" w:eastAsia="宋体" w:cs="宋体"/>
          <w:sz w:val="28"/>
          <w:szCs w:val="28"/>
        </w:rPr>
        <w:t>有害因素分析如下：</w:t>
      </w:r>
    </w:p>
    <w:p w14:paraId="678482A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在外来运输汽车运输、装卸原辅料和产品的过程中，可能存在车辆伤害、物体打击、坍塌等伤害。</w:t>
      </w:r>
    </w:p>
    <w:p w14:paraId="46594014">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393" w:name="_Toc24874"/>
      <w:bookmarkStart w:id="394" w:name="_Toc24695"/>
      <w:r>
        <w:rPr>
          <w:rFonts w:hint="default" w:ascii="Times New Roman" w:hAnsi="Times New Roman" w:eastAsia="楷体" w:cs="Times New Roman"/>
          <w:color w:val="000000" w:themeColor="text1"/>
          <w14:textFill>
            <w14:solidFill>
              <w14:schemeClr w14:val="tx1"/>
            </w14:solidFill>
          </w14:textFill>
        </w:rPr>
        <w:t>3.6主要危险、有害因素类别分析</w:t>
      </w:r>
      <w:bookmarkEnd w:id="393"/>
      <w:bookmarkEnd w:id="394"/>
    </w:p>
    <w:p w14:paraId="3CCD70A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rPr>
      </w:pPr>
      <w:r>
        <w:rPr>
          <w:rFonts w:hint="eastAsia" w:ascii="宋体" w:hAnsi="宋体" w:eastAsia="宋体" w:cs="宋体"/>
          <w:sz w:val="28"/>
          <w:szCs w:val="28"/>
        </w:rPr>
        <w:t>根据对</w:t>
      </w:r>
      <w:r>
        <w:rPr>
          <w:rFonts w:hint="eastAsia" w:ascii="宋体" w:hAnsi="宋体" w:eastAsia="宋体" w:cs="宋体"/>
          <w:sz w:val="28"/>
          <w:szCs w:val="28"/>
          <w:lang w:val="en-US" w:eastAsia="zh-CN"/>
        </w:rPr>
        <w:t>云南玉溪洁灵娜精细日化有限责任公司</w:t>
      </w:r>
      <w:r>
        <w:rPr>
          <w:rFonts w:hint="eastAsia" w:ascii="宋体" w:hAnsi="宋体" w:eastAsia="宋体" w:cs="宋体"/>
          <w:sz w:val="28"/>
          <w:szCs w:val="28"/>
        </w:rPr>
        <w:t>原辅材料及产品的特性、有关资料的分析，参照《</w:t>
      </w:r>
      <w:r>
        <w:rPr>
          <w:rFonts w:hint="eastAsia" w:ascii="宋体" w:hAnsi="宋体" w:eastAsia="宋体" w:cs="宋体"/>
          <w:sz w:val="28"/>
          <w:szCs w:val="28"/>
          <w:lang w:eastAsia="zh-CN"/>
        </w:rPr>
        <w:t>生产过程危险和有害因素分类与代码</w:t>
      </w:r>
      <w:r>
        <w:rPr>
          <w:rFonts w:hint="eastAsia" w:ascii="宋体" w:hAnsi="宋体" w:eastAsia="宋体" w:cs="宋体"/>
          <w:sz w:val="28"/>
          <w:szCs w:val="28"/>
        </w:rPr>
        <w:t>》（GB/T13</w:t>
      </w:r>
      <w:r>
        <w:rPr>
          <w:rFonts w:hint="eastAsia" w:ascii="宋体" w:hAnsi="宋体" w:eastAsia="宋体" w:cs="宋体"/>
          <w:sz w:val="28"/>
          <w:szCs w:val="28"/>
          <w:lang w:val="en-US" w:eastAsia="zh-CN"/>
        </w:rPr>
        <w:t>861</w:t>
      </w:r>
      <w:r>
        <w:rPr>
          <w:rFonts w:hint="eastAsia" w:ascii="宋体" w:hAnsi="宋体" w:eastAsia="宋体" w:cs="宋体"/>
          <w:sz w:val="28"/>
          <w:szCs w:val="28"/>
        </w:rPr>
        <w:t>-20</w:t>
      </w:r>
      <w:r>
        <w:rPr>
          <w:rFonts w:hint="eastAsia" w:ascii="宋体" w:hAnsi="宋体" w:eastAsia="宋体" w:cs="宋体"/>
          <w:sz w:val="28"/>
          <w:szCs w:val="28"/>
          <w:lang w:val="en-US" w:eastAsia="zh-CN"/>
        </w:rPr>
        <w:t>22</w:t>
      </w:r>
      <w:r>
        <w:rPr>
          <w:rFonts w:hint="eastAsia" w:ascii="宋体" w:hAnsi="宋体" w:eastAsia="宋体" w:cs="宋体"/>
          <w:sz w:val="28"/>
          <w:szCs w:val="28"/>
        </w:rPr>
        <w:t>）、《企业</w:t>
      </w:r>
      <w:r>
        <w:rPr>
          <w:rFonts w:hint="eastAsia" w:ascii="宋体" w:hAnsi="宋体" w:eastAsia="宋体" w:cs="宋体"/>
          <w:sz w:val="28"/>
          <w:szCs w:val="28"/>
          <w:lang w:val="en-US" w:eastAsia="zh-CN"/>
        </w:rPr>
        <w:t>职工</w:t>
      </w:r>
      <w:r>
        <w:rPr>
          <w:rFonts w:hint="eastAsia" w:ascii="宋体" w:hAnsi="宋体" w:eastAsia="宋体" w:cs="宋体"/>
          <w:sz w:val="28"/>
          <w:szCs w:val="28"/>
        </w:rPr>
        <w:t>伤亡事故分类》（GB6441-86）中对事故类别的划分方法，以及项目的生产工艺特点，按照生产工序中设施、装置的特点，结合生产作业区域操作人员巡检及其生产活动范围，对</w:t>
      </w:r>
      <w:r>
        <w:rPr>
          <w:rFonts w:hint="eastAsia" w:ascii="宋体" w:hAnsi="宋体" w:eastAsia="宋体" w:cs="宋体"/>
          <w:sz w:val="28"/>
          <w:szCs w:val="28"/>
          <w:lang w:eastAsia="zh-CN"/>
        </w:rPr>
        <w:t>该</w:t>
      </w:r>
      <w:r>
        <w:rPr>
          <w:rFonts w:hint="eastAsia" w:ascii="宋体" w:hAnsi="宋体" w:eastAsia="宋体" w:cs="宋体"/>
          <w:sz w:val="28"/>
          <w:szCs w:val="28"/>
        </w:rPr>
        <w:t>项目生产工艺系统可能存在的危险、有害因素进行分析。</w:t>
      </w:r>
    </w:p>
    <w:p w14:paraId="35FB60B2">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95" w:name="_Toc10424"/>
      <w:bookmarkStart w:id="396" w:name="_Toc8961"/>
      <w:bookmarkStart w:id="397" w:name="_Toc25513"/>
      <w:bookmarkStart w:id="398" w:name="_Toc400308681"/>
      <w:r>
        <w:rPr>
          <w:rFonts w:hint="default" w:ascii="Times New Roman" w:hAnsi="Times New Roman" w:cs="Times New Roman"/>
          <w:color w:val="000000" w:themeColor="text1"/>
          <w:lang w:val="en-US" w:eastAsia="zh-CN"/>
          <w14:textFill>
            <w14:solidFill>
              <w14:schemeClr w14:val="tx1"/>
            </w14:solidFill>
          </w14:textFill>
        </w:rPr>
        <w:t>3.6.1火灾危险性分析</w:t>
      </w:r>
      <w:bookmarkEnd w:id="395"/>
      <w:bookmarkEnd w:id="396"/>
      <w:bookmarkEnd w:id="397"/>
    </w:p>
    <w:p w14:paraId="14ACC26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公司</w:t>
      </w:r>
      <w:r>
        <w:rPr>
          <w:rFonts w:hint="eastAsia" w:hAnsi="宋体" w:cs="宋体"/>
          <w:sz w:val="28"/>
          <w:szCs w:val="28"/>
          <w:lang w:val="en-US" w:eastAsia="zh-CN"/>
        </w:rPr>
        <w:t>成品</w:t>
      </w:r>
      <w:r>
        <w:rPr>
          <w:rFonts w:hint="eastAsia" w:ascii="宋体" w:hAnsi="宋体" w:eastAsia="宋体" w:cs="宋体"/>
          <w:sz w:val="28"/>
          <w:szCs w:val="28"/>
        </w:rPr>
        <w:t>包装</w:t>
      </w:r>
      <w:r>
        <w:rPr>
          <w:rFonts w:hint="eastAsia" w:ascii="宋体" w:hAnsi="宋体" w:eastAsia="宋体" w:cs="宋体"/>
          <w:sz w:val="28"/>
          <w:szCs w:val="28"/>
          <w:lang w:val="en-US" w:eastAsia="zh-CN"/>
        </w:rPr>
        <w:t>纸箱</w:t>
      </w:r>
      <w:r>
        <w:rPr>
          <w:rFonts w:hint="eastAsia" w:ascii="宋体" w:hAnsi="宋体" w:eastAsia="宋体" w:cs="宋体"/>
          <w:sz w:val="28"/>
          <w:szCs w:val="28"/>
        </w:rPr>
        <w:t>为可燃物，若不严格执行消防安全管理制度，加强火源管理，严格动火作业，包装材料遇火源会发生燃烧。</w:t>
      </w:r>
    </w:p>
    <w:p w14:paraId="28AB368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生产过程中还可能发生电气火灾，电气设备或电气线路发生短路、接触不良、严重过载、散热失效、接地及漏电、机械故障、电压波动太大的情况下可能使温度升高，发生电气火灾，另外，正常工作或正常操作过程中以及事故状态下产生的电火花可能使可燃物发生燃烧</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引起火灾</w:t>
      </w:r>
      <w:r>
        <w:rPr>
          <w:rFonts w:hint="eastAsia" w:ascii="宋体" w:hAnsi="宋体" w:eastAsia="宋体" w:cs="宋体"/>
          <w:sz w:val="28"/>
          <w:szCs w:val="28"/>
        </w:rPr>
        <w:t>。</w:t>
      </w:r>
    </w:p>
    <w:p w14:paraId="7B8EF97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电气火灾</w:t>
      </w:r>
    </w:p>
    <w:p w14:paraId="5D437F5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一般电气火灾大多数皆因电气线路发生火灾造成，下面主要对造成电气线路发生短路的主要原因进行分析：</w:t>
      </w:r>
    </w:p>
    <w:p w14:paraId="10E6C61F">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电气线路中的导线由于各种原因造成相线与相线，相线与零线(地线)的连接，在回路中引起电流的瞬间骤然增大的现象叫短路。</w:t>
      </w:r>
    </w:p>
    <w:p w14:paraId="050164E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短路时由于电阻突然减小则电流将突然增大。因此，线路短路时在极短的时间内会发出很大的热量，这个热量不仅能使绝缘层燃烧而且能使金属熔化，引起邻近的易燃、可燃物质燃烧，从而造成火灾。</w:t>
      </w:r>
    </w:p>
    <w:p w14:paraId="6435F72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发生短路的主要原因有：</w:t>
      </w:r>
    </w:p>
    <w:p w14:paraId="61FA7043">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（1）使用绝缘电线、电缆时，没有按具体环境选用，使绝缘受高温、潮湿或腐蚀等作用，失去了绝缘能力；</w:t>
      </w:r>
    </w:p>
    <w:p w14:paraId="40126A7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（2）线路年久失修，绝缘层陈旧老化或受损，使线芯裸露；</w:t>
      </w:r>
    </w:p>
    <w:p w14:paraId="0F52F76C">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（3）电源过电压，使电线绝缘被击穿；</w:t>
      </w:r>
    </w:p>
    <w:p w14:paraId="32744D9C">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（4）安装、修理人员接错线路，或带电作业时造成人为碰线短路；</w:t>
      </w:r>
    </w:p>
    <w:p w14:paraId="1DC37BD5">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（5）裸电线安装位置不当，导电物体碰在电线上；线路上有金属物件或小动物跌落，发生电线之间的跨接；</w:t>
      </w:r>
    </w:p>
    <w:p w14:paraId="05EE0FA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（6）架空线路电线间距太小，档距过大，电线松弛，有可能发生两线相碰；架空电线与建筑物、树木距离太近，使电线与建筑物或树木接触；</w:t>
      </w:r>
    </w:p>
    <w:p w14:paraId="5B03348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（7）电线机械强度不够，导致电线断落接触大地，或断落在另一根电线上；</w:t>
      </w:r>
    </w:p>
    <w:p w14:paraId="7958545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（8）临时用电管理不善，维护不当造成过载、短路；</w:t>
      </w:r>
    </w:p>
    <w:p w14:paraId="2E1E7AE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（9）高压架空线路的绝缘子耐压程度过低，引起线路的对地短路。</w:t>
      </w:r>
    </w:p>
    <w:p w14:paraId="714F006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eastAsia" w:ascii="Times New Roman" w:cs="Times New Roman"/>
          <w:color w:val="000000" w:themeColor="text1"/>
          <w:spacing w:val="8"/>
          <w:sz w:val="28"/>
          <w:szCs w:val="28"/>
          <w:lang w:val="en-US" w:eastAsia="zh-CN"/>
          <w14:textFill>
            <w14:solidFill>
              <w14:schemeClr w14:val="tx1"/>
            </w14:solidFill>
          </w14:textFill>
        </w:rPr>
        <w:t>2.公司原材料、产成品运输车辆</w:t>
      </w:r>
      <w:r>
        <w:rPr>
          <w:rFonts w:hint="default" w:ascii="Times New Roman" w:hAnsi="Times New Roman" w:cs="Times New Roman"/>
          <w:color w:val="000000" w:themeColor="text1"/>
          <w:spacing w:val="8"/>
          <w:sz w:val="28"/>
          <w:szCs w:val="28"/>
          <w14:textFill>
            <w14:solidFill>
              <w14:schemeClr w14:val="tx1"/>
            </w14:solidFill>
          </w14:textFill>
        </w:rPr>
        <w:t>使用的柴油，若发生泄露，遇到点火源，也可能发生火灾事故。</w:t>
      </w:r>
    </w:p>
    <w:p w14:paraId="3C26CA7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99" w:name="_Toc17724"/>
      <w:bookmarkStart w:id="400" w:name="_Toc18002"/>
      <w:r>
        <w:rPr>
          <w:rFonts w:hint="default" w:ascii="Times New Roman" w:hAnsi="Times New Roman" w:cs="Times New Roman"/>
          <w:color w:val="000000" w:themeColor="text1"/>
          <w:lang w:val="en-US" w:eastAsia="zh-CN"/>
          <w14:textFill>
            <w14:solidFill>
              <w14:schemeClr w14:val="tx1"/>
            </w14:solidFill>
          </w14:textFill>
        </w:rPr>
        <w:t>3.6.2容器爆炸危险性分析</w:t>
      </w:r>
      <w:bookmarkEnd w:id="399"/>
      <w:bookmarkEnd w:id="400"/>
    </w:p>
    <w:p w14:paraId="7561EDE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该项目可能发生容器爆炸的设备有空压机、储气罐，引发事故的原因主要有：</w:t>
      </w:r>
    </w:p>
    <w:p w14:paraId="475B97C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设计缺陷，如压力容器、设备材质不合理、耐压强度不足，抗震设防不足、安全附件不齐全或安全阀泄放能力不足等；</w:t>
      </w:r>
    </w:p>
    <w:p w14:paraId="631C288F">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制造缺陷，如制造单位不具备相应资质或质量不合格，特别是焊接质量差；</w:t>
      </w:r>
    </w:p>
    <w:p w14:paraId="2FB7B93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施工、安装缺陷，如施工、安装单位不具备相应资质，未严格按设计要求施工，施工质量差，未进行耐压试验等；</w:t>
      </w:r>
    </w:p>
    <w:p w14:paraId="30C5EC4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压力容器、设备长期使用后未按规定检修期进行检修、质量检测，或检修质量差造成强度下降；</w:t>
      </w:r>
    </w:p>
    <w:p w14:paraId="0973C19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超过年限使用压力容器、设备；</w:t>
      </w:r>
    </w:p>
    <w:p w14:paraId="1AC0FC3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未定时排水，导致储罐超压，引起超压爆炸；</w:t>
      </w:r>
    </w:p>
    <w:p w14:paraId="054475B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压力容器、设备因腐蚀而使壁厚减薄，继续运行而强度不足；</w:t>
      </w:r>
    </w:p>
    <w:p w14:paraId="04FADD9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8</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设备上安装的安全附件不全或失效，引起爆炸事故；</w:t>
      </w:r>
    </w:p>
    <w:p w14:paraId="1D7017F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9</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周围建筑、设备、设施起火或自身附件起火，使压力容器设备储罐受热，导致储罐发生物理爆炸。</w:t>
      </w:r>
    </w:p>
    <w:p w14:paraId="0CA84AFD">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01" w:name="_Toc9776"/>
      <w:bookmarkStart w:id="402" w:name="_Toc18104"/>
      <w:bookmarkStart w:id="403" w:name="_Toc32269"/>
      <w:r>
        <w:rPr>
          <w:rFonts w:hint="default" w:ascii="Times New Roman" w:hAnsi="Times New Roman" w:cs="Times New Roman"/>
          <w:color w:val="000000" w:themeColor="text1"/>
          <w:lang w:val="en-US" w:eastAsia="zh-CN"/>
          <w14:textFill>
            <w14:solidFill>
              <w14:schemeClr w14:val="tx1"/>
            </w14:solidFill>
          </w14:textFill>
        </w:rPr>
        <w:t>3.6.3机械伤害危险性分析</w:t>
      </w:r>
      <w:bookmarkEnd w:id="401"/>
      <w:bookmarkEnd w:id="402"/>
      <w:bookmarkEnd w:id="403"/>
    </w:p>
    <w:p w14:paraId="621CA41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机械伤害指机械设备运动（静止）部件、工具直接与人体接触引起的夹击、碰撞、剪切、卷入、绞、碾、割、刺等伤害。当作业人员身体部位或衣物角或头发被卷入机械中，如无紧急停车装置或设备高速运转，人体很可能迅速被卷入设备，造成人员伤亡。</w:t>
      </w:r>
    </w:p>
    <w:p w14:paraId="03B52F4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该项目在正常生产过程中，使用的机械设备</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如果传动部位没有可靠的安全防护装置，或设备有缺陷，违章作业等，易发生作业人员被切、绞、轧、挤、压、撞击等事故。在事故及检修等特殊情况下，也存在机械伤害的可能性。可能因为机械设备零、部件做旋转运动、直线运动等造成机械伤害，可能发生机械伤害的原因分析如下：</w:t>
      </w:r>
    </w:p>
    <w:p w14:paraId="40D9F17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无防护：如无防护罩、安全保护装置、报警装置、安全警示标志、护栏等安全防护措施或防护措施失；</w:t>
      </w:r>
    </w:p>
    <w:p w14:paraId="1447023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防护不当：如防护罩未在适当位置，防护装置调整不当，安全距离不够等；</w:t>
      </w:r>
    </w:p>
    <w:p w14:paraId="6C4197E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机械设备设施存在缺陷：如设计不合理，结构不符合安全要求，制动装置有缺陷，安全间距不够，设备上有锋利倒棱等；</w:t>
      </w:r>
    </w:p>
    <w:p w14:paraId="2DF937A4">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人员违章作业或操作失误造成机械伤害；</w:t>
      </w:r>
    </w:p>
    <w:p w14:paraId="29600D2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人员不按规定穿戴劳动保护用品；</w:t>
      </w:r>
    </w:p>
    <w:p w14:paraId="64FFC59C">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机械强度不够：如联轴器连接螺栓强度不够等；</w:t>
      </w:r>
    </w:p>
    <w:p w14:paraId="76D9BE6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设备带“病”运转，超负荷运转等；</w:t>
      </w:r>
    </w:p>
    <w:p w14:paraId="5BC4D73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8</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在停车检修时，机器突然被误启动。</w:t>
      </w:r>
    </w:p>
    <w:p w14:paraId="5EF1D95A">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04" w:name="_Toc1676"/>
      <w:bookmarkStart w:id="405" w:name="_Toc27502"/>
      <w:bookmarkStart w:id="406" w:name="_Toc2669"/>
      <w:r>
        <w:rPr>
          <w:rFonts w:hint="default" w:ascii="Times New Roman" w:hAnsi="Times New Roman" w:cs="Times New Roman"/>
          <w:color w:val="000000" w:themeColor="text1"/>
          <w:lang w:val="en-US" w:eastAsia="zh-CN"/>
          <w14:textFill>
            <w14:solidFill>
              <w14:schemeClr w14:val="tx1"/>
            </w14:solidFill>
          </w14:textFill>
        </w:rPr>
        <w:t>3.6.4高处坠落危险性分析</w:t>
      </w:r>
      <w:bookmarkEnd w:id="404"/>
      <w:bookmarkEnd w:id="405"/>
      <w:bookmarkEnd w:id="406"/>
    </w:p>
    <w:p w14:paraId="757A81C3">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bookmarkStart w:id="407" w:name="_Toc45677439"/>
      <w:bookmarkStart w:id="408" w:name="_Toc45700536"/>
      <w:bookmarkStart w:id="409" w:name="_Toc120607114"/>
      <w:bookmarkStart w:id="410" w:name="_Toc45511300"/>
      <w:bookmarkStart w:id="411" w:name="_Toc45703696"/>
      <w:bookmarkStart w:id="412" w:name="_Toc45510934"/>
      <w:bookmarkStart w:id="413" w:name="_Toc60128294"/>
      <w:r>
        <w:rPr>
          <w:rFonts w:hint="default" w:ascii="Times New Roman" w:hAnsi="Times New Roman" w:cs="Times New Roman"/>
          <w:color w:val="000000" w:themeColor="text1"/>
          <w:spacing w:val="8"/>
          <w:sz w:val="28"/>
          <w:szCs w:val="28"/>
          <w14:textFill>
            <w14:solidFill>
              <w14:schemeClr w14:val="tx1"/>
            </w14:solidFill>
          </w14:textFill>
        </w:rPr>
        <w:t>在本项目中，凡在距离基准面垂直距离为2m以上的作业平台、巡视通道、楼梯等，在检修及巡视这些设备设施过程中，可能因下述原因，造成高处坠落。造成高处坠落事故的主要因素为：</w:t>
      </w:r>
    </w:p>
    <w:p w14:paraId="28D30465">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高处平台等处无安全防护栏等防护设施，或安全防护设施安装高度、承载力等不符合要求；</w:t>
      </w:r>
    </w:p>
    <w:p w14:paraId="0383F3D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高处作业时没有按要求佩戴安全带（绳）、安全帽或采取其他有效的安全保护措施；</w:t>
      </w:r>
    </w:p>
    <w:p w14:paraId="4802670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高处作业立足处不是平面或只有很小的平面，致使作业者无法维持正常姿势；</w:t>
      </w:r>
    </w:p>
    <w:p w14:paraId="4C2E8C8E">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作业人员在高处进行作业时违章作业；</w:t>
      </w:r>
    </w:p>
    <w:p w14:paraId="1005D3F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作业人员疏忽大意，疲劳过度或酒后作业；</w:t>
      </w:r>
    </w:p>
    <w:p w14:paraId="226C061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在进行高处作业时，安全管理不到位；</w:t>
      </w:r>
    </w:p>
    <w:p w14:paraId="438CF1AE">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在雷暴雨、浓雾、六级以上大风等恶劣天气进行室外高处作业。</w:t>
      </w:r>
    </w:p>
    <w:p w14:paraId="2DD8F99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14" w:name="_Toc7357"/>
      <w:bookmarkStart w:id="415" w:name="_Toc22751"/>
      <w:bookmarkStart w:id="416" w:name="_Toc4743"/>
      <w:r>
        <w:rPr>
          <w:rFonts w:hint="default" w:ascii="Times New Roman" w:hAnsi="Times New Roman" w:cs="Times New Roman"/>
          <w:color w:val="000000" w:themeColor="text1"/>
          <w:lang w:val="en-US" w:eastAsia="zh-CN"/>
          <w14:textFill>
            <w14:solidFill>
              <w14:schemeClr w14:val="tx1"/>
            </w14:solidFill>
          </w14:textFill>
        </w:rPr>
        <w:t>3.6.5触电事故危险性素分析</w:t>
      </w:r>
      <w:bookmarkEnd w:id="414"/>
      <w:bookmarkEnd w:id="415"/>
      <w:bookmarkEnd w:id="416"/>
    </w:p>
    <w:p w14:paraId="6EE0CF4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触电事故是指人体直接、间接和跨步电压触电（电击、电伤）所造成的伤害。该项目设置</w:t>
      </w:r>
      <w:r>
        <w:rPr>
          <w:rFonts w:hint="eastAsia" w:ascii="Times New Roman" w:cs="Times New Roman"/>
          <w:color w:val="000000" w:themeColor="text1"/>
          <w:spacing w:val="8"/>
          <w:sz w:val="28"/>
          <w:szCs w:val="28"/>
          <w:lang w:val="en-US" w:eastAsia="zh-CN"/>
          <w14:textFill>
            <w14:solidFill>
              <w14:schemeClr w14:val="tx1"/>
            </w14:solidFill>
          </w14:textFill>
        </w:rPr>
        <w:t>了</w:t>
      </w:r>
      <w:r>
        <w:rPr>
          <w:rFonts w:hint="default" w:ascii="Times New Roman" w:hAnsi="Times New Roman" w:cs="Times New Roman"/>
          <w:color w:val="000000" w:themeColor="text1"/>
          <w:spacing w:val="8"/>
          <w:sz w:val="28"/>
          <w:szCs w:val="28"/>
          <w14:textFill>
            <w14:solidFill>
              <w14:schemeClr w14:val="tx1"/>
            </w14:solidFill>
          </w14:textFill>
        </w:rPr>
        <w:t>配电</w:t>
      </w:r>
      <w:r>
        <w:rPr>
          <w:rFonts w:hint="eastAsia" w:ascii="Times New Roman" w:cs="Times New Roman"/>
          <w:color w:val="000000" w:themeColor="text1"/>
          <w:spacing w:val="8"/>
          <w:sz w:val="28"/>
          <w:szCs w:val="28"/>
          <w:lang w:val="en-US" w:eastAsia="zh-CN"/>
          <w14:textFill>
            <w14:solidFill>
              <w14:schemeClr w14:val="tx1"/>
            </w14:solidFill>
          </w14:textFill>
        </w:rPr>
        <w:t>柜</w:t>
      </w:r>
      <w:r>
        <w:rPr>
          <w:rFonts w:hint="default" w:ascii="Times New Roman" w:hAnsi="Times New Roman" w:cs="Times New Roman"/>
          <w:color w:val="000000" w:themeColor="text1"/>
          <w:spacing w:val="8"/>
          <w:sz w:val="28"/>
          <w:szCs w:val="28"/>
          <w14:textFill>
            <w14:solidFill>
              <w14:schemeClr w14:val="tx1"/>
            </w14:solidFill>
          </w14:textFill>
        </w:rPr>
        <w:t>、现场控制柜及各种电气设备（如变压器、电缆、开关、闸刀、插座）、用电设备，这些电器设备漏电易引发触电伤害事故，另外自动控制系统也可能引发触电事故。造成触电事故的主要因素：</w:t>
      </w:r>
    </w:p>
    <w:p w14:paraId="40E7C52F">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未办理操作票或不执行监护制度，不使用或使用不合格的绝缘工具和电器工具；</w:t>
      </w:r>
    </w:p>
    <w:p w14:paraId="454DD11A">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所有电器设备没有接零或接地保护；</w:t>
      </w:r>
    </w:p>
    <w:p w14:paraId="0002A744">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线路或电气设备工作完毕，未办理工作终结手续就对停电设备恢复送电；</w:t>
      </w:r>
    </w:p>
    <w:p w14:paraId="5687B253">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在带电设备附近作业，不符合安全间距或无监护措施；</w:t>
      </w:r>
    </w:p>
    <w:p w14:paraId="0B0145EA">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配电箱不符合安全要求；</w:t>
      </w:r>
    </w:p>
    <w:p w14:paraId="79E5D60F">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倒闸操作不核对设备名称、编号、位置状态；</w:t>
      </w:r>
    </w:p>
    <w:p w14:paraId="01F22009">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跨越安全围栏或超越安全警戒线；工作人员误碰带电设备；以及在带电设备附近使用钢卷尺等测量工具或携带金属超高物体在带电设备下行走；</w:t>
      </w:r>
    </w:p>
    <w:p w14:paraId="491EA77A">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私拉、乱拉电线；</w:t>
      </w:r>
    </w:p>
    <w:p w14:paraId="3C97EBF6">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用电保护系统失灵；</w:t>
      </w:r>
    </w:p>
    <w:p w14:paraId="1D01DA6D">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设备线路短路，机壳带电；</w:t>
      </w:r>
    </w:p>
    <w:p w14:paraId="6EA8A5A8">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在电缆沟、夹层或金属容器内工作不使用安全电压行灯照明；</w:t>
      </w:r>
    </w:p>
    <w:p w14:paraId="540EADC7">
      <w:pPr>
        <w:numPr>
          <w:ilvl w:val="0"/>
          <w:numId w:val="10"/>
        </w:num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在潮湿地区、金属容器内工作不穿绝缘鞋，无绝缘垫、无监护人等。</w:t>
      </w:r>
    </w:p>
    <w:p w14:paraId="4765AF05">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17" w:name="_Toc20134"/>
      <w:bookmarkStart w:id="418" w:name="_Toc6569"/>
      <w:bookmarkStart w:id="419" w:name="_Toc23220"/>
      <w:r>
        <w:rPr>
          <w:rFonts w:hint="default" w:ascii="Times New Roman" w:hAnsi="Times New Roman" w:cs="Times New Roman"/>
          <w:color w:val="000000" w:themeColor="text1"/>
          <w:lang w:val="en-US" w:eastAsia="zh-CN"/>
          <w14:textFill>
            <w14:solidFill>
              <w14:schemeClr w14:val="tx1"/>
            </w14:solidFill>
          </w14:textFill>
        </w:rPr>
        <w:t>3.6.6物体打击危险性分析</w:t>
      </w:r>
      <w:bookmarkEnd w:id="417"/>
      <w:bookmarkEnd w:id="418"/>
      <w:bookmarkEnd w:id="419"/>
    </w:p>
    <w:p w14:paraId="10D476B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物体打击，是指物体在重力或其他外力的作用下产生运动，打击人体造成人身伤亡事故。对其导致物体打击的主要原因分析如下：</w:t>
      </w:r>
    </w:p>
    <w:p w14:paraId="3D6C72B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若高处的防护栏、安全盖板等安全设施缺失，在生产过程中、对设备进行维护和检修过程中，在高处的工具和材料从高处跌落，或人为向下抛掷物件，均易造成对人员的物体打击伤害。</w:t>
      </w:r>
    </w:p>
    <w:p w14:paraId="7D08301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物料、物件摆放不稳，倾覆，也会对人体造成物体打击，造成人员伤亡事故。</w:t>
      </w:r>
    </w:p>
    <w:p w14:paraId="195E1424">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如果在高空平台、通道上堆物或者高空装置零件破损，可能会造成物料或装置部件坠落。</w:t>
      </w:r>
    </w:p>
    <w:p w14:paraId="0F52CF8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val="en-US"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高空抛物，未划定警戒线，无人监护。</w:t>
      </w:r>
    </w:p>
    <w:p w14:paraId="02CD8F0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20" w:name="_Toc25288"/>
      <w:bookmarkStart w:id="421" w:name="_Toc4669"/>
      <w:bookmarkStart w:id="422" w:name="_Toc26670"/>
      <w:r>
        <w:rPr>
          <w:rFonts w:hint="default" w:ascii="Times New Roman" w:hAnsi="Times New Roman" w:cs="Times New Roman"/>
          <w:color w:val="000000" w:themeColor="text1"/>
          <w:lang w:val="en-US" w:eastAsia="zh-CN"/>
          <w14:textFill>
            <w14:solidFill>
              <w14:schemeClr w14:val="tx1"/>
            </w14:solidFill>
          </w14:textFill>
        </w:rPr>
        <w:t>3.6.7灼烫危险性分析</w:t>
      </w:r>
      <w:bookmarkEnd w:id="420"/>
      <w:bookmarkEnd w:id="421"/>
      <w:bookmarkEnd w:id="422"/>
    </w:p>
    <w:p w14:paraId="7D3DED0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烫伤是指火焰烧伤、高温物体烫伤、蒸汽烫伤、化学灼伤（酸、碱、盐、有机物引起的体内外的灼伤）、物理灼伤（光、放射性物质引起的体内外的灼伤）。该项目</w:t>
      </w:r>
      <w:r>
        <w:rPr>
          <w:rFonts w:hint="eastAsia" w:ascii="宋体" w:hAnsi="宋体" w:eastAsia="宋体" w:cs="宋体"/>
          <w:kern w:val="2"/>
          <w:sz w:val="28"/>
          <w:szCs w:val="24"/>
          <w:lang w:val="en-US" w:eastAsia="zh-CN" w:bidi="ar-SA"/>
        </w:rPr>
        <w:t>配料过程使用化学品氢氧化钠（NaOH），氢氧化钠不会燃烧，但遇水和水蒸气大量放热，与酸发生中和反应并放热。若操作不规范可导致高温溶液、高温蒸汽渗漏，可能对操作人员造成灼伤烫伤</w:t>
      </w:r>
      <w:r>
        <w:rPr>
          <w:rFonts w:hint="default" w:ascii="Times New Roman" w:hAnsi="Times New Roman" w:cs="Times New Roman"/>
          <w:color w:val="000000" w:themeColor="text1"/>
          <w:spacing w:val="8"/>
          <w:sz w:val="28"/>
          <w:szCs w:val="28"/>
          <w14:textFill>
            <w14:solidFill>
              <w14:schemeClr w14:val="tx1"/>
            </w14:solidFill>
          </w14:textFill>
        </w:rPr>
        <w:t>。引发事故的原因主要有：</w:t>
      </w:r>
    </w:p>
    <w:p w14:paraId="79DF529F">
      <w:pPr>
        <w:pStyle w:val="15"/>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宋体" w:hAnsi="宋体" w:eastAsia="宋体" w:cs="宋体"/>
          <w:kern w:val="2"/>
          <w:sz w:val="28"/>
          <w:szCs w:val="24"/>
          <w:lang w:val="en-US" w:eastAsia="zh-CN" w:bidi="ar-SA"/>
        </w:rPr>
      </w:pPr>
      <w:bookmarkStart w:id="423" w:name="_Toc22305"/>
      <w:bookmarkStart w:id="424" w:name="_Toc12404"/>
      <w:r>
        <w:rPr>
          <w:rFonts w:hint="eastAsia" w:ascii="宋体" w:hAnsi="宋体" w:eastAsia="宋体" w:cs="宋体"/>
          <w:kern w:val="2"/>
          <w:sz w:val="28"/>
          <w:szCs w:val="24"/>
          <w:lang w:val="en-US" w:eastAsia="zh-CN" w:bidi="ar-SA"/>
        </w:rPr>
        <w:t>1.作业人员未正确穿戴劳动保护用品，不小心接触到高温溶液、高温蒸汽；</w:t>
      </w:r>
    </w:p>
    <w:p w14:paraId="4B9DBA4A">
      <w:pPr>
        <w:pStyle w:val="15"/>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宋体" w:hAnsi="宋体" w:eastAsia="宋体" w:cs="宋体"/>
          <w:kern w:val="2"/>
          <w:sz w:val="28"/>
          <w:szCs w:val="24"/>
          <w:lang w:val="en-US" w:eastAsia="zh-CN" w:bidi="ar-SA"/>
        </w:rPr>
      </w:pPr>
      <w:r>
        <w:rPr>
          <w:rFonts w:hint="eastAsia" w:ascii="宋体" w:hAnsi="宋体" w:eastAsia="宋体" w:cs="宋体"/>
          <w:kern w:val="2"/>
          <w:sz w:val="28"/>
          <w:szCs w:val="24"/>
          <w:lang w:val="en-US" w:eastAsia="zh-CN" w:bidi="ar-SA"/>
        </w:rPr>
        <w:t>2.搅拌罐的临作业平台一侧未设防护网，或维护检修时，若防护不好、检修作业麻痹大意或不按作业程序作业，高温溶液直接与人体接触，易引起伤害事故。</w:t>
      </w:r>
    </w:p>
    <w:p w14:paraId="5CBC5811">
      <w:pPr>
        <w:pStyle w:val="23"/>
        <w:keepNext w:val="0"/>
        <w:keepLines w:val="0"/>
        <w:pageBreakBefore w:val="0"/>
        <w:widowControl w:val="0"/>
        <w:kinsoku/>
        <w:wordWrap/>
        <w:overflowPunct/>
        <w:topLinePunct w:val="0"/>
        <w:autoSpaceDE/>
        <w:autoSpaceDN/>
        <w:bidi w:val="0"/>
        <w:adjustRightInd/>
        <w:snapToGrid/>
        <w:spacing w:after="0" w:line="500" w:lineRule="exact"/>
        <w:ind w:left="0" w:right="0" w:firstLine="560" w:firstLineChars="200"/>
        <w:textAlignment w:val="auto"/>
        <w:rPr>
          <w:rFonts w:hint="eastAsia" w:ascii="宋体" w:hAnsi="宋体" w:eastAsia="宋体" w:cs="宋体"/>
          <w:kern w:val="2"/>
          <w:sz w:val="28"/>
          <w:szCs w:val="28"/>
          <w:lang w:val="zh-CN" w:eastAsia="zh-CN" w:bidi="ar-SA"/>
        </w:rPr>
      </w:pPr>
      <w:r>
        <w:rPr>
          <w:rFonts w:hint="eastAsia" w:ascii="宋体" w:hAnsi="宋体" w:eastAsia="宋体" w:cs="宋体"/>
          <w:kern w:val="2"/>
          <w:sz w:val="28"/>
          <w:szCs w:val="24"/>
          <w:lang w:val="en-US" w:eastAsia="zh-CN" w:bidi="ar-SA"/>
        </w:rPr>
        <w:t>3.人员操作过程中，因人员疏忽大意，不遵守操作规程，设备故障等原因，也可能烫伤事故。</w:t>
      </w:r>
    </w:p>
    <w:p w14:paraId="3ADDB63E">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25" w:name="_Toc14196"/>
      <w:r>
        <w:rPr>
          <w:rFonts w:hint="default" w:ascii="Times New Roman" w:hAnsi="Times New Roman" w:cs="Times New Roman"/>
          <w:color w:val="000000" w:themeColor="text1"/>
          <w:lang w:val="en-US" w:eastAsia="zh-CN"/>
          <w14:textFill>
            <w14:solidFill>
              <w14:schemeClr w14:val="tx1"/>
            </w14:solidFill>
          </w14:textFill>
        </w:rPr>
        <w:t>3.6.8车辆伤害危险性分析</w:t>
      </w:r>
      <w:bookmarkEnd w:id="423"/>
      <w:bookmarkEnd w:id="424"/>
      <w:bookmarkEnd w:id="425"/>
    </w:p>
    <w:p w14:paraId="3FCF77B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该项目中的原料及成品主要通过车辆运输</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运输量较大，运送产品的机动车辆、货物运输的车辆如没有严格的交通管理措施，可能发生造成车辆伤害。车辆伤害事故的原因是多方面的，但主要是涉及人（驾驶员、行人、装卸工）、车（机动车与非机动车）、道路环境这三个综合因素。对产生车辆伤害的主要原因分析如下：</w:t>
      </w:r>
    </w:p>
    <w:p w14:paraId="4FFAB09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违章驾车</w:t>
      </w:r>
    </w:p>
    <w:p w14:paraId="30D846E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指事故的当事人，由于思想方面的原因而导致的错误操作行为，不按有关规定行驶，扰乱正常的企业内搬运秩序，致使事故发生。如酒后驾车，疲劳驾车，非驾驶员驾车，超速行驶，争道抢行，违章超车，违章装载等原因造成的车辆伤害事故。</w:t>
      </w:r>
    </w:p>
    <w:p w14:paraId="19351D8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疏忽大意</w:t>
      </w:r>
    </w:p>
    <w:p w14:paraId="42A0CD8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指当事人由于心理或生理方面的原因，没有及时、正确的观察和判断道路情况，而造成失误，如情绪急躁、精神分散、心理烦乱、身体不适等都可能造成注意力下降，反应迟钝，表现出嘹望观察不周，遇到情况采取措施不及时或不当；也有的只凭主观想象判断情况，或过高地估计自己的经验技术，过分自信，引起操作失误导致事故。</w:t>
      </w:r>
    </w:p>
    <w:p w14:paraId="19061075">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车况不良</w:t>
      </w:r>
    </w:p>
    <w:p w14:paraId="3453D9F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车辆的安全装置如转向、制动、喇叭、照明；后视镜和转向指示灯等不齐全有效；车辆维护修理不及时，带“病”行驶。</w:t>
      </w:r>
    </w:p>
    <w:p w14:paraId="35F9A20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道路环境</w:t>
      </w:r>
    </w:p>
    <w:p w14:paraId="237C013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道路条件差、因建筑物或自然环境影响造成视线不良等。</w:t>
      </w:r>
    </w:p>
    <w:p w14:paraId="404604EF">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高位原料堆场斜坡、弯道等处未设置防滑措施和挡车装置，导致车辆倒退过界，发生翻车事故。</w:t>
      </w:r>
    </w:p>
    <w:p w14:paraId="6757448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管理因素</w:t>
      </w:r>
    </w:p>
    <w:p w14:paraId="643ED4D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车辆安全行驶制度不落实，管理规章制度或操作规程不健全，非驾驶员驾车，车辆维修不及时，交通信号、标志、设施缺陷。</w:t>
      </w:r>
    </w:p>
    <w:bookmarkEnd w:id="398"/>
    <w:bookmarkEnd w:id="407"/>
    <w:bookmarkEnd w:id="408"/>
    <w:bookmarkEnd w:id="409"/>
    <w:bookmarkEnd w:id="410"/>
    <w:bookmarkEnd w:id="411"/>
    <w:bookmarkEnd w:id="412"/>
    <w:bookmarkEnd w:id="413"/>
    <w:p w14:paraId="7A5A902E">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26" w:name="_Toc21061"/>
      <w:bookmarkStart w:id="427" w:name="_Toc31207"/>
      <w:bookmarkStart w:id="428" w:name="_Toc9590"/>
      <w:r>
        <w:rPr>
          <w:rFonts w:hint="default" w:ascii="Times New Roman" w:hAnsi="Times New Roman" w:cs="Times New Roman"/>
          <w:color w:val="000000" w:themeColor="text1"/>
          <w:lang w:val="en-US" w:eastAsia="zh-CN"/>
          <w14:textFill>
            <w14:solidFill>
              <w14:schemeClr w14:val="tx1"/>
            </w14:solidFill>
          </w14:textFill>
        </w:rPr>
        <w:t>3.6.9坍塌危险性分析</w:t>
      </w:r>
      <w:bookmarkEnd w:id="426"/>
      <w:bookmarkEnd w:id="427"/>
      <w:bookmarkEnd w:id="428"/>
    </w:p>
    <w:p w14:paraId="6C2D4355">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厂区工程地质不符合要求，会造成建成的建、构筑物坍塌；建、构筑物设计不合理，或施工质量不合格，可能造成建、构筑物坍塌。该项目车间、仓库、原料堆场等场所若堆放的原料或成品过高，堆放不整齐，未划分相应的定置管理区域，则在周围作业时会发生坍塌事故；另外若物料靠墙堆放可能会导致建筑物坍塌。若人员被物料掩埋，甚至可能发生人员伤亡事故。</w:t>
      </w:r>
    </w:p>
    <w:p w14:paraId="0097B81F">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29" w:name="_Toc3634"/>
      <w:bookmarkStart w:id="430" w:name="_Toc16163"/>
      <w:bookmarkStart w:id="431" w:name="_Toc12571"/>
      <w:r>
        <w:rPr>
          <w:rFonts w:hint="default" w:ascii="Times New Roman" w:hAnsi="Times New Roman" w:cs="Times New Roman"/>
          <w:color w:val="000000" w:themeColor="text1"/>
          <w:lang w:val="en-US" w:eastAsia="zh-CN"/>
          <w14:textFill>
            <w14:solidFill>
              <w14:schemeClr w14:val="tx1"/>
            </w14:solidFill>
          </w14:textFill>
        </w:rPr>
        <w:t>3.6.1</w:t>
      </w:r>
      <w:r>
        <w:rPr>
          <w:rFonts w:hint="eastAsia"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静电、雷电危险性分析</w:t>
      </w:r>
      <w:bookmarkEnd w:id="429"/>
      <w:bookmarkEnd w:id="430"/>
    </w:p>
    <w:p w14:paraId="176BE98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静电危害</w:t>
      </w:r>
    </w:p>
    <w:p w14:paraId="107D338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生产过程中，在配电</w:t>
      </w:r>
      <w:r>
        <w:rPr>
          <w:rFonts w:hint="eastAsia" w:ascii="Times New Roman" w:cs="Times New Roman"/>
          <w:color w:val="000000" w:themeColor="text1"/>
          <w:spacing w:val="8"/>
          <w:sz w:val="28"/>
          <w:szCs w:val="28"/>
          <w:lang w:val="en-US" w:eastAsia="zh-CN"/>
          <w14:textFill>
            <w14:solidFill>
              <w14:schemeClr w14:val="tx1"/>
            </w14:solidFill>
          </w14:textFill>
        </w:rPr>
        <w:t>柜</w:t>
      </w:r>
      <w:r>
        <w:rPr>
          <w:rFonts w:hint="default" w:ascii="Times New Roman" w:hAnsi="Times New Roman" w:cs="Times New Roman"/>
          <w:color w:val="000000" w:themeColor="text1"/>
          <w:spacing w:val="8"/>
          <w:sz w:val="28"/>
          <w:szCs w:val="28"/>
          <w14:textFill>
            <w14:solidFill>
              <w14:schemeClr w14:val="tx1"/>
            </w14:solidFill>
          </w14:textFill>
        </w:rPr>
        <w:t>、厂房等有弱电、强电操作的环境处，都可能会出现静电放电和雷电放电现象，均可成为引起燃烧的点火源，导致火灾或其他因控制失灵产生的事故。</w:t>
      </w:r>
    </w:p>
    <w:p w14:paraId="32D04B95">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雷电的危害</w:t>
      </w:r>
    </w:p>
    <w:p w14:paraId="3E229084">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雷电的破坏作用主要为三种：直接雷击破坏、感应雷破坏和雷电波侵入破坏。</w:t>
      </w:r>
    </w:p>
    <w:p w14:paraId="429720C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（1）直接雷击破坏</w:t>
      </w:r>
    </w:p>
    <w:p w14:paraId="21B2E84C">
      <w:pPr>
        <w:adjustRightInd w:val="0"/>
        <w:snapToGrid w:val="0"/>
        <w:spacing w:line="500" w:lineRule="exact"/>
        <w:ind w:firstLine="592" w:firstLineChars="200"/>
        <w:contextualSpacing/>
        <w:rPr>
          <w:rFonts w:hint="eastAsia" w:ascii="Times New Roman" w:hAnsi="Times New Roman" w:eastAsia="宋体" w:cs="Times New Roman"/>
          <w:color w:val="000000" w:themeColor="text1"/>
          <w:spacing w:val="8"/>
          <w:sz w:val="28"/>
          <w:szCs w:val="28"/>
          <w:lang w:eastAsia="zh-CN"/>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当雷电直接击在建筑物上，强大的雷电流使建 (构) 筑物水分受热汽化膨胀，从而产生很大的机械力，导致建筑物燃烧或爆炸。另外，当雷电击中接闪器，电流沿引下线向大地泻放时，这时对地电位升高，有可能向临近的物体跳击，称为雷电“反击”，从而造成火灾或人身伤亡</w:t>
      </w:r>
      <w:r>
        <w:rPr>
          <w:rFonts w:hint="eastAsia" w:ascii="Times New Roman" w:cs="Times New Roman"/>
          <w:color w:val="000000" w:themeColor="text1"/>
          <w:spacing w:val="8"/>
          <w:sz w:val="28"/>
          <w:szCs w:val="28"/>
          <w:lang w:eastAsia="zh-CN"/>
          <w14:textFill>
            <w14:solidFill>
              <w14:schemeClr w14:val="tx1"/>
            </w14:solidFill>
          </w14:textFill>
        </w:rPr>
        <w:t>。</w:t>
      </w:r>
    </w:p>
    <w:p w14:paraId="500F7E0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（2）感应雷破坏</w:t>
      </w:r>
    </w:p>
    <w:p w14:paraId="1A0E023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感应雷破坏也称为二次破坏。由于雷电流变化梯度很大，会产生强大的交变磁场，使得周围的金属构件产生感应电流，这种电流可能向周围物体放电，如附近有可燃物就会引发火灾和爆炸，而感应到正在联机的导线上就会对设备产生强烈的破坏性。</w:t>
      </w:r>
    </w:p>
    <w:p w14:paraId="5ECCC11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（3）雷电波侵入破坏</w:t>
      </w:r>
    </w:p>
    <w:p w14:paraId="1B8B2B4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当雷电接近架空管线时，高压冲击波会沿架空管线侵入室内，造成高电流引入，这样可能引起设备损坏或人身伤亡事故。如果附近有可燃物，容易酿成火灾。</w:t>
      </w:r>
    </w:p>
    <w:p w14:paraId="2B245DB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当遇到雷雨天气时，全厂各建、构筑物、设备、管道和人员均可能受到雷击伤害。</w:t>
      </w:r>
    </w:p>
    <w:p w14:paraId="341512FA">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32" w:name="_Toc8560"/>
      <w:r>
        <w:rPr>
          <w:rFonts w:hint="eastAsia" w:ascii="Times New Roman" w:hAnsi="Times New Roman" w:cs="Times New Roman"/>
          <w:color w:val="000000" w:themeColor="text1"/>
          <w:lang w:val="en-US" w:eastAsia="zh-CN"/>
          <w14:textFill>
            <w14:solidFill>
              <w14:schemeClr w14:val="tx1"/>
            </w14:solidFill>
          </w14:textFill>
        </w:rPr>
        <w:t>3.6.11</w:t>
      </w:r>
      <w:r>
        <w:rPr>
          <w:rFonts w:hint="default" w:ascii="Times New Roman" w:hAnsi="Times New Roman" w:cs="Times New Roman"/>
          <w:color w:val="000000" w:themeColor="text1"/>
          <w:lang w:val="en-US" w:eastAsia="zh-CN"/>
          <w14:textFill>
            <w14:solidFill>
              <w14:schemeClr w14:val="tx1"/>
            </w14:solidFill>
          </w14:textFill>
        </w:rPr>
        <w:t>淹溺</w:t>
      </w:r>
      <w:r>
        <w:rPr>
          <w:rFonts w:hint="eastAsia" w:ascii="Times New Roman" w:hAnsi="Times New Roman" w:cs="Times New Roman"/>
          <w:color w:val="000000" w:themeColor="text1"/>
          <w:lang w:val="en-US" w:eastAsia="zh-CN"/>
          <w14:textFill>
            <w14:solidFill>
              <w14:schemeClr w14:val="tx1"/>
            </w14:solidFill>
          </w14:textFill>
        </w:rPr>
        <w:t>危险性分析</w:t>
      </w:r>
      <w:bookmarkEnd w:id="432"/>
    </w:p>
    <w:p w14:paraId="54BF048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color w:val="000000" w:themeColor="text1"/>
          <w:spacing w:val="8"/>
          <w:sz w:val="28"/>
          <w:szCs w:val="28"/>
          <w14:textFill>
            <w14:solidFill>
              <w14:schemeClr w14:val="tx1"/>
            </w14:solidFill>
          </w14:textFill>
        </w:rPr>
      </w:pPr>
      <w:r>
        <w:rPr>
          <w:rFonts w:hint="eastAsia" w:ascii="宋体" w:hAnsi="宋体" w:eastAsia="宋体" w:cs="宋体"/>
          <w:sz w:val="28"/>
          <w:szCs w:val="28"/>
        </w:rPr>
        <w:t>淹溺主要是由于人跌入水中，水进入人体呼吸气管后，由于窒息缺氧而产生昏迷，救治不及时会造成人员死亡。公司厂区内设置</w:t>
      </w:r>
      <w:r>
        <w:rPr>
          <w:rFonts w:hint="eastAsia" w:ascii="宋体" w:hAnsi="宋体" w:eastAsia="宋体" w:cs="宋体"/>
          <w:sz w:val="28"/>
          <w:szCs w:val="28"/>
          <w:lang w:val="en-US" w:eastAsia="zh-CN"/>
        </w:rPr>
        <w:t>事故</w:t>
      </w:r>
      <w:r>
        <w:rPr>
          <w:rFonts w:hint="eastAsia" w:hAnsi="宋体" w:cs="宋体"/>
          <w:sz w:val="28"/>
          <w:szCs w:val="28"/>
          <w:lang w:val="en-US" w:eastAsia="zh-CN"/>
        </w:rPr>
        <w:t>处理</w:t>
      </w:r>
      <w:r>
        <w:rPr>
          <w:rFonts w:hint="eastAsia" w:ascii="宋体" w:hAnsi="宋体" w:eastAsia="宋体" w:cs="宋体"/>
          <w:sz w:val="28"/>
          <w:szCs w:val="28"/>
          <w:lang w:val="en-US" w:eastAsia="zh-CN"/>
        </w:rPr>
        <w:t>池</w:t>
      </w:r>
      <w:r>
        <w:rPr>
          <w:rFonts w:hint="eastAsia" w:ascii="宋体" w:hAnsi="宋体" w:eastAsia="宋体" w:cs="宋体"/>
          <w:sz w:val="28"/>
          <w:szCs w:val="28"/>
        </w:rPr>
        <w:t>，若水池周围安全防护设施不到位、水池醒目位置未设置安全警示标识、存在夜间作业的水池区域未设置合格有效的照明设施等，在照明条件差（特别是在夜间）、过往人员疏忽大意等情况下，人员可能跌入其中，发生淹溺事故。</w:t>
      </w:r>
    </w:p>
    <w:bookmarkEnd w:id="431"/>
    <w:p w14:paraId="404C74E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33" w:name="_Toc19873"/>
      <w:bookmarkStart w:id="434" w:name="_Toc7721"/>
      <w:bookmarkStart w:id="435" w:name="_Toc7483"/>
      <w:r>
        <w:rPr>
          <w:rFonts w:hint="default" w:ascii="Times New Roman" w:hAnsi="Times New Roman" w:cs="Times New Roman"/>
          <w:color w:val="000000" w:themeColor="text1"/>
          <w:lang w:val="en-US" w:eastAsia="zh-CN"/>
          <w14:textFill>
            <w14:solidFill>
              <w14:schemeClr w14:val="tx1"/>
            </w14:solidFill>
          </w14:textFill>
        </w:rPr>
        <w:t>3.6.1</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其他伤害危险性分析</w:t>
      </w:r>
      <w:bookmarkEnd w:id="433"/>
      <w:bookmarkEnd w:id="434"/>
      <w:bookmarkEnd w:id="435"/>
    </w:p>
    <w:p w14:paraId="00779A44">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噪声危害</w:t>
      </w:r>
    </w:p>
    <w:p w14:paraId="106814D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噪声就是各种不同频率和强度的声音，呈无规律的杂乱组合，其波形呈无规则变化，听起来使人感到厌烦或音量过强而危害人体健康的声音。可分为：机械噪声、空气动力性噪声和电磁噪声。该项目产生的噪声主要是由空压机运行发出的声音，其次是电磁噪声。</w:t>
      </w:r>
    </w:p>
    <w:p w14:paraId="2EC43A3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噪声能引起听觉功能敏感度下降甚至造成耳聋，或引起神经衰弱心血管疾病及消化系统等疾病的高发，使误操作率上升。其主要危害是对听力系统的损害，强噪声作用下，可导致永久性听力下降，内耳感音细胞遭损伤，引起噪声性耳聋。引发噪声危害的原因主要有：</w:t>
      </w:r>
    </w:p>
    <w:p w14:paraId="2AD76ED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（1）机械设备运转不正常，造成噪声超标；</w:t>
      </w:r>
    </w:p>
    <w:p w14:paraId="0B313B7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（2）工作环境中噪声超标；</w:t>
      </w:r>
    </w:p>
    <w:p w14:paraId="2D11FC1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（3）人员未采取防护措施或防护措施失效；</w:t>
      </w:r>
    </w:p>
    <w:p w14:paraId="32EAB66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（4）高噪声设备未采取隔声、消声、吸声、隔振等安全措施；</w:t>
      </w:r>
    </w:p>
    <w:p w14:paraId="0DB8C74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（5）人员长时间在噪声环境中劳动；</w:t>
      </w:r>
    </w:p>
    <w:p w14:paraId="4E4B7C93">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（6）安全资金投入不足、安全教育培训不够、个体防护不到位等。</w:t>
      </w:r>
    </w:p>
    <w:p w14:paraId="03108DE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bookmarkStart w:id="436" w:name="_Toc4617"/>
      <w:bookmarkStart w:id="437" w:name="_Toc10588"/>
      <w:r>
        <w:rPr>
          <w:rFonts w:hint="eastAsia" w:ascii="Times New Roman" w:cs="Times New Roman"/>
          <w:color w:val="000000" w:themeColor="text1"/>
          <w:spacing w:val="8"/>
          <w:sz w:val="28"/>
          <w:szCs w:val="28"/>
          <w:lang w:val="en-US" w:eastAsia="zh-CN"/>
          <w14:textFill>
            <w14:solidFill>
              <w14:schemeClr w14:val="tx1"/>
            </w14:solidFill>
          </w14:textFill>
        </w:rPr>
        <w:t>2.</w:t>
      </w:r>
      <w:r>
        <w:rPr>
          <w:rFonts w:hint="default" w:ascii="Times New Roman" w:hAnsi="Times New Roman" w:cs="Times New Roman"/>
          <w:color w:val="000000" w:themeColor="text1"/>
          <w:spacing w:val="8"/>
          <w:sz w:val="28"/>
          <w:szCs w:val="28"/>
          <w14:textFill>
            <w14:solidFill>
              <w14:schemeClr w14:val="tx1"/>
            </w14:solidFill>
          </w14:textFill>
        </w:rPr>
        <w:t>其它</w:t>
      </w:r>
      <w:bookmarkEnd w:id="436"/>
      <w:bookmarkEnd w:id="437"/>
    </w:p>
    <w:p w14:paraId="46C26CE0">
      <w:pPr>
        <w:adjustRightInd w:val="0"/>
        <w:snapToGrid w:val="0"/>
        <w:spacing w:line="500" w:lineRule="exact"/>
        <w:ind w:firstLine="560" w:firstLineChars="20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本项目在生产过程中，还存在着其它危险、有害因素，例如地震等自然灾害。其主要危险性如下：</w:t>
      </w:r>
    </w:p>
    <w:p w14:paraId="4CEF991E">
      <w:pPr>
        <w:adjustRightInd w:val="0"/>
        <w:snapToGrid w:val="0"/>
        <w:spacing w:line="500" w:lineRule="exact"/>
        <w:ind w:firstLine="560" w:firstLineChars="20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地震是一种自然灾害，是不可抗拒的，甚至是毁灭性的因素。其对人造成伤亡或对建筑物及设备造成突发损害的因素；有害因素直接或间接影响人的身体健康，导致疾病或对建筑物和设备、环境造成损害的因素；</w:t>
      </w:r>
    </w:p>
    <w:p w14:paraId="383FB032">
      <w:pPr>
        <w:adjustRightInd w:val="0"/>
        <w:snapToGrid w:val="0"/>
        <w:spacing w:line="500" w:lineRule="exact"/>
        <w:ind w:firstLine="560" w:firstLineChars="20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（2）不良地质：由于地质构造、岩浆活动等地质异常活动现象，易产生地震自然灾害；</w:t>
      </w:r>
    </w:p>
    <w:p w14:paraId="43EB98C8">
      <w:pPr>
        <w:adjustRightInd w:val="0"/>
        <w:snapToGrid w:val="0"/>
        <w:spacing w:line="500" w:lineRule="exact"/>
        <w:ind w:firstLine="560" w:firstLineChars="20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（3）气温：人体有最适宜的环境温度，当其超过一定范围时，会产生不舒服感，气温极端会使人发生中暑和冻伤；</w:t>
      </w:r>
    </w:p>
    <w:p w14:paraId="379A0B45">
      <w:pPr>
        <w:adjustRightInd w:val="0"/>
        <w:snapToGrid w:val="0"/>
        <w:spacing w:line="500" w:lineRule="exact"/>
        <w:ind w:firstLine="560" w:firstLineChars="200"/>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（4）其他：暴雨和洪水威胁工厂安全，其作用范围大。</w:t>
      </w:r>
    </w:p>
    <w:p w14:paraId="047A6086">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438" w:name="_Toc186"/>
      <w:bookmarkStart w:id="439" w:name="_Toc13018"/>
      <w:bookmarkStart w:id="440" w:name="_Toc28594"/>
      <w:bookmarkStart w:id="441" w:name="_Toc61474425"/>
      <w:bookmarkStart w:id="442" w:name="_Toc30001402"/>
      <w:r>
        <w:rPr>
          <w:rFonts w:hint="default" w:ascii="Times New Roman" w:hAnsi="Times New Roman" w:eastAsia="楷体" w:cs="Times New Roman"/>
          <w:color w:val="000000" w:themeColor="text1"/>
          <w14:textFill>
            <w14:solidFill>
              <w14:schemeClr w14:val="tx1"/>
            </w14:solidFill>
          </w14:textFill>
        </w:rPr>
        <w:t>3.7特殊作业危险性分析</w:t>
      </w:r>
      <w:bookmarkEnd w:id="438"/>
      <w:bookmarkEnd w:id="439"/>
      <w:bookmarkEnd w:id="440"/>
    </w:p>
    <w:p w14:paraId="0BC63F59">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43" w:name="_Toc11966"/>
      <w:bookmarkStart w:id="444" w:name="_Toc31820"/>
      <w:bookmarkStart w:id="445" w:name="_Toc23799"/>
      <w:r>
        <w:rPr>
          <w:rFonts w:hint="default" w:ascii="Times New Roman" w:hAnsi="Times New Roman" w:cs="Times New Roman"/>
          <w:color w:val="000000" w:themeColor="text1"/>
          <w:lang w:val="en-US" w:eastAsia="zh-CN"/>
          <w14:textFill>
            <w14:solidFill>
              <w14:schemeClr w14:val="tx1"/>
            </w14:solidFill>
          </w14:textFill>
        </w:rPr>
        <w:t>3.7.</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临时用电作业危险、有害因素分析</w:t>
      </w:r>
      <w:bookmarkEnd w:id="443"/>
      <w:bookmarkEnd w:id="444"/>
      <w:bookmarkEnd w:id="445"/>
    </w:p>
    <w:p w14:paraId="201C8A4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该项目在施工或检维修过程中会涉及临时用电作业，在此过程中可能因违章操作等原因而引发触电、电气火灾等危险。其引发事故主要原因分析如下：</w:t>
      </w:r>
    </w:p>
    <w:p w14:paraId="67AEE68F">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临时用电线路未设置保护开关，或使用前未检查电气装置和保护设施的可靠性或为接地。</w:t>
      </w:r>
    </w:p>
    <w:p w14:paraId="11A39D8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临时用电线路经过有高温、振动、腐蚀、积水等区域时有接头，且未采取相应的保护措施。</w:t>
      </w:r>
    </w:p>
    <w:p w14:paraId="2496715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临时用电架空线设置不规范，未采用绝缘铜芯线，且未架设在专用电杆或支架上。</w:t>
      </w:r>
    </w:p>
    <w:p w14:paraId="1C2202C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在特别潮湿的场所或罐内等金属设备内作业时，临时照明行灯的电压不符合规范要求，超过12V。</w:t>
      </w:r>
    </w:p>
    <w:p w14:paraId="0F71B70E">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用电结束后，未及时拆除临时用电线路。</w:t>
      </w:r>
    </w:p>
    <w:p w14:paraId="3BDBE990">
      <w:pPr>
        <w:adjustRightInd w:val="0"/>
        <w:snapToGrid w:val="0"/>
        <w:spacing w:line="500" w:lineRule="exact"/>
        <w:ind w:firstLine="592" w:firstLineChars="200"/>
        <w:contextualSpacing/>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作业人员未持证上岗，违章作业等其他原因。</w:t>
      </w:r>
    </w:p>
    <w:p w14:paraId="58800378">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46" w:name="_Toc14572"/>
      <w:bookmarkStart w:id="447" w:name="_Toc4657"/>
      <w:bookmarkStart w:id="448" w:name="_Toc1182"/>
      <w:r>
        <w:rPr>
          <w:rFonts w:hint="default" w:ascii="Times New Roman" w:hAnsi="Times New Roman" w:cs="Times New Roman"/>
          <w:color w:val="000000" w:themeColor="text1"/>
          <w:lang w:val="en-US" w:eastAsia="zh-CN"/>
          <w14:textFill>
            <w14:solidFill>
              <w14:schemeClr w14:val="tx1"/>
            </w14:solidFill>
          </w14:textFill>
        </w:rPr>
        <w:t>3.7.</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动火作业危险、有害因素分析</w:t>
      </w:r>
      <w:bookmarkEnd w:id="446"/>
      <w:bookmarkEnd w:id="447"/>
      <w:bookmarkEnd w:id="448"/>
    </w:p>
    <w:p w14:paraId="1296E95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在进行设备检修、安装过程常常需要进行电焊、气焊（割）、电钻、砂轮等进行可能产生火焰、火花和炽热表面的动火作业。本项目中，动火作业可能造成火灾、其他爆炸、灼烫等危险。</w:t>
      </w:r>
    </w:p>
    <w:p w14:paraId="734C7E4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动火作业未办理动火安全作业证，未对动火作业存在的危险有害因素进行充分辨识，未制定相应处理措施。</w:t>
      </w:r>
    </w:p>
    <w:p w14:paraId="5F2F2F6C">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未配备监护人员或监护人员脱岗。</w:t>
      </w:r>
    </w:p>
    <w:p w14:paraId="4341AA5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未设警戒线，未设监护人员，未设安全警示标志。</w:t>
      </w:r>
    </w:p>
    <w:p w14:paraId="567EEAA1">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动火前未清除动火现场及周围的易燃物品，未配备足够适用的消防器材。</w:t>
      </w:r>
    </w:p>
    <w:p w14:paraId="6A9B9AD3">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对于涉及液压油、真空泵油等易燃物、可燃物的管路、容器等在动火前未经过隔离、清洗、置换，取样分析。</w:t>
      </w:r>
    </w:p>
    <w:p w14:paraId="78D6F4D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在有限空间动火时，未采取排风措施，有毒烟气聚集导致人员中毒。</w:t>
      </w:r>
    </w:p>
    <w:p w14:paraId="776A83AF">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使用气焊、气割动火作业时，乙炔瓶、氧气瓶使用不规范。</w:t>
      </w:r>
    </w:p>
    <w:p w14:paraId="7E849F29">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8</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人员违章作业等。</w:t>
      </w:r>
    </w:p>
    <w:p w14:paraId="0A09F815">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49" w:name="_Toc30904"/>
      <w:bookmarkStart w:id="450" w:name="_Toc6208"/>
      <w:bookmarkStart w:id="451" w:name="_Toc9975"/>
      <w:r>
        <w:rPr>
          <w:rFonts w:hint="default" w:ascii="Times New Roman" w:hAnsi="Times New Roman" w:cs="Times New Roman"/>
          <w:color w:val="000000" w:themeColor="text1"/>
          <w:lang w:val="en-US" w:eastAsia="zh-CN"/>
          <w14:textFill>
            <w14:solidFill>
              <w14:schemeClr w14:val="tx1"/>
            </w14:solidFill>
          </w14:textFill>
        </w:rPr>
        <w:t>3.7.</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高处作业危险、有害因素分析</w:t>
      </w:r>
      <w:bookmarkEnd w:id="449"/>
      <w:bookmarkEnd w:id="450"/>
      <w:bookmarkEnd w:id="451"/>
    </w:p>
    <w:p w14:paraId="2B1F3F1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该项目在生产、运行过程中需要高处作业时，有可能发生高处坠落、物体打击等危险。其主要引发原因分析如下：</w:t>
      </w:r>
    </w:p>
    <w:p w14:paraId="638985F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作业前未办理高处作业安全作业证，未对作业存在的危险有害因素进行充分辨识，未制定相应处理措施。</w:t>
      </w:r>
    </w:p>
    <w:p w14:paraId="6CAC0947">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作业区未划分警戒区，未设监护人员，未设警示标志。</w:t>
      </w:r>
    </w:p>
    <w:p w14:paraId="669364E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高处作业脚手架、梯子、防护围栏等质量不良，使用前未经检查。</w:t>
      </w:r>
    </w:p>
    <w:p w14:paraId="57346FC8">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高处作业时作业人员未按要求佩戴安全带（绳）、疲劳过度或酒后作业、未采取安全防护措施和使用可靠的安全保护装置等。</w:t>
      </w:r>
    </w:p>
    <w:p w14:paraId="06981723">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在6级以上大风、大雾天气进行高处作业。</w:t>
      </w:r>
    </w:p>
    <w:p w14:paraId="4123BAF2">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高处作业人员患有职业禁忌，如高血压、心脏病、贫血病、疲劳过度、视力不佳等。</w:t>
      </w:r>
    </w:p>
    <w:p w14:paraId="25EC367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高处作业下方未设防坠物措施，工具、零件、螺丝等坠下造成物体，高空抛物、物件设备摆放不稳，倾覆等易造成物体打击事故。</w:t>
      </w:r>
    </w:p>
    <w:p w14:paraId="01E29080">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452" w:name="_Toc12062"/>
      <w:bookmarkStart w:id="453" w:name="_Toc20142"/>
      <w:bookmarkStart w:id="454" w:name="_Toc31986"/>
      <w:r>
        <w:rPr>
          <w:rFonts w:hint="default" w:ascii="Times New Roman" w:hAnsi="Times New Roman" w:eastAsia="楷体" w:cs="Times New Roman"/>
          <w:color w:val="000000" w:themeColor="text1"/>
          <w14:textFill>
            <w14:solidFill>
              <w14:schemeClr w14:val="tx1"/>
            </w14:solidFill>
          </w14:textFill>
        </w:rPr>
        <w:t>3.8设备检维修过程危险、有害因素分析</w:t>
      </w:r>
      <w:bookmarkEnd w:id="452"/>
      <w:bookmarkEnd w:id="453"/>
      <w:bookmarkEnd w:id="454"/>
    </w:p>
    <w:p w14:paraId="0699225C">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该项目检修、安装过程中可能会引发火灾、容器爆炸、高处坠落、物体打击、触电、机械伤害、灼烫</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噪声危害等危险，其主要引发原因如下：</w:t>
      </w:r>
    </w:p>
    <w:p w14:paraId="029B77EB">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1</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在使用电钻、砂轮等进行可能产生火焰、火花和炽热表面的动火作业，如果控制不好，可能发生火灾爆炸事故。</w:t>
      </w:r>
      <w:r>
        <w:rPr>
          <w:rFonts w:hint="eastAsia" w:ascii="Times New Roman" w:cs="Times New Roman"/>
          <w:color w:val="000000" w:themeColor="text1"/>
          <w:spacing w:val="8"/>
          <w:sz w:val="28"/>
          <w:szCs w:val="28"/>
          <w:lang w:val="en-US" w:eastAsia="zh-CN"/>
          <w14:textFill>
            <w14:solidFill>
              <w14:schemeClr w14:val="tx1"/>
            </w14:solidFill>
          </w14:textFill>
        </w:rPr>
        <w:t>检维修作业</w:t>
      </w:r>
      <w:r>
        <w:rPr>
          <w:rFonts w:hint="eastAsia" w:ascii="宋体" w:hAnsi="宋体" w:eastAsia="宋体" w:cs="宋体"/>
          <w:sz w:val="28"/>
          <w:szCs w:val="28"/>
        </w:rPr>
        <w:t>过程中还可能发生电气火灾</w:t>
      </w:r>
      <w:r>
        <w:rPr>
          <w:rFonts w:hint="default" w:ascii="Times New Roman" w:hAnsi="Times New Roman" w:cs="Times New Roman"/>
          <w:color w:val="000000" w:themeColor="text1"/>
          <w:spacing w:val="8"/>
          <w:sz w:val="28"/>
          <w:szCs w:val="28"/>
          <w14:textFill>
            <w14:solidFill>
              <w14:schemeClr w14:val="tx1"/>
            </w14:solidFill>
          </w14:textFill>
        </w:rPr>
        <w:t>。</w:t>
      </w:r>
    </w:p>
    <w:p w14:paraId="11776A44">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2</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作业平台未设置安全防护栏或防护网或失效；检修作业平台、脚手架强度不符合规范要求；未设置安全警示标识或失效；安排高处作业禁忌者从事高处作业；原有装置、设备强度与该项目装置不匹配，直接利用原有装置作安装、检修平台，并未对其承载能力进行论证；高处作业的临边、洞口等处未设置有效的防高坠措施；高处作业人员未系安全带或失效；作业人员缺乏安全知识；作业人员未执行检修安全操作规程等可能会引发高处坠落危险。</w:t>
      </w:r>
    </w:p>
    <w:p w14:paraId="154C3910">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3</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安装作业时未设置安全防护网或安全警戒线或失效；未设置有效的安全警示标识；检修作业平台、设施及设备倒塌；作业人员未穿戴有效的劳动防护用品例如安全帽；未制定检修作业安全操作规程等可能会引发物体打击危险。</w:t>
      </w:r>
    </w:p>
    <w:p w14:paraId="1FA3572A">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4</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安装过程时未采取有效的降尘措施或失效；作业人员未穿戴劳动防护用品例如戴防尘口罩、穿防尘服等；检修、安装作业前未清除、原有设备、装置中的粉尘等杂物；未制定安全检修方案或未执行；作业人员缺乏安全知识等可能会引发粉尘危害危险。</w:t>
      </w:r>
    </w:p>
    <w:p w14:paraId="16B20F36">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5</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过程中的检修用电线路布置混乱；发生漏电；检修作业场所潮湿；检修作业时未按规范要求使用安全电压；检修电工未持证上岗；检修人员缺乏安全知识；检修、安装作业时未将原有装置涉及的电气线路、电气设备理顺、未切断电源；检修作业人员未穿戴劳动防护用品或失效；检修作业人员缺乏安全知识等可能会引发触电危险。</w:t>
      </w:r>
    </w:p>
    <w:p w14:paraId="3670165D">
      <w:pPr>
        <w:adjustRightInd w:val="0"/>
        <w:snapToGrid w:val="0"/>
        <w:spacing w:line="500" w:lineRule="exact"/>
        <w:ind w:firstLine="592" w:firstLineChars="200"/>
        <w:contextualSpacing/>
        <w:rPr>
          <w:rFonts w:hint="default" w:ascii="Times New Roman" w:hAnsi="Times New Roman" w:cs="Times New Roman"/>
          <w:color w:val="000000" w:themeColor="text1"/>
          <w:spacing w:val="8"/>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6</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检修过程中使用的机械、转动设施及设备设计、安装、施工缺陷；未设置机械防护装置或失效；其强度不符合规范要求；未定期进行维护、保养；功能与实际需求不匹配等可能会引发机械伤害危险。</w:t>
      </w:r>
    </w:p>
    <w:p w14:paraId="3E2BB081">
      <w:pPr>
        <w:adjustRightInd w:val="0"/>
        <w:snapToGrid w:val="0"/>
        <w:spacing w:line="500" w:lineRule="exact"/>
        <w:ind w:firstLine="592" w:firstLineChars="200"/>
        <w:contextualSpacing/>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color w:val="000000" w:themeColor="text1"/>
          <w:spacing w:val="8"/>
          <w:sz w:val="28"/>
          <w:szCs w:val="28"/>
          <w14:textFill>
            <w14:solidFill>
              <w14:schemeClr w14:val="tx1"/>
            </w14:solidFill>
          </w14:textFill>
        </w:rPr>
        <w:t>7</w:t>
      </w:r>
      <w:r>
        <w:rPr>
          <w:rFonts w:hint="eastAsia" w:ascii="Times New Roman" w:cs="Times New Roman"/>
          <w:color w:val="000000" w:themeColor="text1"/>
          <w:spacing w:val="8"/>
          <w:sz w:val="28"/>
          <w:szCs w:val="28"/>
          <w:lang w:eastAsia="zh-CN"/>
          <w14:textFill>
            <w14:solidFill>
              <w14:schemeClr w14:val="tx1"/>
            </w14:solidFill>
          </w14:textFill>
        </w:rPr>
        <w:t>.</w:t>
      </w:r>
      <w:r>
        <w:rPr>
          <w:rFonts w:hint="default" w:ascii="Times New Roman" w:hAnsi="Times New Roman" w:cs="Times New Roman"/>
          <w:color w:val="000000" w:themeColor="text1"/>
          <w:spacing w:val="8"/>
          <w:sz w:val="28"/>
          <w:szCs w:val="28"/>
          <w14:textFill>
            <w14:solidFill>
              <w14:schemeClr w14:val="tx1"/>
            </w14:solidFill>
          </w14:textFill>
        </w:rPr>
        <w:t>检修、安装作业时，未对原有设施、装置采取有效的防护措施或失效；未考虑原有装置、设施强度直接搭建安装平台；作业人员缺乏安全知识等可能会毁坏原有建构筑物。</w:t>
      </w:r>
    </w:p>
    <w:p w14:paraId="34C60578">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455" w:name="_Toc15256"/>
      <w:bookmarkStart w:id="456" w:name="_Toc26907"/>
      <w:r>
        <w:rPr>
          <w:rFonts w:hint="default" w:ascii="Times New Roman" w:hAnsi="Times New Roman" w:eastAsia="楷体" w:cs="Times New Roman"/>
          <w:color w:val="000000" w:themeColor="text1"/>
          <w14:textFill>
            <w14:solidFill>
              <w14:schemeClr w14:val="tx1"/>
            </w14:solidFill>
          </w14:textFill>
        </w:rPr>
        <w:t>3.9安全管理危险性分析</w:t>
      </w:r>
      <w:bookmarkEnd w:id="441"/>
      <w:bookmarkEnd w:id="442"/>
      <w:bookmarkEnd w:id="455"/>
      <w:bookmarkEnd w:id="456"/>
    </w:p>
    <w:p w14:paraId="397AC89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57" w:name="_Toc17960"/>
      <w:bookmarkStart w:id="458" w:name="_Toc331963309"/>
      <w:bookmarkStart w:id="459" w:name="_Toc313453508"/>
      <w:bookmarkStart w:id="460" w:name="_Toc61474426"/>
      <w:bookmarkStart w:id="461" w:name="_Toc6549"/>
      <w:bookmarkStart w:id="462" w:name="_Toc30001403"/>
      <w:bookmarkStart w:id="463" w:name="_Toc10947"/>
      <w:bookmarkStart w:id="464" w:name="_Toc202575692"/>
      <w:bookmarkStart w:id="465" w:name="_Toc278151404"/>
      <w:bookmarkStart w:id="466" w:name="_Toc201767293"/>
      <w:r>
        <w:rPr>
          <w:rFonts w:hint="default" w:ascii="Times New Roman" w:hAnsi="Times New Roman" w:cs="Times New Roman"/>
          <w:color w:val="000000" w:themeColor="text1"/>
          <w:lang w:val="en-US" w:eastAsia="zh-CN"/>
          <w14:textFill>
            <w14:solidFill>
              <w14:schemeClr w14:val="tx1"/>
            </w14:solidFill>
          </w14:textFill>
        </w:rPr>
        <w:t>3.9.1安全管理组织体系方面危险性分析</w:t>
      </w:r>
      <w:bookmarkEnd w:id="457"/>
      <w:bookmarkEnd w:id="458"/>
      <w:bookmarkEnd w:id="459"/>
      <w:bookmarkEnd w:id="460"/>
      <w:bookmarkEnd w:id="461"/>
      <w:bookmarkEnd w:id="462"/>
      <w:bookmarkEnd w:id="463"/>
    </w:p>
    <w:p w14:paraId="66563E7E">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安全管理组织体系是企业安全生产重要保障，安全生产管理的分级、协调等管理缺陷，可能因为安全管理组织体系缺陷引发事故，或事故进一步扩大。</w:t>
      </w:r>
    </w:p>
    <w:p w14:paraId="6E720095">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1</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未按相关法律法规设置安全管理机构或配置安全管理人员，安全管理人员未参加安全培训，风险评价、事故调查分析、应急处理、安全检测和试验研究、系统安全评价能力不足；</w:t>
      </w:r>
    </w:p>
    <w:p w14:paraId="4336C136">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2</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未定期召开的安全领导小组会议内容，未对企业安全工作进行具体、有效的落实；</w:t>
      </w:r>
    </w:p>
    <w:p w14:paraId="5FB810FA">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3</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对从业人员的安全教育培训不足，如安全管理人员和基层操作人员未经过培训考核或培训学时不足，不具备相应的安全生产知识和上岗能力；员工素质低下，知识陈旧，观念落后，致使人员安全意识差、不安全行为数量增多；</w:t>
      </w:r>
    </w:p>
    <w:p w14:paraId="0C3C9155">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4</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忽视对临时用工、外来参观、学习人员的安全教育培训等；</w:t>
      </w:r>
    </w:p>
    <w:p w14:paraId="1EBE2AEE">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5</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安全管理人员未有效履行安全管理职责，发现问题，置之不理；</w:t>
      </w:r>
    </w:p>
    <w:p w14:paraId="1CF36965">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6</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人员职权交叉，造成管理混乱；</w:t>
      </w:r>
    </w:p>
    <w:p w14:paraId="1A2076B5">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7</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职工日常活动随意，下班后（夜间）随意进入生产区域等；</w:t>
      </w:r>
    </w:p>
    <w:p w14:paraId="5615CA8A">
      <w:pPr>
        <w:tabs>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8</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未与相关方签订安全管理协议，或安全管理协议中未明确双方安全管理职责，权利和义务等内容，造成相关方管理混乱。</w:t>
      </w:r>
    </w:p>
    <w:p w14:paraId="13233242">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67" w:name="_Toc331963310"/>
      <w:bookmarkStart w:id="468" w:name="_Toc30001404"/>
      <w:bookmarkStart w:id="469" w:name="_Toc313453509"/>
      <w:bookmarkStart w:id="470" w:name="_Toc4485"/>
      <w:bookmarkStart w:id="471" w:name="_Toc6528"/>
      <w:bookmarkStart w:id="472" w:name="_Toc61474427"/>
      <w:bookmarkStart w:id="473" w:name="_Toc8721"/>
      <w:r>
        <w:rPr>
          <w:rFonts w:hint="default" w:ascii="Times New Roman" w:hAnsi="Times New Roman" w:cs="Times New Roman"/>
          <w:color w:val="000000" w:themeColor="text1"/>
          <w:lang w:val="en-US" w:eastAsia="zh-CN"/>
          <w14:textFill>
            <w14:solidFill>
              <w14:schemeClr w14:val="tx1"/>
            </w14:solidFill>
          </w14:textFill>
        </w:rPr>
        <w:t>3.9.2安全管理制度方面危险性分析</w:t>
      </w:r>
      <w:bookmarkEnd w:id="467"/>
      <w:bookmarkEnd w:id="468"/>
      <w:bookmarkEnd w:id="469"/>
      <w:bookmarkEnd w:id="470"/>
      <w:bookmarkEnd w:id="471"/>
      <w:bookmarkEnd w:id="472"/>
      <w:bookmarkEnd w:id="473"/>
    </w:p>
    <w:p w14:paraId="1AEB1849">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安全管理制度是为加强企业生产工作的劳动保护、改善劳动条件，保护劳动者在生产过程中的安全和健康，促进企业的发展，根据有关劳动保护的法令、法规等有关规定，结合企业的实际情况制订的规定；可能因为安全管理制度不健全，引发事故，其主要原因有：</w:t>
      </w:r>
    </w:p>
    <w:p w14:paraId="04CD868F">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1</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未根据自身特点制定、完善安全生产责任制、安全生产管理制度，造成工作中无章可循，生产次序混乱；</w:t>
      </w:r>
    </w:p>
    <w:p w14:paraId="7CD5ADE5">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2</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各岗位或职能部门职责不明确；安全生产责任制未落实到每个环节、每个岗位、每个人；</w:t>
      </w:r>
    </w:p>
    <w:p w14:paraId="6688E591">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3</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不同的安全规章管理制度之间缺少相互配合和促进机制；</w:t>
      </w:r>
    </w:p>
    <w:p w14:paraId="50465DF8">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4</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安全规章管理制度流于形式，内容不完善、不全面；</w:t>
      </w:r>
    </w:p>
    <w:p w14:paraId="7367A274">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5</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安全规章管理制度要求与实际工作脱节等；</w:t>
      </w:r>
    </w:p>
    <w:p w14:paraId="497640B2">
      <w:pPr>
        <w:tabs>
          <w:tab w:val="left" w:pos="945"/>
          <w:tab w:val="left" w:pos="3900"/>
        </w:tabs>
        <w:adjustRightInd w:val="0"/>
        <w:snapToGrid w:val="0"/>
        <w:spacing w:line="500" w:lineRule="exact"/>
        <w:ind w:firstLine="573"/>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6</w:t>
      </w:r>
      <w:r>
        <w:rPr>
          <w:rFonts w:hint="eastAsia" w:ascii="Times New Roman" w:cs="Times New Roman"/>
          <w:snapToGrid w:val="0"/>
          <w:color w:val="000000" w:themeColor="text1"/>
          <w:kern w:val="0"/>
          <w:sz w:val="28"/>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 w:val="28"/>
          <w:szCs w:val="28"/>
          <w14:textFill>
            <w14:solidFill>
              <w14:schemeClr w14:val="tx1"/>
            </w14:solidFill>
          </w14:textFill>
        </w:rPr>
        <w:t>特种作业人员未经培训，未掌握专业操作知识进行特种作业等；</w:t>
      </w:r>
    </w:p>
    <w:p w14:paraId="151A8457">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7</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作业现场周边有其他企业人员来往，可能由于管理不到位，导致车辆伤害、机械伤害、触电等事故。</w:t>
      </w:r>
    </w:p>
    <w:p w14:paraId="06711864">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74" w:name="_Toc20876"/>
      <w:bookmarkStart w:id="475" w:name="_Toc331963311"/>
      <w:bookmarkStart w:id="476" w:name="_Toc30001405"/>
      <w:bookmarkStart w:id="477" w:name="_Toc61474428"/>
      <w:bookmarkStart w:id="478" w:name="_Toc26397"/>
      <w:bookmarkStart w:id="479" w:name="_Toc313453510"/>
      <w:bookmarkStart w:id="480" w:name="_Toc23370"/>
      <w:r>
        <w:rPr>
          <w:rFonts w:hint="default" w:ascii="Times New Roman" w:hAnsi="Times New Roman" w:cs="Times New Roman"/>
          <w:color w:val="000000" w:themeColor="text1"/>
          <w:lang w:val="en-US" w:eastAsia="zh-CN"/>
          <w14:textFill>
            <w14:solidFill>
              <w14:schemeClr w14:val="tx1"/>
            </w14:solidFill>
          </w14:textFill>
        </w:rPr>
        <w:t>3.9.3事故应急方面危险性分析</w:t>
      </w:r>
      <w:bookmarkEnd w:id="474"/>
      <w:bookmarkEnd w:id="475"/>
      <w:bookmarkEnd w:id="476"/>
      <w:bookmarkEnd w:id="477"/>
      <w:bookmarkEnd w:id="478"/>
      <w:bookmarkEnd w:id="479"/>
      <w:bookmarkEnd w:id="480"/>
    </w:p>
    <w:p w14:paraId="03C91671">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事故应急是针对可能发生的重大事故，为保证迅速、有效、有序地开展应急救援行动，以便预防、降低事故损失，可能因为事故应急措施不当等引发事故，其主要原因有：</w:t>
      </w:r>
    </w:p>
    <w:p w14:paraId="49D571C5">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1</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企业未编制生产安全事故应急预案，或编制的预案未按照相关要求邀请相关专家组织评审、备案，内容不满足《生产经营单位生产安全事故应急预案编制导则》（GB/T 29639-2020）内容要求；</w:t>
      </w:r>
    </w:p>
    <w:p w14:paraId="1E3C3446">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应急救援时未按照事故应急原则进行处置；</w:t>
      </w:r>
    </w:p>
    <w:p w14:paraId="02826741">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3</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救援人员不服从指挥；</w:t>
      </w:r>
    </w:p>
    <w:p w14:paraId="54FE304C">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4</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事故判断不准确，导致采取的应急救援行动和战术决策不准确；</w:t>
      </w:r>
    </w:p>
    <w:p w14:paraId="0A39541E">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5</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未能配备足够、有效的应急救援物资或物资维护保养不力失效；</w:t>
      </w:r>
    </w:p>
    <w:p w14:paraId="74E1E658">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6</w:t>
      </w:r>
      <w:r>
        <w:rPr>
          <w:rFonts w:hint="eastAsia" w:hAnsi="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未能按规定对应急预案进行定期演练，未进行定期修订或预案可操作性不强。</w:t>
      </w:r>
    </w:p>
    <w:p w14:paraId="5DB3152E">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481" w:name="_Toc61474446"/>
      <w:bookmarkStart w:id="482" w:name="_Toc30001423"/>
      <w:bookmarkStart w:id="483" w:name="_Toc12699"/>
      <w:bookmarkStart w:id="484" w:name="_Toc5732"/>
      <w:r>
        <w:rPr>
          <w:rFonts w:hint="default" w:ascii="Times New Roman" w:hAnsi="Times New Roman" w:eastAsia="楷体" w:cs="Times New Roman"/>
          <w:color w:val="000000" w:themeColor="text1"/>
          <w14:textFill>
            <w14:solidFill>
              <w14:schemeClr w14:val="tx1"/>
            </w14:solidFill>
          </w14:textFill>
        </w:rPr>
        <w:t>3.10重大危险源辨识</w:t>
      </w:r>
      <w:bookmarkEnd w:id="464"/>
      <w:bookmarkEnd w:id="465"/>
      <w:bookmarkEnd w:id="466"/>
      <w:bookmarkEnd w:id="481"/>
      <w:bookmarkEnd w:id="482"/>
      <w:bookmarkEnd w:id="483"/>
      <w:bookmarkEnd w:id="484"/>
    </w:p>
    <w:p w14:paraId="5B00F2D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85" w:name="_Toc24138"/>
      <w:bookmarkStart w:id="486" w:name="_Toc172021604"/>
      <w:bookmarkStart w:id="487" w:name="_Toc23947"/>
      <w:bookmarkStart w:id="488" w:name="_Toc121910244"/>
      <w:bookmarkStart w:id="489" w:name="_Toc61474447"/>
      <w:bookmarkStart w:id="490" w:name="_Toc30001424"/>
      <w:bookmarkStart w:id="491" w:name="_Toc9268"/>
      <w:r>
        <w:rPr>
          <w:rFonts w:hint="default" w:ascii="Times New Roman" w:hAnsi="Times New Roman" w:cs="Times New Roman"/>
          <w:color w:val="000000" w:themeColor="text1"/>
          <w:lang w:val="en-US" w:eastAsia="zh-CN"/>
          <w14:textFill>
            <w14:solidFill>
              <w14:schemeClr w14:val="tx1"/>
            </w14:solidFill>
          </w14:textFill>
        </w:rPr>
        <w:t>3.10.1方法介绍</w:t>
      </w:r>
      <w:bookmarkEnd w:id="485"/>
      <w:bookmarkEnd w:id="486"/>
      <w:bookmarkEnd w:id="487"/>
      <w:bookmarkEnd w:id="488"/>
      <w:bookmarkEnd w:id="489"/>
      <w:bookmarkEnd w:id="490"/>
      <w:bookmarkEnd w:id="491"/>
    </w:p>
    <w:p w14:paraId="196B8A69">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危险化学品重大危险源是指“长期地或临时地生产、储存、使用和经营危险化学品，且危险化学品的数量等于或超过临界量的单元。”。</w:t>
      </w:r>
    </w:p>
    <w:p w14:paraId="621E755C">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注：1）危险化学品——具有毒害、腐蚀爆炸、燃烧、助燃等性质，对人体、设施、环境具有危害的剧毒化学品和其他化学品。</w:t>
      </w:r>
    </w:p>
    <w:p w14:paraId="78DB7FE4">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2）临界量——某种或某类危险化学品构成重大危险源所规定的最小数量。</w:t>
      </w:r>
    </w:p>
    <w:p w14:paraId="1BE3C5B4">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3）生产单元——危险化学品的生产、加工及使用等的装置及设施,当装置及设施之间有切断阀时，以切断阀作为分隔界限划分为独立的单元。</w:t>
      </w:r>
    </w:p>
    <w:p w14:paraId="2A1F51F7">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4）储存单元——用于储存危险化学品的储罐或仓库组成的相对独立的区域,</w:t>
      </w:r>
      <w:r>
        <w:rPr>
          <w:rFonts w:hint="eastAsia" w:hAnsi="宋体" w:cs="宋体"/>
          <w:color w:val="000000" w:themeColor="text1"/>
          <w:sz w:val="28"/>
          <w:szCs w:val="28"/>
          <w:lang w:val="en-US" w:eastAsia="zh-CN"/>
          <w14:textFill>
            <w14:solidFill>
              <w14:schemeClr w14:val="tx1"/>
            </w14:solidFill>
          </w14:textFill>
        </w:rPr>
        <w:t>储</w:t>
      </w:r>
      <w:r>
        <w:rPr>
          <w:rFonts w:hint="eastAsia" w:ascii="宋体" w:hAnsi="宋体" w:eastAsia="宋体" w:cs="宋体"/>
          <w:color w:val="000000" w:themeColor="text1"/>
          <w:sz w:val="28"/>
          <w:szCs w:val="28"/>
          <w14:textFill>
            <w14:solidFill>
              <w14:schemeClr w14:val="tx1"/>
            </w14:solidFill>
          </w14:textFill>
        </w:rPr>
        <w:t>罐区以罐区防火堤为界限划分为独立的单元，仓库以独立库房（独立建筑物）为界限划分为独立的单元。</w:t>
      </w:r>
    </w:p>
    <w:p w14:paraId="568F1F12">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按照《危险化学品重大危险源辨识》（GB18218-2018）规定，危险化学品重大危险源是指长期地或临时地生产、储存、使用或经营危险化学品，且危险化学品的数量等于或超过临界量的单元。</w:t>
      </w:r>
    </w:p>
    <w:p w14:paraId="63EDF4F5">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生产单元、储存单元内存在危险化学品的数量等于或超过规定的临界量，即被定为重大危险源。单元内存在的危险化学品的数量根据危险化学品种类的多少区分为以下两种情况：</w:t>
      </w:r>
    </w:p>
    <w:p w14:paraId="662C58A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1）生产单元、储存单元内存在的危险化学品为单一品种时，该危险化学品的数量即为单元内危险化学品的总量，若等于或超过相应的临界量，则定为重大危险源。</w:t>
      </w:r>
    </w:p>
    <w:p w14:paraId="6A40F7FA">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2）生产单元、储存单元内存在的危险化学品为多品种时，按式（1）计算，若满足式（1），则定为重大危险源：</w:t>
      </w:r>
    </w:p>
    <w:p w14:paraId="0B15D9FD">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S=q1/Q1+q2/Q2+……+qn/Qn≥1   ……………………（1）        </w:t>
      </w:r>
    </w:p>
    <w:p w14:paraId="1452192D">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式中：S ——辨识指标；</w:t>
      </w:r>
    </w:p>
    <w:p w14:paraId="30A687F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q1，q2……qn——每种危险化学品的实际存在量，单位为吨（t）；</w:t>
      </w:r>
    </w:p>
    <w:p w14:paraId="0AA41600">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Q1，Q2……Qn——与每种危险化学品相对应的临界量，单位为吨。</w:t>
      </w:r>
    </w:p>
    <w:p w14:paraId="3761CCA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color w:val="000000" w:themeColor="text1"/>
          <w:lang w:val="en-US" w:eastAsia="zh-CN"/>
          <w14:textFill>
            <w14:solidFill>
              <w14:schemeClr w14:val="tx1"/>
            </w14:solidFill>
          </w14:textFill>
        </w:rPr>
      </w:pPr>
      <w:bookmarkStart w:id="492" w:name="_Toc65029557"/>
      <w:bookmarkStart w:id="493" w:name="_Toc172021605"/>
      <w:bookmarkStart w:id="494" w:name="_Toc65291067"/>
      <w:bookmarkStart w:id="495" w:name="_Toc121910245"/>
      <w:bookmarkStart w:id="496" w:name="_Toc30001425"/>
      <w:bookmarkStart w:id="497" w:name="_Toc2271"/>
      <w:bookmarkStart w:id="498" w:name="_Toc61474448"/>
      <w:bookmarkStart w:id="499" w:name="_Toc1879"/>
      <w:bookmarkStart w:id="500" w:name="_Toc8987"/>
      <w:r>
        <w:rPr>
          <w:rFonts w:hint="default" w:ascii="Times New Roman" w:hAnsi="Times New Roman" w:cs="Times New Roman"/>
          <w:color w:val="000000" w:themeColor="text1"/>
          <w:lang w:val="en-US" w:eastAsia="zh-CN"/>
          <w14:textFill>
            <w14:solidFill>
              <w14:schemeClr w14:val="tx1"/>
            </w14:solidFill>
          </w14:textFill>
        </w:rPr>
        <w:t>3.10.2辨识</w:t>
      </w:r>
      <w:bookmarkEnd w:id="492"/>
      <w:bookmarkEnd w:id="493"/>
      <w:bookmarkEnd w:id="494"/>
      <w:bookmarkEnd w:id="495"/>
      <w:r>
        <w:rPr>
          <w:rFonts w:hint="default" w:ascii="Times New Roman" w:hAnsi="Times New Roman" w:cs="Times New Roman"/>
          <w:color w:val="000000" w:themeColor="text1"/>
          <w:lang w:val="en-US" w:eastAsia="zh-CN"/>
          <w14:textFill>
            <w14:solidFill>
              <w14:schemeClr w14:val="tx1"/>
            </w14:solidFill>
          </w14:textFill>
        </w:rPr>
        <w:t>过程及结果</w:t>
      </w:r>
      <w:bookmarkEnd w:id="496"/>
      <w:bookmarkEnd w:id="497"/>
      <w:bookmarkEnd w:id="498"/>
      <w:bookmarkEnd w:id="499"/>
      <w:bookmarkEnd w:id="500"/>
    </w:p>
    <w:p w14:paraId="5C72F609">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bookmarkStart w:id="501" w:name="_Toc360019842"/>
      <w:r>
        <w:rPr>
          <w:rFonts w:hint="default" w:ascii="Times New Roman" w:hAnsi="Times New Roman" w:eastAsia="宋体" w:cs="Times New Roman"/>
          <w:color w:val="000000" w:themeColor="text1"/>
          <w:kern w:val="0"/>
          <w14:textFill>
            <w14:solidFill>
              <w14:schemeClr w14:val="tx1"/>
            </w14:solidFill>
          </w14:textFill>
        </w:rPr>
        <w:t>3.10.2.1危险化学品重大危险源辨识</w:t>
      </w:r>
      <w:bookmarkEnd w:id="501"/>
    </w:p>
    <w:p w14:paraId="16F47431">
      <w:pPr>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Times New Roman" w:hAnsi="Times New Roman" w:eastAsia="宋体" w:cs="Times New Roman"/>
          <w:bCs/>
          <w:color w:val="000000" w:themeColor="text1"/>
          <w:sz w:val="28"/>
          <w:szCs w:val="28"/>
          <w:lang w:val="en-US" w:eastAsia="zh-CN"/>
          <w14:textFill>
            <w14:solidFill>
              <w14:schemeClr w14:val="tx1"/>
            </w14:solidFill>
          </w14:textFill>
        </w:rPr>
      </w:pPr>
      <w:r>
        <w:rPr>
          <w:rFonts w:hint="eastAsia" w:ascii="Times New Roman" w:cs="Times New Roman"/>
          <w:bCs/>
          <w:color w:val="000000" w:themeColor="text1"/>
          <w:sz w:val="28"/>
          <w:szCs w:val="28"/>
          <w:lang w:val="en-US" w:eastAsia="zh-CN"/>
          <w14:textFill>
            <w14:solidFill>
              <w14:schemeClr w14:val="tx1"/>
            </w14:solidFill>
          </w14:textFill>
        </w:rPr>
        <w:t>经辨识，</w:t>
      </w:r>
      <w:r>
        <w:rPr>
          <w:rFonts w:hint="default" w:ascii="Times New Roman" w:hAnsi="Times New Roman" w:cs="Times New Roman"/>
          <w:bCs/>
          <w:color w:val="000000" w:themeColor="text1"/>
          <w:sz w:val="28"/>
          <w:szCs w:val="28"/>
          <w14:textFill>
            <w14:solidFill>
              <w14:schemeClr w14:val="tx1"/>
            </w14:solidFill>
          </w14:textFill>
        </w:rPr>
        <w:t>本项目涉及化学品主要是</w:t>
      </w:r>
      <w:r>
        <w:rPr>
          <w:rFonts w:hint="eastAsia" w:ascii="Times New Roman" w:cs="Times New Roman"/>
          <w:bCs/>
          <w:color w:val="000000" w:themeColor="text1"/>
          <w:spacing w:val="8"/>
          <w:sz w:val="28"/>
          <w:szCs w:val="28"/>
          <w:lang w:val="en-US" w:eastAsia="zh-CN"/>
          <w14:textFill>
            <w14:solidFill>
              <w14:schemeClr w14:val="tx1"/>
            </w14:solidFill>
          </w14:textFill>
        </w:rPr>
        <w:t>氢氧化钠</w:t>
      </w:r>
      <w:r>
        <w:rPr>
          <w:rFonts w:hint="eastAsia" w:ascii="宋体" w:hAnsi="宋体" w:eastAsia="宋体" w:cs="宋体"/>
          <w:bCs/>
          <w:color w:val="000000" w:themeColor="text1"/>
          <w:spacing w:val="8"/>
          <w:sz w:val="28"/>
          <w:szCs w:val="28"/>
          <w:lang w:val="en-US" w:eastAsia="zh-CN"/>
          <w14:textFill>
            <w14:solidFill>
              <w14:schemeClr w14:val="tx1"/>
            </w14:solidFill>
          </w14:textFill>
        </w:rPr>
        <w:t>（NaOH）</w:t>
      </w:r>
      <w:r>
        <w:rPr>
          <w:rFonts w:hint="eastAsia" w:ascii="Times New Roman" w:cs="Times New Roman"/>
          <w:bCs/>
          <w:color w:val="000000" w:themeColor="text1"/>
          <w:spacing w:val="8"/>
          <w:sz w:val="28"/>
          <w:szCs w:val="28"/>
          <w:lang w:val="en-US" w:eastAsia="zh-CN"/>
          <w14:textFill>
            <w14:solidFill>
              <w14:schemeClr w14:val="tx1"/>
            </w14:solidFill>
          </w14:textFill>
        </w:rPr>
        <w:t>。</w:t>
      </w:r>
      <w:r>
        <w:rPr>
          <w:rFonts w:hint="eastAsia" w:ascii="宋体" w:hAnsi="宋体" w:eastAsia="宋体" w:cs="Times New Roman"/>
          <w:sz w:val="28"/>
          <w:szCs w:val="28"/>
        </w:rPr>
        <w:t>通过重大危险源的危险化学品计算，得出项目</w:t>
      </w:r>
      <w:r>
        <w:rPr>
          <w:rFonts w:hint="eastAsia" w:ascii="宋体" w:hAnsi="宋体" w:eastAsia="宋体" w:cs="Times New Roman"/>
          <w:sz w:val="28"/>
          <w:szCs w:val="28"/>
          <w:lang w:val="en-US" w:eastAsia="zh-CN"/>
        </w:rPr>
        <w:t>生产</w:t>
      </w:r>
      <w:r>
        <w:rPr>
          <w:rFonts w:hint="eastAsia" w:ascii="宋体" w:hAnsi="宋体" w:eastAsia="宋体" w:cs="Times New Roman"/>
          <w:sz w:val="28"/>
          <w:szCs w:val="28"/>
        </w:rPr>
        <w:t>过程中涉及重大危险源的危化品最大储存量与相应的临界量对比见表3-</w:t>
      </w:r>
      <w:r>
        <w:rPr>
          <w:rFonts w:hint="eastAsia" w:ascii="宋体" w:hAnsi="宋体" w:eastAsia="宋体" w:cs="Times New Roman"/>
          <w:sz w:val="28"/>
          <w:szCs w:val="28"/>
          <w:lang w:val="en-US" w:eastAsia="zh-CN"/>
        </w:rPr>
        <w:t>9</w:t>
      </w:r>
      <w:r>
        <w:rPr>
          <w:rFonts w:hint="eastAsia" w:ascii="宋体" w:hAnsi="宋体" w:eastAsia="宋体" w:cs="Times New Roman"/>
          <w:sz w:val="28"/>
          <w:szCs w:val="28"/>
        </w:rPr>
        <w:t>。</w:t>
      </w:r>
    </w:p>
    <w:p w14:paraId="73B64855">
      <w:pPr>
        <w:pStyle w:val="67"/>
        <w:ind w:left="0" w:leftChars="0" w:firstLine="0" w:firstLineChars="0"/>
        <w:rPr>
          <w:rFonts w:hint="eastAsia" w:ascii="Times New Roman" w:hAnsi="Times New Roman" w:eastAsia="宋体" w:cs="Times New Roman"/>
          <w:bCs/>
          <w:color w:val="000000" w:themeColor="text1"/>
          <w:sz w:val="28"/>
          <w:szCs w:val="28"/>
          <w:lang w:val="en-US" w:eastAsia="zh-CN"/>
          <w14:textFill>
            <w14:solidFill>
              <w14:schemeClr w14:val="tx1"/>
            </w14:solidFill>
          </w14:textFill>
        </w:rPr>
      </w:pPr>
    </w:p>
    <w:p w14:paraId="5B74CA9B">
      <w:pPr>
        <w:overflowPunct w:val="0"/>
        <w:adjustRightInd w:val="0"/>
        <w:snapToGrid w:val="0"/>
        <w:spacing w:line="500" w:lineRule="exact"/>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表</w:t>
      </w:r>
      <w:r>
        <w:rPr>
          <w:rFonts w:hint="eastAsia" w:ascii="宋体" w:hAnsi="宋体" w:eastAsia="宋体" w:cs="宋体"/>
          <w:b/>
          <w:bCs/>
          <w:color w:val="000000" w:themeColor="text1"/>
          <w:sz w:val="24"/>
          <w:lang w:val="en-US" w:eastAsia="zh-CN"/>
          <w14:textFill>
            <w14:solidFill>
              <w14:schemeClr w14:val="tx1"/>
            </w14:solidFill>
          </w14:textFill>
        </w:rPr>
        <w:t xml:space="preserve">3-9 </w:t>
      </w:r>
      <w:r>
        <w:rPr>
          <w:rFonts w:hint="eastAsia" w:ascii="宋体" w:hAnsi="宋体" w:eastAsia="宋体" w:cs="宋体"/>
          <w:b/>
          <w:bCs/>
          <w:color w:val="000000" w:themeColor="text1"/>
          <w:sz w:val="24"/>
          <w14:textFill>
            <w14:solidFill>
              <w14:schemeClr w14:val="tx1"/>
            </w14:solidFill>
          </w14:textFill>
        </w:rPr>
        <w:t>危险化学品重大危险源计算表</w:t>
      </w:r>
    </w:p>
    <w:tbl>
      <w:tblPr>
        <w:tblStyle w:val="52"/>
        <w:tblW w:w="5226" w:type="pct"/>
        <w:tblInd w:w="-2" w:type="dxa"/>
        <w:tblLayout w:type="autofit"/>
        <w:tblCellMar>
          <w:top w:w="0" w:type="dxa"/>
          <w:left w:w="0" w:type="dxa"/>
          <w:bottom w:w="0" w:type="dxa"/>
          <w:right w:w="0" w:type="dxa"/>
        </w:tblCellMar>
      </w:tblPr>
      <w:tblGrid>
        <w:gridCol w:w="442"/>
        <w:gridCol w:w="878"/>
        <w:gridCol w:w="1389"/>
        <w:gridCol w:w="1738"/>
        <w:gridCol w:w="1560"/>
        <w:gridCol w:w="1965"/>
        <w:gridCol w:w="927"/>
      </w:tblGrid>
      <w:tr w14:paraId="4E63D126">
        <w:tblPrEx>
          <w:tblCellMar>
            <w:top w:w="0" w:type="dxa"/>
            <w:left w:w="0" w:type="dxa"/>
            <w:bottom w:w="0" w:type="dxa"/>
            <w:right w:w="0" w:type="dxa"/>
          </w:tblCellMar>
        </w:tblPrEx>
        <w:trPr>
          <w:cantSplit/>
          <w:trHeight w:val="804" w:hRule="atLeast"/>
          <w:tblHeader/>
        </w:trPr>
        <w:tc>
          <w:tcPr>
            <w:tcW w:w="248" w:type="pct"/>
            <w:tcBorders>
              <w:top w:val="single" w:color="000000" w:sz="4" w:space="0"/>
              <w:left w:val="single" w:color="000000" w:sz="4" w:space="0"/>
              <w:bottom w:val="single" w:color="000000" w:sz="4" w:space="0"/>
              <w:right w:val="single" w:color="000000" w:sz="4" w:space="0"/>
            </w:tcBorders>
            <w:noWrap/>
            <w:vAlign w:val="center"/>
          </w:tcPr>
          <w:p w14:paraId="42AD04EE">
            <w:pPr>
              <w:pStyle w:val="355"/>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序号</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0F28B1C">
            <w:pPr>
              <w:pStyle w:val="355"/>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物质名称</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4DF6A574">
            <w:pPr>
              <w:pStyle w:val="355"/>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临界量Q（t）</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14725C4">
            <w:pPr>
              <w:pStyle w:val="355"/>
              <w:overflowPunct w:val="0"/>
              <w:adjustRightInd w:val="0"/>
              <w:snapToGrid w:val="0"/>
              <w:spacing w:line="30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lang w:eastAsia="zh-CN"/>
                <w14:textFill>
                  <w14:solidFill>
                    <w14:schemeClr w14:val="tx1"/>
                  </w14:solidFill>
                </w14:textFill>
              </w:rPr>
              <w:t>实际存在量</w:t>
            </w:r>
            <w:r>
              <w:rPr>
                <w:rFonts w:hint="default" w:ascii="Times New Roman" w:hAnsi="Times New Roman" w:cs="Times New Roman"/>
                <w:b/>
                <w:bCs/>
                <w:color w:val="000000" w:themeColor="text1"/>
                <w:spacing w:val="-104"/>
                <w:sz w:val="21"/>
                <w14:textFill>
                  <w14:solidFill>
                    <w14:schemeClr w14:val="tx1"/>
                  </w14:solidFill>
                </w14:textFill>
              </w:rPr>
              <w:t>q</w:t>
            </w:r>
            <w:r>
              <w:rPr>
                <w:rFonts w:hint="default" w:ascii="Times New Roman" w:hAnsi="Times New Roman" w:cs="Times New Roman"/>
                <w:b/>
                <w:bCs/>
                <w:color w:val="000000" w:themeColor="text1"/>
                <w:spacing w:val="2"/>
                <w:sz w:val="21"/>
                <w14:textFill>
                  <w14:solidFill>
                    <w14:schemeClr w14:val="tx1"/>
                  </w14:solidFill>
                </w14:textFill>
              </w:rPr>
              <w:t>（</w:t>
            </w:r>
            <w:r>
              <w:rPr>
                <w:rFonts w:hint="default" w:ascii="Times New Roman" w:hAnsi="Times New Roman" w:cs="Times New Roman"/>
                <w:b/>
                <w:bCs/>
                <w:color w:val="000000" w:themeColor="text1"/>
                <w:spacing w:val="-4"/>
                <w:sz w:val="21"/>
                <w14:textFill>
                  <w14:solidFill>
                    <w14:schemeClr w14:val="tx1"/>
                  </w14:solidFill>
                </w14:textFill>
              </w:rPr>
              <w:t>t</w:t>
            </w:r>
            <w:r>
              <w:rPr>
                <w:rFonts w:hint="default" w:ascii="Times New Roman" w:hAnsi="Times New Roman" w:cs="Times New Roman"/>
                <w:b/>
                <w:bCs/>
                <w:color w:val="000000" w:themeColor="text1"/>
                <w:sz w:val="21"/>
                <w14:textFill>
                  <w14:solidFill>
                    <w14:schemeClr w14:val="tx1"/>
                  </w14:solidFill>
                </w14:textFill>
              </w:rPr>
              <w:t>）</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8FFE">
            <w:pPr>
              <w:snapToGrid w:val="0"/>
              <w:spacing w:line="276" w:lineRule="auto"/>
              <w:contextualSpacing/>
              <w:jc w:val="center"/>
              <w:rPr>
                <w:rFonts w:hint="default" w:ascii="Times New Roman" w:hAnsi="Times New Roman" w:eastAsia="宋体" w:cs="Times New Roman"/>
                <w:b/>
                <w:color w:val="000000" w:themeColor="text1"/>
                <w:sz w:val="24"/>
                <w:szCs w:val="21"/>
                <w:lang w:val="en-US" w:eastAsia="zh-CN" w:bidi="ar-SA"/>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S=q/Q</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3949613D">
            <w:pPr>
              <w:pStyle w:val="355"/>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b/>
                <w:color w:val="000000" w:themeColor="text1"/>
                <w:sz w:val="21"/>
                <w:lang w:eastAsia="zh-CN"/>
                <w14:textFill>
                  <w14:solidFill>
                    <w14:schemeClr w14:val="tx1"/>
                  </w14:solidFill>
                </w14:textFill>
              </w:rPr>
              <w:t>是否构成重大危险源</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299A8160">
            <w:pPr>
              <w:pStyle w:val="355"/>
              <w:overflowPunct w:val="0"/>
              <w:adjustRightInd w:val="0"/>
              <w:snapToGrid w:val="0"/>
              <w:spacing w:line="300" w:lineRule="exact"/>
              <w:ind w:left="0" w:leftChars="0" w:firstLine="0" w:firstLineChars="0"/>
              <w:jc w:val="center"/>
              <w:rPr>
                <w:rFonts w:hint="default" w:ascii="Times New Roman" w:hAnsi="Times New Roman" w:cs="Times New Roman"/>
                <w:b/>
                <w:bCs/>
                <w:color w:val="000000" w:themeColor="text1"/>
                <w:sz w:val="21"/>
                <w:lang w:eastAsia="zh-CN"/>
                <w14:textFill>
                  <w14:solidFill>
                    <w14:schemeClr w14:val="tx1"/>
                  </w14:solidFill>
                </w14:textFill>
              </w:rPr>
            </w:pPr>
            <w:r>
              <w:rPr>
                <w:rFonts w:hint="default" w:ascii="Times New Roman" w:hAnsi="Times New Roman" w:cs="Times New Roman"/>
                <w:b/>
                <w:bCs/>
                <w:color w:val="000000" w:themeColor="text1"/>
                <w:sz w:val="21"/>
                <w:lang w:eastAsia="zh-CN"/>
                <w14:textFill>
                  <w14:solidFill>
                    <w14:schemeClr w14:val="tx1"/>
                  </w14:solidFill>
                </w14:textFill>
              </w:rPr>
              <w:t>备注</w:t>
            </w:r>
          </w:p>
        </w:tc>
      </w:tr>
      <w:tr w14:paraId="6BC52256">
        <w:tblPrEx>
          <w:tblCellMar>
            <w:top w:w="0" w:type="dxa"/>
            <w:left w:w="0" w:type="dxa"/>
            <w:bottom w:w="0" w:type="dxa"/>
            <w:right w:w="0" w:type="dxa"/>
          </w:tblCellMar>
        </w:tblPrEx>
        <w:trPr>
          <w:cantSplit/>
          <w:trHeight w:val="454" w:hRule="atLeast"/>
        </w:trPr>
        <w:tc>
          <w:tcPr>
            <w:tcW w:w="248" w:type="pct"/>
            <w:tcBorders>
              <w:top w:val="single" w:color="000000" w:sz="4" w:space="0"/>
              <w:left w:val="single" w:color="000000" w:sz="4" w:space="0"/>
              <w:bottom w:val="single" w:color="000000" w:sz="4" w:space="0"/>
              <w:right w:val="single" w:color="000000" w:sz="4" w:space="0"/>
            </w:tcBorders>
            <w:noWrap/>
            <w:vAlign w:val="center"/>
          </w:tcPr>
          <w:p w14:paraId="7B6C6931">
            <w:pPr>
              <w:pStyle w:val="355"/>
              <w:overflowPunct w:val="0"/>
              <w:adjustRightInd w:val="0"/>
              <w:snapToGrid w:val="0"/>
              <w:spacing w:line="300" w:lineRule="exact"/>
              <w:ind w:left="0" w:leftChars="0" w:firstLine="0" w:firstLineChars="0"/>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eastAsia="宋体" w:cs="宋体"/>
                <w:color w:val="000000" w:themeColor="text1"/>
                <w:sz w:val="21"/>
                <w:lang w:eastAsia="zh-CN"/>
                <w14:textFill>
                  <w14:solidFill>
                    <w14:schemeClr w14:val="tx1"/>
                  </w14:solidFill>
                </w14:textFill>
              </w:rPr>
              <w:t>1</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7E56900">
            <w:pPr>
              <w:pStyle w:val="355"/>
              <w:overflowPunct w:val="0"/>
              <w:adjustRightInd w:val="0"/>
              <w:snapToGrid w:val="0"/>
              <w:spacing w:line="300" w:lineRule="exact"/>
              <w:ind w:left="0" w:leftChars="0" w:firstLine="0" w:firstLineChars="0"/>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氢氧化钠</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5407C02B">
            <w:pPr>
              <w:pStyle w:val="355"/>
              <w:overflowPunct w:val="0"/>
              <w:adjustRightInd w:val="0"/>
              <w:snapToGrid w:val="0"/>
              <w:spacing w:line="300" w:lineRule="exact"/>
              <w:ind w:left="0" w:leftChars="0" w:firstLine="0" w:firstLineChars="0"/>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200</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115C44BA">
            <w:pPr>
              <w:pStyle w:val="355"/>
              <w:overflowPunct w:val="0"/>
              <w:adjustRightInd w:val="0"/>
              <w:snapToGrid w:val="0"/>
              <w:spacing w:line="300" w:lineRule="exact"/>
              <w:ind w:left="0" w:leftChars="0" w:firstLine="0" w:firstLineChars="0"/>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0.1</w:t>
            </w:r>
            <w:r>
              <w:rPr>
                <w:rFonts w:hint="eastAsia" w:ascii="宋体" w:hAnsi="宋体" w:eastAsia="宋体" w:cs="宋体"/>
                <w:color w:val="000000" w:themeColor="text1"/>
                <w:sz w:val="21"/>
                <w:lang w:eastAsia="zh-CN"/>
                <w14:textFill>
                  <w14:solidFill>
                    <w14:schemeClr w14:val="tx1"/>
                  </w14:solidFill>
                </w14:textFill>
              </w:rPr>
              <w:t>t</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63A0BDFB">
            <w:pPr>
              <w:pStyle w:val="355"/>
              <w:overflowPunct w:val="0"/>
              <w:adjustRightInd w:val="0"/>
              <w:snapToGrid w:val="0"/>
              <w:spacing w:line="300" w:lineRule="exact"/>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0.0005</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42767E06">
            <w:pPr>
              <w:pStyle w:val="355"/>
              <w:overflowPunct w:val="0"/>
              <w:adjustRightInd w:val="0"/>
              <w:snapToGrid w:val="0"/>
              <w:spacing w:line="300" w:lineRule="exact"/>
              <w:jc w:val="center"/>
              <w:rPr>
                <w:rFonts w:hint="default" w:ascii="Times New Roman" w:hAnsi="Times New Roman" w:cs="Times New Roman"/>
                <w:color w:val="000000" w:themeColor="text1"/>
                <w:sz w:val="22"/>
                <w:lang w:eastAsia="en-US"/>
                <w14:textFill>
                  <w14:solidFill>
                    <w14:schemeClr w14:val="tx1"/>
                  </w14:solidFill>
                </w14:textFill>
              </w:rPr>
            </w:pPr>
            <w:r>
              <w:rPr>
                <w:rStyle w:val="63"/>
                <w:rFonts w:hint="eastAsia" w:ascii="宋体" w:hAnsi="宋体" w:eastAsia="宋体" w:cs="宋体"/>
                <w:color w:val="000000" w:themeColor="text1"/>
                <w:kern w:val="2"/>
                <w:lang w:eastAsia="zh-CN"/>
                <w14:textFill>
                  <w14:solidFill>
                    <w14:schemeClr w14:val="tx1"/>
                  </w14:solidFill>
                </w14:textFill>
              </w:rPr>
              <w:t>否</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78FE0797">
            <w:pPr>
              <w:overflowPunct w:val="0"/>
              <w:adjustRightInd w:val="0"/>
              <w:snapToGrid w:val="0"/>
              <w:spacing w:line="300" w:lineRule="exact"/>
              <w:jc w:val="center"/>
              <w:rPr>
                <w:rFonts w:hint="default" w:ascii="Times New Roman" w:hAnsi="Times New Roman" w:cs="Times New Roman"/>
                <w:color w:val="000000" w:themeColor="text1"/>
                <w:sz w:val="22"/>
                <w:lang w:eastAsia="en-US"/>
                <w14:textFill>
                  <w14:solidFill>
                    <w14:schemeClr w14:val="tx1"/>
                  </w14:solidFill>
                </w14:textFill>
              </w:rPr>
            </w:pPr>
          </w:p>
        </w:tc>
      </w:tr>
    </w:tbl>
    <w:p w14:paraId="1F5F92F9">
      <w:pPr>
        <w:adjustRightInd w:val="0"/>
        <w:snapToGrid w:val="0"/>
        <w:spacing w:line="500" w:lineRule="exact"/>
        <w:ind w:firstLine="560" w:firstLineChars="200"/>
        <w:contextualSpacing/>
        <w:rPr>
          <w:rFonts w:hint="default" w:ascii="Times New Roman" w:hAnsi="Times New Roman" w:cs="Times New Roman"/>
          <w:color w:val="000000" w:themeColor="text1"/>
          <w:sz w:val="28"/>
          <w:szCs w:val="28"/>
          <w:lang w:bidi="zh-TW"/>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根据计算结果可知，储存单元S＜1，</w:t>
      </w:r>
      <w:r>
        <w:rPr>
          <w:rFonts w:hint="default" w:ascii="Times New Roman" w:hAnsi="Times New Roman" w:cs="Times New Roman"/>
          <w:color w:val="000000" w:themeColor="text1"/>
          <w:sz w:val="28"/>
          <w:szCs w:val="28"/>
          <w:lang w:bidi="zh-TW"/>
          <w14:textFill>
            <w14:solidFill>
              <w14:schemeClr w14:val="tx1"/>
            </w14:solidFill>
          </w14:textFill>
        </w:rPr>
        <w:t>因此该项目涉及的危险化学品储存单元未构成危险化学品重大危险源。</w:t>
      </w:r>
    </w:p>
    <w:p w14:paraId="4CE92AD7">
      <w:pPr>
        <w:pStyle w:val="7"/>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default" w:ascii="Times New Roman" w:hAnsi="Times New Roman" w:eastAsia="宋体" w:cs="Times New Roman"/>
          <w:color w:val="000000" w:themeColor="text1"/>
          <w:kern w:val="0"/>
          <w14:textFill>
            <w14:solidFill>
              <w14:schemeClr w14:val="tx1"/>
            </w14:solidFill>
          </w14:textFill>
        </w:rPr>
      </w:pPr>
      <w:bookmarkStart w:id="502" w:name="_Toc360019845"/>
      <w:r>
        <w:rPr>
          <w:rFonts w:hint="default" w:ascii="Times New Roman" w:hAnsi="Times New Roman" w:eastAsia="宋体" w:cs="Times New Roman"/>
          <w:color w:val="000000" w:themeColor="text1"/>
          <w:kern w:val="0"/>
          <w14:textFill>
            <w14:solidFill>
              <w14:schemeClr w14:val="tx1"/>
            </w14:solidFill>
          </w14:textFill>
        </w:rPr>
        <w:t>3.10.2.2重大危险源辨识</w:t>
      </w:r>
      <w:bookmarkEnd w:id="502"/>
      <w:r>
        <w:rPr>
          <w:rFonts w:hint="default" w:ascii="Times New Roman" w:hAnsi="Times New Roman" w:eastAsia="宋体" w:cs="Times New Roman"/>
          <w:color w:val="000000" w:themeColor="text1"/>
          <w:kern w:val="0"/>
          <w14:textFill>
            <w14:solidFill>
              <w14:schemeClr w14:val="tx1"/>
            </w14:solidFill>
          </w14:textFill>
        </w:rPr>
        <w:t>结论</w:t>
      </w:r>
    </w:p>
    <w:p w14:paraId="79D20063">
      <w:pPr>
        <w:adjustRightInd w:val="0"/>
        <w:snapToGrid w:val="0"/>
        <w:spacing w:line="500" w:lineRule="exact"/>
        <w:ind w:firstLine="560" w:firstLineChars="200"/>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根据《危险化学品重大危险源辨识》（</w:t>
      </w:r>
      <w:r>
        <w:rPr>
          <w:rFonts w:hint="default" w:ascii="Times New Roman" w:hAnsi="Times New Roman" w:cs="Times New Roman"/>
          <w:color w:val="000000" w:themeColor="text1"/>
          <w:sz w:val="28"/>
          <w:szCs w:val="28"/>
          <w14:textFill>
            <w14:solidFill>
              <w14:schemeClr w14:val="tx1"/>
            </w14:solidFill>
          </w14:textFill>
        </w:rPr>
        <w:t>GB 18218-2018），</w:t>
      </w:r>
      <w:r>
        <w:rPr>
          <w:rFonts w:hint="eastAsia" w:ascii="Times New Roman" w:cs="Times New Roman"/>
          <w:color w:val="000000" w:themeColor="text1"/>
          <w:sz w:val="28"/>
          <w:szCs w:val="28"/>
          <w:lang w:eastAsia="zh-CN"/>
          <w14:textFill>
            <w14:solidFill>
              <w14:schemeClr w14:val="tx1"/>
            </w14:solidFill>
          </w14:textFill>
        </w:rPr>
        <w:t>云南玉溪洁灵娜精细日化有限责任公司年产3万吨洗涤用品项目</w:t>
      </w:r>
      <w:r>
        <w:rPr>
          <w:rFonts w:hint="default" w:ascii="Times New Roman" w:hAnsi="Times New Roman" w:cs="Times New Roman"/>
          <w:color w:val="000000" w:themeColor="text1"/>
          <w:sz w:val="28"/>
          <w:szCs w:val="28"/>
          <w14:textFill>
            <w14:solidFill>
              <w14:schemeClr w14:val="tx1"/>
            </w14:solidFill>
          </w14:textFill>
        </w:rPr>
        <w:t>涉及的</w:t>
      </w:r>
      <w:r>
        <w:rPr>
          <w:rFonts w:hint="default" w:ascii="Times New Roman" w:hAnsi="Times New Roman" w:cs="Times New Roman"/>
          <w:color w:val="000000" w:themeColor="text1"/>
          <w:sz w:val="28"/>
          <w14:textFill>
            <w14:solidFill>
              <w14:schemeClr w14:val="tx1"/>
            </w14:solidFill>
          </w14:textFill>
        </w:rPr>
        <w:t>危险化学品</w:t>
      </w:r>
      <w:r>
        <w:rPr>
          <w:rFonts w:hint="default" w:ascii="Times New Roman" w:hAnsi="Times New Roman" w:cs="Times New Roman"/>
          <w:color w:val="000000" w:themeColor="text1"/>
          <w:sz w:val="28"/>
          <w:szCs w:val="28"/>
          <w14:textFill>
            <w14:solidFill>
              <w14:schemeClr w14:val="tx1"/>
            </w14:solidFill>
          </w14:textFill>
        </w:rPr>
        <w:t>不构成危险化学品重大危险源</w:t>
      </w:r>
      <w:r>
        <w:rPr>
          <w:rFonts w:hint="default" w:ascii="Times New Roman" w:hAnsi="Times New Roman" w:cs="Times New Roman"/>
          <w:snapToGrid w:val="0"/>
          <w:color w:val="000000" w:themeColor="text1"/>
          <w:kern w:val="0"/>
          <w:sz w:val="28"/>
          <w:szCs w:val="28"/>
          <w14:textFill>
            <w14:solidFill>
              <w14:schemeClr w14:val="tx1"/>
            </w14:solidFill>
          </w14:textFill>
        </w:rPr>
        <w:t>。</w:t>
      </w:r>
    </w:p>
    <w:p w14:paraId="652E35CA">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62DB6746">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75AA654D">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728276B5">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0EEC2DE1">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0D2463C7">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287E90A8">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0AA64AE3">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40C34E5A">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0B15DF0B">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1D61C26C">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31300CA4">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64CB522A">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515EA573">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43E5E89B">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31895FDB">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5C666063">
      <w:pPr>
        <w:pStyle w:val="360"/>
        <w:rPr>
          <w:rFonts w:hint="default" w:ascii="Times New Roman" w:hAnsi="Times New Roman" w:cs="Times New Roman"/>
          <w:snapToGrid w:val="0"/>
          <w:color w:val="000000" w:themeColor="text1"/>
          <w:kern w:val="0"/>
          <w:sz w:val="28"/>
          <w:szCs w:val="28"/>
          <w14:textFill>
            <w14:solidFill>
              <w14:schemeClr w14:val="tx1"/>
            </w14:solidFill>
          </w14:textFill>
        </w:rPr>
      </w:pPr>
    </w:p>
    <w:p w14:paraId="60006956">
      <w:pPr>
        <w:pStyle w:val="360"/>
        <w:ind w:left="0" w:leftChars="0" w:firstLine="0" w:firstLineChars="0"/>
        <w:rPr>
          <w:rFonts w:hint="default" w:ascii="Times New Roman" w:hAnsi="Times New Roman" w:cs="Times New Roman"/>
          <w:snapToGrid w:val="0"/>
          <w:color w:val="000000" w:themeColor="text1"/>
          <w:kern w:val="0"/>
          <w:sz w:val="28"/>
          <w:szCs w:val="28"/>
          <w14:textFill>
            <w14:solidFill>
              <w14:schemeClr w14:val="tx1"/>
            </w14:solidFill>
          </w14:textFill>
        </w:rPr>
      </w:pPr>
    </w:p>
    <w:p w14:paraId="41CE1887">
      <w:pPr>
        <w:pStyle w:val="360"/>
        <w:ind w:left="0" w:leftChars="0" w:firstLine="0" w:firstLineChars="0"/>
        <w:rPr>
          <w:rFonts w:hint="default" w:ascii="Times New Roman" w:hAnsi="Times New Roman" w:cs="Times New Roman"/>
          <w:snapToGrid w:val="0"/>
          <w:color w:val="000000" w:themeColor="text1"/>
          <w:kern w:val="0"/>
          <w:sz w:val="28"/>
          <w:szCs w:val="28"/>
          <w14:textFill>
            <w14:solidFill>
              <w14:schemeClr w14:val="tx1"/>
            </w14:solidFill>
          </w14:textFill>
        </w:rPr>
      </w:pPr>
    </w:p>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64"/>
    <w:bookmarkEnd w:id="365"/>
    <w:bookmarkEnd w:id="366"/>
    <w:bookmarkEnd w:id="367"/>
    <w:p w14:paraId="173AAA62">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503" w:name="_Toc9226"/>
      <w:bookmarkStart w:id="504" w:name="_Toc19234"/>
      <w:bookmarkStart w:id="505" w:name="_Toc1699"/>
      <w:bookmarkStart w:id="506" w:name="_Toc15440"/>
      <w:r>
        <w:rPr>
          <w:rFonts w:hint="default" w:ascii="Times New Roman" w:hAnsi="Times New Roman" w:eastAsia="黑体" w:cs="Times New Roman"/>
          <w:color w:val="000000" w:themeColor="text1"/>
          <w14:textFill>
            <w14:solidFill>
              <w14:schemeClr w14:val="tx1"/>
            </w14:solidFill>
          </w14:textFill>
        </w:rPr>
        <w:t>第4章  评价单元划分及评价方法选择</w:t>
      </w:r>
      <w:bookmarkEnd w:id="503"/>
      <w:bookmarkEnd w:id="504"/>
      <w:bookmarkEnd w:id="505"/>
      <w:bookmarkEnd w:id="506"/>
    </w:p>
    <w:p w14:paraId="26A1EEB4">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507" w:name="_Toc30933"/>
      <w:bookmarkStart w:id="508" w:name="_Toc4065"/>
      <w:bookmarkStart w:id="509" w:name="_Toc213410604"/>
      <w:bookmarkStart w:id="510" w:name="_Toc231978505"/>
      <w:bookmarkStart w:id="511" w:name="_Toc13276"/>
      <w:bookmarkStart w:id="512" w:name="_Toc5033"/>
      <w:bookmarkStart w:id="513" w:name="_Toc5393"/>
      <w:bookmarkStart w:id="514" w:name="_Toc207527407"/>
      <w:bookmarkStart w:id="515" w:name="_Toc233668306"/>
      <w:bookmarkStart w:id="516" w:name="_Toc14224"/>
      <w:bookmarkStart w:id="517" w:name="_Toc212043609"/>
      <w:bookmarkStart w:id="518" w:name="_Toc195156252"/>
      <w:bookmarkStart w:id="519" w:name="_Toc16929"/>
      <w:bookmarkStart w:id="520" w:name="_Toc335926256"/>
      <w:bookmarkStart w:id="521" w:name="_Toc13141"/>
      <w:bookmarkStart w:id="522" w:name="_Toc313453581"/>
      <w:bookmarkStart w:id="523" w:name="_Toc32119"/>
      <w:bookmarkStart w:id="524" w:name="_Toc10765"/>
      <w:r>
        <w:rPr>
          <w:rFonts w:hint="default" w:ascii="Times New Roman" w:hAnsi="Times New Roman" w:eastAsia="楷体" w:cs="Times New Roman"/>
          <w:color w:val="000000" w:themeColor="text1"/>
          <w14:textFill>
            <w14:solidFill>
              <w14:schemeClr w14:val="tx1"/>
            </w14:solidFill>
          </w14:textFill>
        </w:rPr>
        <w:t>4.1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安全评价单元划分</w:t>
      </w:r>
      <w:bookmarkEnd w:id="507"/>
      <w:bookmarkEnd w:id="508"/>
      <w:bookmarkEnd w:id="509"/>
      <w:bookmarkEnd w:id="510"/>
      <w:bookmarkEnd w:id="511"/>
      <w:bookmarkEnd w:id="512"/>
      <w:bookmarkEnd w:id="513"/>
      <w:bookmarkEnd w:id="514"/>
      <w:bookmarkEnd w:id="515"/>
      <w:bookmarkEnd w:id="516"/>
      <w:bookmarkEnd w:id="517"/>
      <w:bookmarkEnd w:id="518"/>
      <w:bookmarkEnd w:id="519"/>
    </w:p>
    <w:p w14:paraId="37E7188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525" w:name="_Toc187699915"/>
      <w:bookmarkStart w:id="526" w:name="_Toc233668307"/>
      <w:bookmarkStart w:id="527" w:name="_Toc28570"/>
      <w:bookmarkStart w:id="528" w:name="_Toc213410605"/>
      <w:bookmarkStart w:id="529" w:name="_Toc8884"/>
      <w:bookmarkStart w:id="530" w:name="_Toc3603"/>
      <w:bookmarkStart w:id="531" w:name="_Toc30637"/>
      <w:bookmarkStart w:id="532" w:name="_Toc28774"/>
      <w:bookmarkStart w:id="533" w:name="_Toc207527408"/>
      <w:bookmarkStart w:id="534" w:name="_Toc231978506"/>
      <w:bookmarkStart w:id="535" w:name="_Toc188863910"/>
      <w:bookmarkStart w:id="536" w:name="_Toc17104"/>
      <w:r>
        <w:rPr>
          <w:rFonts w:hint="default" w:ascii="Times New Roman" w:hAnsi="Times New Roman" w:eastAsia="黑体" w:cs="Times New Roman"/>
          <w:color w:val="000000" w:themeColor="text1"/>
          <w:lang w:val="en-US" w:eastAsia="zh-CN"/>
          <w14:textFill>
            <w14:solidFill>
              <w14:schemeClr w14:val="tx1"/>
            </w14:solidFill>
          </w14:textFill>
        </w:rPr>
        <w:t>4.1.1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评价单元划分原则</w:t>
      </w:r>
      <w:bookmarkEnd w:id="525"/>
      <w:bookmarkEnd w:id="526"/>
      <w:bookmarkEnd w:id="527"/>
      <w:bookmarkEnd w:id="528"/>
      <w:bookmarkEnd w:id="529"/>
      <w:bookmarkEnd w:id="530"/>
      <w:bookmarkEnd w:id="531"/>
      <w:bookmarkEnd w:id="532"/>
      <w:bookmarkEnd w:id="533"/>
      <w:bookmarkEnd w:id="534"/>
      <w:bookmarkEnd w:id="535"/>
      <w:bookmarkEnd w:id="536"/>
    </w:p>
    <w:p w14:paraId="2066B858">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划分评价单元是为评价目标和选用评价方法服务的，要便于评价工作的进行，有利于提高评价工作的准确性。评价单元的划分，一般将生产工艺、工艺装置、物料的特点和特性与危险、有害因素的类别、分布有机结合进行划分，还可以按评价的需要将一个评价单元再划分为若干子评价单元或更细致的单元。</w:t>
      </w:r>
    </w:p>
    <w:p w14:paraId="383F33F8">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常用的评价单元划分原则如下：</w:t>
      </w:r>
    </w:p>
    <w:p w14:paraId="0D3BFDEF">
      <w:pPr>
        <w:keepNext w:val="0"/>
        <w:keepLines w:val="0"/>
        <w:pageBreakBefore w:val="0"/>
        <w:widowControl w:val="0"/>
        <w:numPr>
          <w:ilvl w:val="0"/>
          <w:numId w:val="0"/>
        </w:numPr>
        <w:kinsoku/>
        <w:wordWrap/>
        <w:overflowPunct/>
        <w:topLinePunct w:val="0"/>
        <w:bidi w:val="0"/>
        <w:snapToGrid w:val="0"/>
        <w:spacing w:line="520" w:lineRule="exact"/>
        <w:ind w:left="0" w:leftChars="0"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bidi="ar-SA"/>
          <w14:textFill>
            <w14:solidFill>
              <w14:schemeClr w14:val="tx1"/>
            </w14:solidFill>
          </w14:textFill>
        </w:rPr>
        <w:t>1．</w:t>
      </w:r>
      <w:r>
        <w:rPr>
          <w:rFonts w:hint="eastAsia" w:ascii="宋体" w:hAnsi="宋体" w:eastAsia="宋体" w:cs="宋体"/>
          <w:color w:val="000000" w:themeColor="text1"/>
          <w:sz w:val="28"/>
          <w:szCs w:val="28"/>
          <w:lang w:val="en-GB"/>
          <w14:textFill>
            <w14:solidFill>
              <w14:schemeClr w14:val="tx1"/>
            </w14:solidFill>
          </w14:textFill>
        </w:rPr>
        <w:t>按危险、有害因素的类别为主划分评价单元；</w:t>
      </w:r>
    </w:p>
    <w:p w14:paraId="602E0A22">
      <w:pPr>
        <w:keepNext w:val="0"/>
        <w:keepLines w:val="0"/>
        <w:pageBreakBefore w:val="0"/>
        <w:widowControl w:val="0"/>
        <w:numPr>
          <w:ilvl w:val="0"/>
          <w:numId w:val="0"/>
        </w:numPr>
        <w:kinsoku/>
        <w:wordWrap/>
        <w:overflowPunct/>
        <w:topLinePunct w:val="0"/>
        <w:bidi w:val="0"/>
        <w:snapToGrid w:val="0"/>
        <w:spacing w:line="520" w:lineRule="exact"/>
        <w:ind w:left="0" w:leftChars="0"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bidi="ar-SA"/>
          <w14:textFill>
            <w14:solidFill>
              <w14:schemeClr w14:val="tx1"/>
            </w14:solidFill>
          </w14:textFill>
        </w:rPr>
        <w:t>2．</w:t>
      </w:r>
      <w:r>
        <w:rPr>
          <w:rFonts w:hint="eastAsia" w:ascii="宋体" w:hAnsi="宋体" w:eastAsia="宋体" w:cs="宋体"/>
          <w:color w:val="000000" w:themeColor="text1"/>
          <w:sz w:val="28"/>
          <w:szCs w:val="28"/>
          <w:lang w:val="en-GB"/>
          <w14:textFill>
            <w14:solidFill>
              <w14:schemeClr w14:val="tx1"/>
            </w14:solidFill>
          </w14:textFill>
        </w:rPr>
        <w:t>按装置和物质特征划分评价单元；</w:t>
      </w:r>
    </w:p>
    <w:p w14:paraId="38C25CBD">
      <w:pPr>
        <w:keepNext w:val="0"/>
        <w:keepLines w:val="0"/>
        <w:pageBreakBefore w:val="0"/>
        <w:widowControl w:val="0"/>
        <w:numPr>
          <w:ilvl w:val="0"/>
          <w:numId w:val="0"/>
        </w:numPr>
        <w:kinsoku/>
        <w:wordWrap/>
        <w:overflowPunct/>
        <w:topLinePunct w:val="0"/>
        <w:bidi w:val="0"/>
        <w:snapToGrid w:val="0"/>
        <w:spacing w:line="520" w:lineRule="exact"/>
        <w:ind w:left="0" w:leftChars="0"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bidi="ar-SA"/>
          <w14:textFill>
            <w14:solidFill>
              <w14:schemeClr w14:val="tx1"/>
            </w14:solidFill>
          </w14:textFill>
        </w:rPr>
        <w:t>3．</w:t>
      </w:r>
      <w:r>
        <w:rPr>
          <w:rFonts w:hint="eastAsia" w:ascii="宋体" w:hAnsi="宋体" w:eastAsia="宋体" w:cs="宋体"/>
          <w:color w:val="000000" w:themeColor="text1"/>
          <w:sz w:val="28"/>
          <w:szCs w:val="28"/>
          <w:lang w:val="en-GB"/>
          <w14:textFill>
            <w14:solidFill>
              <w14:schemeClr w14:val="tx1"/>
            </w14:solidFill>
          </w14:textFill>
        </w:rPr>
        <w:t>可以将安全管理、外部周边情况分别划为一个评价单元。</w:t>
      </w:r>
    </w:p>
    <w:p w14:paraId="71CA134D">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537" w:name="_Toc22354"/>
      <w:bookmarkStart w:id="538" w:name="_Toc19182"/>
      <w:bookmarkStart w:id="539" w:name="_Toc61474454"/>
      <w:bookmarkStart w:id="540" w:name="_Toc7612"/>
      <w:bookmarkStart w:id="541" w:name="_Toc216867553"/>
      <w:bookmarkStart w:id="542" w:name="_Toc30001431"/>
      <w:bookmarkStart w:id="543" w:name="_Toc278151412"/>
      <w:bookmarkStart w:id="544" w:name="_Toc1682"/>
      <w:bookmarkStart w:id="545" w:name="_Toc14089"/>
      <w:r>
        <w:rPr>
          <w:rFonts w:hint="default" w:ascii="Times New Roman" w:hAnsi="Times New Roman" w:eastAsia="黑体" w:cs="Times New Roman"/>
          <w:color w:val="000000" w:themeColor="text1"/>
          <w:lang w:val="en-US" w:eastAsia="zh-CN"/>
          <w14:textFill>
            <w14:solidFill>
              <w14:schemeClr w14:val="tx1"/>
            </w14:solidFill>
          </w14:textFill>
        </w:rPr>
        <w:t>4.1.2评价单元划分方法</w:t>
      </w:r>
      <w:bookmarkEnd w:id="537"/>
      <w:bookmarkEnd w:id="538"/>
      <w:bookmarkEnd w:id="539"/>
      <w:bookmarkEnd w:id="540"/>
      <w:bookmarkEnd w:id="541"/>
      <w:bookmarkEnd w:id="542"/>
      <w:bookmarkEnd w:id="543"/>
      <w:bookmarkEnd w:id="544"/>
      <w:bookmarkEnd w:id="545"/>
    </w:p>
    <w:p w14:paraId="70535C1E">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划分评价单元的方法主要有两类，一是以危险、有害因素的类别为主来划分；二是以生产工艺装置或场所为主来划分。常用的评价单元划分方法有：</w:t>
      </w:r>
    </w:p>
    <w:p w14:paraId="4901E182">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14:textFill>
            <w14:solidFill>
              <w14:schemeClr w14:val="tx1"/>
            </w14:solidFill>
          </w14:textFill>
        </w:rPr>
        <w:t>以危险、有害因素的类别为主划分评价单元。</w:t>
      </w:r>
    </w:p>
    <w:p w14:paraId="683526BE">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（1）对工艺方案、总体布置及自然条件、环境对系统影响等综合方面的危险、有害因素的分析和评价，可将整个系统作为一个评价单元；</w:t>
      </w:r>
    </w:p>
    <w:p w14:paraId="5A1C4427">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（2）将具有共性危险因素、有害因素的场所和装置划为一个单元。</w:t>
      </w:r>
    </w:p>
    <w:p w14:paraId="096F730C">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14:textFill>
            <w14:solidFill>
              <w14:schemeClr w14:val="tx1"/>
            </w14:solidFill>
          </w14:textFill>
        </w:rPr>
        <w:t>以装置和物质特征划分评价单元。</w:t>
      </w:r>
    </w:p>
    <w:p w14:paraId="139D55E6">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（1）按装置工艺功能划分；</w:t>
      </w:r>
    </w:p>
    <w:p w14:paraId="15F5176C">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（2）按布置的相对独立性划分；</w:t>
      </w:r>
    </w:p>
    <w:p w14:paraId="76904CEB">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（3）按工艺条件划分评价单元；</w:t>
      </w:r>
    </w:p>
    <w:p w14:paraId="18E3C68A">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（4）按贮存、处理危险物品的潜在化学能、毒性和危险物品的数量划分评价单元；</w:t>
      </w:r>
    </w:p>
    <w:p w14:paraId="754456A6">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（5）根据以往事故资料，将发生事故能导致停产、波及范围大、造成巨大损失和伤害的关键设备作为一个单元；</w:t>
      </w:r>
    </w:p>
    <w:p w14:paraId="59BD1930">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（6）将危险性大且资金密度大的区域作为一个评价单元；</w:t>
      </w:r>
    </w:p>
    <w:p w14:paraId="467C1C15">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（7）将危险性特别大的区域、装置作为一个评价单元；</w:t>
      </w:r>
    </w:p>
    <w:p w14:paraId="224E1CB6">
      <w:pPr>
        <w:keepNext w:val="0"/>
        <w:keepLines w:val="0"/>
        <w:pageBreakBefore w:val="0"/>
        <w:widowControl w:val="0"/>
        <w:kinsoku/>
        <w:wordWrap/>
        <w:overflowPunct/>
        <w:topLinePunct w:val="0"/>
        <w:autoSpaceDE w:val="0"/>
        <w:autoSpaceDN w:val="0"/>
        <w:bidi w:val="0"/>
        <w:adjustRightInd w:val="0"/>
        <w:spacing w:line="52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（8）将具有类似危险性潜能的单元合并为一个大单元。</w:t>
      </w:r>
    </w:p>
    <w:p w14:paraId="1C67508C">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546" w:name="_Toc17199"/>
      <w:bookmarkStart w:id="547" w:name="_Toc12670"/>
      <w:r>
        <w:rPr>
          <w:rFonts w:hint="default" w:ascii="Times New Roman" w:hAnsi="Times New Roman" w:eastAsia="楷体" w:cs="Times New Roman"/>
          <w:color w:val="000000" w:themeColor="text1"/>
          <w14:textFill>
            <w14:solidFill>
              <w14:schemeClr w14:val="tx1"/>
            </w14:solidFill>
          </w14:textFill>
        </w:rPr>
        <w:t>4.2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评价单元划分</w:t>
      </w:r>
      <w:bookmarkEnd w:id="520"/>
      <w:bookmarkEnd w:id="521"/>
      <w:bookmarkEnd w:id="522"/>
      <w:r>
        <w:rPr>
          <w:rFonts w:hint="default" w:ascii="Times New Roman" w:hAnsi="Times New Roman" w:eastAsia="楷体" w:cs="Times New Roman"/>
          <w:color w:val="000000" w:themeColor="text1"/>
          <w14:textFill>
            <w14:solidFill>
              <w14:schemeClr w14:val="tx1"/>
            </w14:solidFill>
          </w14:textFill>
        </w:rPr>
        <w:t>结果</w:t>
      </w:r>
      <w:bookmarkEnd w:id="523"/>
      <w:bookmarkEnd w:id="524"/>
      <w:bookmarkEnd w:id="546"/>
      <w:bookmarkEnd w:id="547"/>
    </w:p>
    <w:p w14:paraId="69C91946">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bookmarkStart w:id="548" w:name="_Toc335926257"/>
      <w:bookmarkStart w:id="549" w:name="_Toc191799968"/>
      <w:bookmarkStart w:id="550" w:name="_Toc313453582"/>
      <w:bookmarkStart w:id="551" w:name="_Toc11884"/>
      <w:r>
        <w:rPr>
          <w:rFonts w:hint="default" w:ascii="Times New Roman" w:hAnsi="Times New Roman" w:eastAsia="宋体" w:cs="Times New Roman"/>
          <w:color w:val="000000" w:themeColor="text1"/>
          <w:sz w:val="28"/>
          <w:szCs w:val="28"/>
          <w:lang w:val="en-GB"/>
          <w14:textFill>
            <w14:solidFill>
              <w14:schemeClr w14:val="tx1"/>
            </w14:solidFill>
          </w14:textFill>
        </w:rPr>
        <w:t>根据安全评价单元的划分原则</w:t>
      </w:r>
      <w:r>
        <w:rPr>
          <w:rFonts w:hint="default" w:ascii="Times New Roman" w:hAnsi="Times New Roman" w:eastAsia="宋体" w:cs="Times New Roman"/>
          <w:color w:val="000000" w:themeColor="text1"/>
          <w:sz w:val="28"/>
          <w:szCs w:val="28"/>
          <w14:textFill>
            <w14:solidFill>
              <w14:schemeClr w14:val="tx1"/>
            </w14:solidFill>
          </w14:textFill>
        </w:rPr>
        <w:t>和依据</w:t>
      </w:r>
      <w:r>
        <w:rPr>
          <w:rFonts w:hint="default" w:ascii="Times New Roman" w:hAnsi="Times New Roman" w:eastAsia="宋体" w:cs="Times New Roman"/>
          <w:color w:val="000000" w:themeColor="text1"/>
          <w:sz w:val="28"/>
          <w:szCs w:val="28"/>
          <w:lang w:val="en-GB"/>
          <w14:textFill>
            <w14:solidFill>
              <w14:schemeClr w14:val="tx1"/>
            </w14:solidFill>
          </w14:textFill>
        </w:rPr>
        <w:t>，结合企业的实际情况及安全评价的需要，本次评价根据生产装置和物质特征的相关特点，将公司安全评价单元划分为</w:t>
      </w:r>
      <w:r>
        <w:rPr>
          <w:rFonts w:hint="eastAsia" w:ascii="Times New Roman" w:cs="Times New Roman"/>
          <w:color w:val="000000" w:themeColor="text1"/>
          <w:sz w:val="28"/>
          <w:szCs w:val="28"/>
          <w:lang w:val="en-US" w:eastAsia="zh-CN"/>
          <w14:textFill>
            <w14:solidFill>
              <w14:schemeClr w14:val="tx1"/>
            </w14:solidFill>
          </w14:textFill>
        </w:rPr>
        <w:t>六</w:t>
      </w:r>
      <w:r>
        <w:rPr>
          <w:rFonts w:hint="default" w:ascii="Times New Roman" w:hAnsi="Times New Roman" w:eastAsia="宋体" w:cs="Times New Roman"/>
          <w:color w:val="000000" w:themeColor="text1"/>
          <w:sz w:val="28"/>
          <w:szCs w:val="28"/>
          <w:lang w:val="en-GB"/>
          <w14:textFill>
            <w14:solidFill>
              <w14:schemeClr w14:val="tx1"/>
            </w14:solidFill>
          </w14:textFill>
        </w:rPr>
        <w:t>个评价单元，</w:t>
      </w:r>
      <w:r>
        <w:rPr>
          <w:rFonts w:hint="default" w:ascii="Times New Roman" w:hAnsi="Times New Roman" w:eastAsia="宋体" w:cs="Times New Roman"/>
          <w:color w:val="000000" w:themeColor="text1"/>
          <w:sz w:val="28"/>
          <w:szCs w:val="28"/>
          <w14:textFill>
            <w14:solidFill>
              <w14:schemeClr w14:val="tx1"/>
            </w14:solidFill>
          </w14:textFill>
        </w:rPr>
        <w:t>具体的划分情况和使用的评价方法见表4-1。</w:t>
      </w:r>
    </w:p>
    <w:p w14:paraId="10F6F34A">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jc w:val="center"/>
        <w:textAlignment w:val="auto"/>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b/>
          <w:bCs/>
          <w:color w:val="000000" w:themeColor="text1"/>
          <w:lang w:val="en-GB"/>
          <w14:textFill>
            <w14:solidFill>
              <w14:schemeClr w14:val="tx1"/>
            </w14:solidFill>
          </w14:textFill>
        </w:rPr>
        <w:t>表4-1 各单元采取安全评价方法对应表</w:t>
      </w:r>
    </w:p>
    <w:tbl>
      <w:tblPr>
        <w:tblStyle w:val="52"/>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3086"/>
        <w:gridCol w:w="4653"/>
      </w:tblGrid>
      <w:tr w14:paraId="167F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6C1EF4DA">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1834" w:type="pct"/>
            <w:vAlign w:val="center"/>
          </w:tcPr>
          <w:p w14:paraId="33AE7E21">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评价单元名称</w:t>
            </w:r>
          </w:p>
        </w:tc>
        <w:tc>
          <w:tcPr>
            <w:tcW w:w="2765" w:type="pct"/>
            <w:vAlign w:val="center"/>
          </w:tcPr>
          <w:p w14:paraId="12003CF6">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安全评价方法</w:t>
            </w:r>
          </w:p>
        </w:tc>
      </w:tr>
      <w:tr w14:paraId="4202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511349B0">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1834" w:type="pct"/>
            <w:vAlign w:val="center"/>
          </w:tcPr>
          <w:p w14:paraId="23D4D6C5">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厂址及总平面布置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评价</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单元 </w:t>
            </w:r>
          </w:p>
        </w:tc>
        <w:tc>
          <w:tcPr>
            <w:tcW w:w="2765" w:type="pct"/>
            <w:vAlign w:val="center"/>
          </w:tcPr>
          <w:p w14:paraId="5FFE2655">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p>
        </w:tc>
      </w:tr>
      <w:tr w14:paraId="2E92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333D420">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1834" w:type="pct"/>
            <w:vAlign w:val="center"/>
          </w:tcPr>
          <w:p w14:paraId="7771D55D">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生产工艺</w:t>
            </w:r>
            <w:r>
              <w:rPr>
                <w:rFonts w:hint="eastAsia" w:ascii="Times New Roman" w:cs="Times New Roman" w:eastAsiaTheme="minorEastAsia"/>
                <w:color w:val="000000" w:themeColor="text1"/>
                <w:sz w:val="21"/>
                <w:szCs w:val="21"/>
                <w:lang w:val="en-US" w:eastAsia="zh-CN"/>
                <w14:textFill>
                  <w14:solidFill>
                    <w14:schemeClr w14:val="tx1"/>
                  </w14:solidFill>
                </w14:textFill>
              </w:rPr>
              <w:t>及设备设施</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评价</w:t>
            </w:r>
            <w:r>
              <w:rPr>
                <w:rFonts w:hint="default" w:ascii="Times New Roman" w:hAnsi="Times New Roman" w:cs="Times New Roman" w:eastAsiaTheme="minorEastAsia"/>
                <w:color w:val="000000" w:themeColor="text1"/>
                <w:sz w:val="21"/>
                <w:szCs w:val="21"/>
                <w14:textFill>
                  <w14:solidFill>
                    <w14:schemeClr w14:val="tx1"/>
                  </w14:solidFill>
                </w14:textFill>
              </w:rPr>
              <w:t>单元</w:t>
            </w:r>
          </w:p>
        </w:tc>
        <w:tc>
          <w:tcPr>
            <w:tcW w:w="2765" w:type="pct"/>
            <w:vAlign w:val="center"/>
          </w:tcPr>
          <w:p w14:paraId="79B7F511">
            <w:pPr>
              <w:pStyle w:val="6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r>
              <w:rPr>
                <w:rFonts w:hint="eastAsia" w:asci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cs="Times New Roman" w:eastAsiaTheme="minorEastAsia"/>
                <w:color w:val="000000" w:themeColor="text1"/>
                <w:sz w:val="21"/>
                <w:szCs w:val="21"/>
                <w:lang w:val="en-US" w:eastAsia="zh-CN"/>
                <w14:textFill>
                  <w14:solidFill>
                    <w14:schemeClr w14:val="tx1"/>
                  </w14:solidFill>
                </w14:textFill>
              </w:rPr>
              <w:t>作业条件危险性分析</w:t>
            </w:r>
          </w:p>
        </w:tc>
      </w:tr>
      <w:tr w14:paraId="42C7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40FCD31">
            <w:pPr>
              <w:pStyle w:val="6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1834" w:type="pct"/>
            <w:shd w:val="clear" w:color="auto" w:fill="auto"/>
            <w:vAlign w:val="center"/>
          </w:tcPr>
          <w:p w14:paraId="1FFB62E3">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安全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防护设施评价单元</w:t>
            </w:r>
          </w:p>
        </w:tc>
        <w:tc>
          <w:tcPr>
            <w:tcW w:w="2765" w:type="pct"/>
            <w:shd w:val="clear" w:color="auto" w:fill="auto"/>
            <w:vAlign w:val="center"/>
          </w:tcPr>
          <w:p w14:paraId="1295E691">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p>
        </w:tc>
      </w:tr>
      <w:tr w14:paraId="0FC9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0F9EDA25">
            <w:pPr>
              <w:pStyle w:val="6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4</w:t>
            </w:r>
          </w:p>
        </w:tc>
        <w:tc>
          <w:tcPr>
            <w:tcW w:w="1834" w:type="pct"/>
            <w:shd w:val="clear" w:color="auto" w:fill="auto"/>
            <w:vAlign w:val="center"/>
          </w:tcPr>
          <w:p w14:paraId="3023A502">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公用工程及辅助设施</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评价</w:t>
            </w:r>
            <w:r>
              <w:rPr>
                <w:rFonts w:hint="default" w:ascii="Times New Roman" w:hAnsi="Times New Roman" w:cs="Times New Roman" w:eastAsiaTheme="minorEastAsia"/>
                <w:color w:val="000000" w:themeColor="text1"/>
                <w:sz w:val="21"/>
                <w:szCs w:val="21"/>
                <w14:textFill>
                  <w14:solidFill>
                    <w14:schemeClr w14:val="tx1"/>
                  </w14:solidFill>
                </w14:textFill>
              </w:rPr>
              <w:t>单元</w:t>
            </w:r>
          </w:p>
        </w:tc>
        <w:tc>
          <w:tcPr>
            <w:tcW w:w="2765" w:type="pct"/>
            <w:shd w:val="clear" w:color="auto" w:fill="auto"/>
            <w:vAlign w:val="center"/>
          </w:tcPr>
          <w:p w14:paraId="6E9F37A0">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p>
        </w:tc>
      </w:tr>
      <w:tr w14:paraId="4896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41D69062">
            <w:pPr>
              <w:pStyle w:val="6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5</w:t>
            </w:r>
          </w:p>
        </w:tc>
        <w:tc>
          <w:tcPr>
            <w:tcW w:w="1834" w:type="pct"/>
            <w:shd w:val="clear" w:color="auto" w:fill="auto"/>
            <w:vAlign w:val="center"/>
          </w:tcPr>
          <w:p w14:paraId="266F2120">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安全生产管理评价单元</w:t>
            </w:r>
          </w:p>
        </w:tc>
        <w:tc>
          <w:tcPr>
            <w:tcW w:w="2765" w:type="pct"/>
            <w:shd w:val="clear" w:color="auto" w:fill="auto"/>
            <w:vAlign w:val="center"/>
          </w:tcPr>
          <w:p w14:paraId="01A30D95">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p>
        </w:tc>
      </w:tr>
      <w:tr w14:paraId="14CB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9824FDD">
            <w:pPr>
              <w:pStyle w:val="6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6</w:t>
            </w:r>
          </w:p>
        </w:tc>
        <w:tc>
          <w:tcPr>
            <w:tcW w:w="1834" w:type="pct"/>
            <w:shd w:val="clear" w:color="auto" w:fill="auto"/>
            <w:vAlign w:val="center"/>
          </w:tcPr>
          <w:p w14:paraId="1AE1796C">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重大事故隐患</w:t>
            </w:r>
            <w:r>
              <w:rPr>
                <w:rFonts w:hint="eastAsia" w:ascii="Times New Roman" w:cs="Times New Roman" w:eastAsiaTheme="minorEastAsia"/>
                <w:color w:val="000000" w:themeColor="text1"/>
                <w:sz w:val="21"/>
                <w:szCs w:val="21"/>
                <w:lang w:val="en-US" w:eastAsia="zh-CN"/>
                <w14:textFill>
                  <w14:solidFill>
                    <w14:schemeClr w14:val="tx1"/>
                  </w14:solidFill>
                </w14:textFill>
              </w:rPr>
              <w:t>评价单元</w:t>
            </w:r>
          </w:p>
        </w:tc>
        <w:tc>
          <w:tcPr>
            <w:tcW w:w="2765" w:type="pct"/>
            <w:shd w:val="clear" w:color="auto" w:fill="auto"/>
            <w:vAlign w:val="center"/>
          </w:tcPr>
          <w:p w14:paraId="0834F3D6">
            <w:pPr>
              <w:pStyle w:val="6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安全检查表</w:t>
            </w:r>
          </w:p>
        </w:tc>
      </w:tr>
    </w:tbl>
    <w:p w14:paraId="1ADC8402">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552" w:name="_Toc233668309"/>
      <w:bookmarkStart w:id="553" w:name="_Toc24593"/>
      <w:bookmarkStart w:id="554" w:name="_Toc195156256"/>
      <w:bookmarkStart w:id="555" w:name="_Toc213410607"/>
      <w:bookmarkStart w:id="556" w:name="_Toc207527411"/>
      <w:bookmarkStart w:id="557" w:name="_Toc211837019"/>
      <w:bookmarkStart w:id="558" w:name="_Toc20853"/>
      <w:bookmarkStart w:id="559" w:name="_Toc26599"/>
      <w:bookmarkStart w:id="560" w:name="_Toc30651"/>
      <w:bookmarkStart w:id="561" w:name="_Toc231978508"/>
      <w:bookmarkStart w:id="562" w:name="_Toc21719"/>
      <w:bookmarkStart w:id="563" w:name="_Toc211501735"/>
      <w:bookmarkStart w:id="564" w:name="_Toc27354"/>
      <w:bookmarkStart w:id="565" w:name="_Toc20212"/>
      <w:r>
        <w:rPr>
          <w:rFonts w:hint="default" w:ascii="Times New Roman" w:hAnsi="Times New Roman" w:eastAsia="楷体" w:cs="Times New Roman"/>
          <w:color w:val="000000" w:themeColor="text1"/>
          <w14:textFill>
            <w14:solidFill>
              <w14:schemeClr w14:val="tx1"/>
            </w14:solidFill>
          </w14:textFill>
        </w:rPr>
        <w:t>4.3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评价方法</w:t>
      </w:r>
      <w:bookmarkEnd w:id="552"/>
      <w:bookmarkEnd w:id="553"/>
      <w:bookmarkEnd w:id="554"/>
      <w:bookmarkEnd w:id="555"/>
      <w:bookmarkEnd w:id="556"/>
      <w:bookmarkEnd w:id="557"/>
      <w:bookmarkEnd w:id="558"/>
      <w:bookmarkEnd w:id="559"/>
      <w:bookmarkEnd w:id="560"/>
      <w:bookmarkEnd w:id="561"/>
      <w:bookmarkEnd w:id="562"/>
      <w:bookmarkEnd w:id="563"/>
      <w:r>
        <w:rPr>
          <w:rFonts w:hint="default" w:ascii="Times New Roman" w:hAnsi="Times New Roman" w:eastAsia="楷体" w:cs="Times New Roman"/>
          <w:color w:val="000000" w:themeColor="text1"/>
          <w14:textFill>
            <w14:solidFill>
              <w14:schemeClr w14:val="tx1"/>
            </w14:solidFill>
          </w14:textFill>
        </w:rPr>
        <w:t>的确定</w:t>
      </w:r>
      <w:bookmarkEnd w:id="564"/>
      <w:bookmarkEnd w:id="565"/>
    </w:p>
    <w:p w14:paraId="2FF63E63">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根据评价方法选取应遵循充分性、适应性、系统性、针对性和合理性的原则，结合该项目的特点，本报告选用安全检查表（SCA）、作业条件危险性分析法等</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GB"/>
          <w14:textFill>
            <w14:solidFill>
              <w14:schemeClr w14:val="tx1"/>
            </w14:solidFill>
          </w14:textFill>
        </w:rPr>
        <w:t>种安全评价方法对该工程项目危险、有害因素及危险、有害程度进行分析评价。</w:t>
      </w:r>
    </w:p>
    <w:p w14:paraId="7D1C8D8B">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在安全评价过程中，为检查该厂址及总平面布置、生产工艺和设备设施、</w:t>
      </w:r>
      <w:r>
        <w:rPr>
          <w:rFonts w:hint="eastAsia" w:ascii="宋体" w:hAnsi="宋体" w:eastAsia="宋体" w:cs="宋体"/>
          <w:color w:val="000000" w:themeColor="text1"/>
          <w:sz w:val="28"/>
          <w:szCs w:val="28"/>
          <w:lang w:val="en-US" w:eastAsia="zh-CN"/>
          <w14:textFill>
            <w14:solidFill>
              <w14:schemeClr w14:val="tx1"/>
            </w14:solidFill>
          </w14:textFill>
        </w:rPr>
        <w:t>安全防护设施、</w:t>
      </w:r>
      <w:r>
        <w:rPr>
          <w:rFonts w:hint="eastAsia" w:ascii="宋体" w:hAnsi="宋体" w:eastAsia="宋体" w:cs="宋体"/>
          <w:color w:val="000000" w:themeColor="text1"/>
          <w:sz w:val="28"/>
          <w:szCs w:val="28"/>
          <w:lang w:val="en-GB"/>
          <w14:textFill>
            <w14:solidFill>
              <w14:schemeClr w14:val="tx1"/>
            </w14:solidFill>
          </w14:textFill>
        </w:rPr>
        <w:t>公用工程及辅助设施</w:t>
      </w:r>
      <w:r>
        <w:rPr>
          <w:rFonts w:hint="eastAsia" w:ascii="宋体" w:hAnsi="宋体" w:eastAsia="宋体" w:cs="宋体"/>
          <w:color w:val="000000" w:themeColor="text1"/>
          <w:sz w:val="28"/>
          <w:szCs w:val="28"/>
          <w:lang w:val="en-GB" w:eastAsia="zh-CN"/>
          <w14:textFill>
            <w14:solidFill>
              <w14:schemeClr w14:val="tx1"/>
            </w14:solidFill>
          </w14:textFill>
        </w:rPr>
        <w:t>、</w:t>
      </w:r>
      <w:r>
        <w:rPr>
          <w:rFonts w:hint="eastAsia" w:ascii="宋体" w:hAnsi="宋体" w:eastAsia="宋体" w:cs="宋体"/>
          <w:color w:val="000000" w:themeColor="text1"/>
          <w:sz w:val="28"/>
          <w:szCs w:val="28"/>
          <w:lang w:val="en-GB"/>
          <w14:textFill>
            <w14:solidFill>
              <w14:schemeClr w14:val="tx1"/>
            </w14:solidFill>
          </w14:textFill>
        </w:rPr>
        <w:t>安全管理单元</w:t>
      </w:r>
      <w:r>
        <w:rPr>
          <w:rFonts w:hint="eastAsia" w:ascii="宋体" w:hAnsi="宋体" w:eastAsia="宋体" w:cs="宋体"/>
          <w:color w:val="000000" w:themeColor="text1"/>
          <w:sz w:val="28"/>
          <w:szCs w:val="28"/>
          <w:lang w:val="en-GB"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重大事故隐患</w:t>
      </w:r>
      <w:r>
        <w:rPr>
          <w:rFonts w:hint="eastAsia" w:ascii="宋体" w:hAnsi="宋体" w:eastAsia="宋体" w:cs="宋体"/>
          <w:color w:val="000000" w:themeColor="text1"/>
          <w:sz w:val="28"/>
          <w:szCs w:val="28"/>
          <w:lang w:val="en-GB"/>
          <w14:textFill>
            <w14:solidFill>
              <w14:schemeClr w14:val="tx1"/>
            </w14:solidFill>
          </w14:textFill>
        </w:rPr>
        <w:t>与国家相关法律、法规、规范及标准要求的符合性，因此选用了安全检查表，以达到突出重点、避免遗漏的目的。</w:t>
      </w:r>
    </w:p>
    <w:p w14:paraId="6D96F3FA">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在生产操作过程中使用作业条件危险性分析法（LEC）对项目固有的危险程度及风险程度进行评价，达到细化作业步骤、作业区域和危险源的目的。</w:t>
      </w:r>
    </w:p>
    <w:p w14:paraId="2C8EB173">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566" w:name="_Toc4438"/>
      <w:bookmarkStart w:id="567" w:name="_Toc195156257"/>
      <w:bookmarkStart w:id="568" w:name="_Toc211837020"/>
      <w:bookmarkStart w:id="569" w:name="_Toc233668310"/>
      <w:bookmarkStart w:id="570" w:name="_Toc20638"/>
      <w:bookmarkStart w:id="571" w:name="_Toc19469"/>
      <w:bookmarkStart w:id="572" w:name="_Toc19971"/>
      <w:bookmarkStart w:id="573" w:name="_Toc211501736"/>
      <w:bookmarkStart w:id="574" w:name="_Toc207527412"/>
      <w:bookmarkStart w:id="575" w:name="_Toc213410608"/>
      <w:bookmarkStart w:id="576" w:name="_Toc29841"/>
      <w:bookmarkStart w:id="577" w:name="_Toc231978509"/>
      <w:bookmarkStart w:id="578" w:name="_Toc22758"/>
      <w:bookmarkStart w:id="579" w:name="_Toc22919"/>
      <w:r>
        <w:rPr>
          <w:rFonts w:hint="default" w:ascii="Times New Roman" w:hAnsi="Times New Roman" w:eastAsia="楷体" w:cs="Times New Roman"/>
          <w:color w:val="000000" w:themeColor="text1"/>
          <w14:textFill>
            <w14:solidFill>
              <w14:schemeClr w14:val="tx1"/>
            </w14:solidFill>
          </w14:textFill>
        </w:rPr>
        <w:t>4.4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评价方法</w:t>
      </w:r>
      <w:bookmarkEnd w:id="566"/>
      <w:bookmarkEnd w:id="567"/>
      <w:bookmarkEnd w:id="568"/>
      <w:bookmarkEnd w:id="569"/>
      <w:bookmarkEnd w:id="570"/>
      <w:bookmarkEnd w:id="571"/>
      <w:bookmarkEnd w:id="572"/>
      <w:bookmarkEnd w:id="573"/>
      <w:bookmarkEnd w:id="574"/>
      <w:bookmarkEnd w:id="575"/>
      <w:bookmarkEnd w:id="576"/>
      <w:bookmarkEnd w:id="577"/>
      <w:r>
        <w:rPr>
          <w:rFonts w:hint="default" w:ascii="Times New Roman" w:hAnsi="Times New Roman" w:eastAsia="楷体" w:cs="Times New Roman"/>
          <w:color w:val="000000" w:themeColor="text1"/>
          <w14:textFill>
            <w14:solidFill>
              <w14:schemeClr w14:val="tx1"/>
            </w14:solidFill>
          </w14:textFill>
        </w:rPr>
        <w:t>介绍</w:t>
      </w:r>
      <w:bookmarkEnd w:id="578"/>
      <w:bookmarkEnd w:id="579"/>
    </w:p>
    <w:p w14:paraId="18B94DCD">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580" w:name="_Toc30001435"/>
      <w:bookmarkStart w:id="581" w:name="_Toc23342"/>
      <w:bookmarkStart w:id="582" w:name="_Toc278151416"/>
      <w:bookmarkStart w:id="583" w:name="_Toc61474458"/>
      <w:bookmarkStart w:id="584" w:name="_Toc216867557"/>
      <w:bookmarkStart w:id="585" w:name="_Toc13470"/>
      <w:r>
        <w:rPr>
          <w:rFonts w:hint="default" w:ascii="Times New Roman" w:hAnsi="Times New Roman" w:eastAsia="黑体"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lang w:val="en-US" w:eastAsia="zh-CN"/>
          <w14:textFill>
            <w14:solidFill>
              <w14:schemeClr w14:val="tx1"/>
            </w14:solidFill>
          </w14:textFill>
        </w:rPr>
        <w:t>1安全检查表法（SCA）</w:t>
      </w:r>
      <w:bookmarkEnd w:id="580"/>
      <w:bookmarkEnd w:id="581"/>
      <w:bookmarkEnd w:id="582"/>
      <w:bookmarkEnd w:id="583"/>
      <w:bookmarkEnd w:id="584"/>
      <w:bookmarkEnd w:id="585"/>
    </w:p>
    <w:p w14:paraId="1D50EAE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安全检查表评价方法简便灵活，是安全评价的常规方法，具有简便、实用、有效的特点。依据国家、地区、行业等相关的标准、法规编制检查表，判断是否、有无，找出缺陷、疏漏、隐患、问题。所以对项目总体和各单元的预评价中均运用了这一方法。本评价中安全检查表的内容主要有三部分：</w:t>
      </w:r>
    </w:p>
    <w:p w14:paraId="0758620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检查项目和要求：针对该单元功能、工艺、设备等固有或潜在的主要危险危害因素，逐条列出检查的项目和国家有关劳动安全卫生方面的法律、法规、标准以及行业规定中对工程设计、施工、运行管理的各种具体要求。</w:t>
      </w:r>
    </w:p>
    <w:p w14:paraId="25BE3F4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②检查情况：针对检查项目和要求，通过审查文件资料，勘察现场，分析预测项目建成后与法律法规、标准规范的符合性，从而判断项目建成后的风险度。</w:t>
      </w:r>
    </w:p>
    <w:p w14:paraId="5BA3992C">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③检查结论：针对检查项目，根据文件资料、现场调查情况作出与要求符合、不符合的结论。</w:t>
      </w:r>
      <w:bookmarkEnd w:id="548"/>
      <w:bookmarkEnd w:id="549"/>
      <w:bookmarkEnd w:id="550"/>
      <w:bookmarkEnd w:id="551"/>
    </w:p>
    <w:p w14:paraId="3FE0E6E9">
      <w:pPr>
        <w:pStyle w:val="6"/>
        <w:bidi w:val="0"/>
        <w:rPr>
          <w:rFonts w:hint="default"/>
          <w:lang w:val="en-US" w:eastAsia="zh-CN"/>
        </w:rPr>
      </w:pPr>
      <w:bookmarkStart w:id="586" w:name="_Toc61474459"/>
      <w:bookmarkStart w:id="587" w:name="_Toc278151418"/>
      <w:bookmarkStart w:id="588" w:name="_Toc201697625"/>
      <w:bookmarkStart w:id="589" w:name="_Toc211237884"/>
      <w:bookmarkStart w:id="590" w:name="_Toc8426"/>
      <w:bookmarkStart w:id="591" w:name="_Toc30001436"/>
      <w:bookmarkStart w:id="592" w:name="_Toc2007"/>
      <w:bookmarkStart w:id="593" w:name="_Toc216867563"/>
      <w:bookmarkStart w:id="594" w:name="_Toc201697626"/>
      <w:r>
        <w:rPr>
          <w:rFonts w:hint="default"/>
          <w:lang w:val="en-US" w:eastAsia="zh-CN"/>
        </w:rPr>
        <w:t>4.</w:t>
      </w:r>
      <w:r>
        <w:rPr>
          <w:rFonts w:hint="eastAsia"/>
          <w:lang w:val="en-US" w:eastAsia="zh-CN"/>
        </w:rPr>
        <w:t>4</w:t>
      </w:r>
      <w:r>
        <w:rPr>
          <w:rFonts w:hint="default"/>
          <w:lang w:val="en-US" w:eastAsia="zh-CN"/>
        </w:rPr>
        <w:t>.</w:t>
      </w:r>
      <w:r>
        <w:rPr>
          <w:rFonts w:hint="eastAsia"/>
          <w:lang w:val="en-US" w:eastAsia="zh-CN"/>
        </w:rPr>
        <w:t>2</w:t>
      </w:r>
      <w:r>
        <w:rPr>
          <w:rFonts w:hint="default"/>
          <w:lang w:val="en-US" w:eastAsia="zh-CN"/>
        </w:rPr>
        <w:t>作业条件危险性评价法（LEC）</w:t>
      </w:r>
      <w:bookmarkEnd w:id="586"/>
      <w:bookmarkEnd w:id="587"/>
      <w:bookmarkEnd w:id="588"/>
      <w:bookmarkEnd w:id="589"/>
      <w:bookmarkEnd w:id="590"/>
      <w:bookmarkEnd w:id="591"/>
      <w:bookmarkEnd w:id="592"/>
    </w:p>
    <w:p w14:paraId="0A704E99">
      <w:pPr>
        <w:keepNext w:val="0"/>
        <w:keepLines w:val="0"/>
        <w:pageBreakBefore w:val="0"/>
        <w:widowControl w:val="0"/>
        <w:kinsoku/>
        <w:wordWrap/>
        <w:overflowPunct/>
        <w:topLinePunct w:val="0"/>
        <w:autoSpaceDE w:val="0"/>
        <w:autoSpaceDN w:val="0"/>
        <w:bidi w:val="0"/>
        <w:adjustRightInd/>
        <w:snapToGrid/>
        <w:spacing w:line="500" w:lineRule="exact"/>
        <w:ind w:right="43"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作业条件危险性评价法是一种简便易行的评价方法，用来评价人们在某种具有潜在危险环境中作业的危险性。该法以被评价的环境与某些作为参考的环境进行比较为基础，采用专家“评分”的办法确定各种自变量的分数值，最后根据总的危险分数值来评价其危险性。该法已用于一些工业企业危险性的评价，取得较好效果。</w:t>
      </w:r>
    </w:p>
    <w:p w14:paraId="1CDE34D5">
      <w:pPr>
        <w:keepNext w:val="0"/>
        <w:keepLines w:val="0"/>
        <w:pageBreakBefore w:val="0"/>
        <w:widowControl w:val="0"/>
        <w:kinsoku/>
        <w:wordWrap/>
        <w:overflowPunct/>
        <w:topLinePunct w:val="0"/>
        <w:autoSpaceDE w:val="0"/>
        <w:autoSpaceDN w:val="0"/>
        <w:bidi w:val="0"/>
        <w:adjustRightInd/>
        <w:snapToGrid/>
        <w:spacing w:line="500" w:lineRule="exact"/>
        <w:ind w:left="206" w:leftChars="86" w:right="101"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格雷厄姆和金尼认为影响危险性的主要因素有三个：</w:t>
      </w:r>
    </w:p>
    <w:p w14:paraId="047AE5B5">
      <w:pPr>
        <w:keepNext w:val="0"/>
        <w:keepLines w:val="0"/>
        <w:pageBreakBefore w:val="0"/>
        <w:widowControl w:val="0"/>
        <w:kinsoku/>
        <w:wordWrap/>
        <w:overflowPunct/>
        <w:topLinePunct w:val="0"/>
        <w:autoSpaceDE w:val="0"/>
        <w:autoSpaceDN w:val="0"/>
        <w:bidi w:val="0"/>
        <w:adjustRightInd/>
        <w:snapToGrid/>
        <w:spacing w:line="500" w:lineRule="exact"/>
        <w:ind w:left="604" w:firstLine="560" w:firstLineChars="200"/>
        <w:jc w:val="left"/>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1.发生事故或危险事件的可能性；</w:t>
      </w:r>
    </w:p>
    <w:p w14:paraId="31433F59">
      <w:pPr>
        <w:keepNext w:val="0"/>
        <w:keepLines w:val="0"/>
        <w:pageBreakBefore w:val="0"/>
        <w:widowControl w:val="0"/>
        <w:kinsoku/>
        <w:wordWrap/>
        <w:overflowPunct/>
        <w:topLinePunct w:val="0"/>
        <w:autoSpaceDE w:val="0"/>
        <w:autoSpaceDN w:val="0"/>
        <w:bidi w:val="0"/>
        <w:adjustRightInd/>
        <w:snapToGrid/>
        <w:spacing w:line="500" w:lineRule="exact"/>
        <w:ind w:left="604" w:right="19" w:firstLine="560" w:firstLineChars="200"/>
        <w:jc w:val="left"/>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2.暴露于这种危险环境的频率；</w:t>
      </w:r>
    </w:p>
    <w:p w14:paraId="1136E774">
      <w:pPr>
        <w:keepNext w:val="0"/>
        <w:keepLines w:val="0"/>
        <w:pageBreakBefore w:val="0"/>
        <w:widowControl w:val="0"/>
        <w:kinsoku/>
        <w:wordWrap/>
        <w:overflowPunct/>
        <w:topLinePunct w:val="0"/>
        <w:autoSpaceDE w:val="0"/>
        <w:autoSpaceDN w:val="0"/>
        <w:bidi w:val="0"/>
        <w:adjustRightInd/>
        <w:snapToGrid/>
        <w:spacing w:line="500" w:lineRule="exact"/>
        <w:ind w:left="604" w:right="19" w:firstLine="560" w:firstLineChars="200"/>
        <w:jc w:val="left"/>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3.事故一旦发生时可能产生的后果。</w:t>
      </w:r>
    </w:p>
    <w:p w14:paraId="7F5B7119">
      <w:pPr>
        <w:keepNext w:val="0"/>
        <w:keepLines w:val="0"/>
        <w:pageBreakBefore w:val="0"/>
        <w:widowControl w:val="0"/>
        <w:kinsoku/>
        <w:wordWrap/>
        <w:overflowPunct/>
        <w:topLinePunct w:val="0"/>
        <w:autoSpaceDE w:val="0"/>
        <w:autoSpaceDN w:val="0"/>
        <w:bidi w:val="0"/>
        <w:adjustRightInd/>
        <w:snapToGrid/>
        <w:spacing w:line="500" w:lineRule="exact"/>
        <w:ind w:left="14" w:right="19" w:firstLine="560" w:firstLineChars="200"/>
        <w:jc w:val="left"/>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前两者可以看作是危险概率，后者则相当于危险严重度。危险性可以下式来表达：</w:t>
      </w:r>
    </w:p>
    <w:p w14:paraId="54AAD76A">
      <w:pPr>
        <w:keepNext w:val="0"/>
        <w:keepLines w:val="0"/>
        <w:pageBreakBefore w:val="0"/>
        <w:widowControl w:val="0"/>
        <w:tabs>
          <w:tab w:val="left" w:pos="2690"/>
        </w:tabs>
        <w:kinsoku/>
        <w:wordWrap/>
        <w:overflowPunct/>
        <w:topLinePunct w:val="0"/>
        <w:autoSpaceDE w:val="0"/>
        <w:autoSpaceDN w:val="0"/>
        <w:bidi w:val="0"/>
        <w:adjustRightInd/>
        <w:snapToGrid/>
        <w:spacing w:line="500" w:lineRule="exact"/>
        <w:ind w:left="14" w:right="4" w:firstLine="560" w:firstLineChars="200"/>
        <w:jc w:val="both"/>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危险性（D）= L×E×C</w:t>
      </w:r>
    </w:p>
    <w:p w14:paraId="0619D455">
      <w:pPr>
        <w:keepNext w:val="0"/>
        <w:keepLines w:val="0"/>
        <w:pageBreakBefore w:val="0"/>
        <w:widowControl w:val="0"/>
        <w:tabs>
          <w:tab w:val="center" w:pos="2990"/>
        </w:tabs>
        <w:kinsoku/>
        <w:wordWrap/>
        <w:overflowPunct/>
        <w:topLinePunct w:val="0"/>
        <w:autoSpaceDE w:val="0"/>
        <w:autoSpaceDN w:val="0"/>
        <w:bidi w:val="0"/>
        <w:adjustRightInd/>
        <w:snapToGrid/>
        <w:spacing w:line="500" w:lineRule="exact"/>
        <w:ind w:left="17" w:leftChars="7" w:right="4"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式中：L 事故或危险事件发生的可能性；</w:t>
      </w:r>
    </w:p>
    <w:p w14:paraId="6B575FF7">
      <w:pPr>
        <w:keepNext w:val="0"/>
        <w:keepLines w:val="0"/>
        <w:pageBreakBefore w:val="0"/>
        <w:widowControl w:val="0"/>
        <w:tabs>
          <w:tab w:val="center" w:pos="2990"/>
        </w:tabs>
        <w:kinsoku/>
        <w:wordWrap/>
        <w:overflowPunct/>
        <w:topLinePunct w:val="0"/>
        <w:autoSpaceDE w:val="0"/>
        <w:autoSpaceDN w:val="0"/>
        <w:bidi w:val="0"/>
        <w:adjustRightInd/>
        <w:snapToGrid/>
        <w:spacing w:line="500" w:lineRule="exact"/>
        <w:ind w:left="17" w:leftChars="7" w:right="4"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E 暴露于危险环境的频率；</w:t>
      </w:r>
    </w:p>
    <w:p w14:paraId="7776ACB5">
      <w:pPr>
        <w:keepNext w:val="0"/>
        <w:keepLines w:val="0"/>
        <w:pageBreakBefore w:val="0"/>
        <w:widowControl w:val="0"/>
        <w:tabs>
          <w:tab w:val="center" w:pos="2990"/>
        </w:tabs>
        <w:kinsoku/>
        <w:wordWrap/>
        <w:overflowPunct/>
        <w:topLinePunct w:val="0"/>
        <w:autoSpaceDE w:val="0"/>
        <w:autoSpaceDN w:val="0"/>
        <w:bidi w:val="0"/>
        <w:adjustRightInd/>
        <w:snapToGrid/>
        <w:spacing w:line="500" w:lineRule="exact"/>
        <w:ind w:left="17" w:leftChars="7" w:right="4"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C 危险严重度。</w:t>
      </w:r>
    </w:p>
    <w:p w14:paraId="0B359867">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1.可能性因素 L </w:t>
      </w:r>
    </w:p>
    <w:p w14:paraId="50EA8F9D">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default" w:ascii="Times New Roman" w:hAnsi="Times New Roman" w:cs="Times New Roman"/>
          <w:b/>
          <w:bCs/>
          <w:color w:val="000000" w:themeColor="text1"/>
          <w:kern w:val="0"/>
          <w:szCs w:val="2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故或危险事件发生的可能性是与它们实际的数学概率相关联的。绝对不可能发生的事件的概率为0，而必然发生的事件的概率则为1，但在实际情况中，绝对不可能发生的事故是不存在的，只能说可能性极小，概率趋于0，所以，可能性因素L的分数值取值范围为1～10具体见表4-2。</w:t>
      </w:r>
    </w:p>
    <w:p w14:paraId="36177606">
      <w:pPr>
        <w:autoSpaceDE w:val="0"/>
        <w:autoSpaceDN w:val="0"/>
        <w:adjustRightInd w:val="0"/>
        <w:snapToGrid w:val="0"/>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表4-2  事故或危险事件发生的可能性 L 的分数值表</w:t>
      </w:r>
    </w:p>
    <w:tbl>
      <w:tblPr>
        <w:tblStyle w:val="52"/>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5690"/>
      </w:tblGrid>
      <w:tr w14:paraId="00AD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tcPr>
          <w:p w14:paraId="6150F330">
            <w:pPr>
              <w:autoSpaceDE w:val="0"/>
              <w:autoSpaceDN w:val="0"/>
              <w:adjustRightInd w:val="0"/>
              <w:snapToGrid w:val="0"/>
              <w:spacing w:line="300" w:lineRule="exact"/>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分数值</w:t>
            </w:r>
          </w:p>
        </w:tc>
        <w:tc>
          <w:tcPr>
            <w:tcW w:w="5690" w:type="dxa"/>
          </w:tcPr>
          <w:p w14:paraId="26EF0DD3">
            <w:pPr>
              <w:autoSpaceDE w:val="0"/>
              <w:autoSpaceDN w:val="0"/>
              <w:adjustRightInd w:val="0"/>
              <w:snapToGrid w:val="0"/>
              <w:spacing w:line="300" w:lineRule="exact"/>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事故或危险事件发生的可能性</w:t>
            </w:r>
          </w:p>
        </w:tc>
      </w:tr>
      <w:tr w14:paraId="0087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11C344AF">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5690" w:type="dxa"/>
          </w:tcPr>
          <w:p w14:paraId="6F8BE76E">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完全会被预料到</w:t>
            </w:r>
          </w:p>
        </w:tc>
      </w:tr>
      <w:tr w14:paraId="6FB7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5F761664">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w:t>
            </w:r>
          </w:p>
        </w:tc>
        <w:tc>
          <w:tcPr>
            <w:tcW w:w="5690" w:type="dxa"/>
          </w:tcPr>
          <w:p w14:paraId="6C3D66B0">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相当可能</w:t>
            </w:r>
          </w:p>
        </w:tc>
      </w:tr>
      <w:tr w14:paraId="0093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09F72E62">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5690" w:type="dxa"/>
          </w:tcPr>
          <w:p w14:paraId="0B9EACF2">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不经常，但可能</w:t>
            </w:r>
          </w:p>
        </w:tc>
      </w:tr>
      <w:tr w14:paraId="70E7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6C6793FC">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5690" w:type="dxa"/>
          </w:tcPr>
          <w:p w14:paraId="3C57AB48">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完全意外，极少可能</w:t>
            </w:r>
          </w:p>
        </w:tc>
      </w:tr>
      <w:tr w14:paraId="24E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2F9D59F9">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5690" w:type="dxa"/>
          </w:tcPr>
          <w:p w14:paraId="715CE01F">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可以设想</w:t>
            </w:r>
          </w:p>
        </w:tc>
      </w:tr>
      <w:tr w14:paraId="0A70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5A6184D0">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0.2</w:t>
            </w:r>
          </w:p>
        </w:tc>
        <w:tc>
          <w:tcPr>
            <w:tcW w:w="5690" w:type="dxa"/>
          </w:tcPr>
          <w:p w14:paraId="7525519E">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极不可能</w:t>
            </w:r>
          </w:p>
        </w:tc>
      </w:tr>
      <w:tr w14:paraId="123C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0226F1E1">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0.1</w:t>
            </w:r>
          </w:p>
        </w:tc>
        <w:tc>
          <w:tcPr>
            <w:tcW w:w="5690" w:type="dxa"/>
          </w:tcPr>
          <w:p w14:paraId="0FFAD811">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实际上不可能</w:t>
            </w:r>
          </w:p>
        </w:tc>
      </w:tr>
    </w:tbl>
    <w:p w14:paraId="7C9DF51A">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2.暴露于危险环境的频率 E</w:t>
      </w:r>
    </w:p>
    <w:p w14:paraId="7FC86A46">
      <w:pPr>
        <w:autoSpaceDE w:val="0"/>
        <w:autoSpaceDN w:val="0"/>
        <w:adjustRightInd w:val="0"/>
        <w:snapToGrid w:val="0"/>
        <w:spacing w:line="500" w:lineRule="exact"/>
        <w:ind w:right="641"/>
        <w:jc w:val="center"/>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操作人员出现在危险环境中的时间越多，受到伤害的可能性就越大，相应的危险性也就越大。连续出现在危险环境的情况其频率分为10，非常罕见地暴露于危险环境则为0.5。具体分数值见表</w:t>
      </w:r>
    </w:p>
    <w:p w14:paraId="532DA68D">
      <w:pPr>
        <w:autoSpaceDE w:val="0"/>
        <w:autoSpaceDN w:val="0"/>
        <w:adjustRightInd w:val="0"/>
        <w:snapToGrid w:val="0"/>
        <w:spacing w:line="500" w:lineRule="exact"/>
        <w:ind w:right="641"/>
        <w:jc w:val="both"/>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4-3。</w:t>
      </w:r>
    </w:p>
    <w:p w14:paraId="0E4BC43F">
      <w:pPr>
        <w:autoSpaceDE w:val="0"/>
        <w:autoSpaceDN w:val="0"/>
        <w:adjustRightInd w:val="0"/>
        <w:snapToGrid w:val="0"/>
        <w:spacing w:line="500" w:lineRule="exact"/>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表4-3  暴露于潜在危险环境频率 E 的分数值</w:t>
      </w:r>
    </w:p>
    <w:tbl>
      <w:tblPr>
        <w:tblStyle w:val="52"/>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97"/>
        <w:gridCol w:w="4344"/>
      </w:tblGrid>
      <w:tr w14:paraId="6A65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7EBC4C4D">
            <w:pPr>
              <w:autoSpaceDE w:val="0"/>
              <w:autoSpaceDN w:val="0"/>
              <w:adjustRightInd w:val="0"/>
              <w:snapToGrid w:val="0"/>
              <w:spacing w:line="300" w:lineRule="exact"/>
              <w:jc w:val="center"/>
              <w:rPr>
                <w:rFonts w:hint="default" w:ascii="Times New Roman" w:hAnsi="Times New Roman" w:cs="Times New Roman"/>
                <w:b/>
                <w:color w:val="000000" w:themeColor="text1"/>
                <w:kern w:val="0"/>
                <w:szCs w:val="21"/>
                <w:lang w:eastAsia="zh-TW"/>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分数值</w:t>
            </w:r>
          </w:p>
        </w:tc>
        <w:tc>
          <w:tcPr>
            <w:tcW w:w="4344" w:type="dxa"/>
            <w:tcBorders>
              <w:top w:val="single" w:color="auto" w:sz="4" w:space="0"/>
              <w:left w:val="single" w:color="auto" w:sz="4" w:space="0"/>
              <w:bottom w:val="single" w:color="auto" w:sz="4" w:space="0"/>
              <w:right w:val="single" w:color="auto" w:sz="4" w:space="0"/>
            </w:tcBorders>
            <w:vAlign w:val="center"/>
          </w:tcPr>
          <w:p w14:paraId="1A3BBF11">
            <w:pPr>
              <w:autoSpaceDE w:val="0"/>
              <w:autoSpaceDN w:val="0"/>
              <w:adjustRightInd w:val="0"/>
              <w:snapToGrid w:val="0"/>
              <w:spacing w:line="300" w:lineRule="exact"/>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暴露于危险环境的频率</w:t>
            </w:r>
          </w:p>
        </w:tc>
      </w:tr>
      <w:tr w14:paraId="76B6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0DDF79CD">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4344" w:type="dxa"/>
            <w:tcBorders>
              <w:top w:val="single" w:color="auto" w:sz="4" w:space="0"/>
              <w:left w:val="single" w:color="auto" w:sz="4" w:space="0"/>
              <w:bottom w:val="single" w:color="auto" w:sz="4" w:space="0"/>
              <w:right w:val="single" w:color="auto" w:sz="4" w:space="0"/>
            </w:tcBorders>
            <w:vAlign w:val="center"/>
          </w:tcPr>
          <w:p w14:paraId="1DE07537">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连续暴露于潜在危险环境</w:t>
            </w:r>
          </w:p>
        </w:tc>
      </w:tr>
      <w:tr w14:paraId="5A82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345659B">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w:t>
            </w:r>
          </w:p>
        </w:tc>
        <w:tc>
          <w:tcPr>
            <w:tcW w:w="4344" w:type="dxa"/>
            <w:tcBorders>
              <w:top w:val="single" w:color="auto" w:sz="4" w:space="0"/>
              <w:left w:val="single" w:color="auto" w:sz="4" w:space="0"/>
              <w:bottom w:val="single" w:color="auto" w:sz="4" w:space="0"/>
              <w:right w:val="single" w:color="auto" w:sz="4" w:space="0"/>
            </w:tcBorders>
            <w:vAlign w:val="center"/>
          </w:tcPr>
          <w:p w14:paraId="2DBB8FD1">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逐日在工作时间内暴露</w:t>
            </w:r>
          </w:p>
        </w:tc>
      </w:tr>
      <w:tr w14:paraId="3027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7131E2B8">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4344" w:type="dxa"/>
            <w:tcBorders>
              <w:top w:val="single" w:color="auto" w:sz="4" w:space="0"/>
              <w:left w:val="single" w:color="auto" w:sz="4" w:space="0"/>
              <w:bottom w:val="single" w:color="auto" w:sz="4" w:space="0"/>
              <w:right w:val="single" w:color="auto" w:sz="4" w:space="0"/>
            </w:tcBorders>
            <w:vAlign w:val="center"/>
          </w:tcPr>
          <w:p w14:paraId="401BA591">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每周一次或偶然暴露</w:t>
            </w:r>
          </w:p>
        </w:tc>
      </w:tr>
      <w:tr w14:paraId="6EE0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4397" w:type="dxa"/>
            <w:tcBorders>
              <w:top w:val="single" w:color="auto" w:sz="4" w:space="0"/>
              <w:left w:val="single" w:color="auto" w:sz="4" w:space="0"/>
              <w:bottom w:val="single" w:color="auto" w:sz="4" w:space="0"/>
              <w:right w:val="single" w:color="auto" w:sz="4" w:space="0"/>
            </w:tcBorders>
            <w:vAlign w:val="center"/>
          </w:tcPr>
          <w:p w14:paraId="59098812">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4344" w:type="dxa"/>
            <w:tcBorders>
              <w:top w:val="single" w:color="auto" w:sz="4" w:space="0"/>
              <w:left w:val="single" w:color="auto" w:sz="4" w:space="0"/>
              <w:bottom w:val="single" w:color="auto" w:sz="4" w:space="0"/>
              <w:right w:val="single" w:color="auto" w:sz="4" w:space="0"/>
            </w:tcBorders>
            <w:vAlign w:val="center"/>
          </w:tcPr>
          <w:p w14:paraId="282D27EB">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每月暴露一次</w:t>
            </w:r>
          </w:p>
        </w:tc>
      </w:tr>
      <w:tr w14:paraId="204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6192766">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4344" w:type="dxa"/>
            <w:tcBorders>
              <w:top w:val="single" w:color="auto" w:sz="4" w:space="0"/>
              <w:left w:val="single" w:color="auto" w:sz="4" w:space="0"/>
              <w:bottom w:val="single" w:color="auto" w:sz="4" w:space="0"/>
              <w:right w:val="single" w:color="auto" w:sz="4" w:space="0"/>
            </w:tcBorders>
            <w:vAlign w:val="center"/>
          </w:tcPr>
          <w:p w14:paraId="3932DF6E">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每年几次出现在危险环境</w:t>
            </w:r>
          </w:p>
        </w:tc>
      </w:tr>
      <w:tr w14:paraId="1268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9CE686D">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4344" w:type="dxa"/>
            <w:tcBorders>
              <w:top w:val="single" w:color="auto" w:sz="4" w:space="0"/>
              <w:left w:val="single" w:color="auto" w:sz="4" w:space="0"/>
              <w:bottom w:val="single" w:color="auto" w:sz="4" w:space="0"/>
              <w:right w:val="single" w:color="auto" w:sz="4" w:space="0"/>
            </w:tcBorders>
            <w:vAlign w:val="center"/>
          </w:tcPr>
          <w:p w14:paraId="3ECADDC7">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非常罕见地暴露于危险环境</w:t>
            </w:r>
          </w:p>
        </w:tc>
      </w:tr>
    </w:tbl>
    <w:p w14:paraId="62663B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3.事故或危险事件的危险严重度C</w:t>
      </w:r>
    </w:p>
    <w:p w14:paraId="5210FA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事故或危险事件对人身伤害的严重程度变化范围很大，可以从伤害直至死亡事故，规定分数值1～l00。具体分数值见表4-4。</w:t>
      </w:r>
    </w:p>
    <w:p w14:paraId="023AF023">
      <w:pPr>
        <w:tabs>
          <w:tab w:val="left" w:pos="1948"/>
        </w:tabs>
        <w:autoSpaceDE w:val="0"/>
        <w:autoSpaceDN w:val="0"/>
        <w:adjustRightInd w:val="0"/>
        <w:snapToGrid w:val="0"/>
        <w:spacing w:line="500" w:lineRule="exact"/>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表4-4  事故或危险事件的危险严重度C的分数值</w:t>
      </w:r>
    </w:p>
    <w:tbl>
      <w:tblPr>
        <w:tblStyle w:val="52"/>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58"/>
        <w:gridCol w:w="5283"/>
      </w:tblGrid>
      <w:tr w14:paraId="03FD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3C8298C7">
            <w:pPr>
              <w:autoSpaceDE w:val="0"/>
              <w:autoSpaceDN w:val="0"/>
              <w:adjustRightInd w:val="0"/>
              <w:spacing w:line="300" w:lineRule="exact"/>
              <w:jc w:val="center"/>
              <w:rPr>
                <w:rFonts w:hint="eastAsia" w:ascii="宋体" w:hAnsi="宋体" w:eastAsia="宋体" w:cs="宋体"/>
                <w:b/>
                <w:color w:val="000000" w:themeColor="text1"/>
                <w:kern w:val="0"/>
                <w:sz w:val="21"/>
                <w:szCs w:val="21"/>
                <w:lang w:eastAsia="zh-TW"/>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分数值</w:t>
            </w:r>
          </w:p>
        </w:tc>
        <w:tc>
          <w:tcPr>
            <w:tcW w:w="5283" w:type="dxa"/>
            <w:tcBorders>
              <w:top w:val="single" w:color="auto" w:sz="4" w:space="0"/>
              <w:left w:val="single" w:color="auto" w:sz="4" w:space="0"/>
              <w:bottom w:val="single" w:color="auto" w:sz="4" w:space="0"/>
              <w:right w:val="single" w:color="auto" w:sz="4" w:space="0"/>
            </w:tcBorders>
            <w:vAlign w:val="center"/>
          </w:tcPr>
          <w:p w14:paraId="0BF3E433">
            <w:pPr>
              <w:autoSpaceDE w:val="0"/>
              <w:autoSpaceDN w:val="0"/>
              <w:adjustRightInd w:val="0"/>
              <w:spacing w:line="300" w:lineRule="exact"/>
              <w:jc w:val="center"/>
              <w:rPr>
                <w:rFonts w:hint="eastAsia" w:ascii="宋体" w:hAnsi="宋体" w:eastAsia="宋体" w:cs="宋体"/>
                <w:b/>
                <w:color w:val="000000" w:themeColor="text1"/>
                <w:kern w:val="0"/>
                <w:sz w:val="21"/>
                <w:szCs w:val="21"/>
                <w:lang w:eastAsia="zh-TW"/>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可能结果</w:t>
            </w:r>
          </w:p>
        </w:tc>
      </w:tr>
      <w:tr w14:paraId="79AB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465F243B">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5283" w:type="dxa"/>
            <w:tcBorders>
              <w:top w:val="single" w:color="auto" w:sz="4" w:space="0"/>
              <w:left w:val="single" w:color="auto" w:sz="4" w:space="0"/>
              <w:bottom w:val="single" w:color="auto" w:sz="4" w:space="0"/>
              <w:right w:val="single" w:color="auto" w:sz="4" w:space="0"/>
            </w:tcBorders>
            <w:vAlign w:val="center"/>
          </w:tcPr>
          <w:p w14:paraId="2EE4D840">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10人死亡</w:t>
            </w:r>
          </w:p>
        </w:tc>
      </w:tr>
      <w:tr w14:paraId="2408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3567B4E2">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w:t>
            </w:r>
          </w:p>
        </w:tc>
        <w:tc>
          <w:tcPr>
            <w:tcW w:w="5283" w:type="dxa"/>
            <w:tcBorders>
              <w:top w:val="single" w:color="auto" w:sz="4" w:space="0"/>
              <w:left w:val="single" w:color="auto" w:sz="4" w:space="0"/>
              <w:bottom w:val="single" w:color="auto" w:sz="4" w:space="0"/>
              <w:right w:val="single" w:color="auto" w:sz="4" w:space="0"/>
            </w:tcBorders>
            <w:vAlign w:val="center"/>
          </w:tcPr>
          <w:p w14:paraId="17D64095">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数人死亡</w:t>
            </w:r>
          </w:p>
        </w:tc>
      </w:tr>
      <w:tr w14:paraId="03EB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03A990A7">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15</w:t>
            </w:r>
          </w:p>
        </w:tc>
        <w:tc>
          <w:tcPr>
            <w:tcW w:w="5283" w:type="dxa"/>
            <w:tcBorders>
              <w:top w:val="single" w:color="auto" w:sz="4" w:space="0"/>
              <w:left w:val="single" w:color="auto" w:sz="4" w:space="0"/>
              <w:bottom w:val="single" w:color="auto" w:sz="4" w:space="0"/>
              <w:right w:val="single" w:color="auto" w:sz="4" w:space="0"/>
            </w:tcBorders>
            <w:vAlign w:val="center"/>
          </w:tcPr>
          <w:p w14:paraId="0A3C02B3">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1人死亡</w:t>
            </w:r>
          </w:p>
        </w:tc>
      </w:tr>
      <w:tr w14:paraId="31F5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5F2412C1">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5283" w:type="dxa"/>
            <w:tcBorders>
              <w:top w:val="single" w:color="auto" w:sz="4" w:space="0"/>
              <w:left w:val="single" w:color="auto" w:sz="4" w:space="0"/>
              <w:bottom w:val="single" w:color="auto" w:sz="4" w:space="0"/>
              <w:right w:val="single" w:color="auto" w:sz="4" w:space="0"/>
            </w:tcBorders>
            <w:vAlign w:val="center"/>
          </w:tcPr>
          <w:p w14:paraId="0E527F05">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严重伤害</w:t>
            </w:r>
          </w:p>
        </w:tc>
      </w:tr>
      <w:tr w14:paraId="6F20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2B49EE3D">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5283" w:type="dxa"/>
            <w:tcBorders>
              <w:top w:val="single" w:color="auto" w:sz="4" w:space="0"/>
              <w:left w:val="single" w:color="auto" w:sz="4" w:space="0"/>
              <w:bottom w:val="single" w:color="auto" w:sz="4" w:space="0"/>
              <w:right w:val="single" w:color="auto" w:sz="4" w:space="0"/>
            </w:tcBorders>
            <w:vAlign w:val="center"/>
          </w:tcPr>
          <w:p w14:paraId="5EB4B6C0">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有致残</w:t>
            </w:r>
          </w:p>
        </w:tc>
      </w:tr>
      <w:tr w14:paraId="7C79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5876CFF5">
            <w:pPr>
              <w:autoSpaceDE w:val="0"/>
              <w:autoSpaceDN w:val="0"/>
              <w:adjustRightIn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5283" w:type="dxa"/>
            <w:tcBorders>
              <w:top w:val="single" w:color="auto" w:sz="4" w:space="0"/>
              <w:left w:val="single" w:color="auto" w:sz="4" w:space="0"/>
              <w:bottom w:val="single" w:color="auto" w:sz="4" w:space="0"/>
              <w:right w:val="single" w:color="auto" w:sz="4" w:space="0"/>
            </w:tcBorders>
            <w:vAlign w:val="center"/>
          </w:tcPr>
          <w:p w14:paraId="106784BD">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有轻伤，需要救护</w:t>
            </w:r>
          </w:p>
        </w:tc>
      </w:tr>
    </w:tbl>
    <w:p w14:paraId="1378BF2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4.危险性程度分级D</w:t>
      </w:r>
    </w:p>
    <w:p w14:paraId="2981CA6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在确定了上述三个因素的分数值后，其三者的乘积即为总的危险性分数值 D。根据相关资料，将危险性程度分级的相应分数值列入表4-5。</w:t>
      </w:r>
    </w:p>
    <w:p w14:paraId="68376B62">
      <w:pPr>
        <w:tabs>
          <w:tab w:val="left" w:pos="1948"/>
        </w:tabs>
        <w:autoSpaceDE w:val="0"/>
        <w:autoSpaceDN w:val="0"/>
        <w:adjustRightInd w:val="0"/>
        <w:snapToGrid w:val="0"/>
        <w:spacing w:line="500" w:lineRule="exact"/>
        <w:ind w:right="28"/>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表4-5  危险性程度分级的分数值</w:t>
      </w:r>
    </w:p>
    <w:tbl>
      <w:tblPr>
        <w:tblStyle w:val="52"/>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9"/>
        <w:gridCol w:w="4402"/>
      </w:tblGrid>
      <w:tr w14:paraId="7F5A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4339" w:type="dxa"/>
            <w:tcBorders>
              <w:top w:val="single" w:color="auto" w:sz="4" w:space="0"/>
              <w:left w:val="single" w:color="auto" w:sz="4" w:space="0"/>
              <w:bottom w:val="single" w:color="auto" w:sz="4" w:space="0"/>
              <w:right w:val="single" w:color="auto" w:sz="4" w:space="0"/>
            </w:tcBorders>
            <w:vAlign w:val="center"/>
          </w:tcPr>
          <w:p w14:paraId="0841EE87">
            <w:pPr>
              <w:autoSpaceDE w:val="0"/>
              <w:autoSpaceDN w:val="0"/>
              <w:adjustRightInd w:val="0"/>
              <w:spacing w:line="300" w:lineRule="exact"/>
              <w:jc w:val="center"/>
              <w:rPr>
                <w:rFonts w:hint="default" w:ascii="Times New Roman" w:hAnsi="Times New Roman" w:cs="Times New Roman"/>
                <w:b/>
                <w:bCs/>
                <w:color w:val="000000" w:themeColor="text1"/>
                <w:kern w:val="0"/>
                <w:szCs w:val="21"/>
                <w:lang w:eastAsia="zh-TW"/>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分数值</w:t>
            </w:r>
          </w:p>
        </w:tc>
        <w:tc>
          <w:tcPr>
            <w:tcW w:w="4402" w:type="dxa"/>
            <w:tcBorders>
              <w:top w:val="single" w:color="auto" w:sz="4" w:space="0"/>
              <w:left w:val="single" w:color="auto" w:sz="4" w:space="0"/>
              <w:bottom w:val="single" w:color="auto" w:sz="4" w:space="0"/>
              <w:right w:val="single" w:color="auto" w:sz="4" w:space="0"/>
            </w:tcBorders>
            <w:vAlign w:val="center"/>
          </w:tcPr>
          <w:p w14:paraId="5CEAD9C0">
            <w:pPr>
              <w:autoSpaceDE w:val="0"/>
              <w:autoSpaceDN w:val="0"/>
              <w:adjustRightInd w:val="0"/>
              <w:spacing w:line="300" w:lineRule="exact"/>
              <w:jc w:val="center"/>
              <w:rPr>
                <w:rFonts w:hint="default" w:ascii="Times New Roman" w:hAnsi="Times New Roman" w:cs="Times New Roman"/>
                <w:b/>
                <w:bCs/>
                <w:color w:val="000000" w:themeColor="text1"/>
                <w:kern w:val="0"/>
                <w:szCs w:val="21"/>
                <w:lang w:eastAsia="zh-TW"/>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危险性程度</w:t>
            </w:r>
          </w:p>
        </w:tc>
      </w:tr>
      <w:tr w14:paraId="34F3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1EE96BB6">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&gt;320</w:t>
            </w:r>
          </w:p>
        </w:tc>
        <w:tc>
          <w:tcPr>
            <w:tcW w:w="4402" w:type="dxa"/>
            <w:tcBorders>
              <w:top w:val="single" w:color="auto" w:sz="4" w:space="0"/>
              <w:left w:val="single" w:color="auto" w:sz="4" w:space="0"/>
              <w:bottom w:val="single" w:color="auto" w:sz="4" w:space="0"/>
              <w:right w:val="single" w:color="auto" w:sz="4" w:space="0"/>
            </w:tcBorders>
            <w:vAlign w:val="center"/>
          </w:tcPr>
          <w:p w14:paraId="23D08D90">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极其危险</w:t>
            </w:r>
          </w:p>
        </w:tc>
      </w:tr>
      <w:tr w14:paraId="5D8C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4B94B255">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160～320</w:t>
            </w:r>
          </w:p>
        </w:tc>
        <w:tc>
          <w:tcPr>
            <w:tcW w:w="4402" w:type="dxa"/>
            <w:tcBorders>
              <w:top w:val="single" w:color="auto" w:sz="4" w:space="0"/>
              <w:left w:val="single" w:color="auto" w:sz="4" w:space="0"/>
              <w:bottom w:val="single" w:color="auto" w:sz="4" w:space="0"/>
              <w:right w:val="single" w:color="auto" w:sz="4" w:space="0"/>
            </w:tcBorders>
            <w:vAlign w:val="center"/>
          </w:tcPr>
          <w:p w14:paraId="4E5C33D5">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高度危险</w:t>
            </w:r>
          </w:p>
        </w:tc>
      </w:tr>
      <w:tr w14:paraId="24E0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33330C18">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70～160</w:t>
            </w:r>
          </w:p>
        </w:tc>
        <w:tc>
          <w:tcPr>
            <w:tcW w:w="4402" w:type="dxa"/>
            <w:tcBorders>
              <w:top w:val="single" w:color="auto" w:sz="4" w:space="0"/>
              <w:left w:val="single" w:color="auto" w:sz="4" w:space="0"/>
              <w:bottom w:val="single" w:color="auto" w:sz="4" w:space="0"/>
              <w:right w:val="single" w:color="auto" w:sz="4" w:space="0"/>
            </w:tcBorders>
            <w:vAlign w:val="center"/>
          </w:tcPr>
          <w:p w14:paraId="35E6B42D">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显著危险</w:t>
            </w:r>
          </w:p>
        </w:tc>
      </w:tr>
      <w:tr w14:paraId="7B0F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4339" w:type="dxa"/>
            <w:tcBorders>
              <w:top w:val="single" w:color="auto" w:sz="4" w:space="0"/>
              <w:left w:val="single" w:color="auto" w:sz="4" w:space="0"/>
              <w:bottom w:val="single" w:color="auto" w:sz="4" w:space="0"/>
              <w:right w:val="single" w:color="auto" w:sz="4" w:space="0"/>
            </w:tcBorders>
            <w:vAlign w:val="center"/>
          </w:tcPr>
          <w:p w14:paraId="019A5D41">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20～70</w:t>
            </w:r>
          </w:p>
        </w:tc>
        <w:tc>
          <w:tcPr>
            <w:tcW w:w="4402" w:type="dxa"/>
            <w:tcBorders>
              <w:top w:val="single" w:color="auto" w:sz="4" w:space="0"/>
              <w:left w:val="single" w:color="auto" w:sz="4" w:space="0"/>
              <w:bottom w:val="single" w:color="auto" w:sz="4" w:space="0"/>
              <w:right w:val="single" w:color="auto" w:sz="4" w:space="0"/>
            </w:tcBorders>
            <w:vAlign w:val="center"/>
          </w:tcPr>
          <w:p w14:paraId="345AF917">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bookmarkStart w:id="595" w:name="_Toc28887"/>
            <w:bookmarkStart w:id="596" w:name="_Toc1874"/>
            <w:bookmarkStart w:id="597" w:name="_Toc12678"/>
            <w:bookmarkStart w:id="598" w:name="_Toc32009"/>
            <w:bookmarkStart w:id="599" w:name="_Toc30495"/>
            <w:bookmarkStart w:id="600" w:name="_Toc6519"/>
            <w:bookmarkStart w:id="601" w:name="_Toc12927"/>
            <w:bookmarkStart w:id="602" w:name="_Toc25681"/>
            <w:bookmarkStart w:id="603" w:name="_Toc10985"/>
            <w:bookmarkStart w:id="604" w:name="_Toc23598"/>
            <w:bookmarkStart w:id="605" w:name="_Toc30727"/>
            <w:bookmarkStart w:id="606" w:name="_Toc1069"/>
            <w:bookmarkStart w:id="607" w:name="_Toc8751"/>
            <w:bookmarkStart w:id="608" w:name="_Toc14915"/>
            <w:bookmarkStart w:id="609" w:name="_Toc8861"/>
            <w:r>
              <w:rPr>
                <w:rFonts w:hint="default" w:ascii="Times New Roman" w:hAnsi="Times New Roman" w:cs="Times New Roman"/>
                <w:color w:val="000000" w:themeColor="text1"/>
                <w:kern w:val="0"/>
                <w:szCs w:val="21"/>
                <w14:textFill>
                  <w14:solidFill>
                    <w14:schemeClr w14:val="tx1"/>
                  </w14:solidFill>
                </w14:textFill>
              </w:rPr>
              <w:t>可能危险</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tc>
      </w:tr>
      <w:tr w14:paraId="1B0B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1DB81216">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bookmarkStart w:id="610" w:name="_Toc31920"/>
            <w:bookmarkStart w:id="611" w:name="_Toc5515"/>
            <w:bookmarkStart w:id="612" w:name="_Toc1127"/>
            <w:bookmarkStart w:id="613" w:name="_Toc1905"/>
            <w:bookmarkStart w:id="614" w:name="_Toc5289"/>
            <w:bookmarkStart w:id="615" w:name="_Toc4276"/>
            <w:bookmarkStart w:id="616" w:name="_Toc5139"/>
            <w:bookmarkStart w:id="617" w:name="_Toc5807"/>
            <w:bookmarkStart w:id="618" w:name="_Toc3087"/>
            <w:bookmarkStart w:id="619" w:name="_Toc27421"/>
            <w:bookmarkStart w:id="620" w:name="_Toc7939"/>
            <w:bookmarkStart w:id="621" w:name="_Toc10792"/>
            <w:bookmarkStart w:id="622" w:name="_Toc12387"/>
            <w:bookmarkStart w:id="623" w:name="_Toc11207"/>
            <w:bookmarkStart w:id="624" w:name="_Toc8676"/>
            <w:r>
              <w:rPr>
                <w:rFonts w:hint="default" w:ascii="Times New Roman" w:hAnsi="Times New Roman" w:cs="Times New Roman"/>
                <w:color w:val="000000" w:themeColor="text1"/>
                <w:kern w:val="0"/>
                <w:szCs w:val="21"/>
                <w14:textFill>
                  <w14:solidFill>
                    <w14:schemeClr w14:val="tx1"/>
                  </w14:solidFill>
                </w14:textFill>
              </w:rPr>
              <w:t>&lt;20</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4402" w:type="dxa"/>
            <w:tcBorders>
              <w:top w:val="single" w:color="auto" w:sz="4" w:space="0"/>
              <w:left w:val="single" w:color="auto" w:sz="4" w:space="0"/>
              <w:bottom w:val="single" w:color="auto" w:sz="4" w:space="0"/>
              <w:right w:val="single" w:color="auto" w:sz="4" w:space="0"/>
            </w:tcBorders>
            <w:vAlign w:val="center"/>
          </w:tcPr>
          <w:p w14:paraId="118B0CBE">
            <w:pPr>
              <w:autoSpaceDE w:val="0"/>
              <w:autoSpaceDN w:val="0"/>
              <w:adjustRightInd w:val="0"/>
              <w:snapToGrid w:val="0"/>
              <w:spacing w:line="300" w:lineRule="exact"/>
              <w:jc w:val="center"/>
              <w:rPr>
                <w:rFonts w:hint="default" w:ascii="Times New Roman" w:hAnsi="Times New Roman" w:cs="Times New Roman"/>
                <w:color w:val="000000" w:themeColor="text1"/>
                <w:kern w:val="0"/>
                <w:szCs w:val="21"/>
                <w:lang w:eastAsia="zh-TW"/>
                <w14:textFill>
                  <w14:solidFill>
                    <w14:schemeClr w14:val="tx1"/>
                  </w14:solidFill>
                </w14:textFill>
              </w:rPr>
            </w:pPr>
            <w:bookmarkStart w:id="625" w:name="_Toc24128"/>
            <w:bookmarkStart w:id="626" w:name="_Toc31399"/>
            <w:bookmarkStart w:id="627" w:name="_Toc6824"/>
            <w:bookmarkStart w:id="628" w:name="_Toc16735"/>
            <w:bookmarkStart w:id="629" w:name="_Toc10232"/>
            <w:bookmarkStart w:id="630" w:name="_Toc26155"/>
            <w:bookmarkStart w:id="631" w:name="_Toc27865"/>
            <w:bookmarkStart w:id="632" w:name="_Toc11913"/>
            <w:bookmarkStart w:id="633" w:name="_Toc31811"/>
            <w:bookmarkStart w:id="634" w:name="_Toc11775"/>
            <w:bookmarkStart w:id="635" w:name="_Toc4104"/>
            <w:bookmarkStart w:id="636" w:name="_Toc22270"/>
            <w:bookmarkStart w:id="637" w:name="_Toc30792"/>
            <w:bookmarkStart w:id="638" w:name="_Toc20038"/>
            <w:bookmarkStart w:id="639" w:name="_Toc21170"/>
            <w:r>
              <w:rPr>
                <w:rFonts w:hint="default" w:ascii="Times New Roman" w:hAnsi="Times New Roman" w:cs="Times New Roman"/>
                <w:color w:val="000000" w:themeColor="text1"/>
                <w:kern w:val="0"/>
                <w:szCs w:val="21"/>
                <w14:textFill>
                  <w14:solidFill>
                    <w14:schemeClr w14:val="tx1"/>
                  </w14:solidFill>
                </w14:textFill>
              </w:rPr>
              <w:t>稍有危险</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tc>
      </w:tr>
      <w:bookmarkEnd w:id="593"/>
      <w:bookmarkEnd w:id="594"/>
    </w:tbl>
    <w:p w14:paraId="53B63848">
      <w:pPr>
        <w:bidi w:val="0"/>
        <w:rPr>
          <w:rFonts w:hint="eastAsia"/>
          <w:lang w:val="en-US" w:eastAsia="zh-CN"/>
        </w:rPr>
      </w:pPr>
      <w:bookmarkStart w:id="640" w:name="_Toc19160"/>
      <w:bookmarkStart w:id="641" w:name="_Toc426117929"/>
      <w:bookmarkStart w:id="642" w:name="_Toc8074"/>
      <w:bookmarkStart w:id="643" w:name="_Toc424136718"/>
      <w:bookmarkStart w:id="644" w:name="_Toc424893560"/>
      <w:bookmarkStart w:id="645" w:name="_Toc424893432"/>
      <w:bookmarkStart w:id="646" w:name="_Toc10460"/>
      <w:bookmarkStart w:id="647" w:name="_Toc20956"/>
      <w:bookmarkStart w:id="648" w:name="_Toc58751357"/>
      <w:bookmarkStart w:id="649" w:name="_Toc22587"/>
      <w:bookmarkStart w:id="650" w:name="_Toc424816957"/>
      <w:bookmarkStart w:id="651" w:name="_Toc15354"/>
      <w:bookmarkStart w:id="652" w:name="_Toc274895698"/>
    </w:p>
    <w:p w14:paraId="76551D7F">
      <w:pPr>
        <w:bidi w:val="0"/>
        <w:rPr>
          <w:rFonts w:hint="eastAsia"/>
          <w:lang w:val="en-US" w:eastAsia="zh-CN"/>
        </w:rPr>
      </w:pPr>
    </w:p>
    <w:p w14:paraId="7ED4D4D4">
      <w:pPr>
        <w:pStyle w:val="5"/>
        <w:bidi w:val="0"/>
        <w:rPr>
          <w:rFonts w:hint="eastAsia"/>
        </w:rPr>
      </w:pPr>
      <w:bookmarkStart w:id="653" w:name="_Toc8672"/>
      <w:r>
        <w:rPr>
          <w:rFonts w:hint="eastAsia" w:ascii="Times New Roman" w:hAnsi="Times New Roman" w:eastAsia="楷体" w:cs="Times New Roman"/>
          <w:color w:val="000000" w:themeColor="text1"/>
          <w:lang w:val="en-US" w:eastAsia="zh-CN"/>
          <w14:textFill>
            <w14:solidFill>
              <w14:schemeClr w14:val="tx1"/>
            </w14:solidFill>
          </w14:textFill>
        </w:rPr>
        <w:t>4.5</w:t>
      </w:r>
      <w:r>
        <w:rPr>
          <w:rFonts w:hint="eastAsia" w:ascii="Times New Roman" w:hAnsi="Times New Roman" w:eastAsia="楷体" w:cs="Times New Roman"/>
          <w:color w:val="000000" w:themeColor="text1"/>
          <w14:textFill>
            <w14:solidFill>
              <w14:schemeClr w14:val="tx1"/>
            </w14:solidFill>
          </w14:textFill>
        </w:rPr>
        <w:t>评价方法选择理由</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2D19604">
      <w:pPr>
        <w:spacing w:line="500" w:lineRule="exact"/>
        <w:ind w:firstLine="560" w:firstLineChars="200"/>
        <w:rPr>
          <w:rFonts w:hint="eastAsia" w:ascii="宋体" w:hAnsi="宋体" w:eastAsia="宋体" w:cs="宋体"/>
          <w:kern w:val="2"/>
          <w:sz w:val="28"/>
          <w:szCs w:val="24"/>
        </w:rPr>
      </w:pPr>
      <w:r>
        <w:rPr>
          <w:rFonts w:hint="eastAsia" w:ascii="宋体" w:hAnsi="宋体" w:eastAsia="宋体" w:cs="宋体"/>
          <w:kern w:val="2"/>
          <w:sz w:val="28"/>
          <w:szCs w:val="24"/>
        </w:rPr>
        <w:t>安全检查表的优缺点：</w:t>
      </w:r>
    </w:p>
    <w:p w14:paraId="10C257F1">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1.优点</w:t>
      </w:r>
    </w:p>
    <w:p w14:paraId="759BCB63">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（1）避免传统的安全检查中易发生的疏忽、遗漏等弊端，可全面地查出危险、有害因素（包括各类隐患）和工作漏项。</w:t>
      </w:r>
    </w:p>
    <w:p w14:paraId="0342B4FA">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（2）应用预先编制的系统检查表并依据有关法规、标准在检查表中列出了检查要求，使检查工作标准化、规范化。</w:t>
      </w:r>
    </w:p>
    <w:p w14:paraId="35E884F1">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（3）对不同的检查对象、检查目的有不同的检查表，应用范围广。</w:t>
      </w:r>
    </w:p>
    <w:p w14:paraId="1C09E96E">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（4）安全检查表简明易懂、使用方便、易于掌握，能弥补有关人员知识、经验不足的缺陷，减少盲目性。</w:t>
      </w:r>
    </w:p>
    <w:p w14:paraId="1A517700">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（5）检查人员依据安全检查表进行检查，检查结果即为履行职责的凭证。</w:t>
      </w:r>
    </w:p>
    <w:p w14:paraId="15DF8E59">
      <w:pPr>
        <w:spacing w:line="500" w:lineRule="exact"/>
        <w:ind w:firstLine="560" w:firstLineChars="200"/>
        <w:rPr>
          <w:rFonts w:hint="eastAsia" w:ascii="宋体" w:hAnsi="宋体" w:eastAsia="宋体" w:cs="宋体"/>
          <w:kern w:val="2"/>
          <w:sz w:val="28"/>
          <w:szCs w:val="24"/>
          <w:lang w:val="en-US" w:eastAsia="zh-CN"/>
        </w:rPr>
      </w:pPr>
      <w:r>
        <w:rPr>
          <w:rFonts w:hint="eastAsia" w:ascii="宋体" w:hAnsi="宋体" w:eastAsia="宋体" w:cs="宋体"/>
          <w:kern w:val="2"/>
          <w:sz w:val="28"/>
          <w:szCs w:val="24"/>
          <w:lang w:val="en-US" w:eastAsia="zh-CN"/>
        </w:rPr>
        <w:t>2.缺点</w:t>
      </w:r>
    </w:p>
    <w:p w14:paraId="2D5CA8AC">
      <w:pPr>
        <w:spacing w:line="500" w:lineRule="exact"/>
        <w:ind w:firstLine="560" w:firstLineChars="200"/>
        <w:rPr>
          <w:rFonts w:hint="eastAsia" w:ascii="宋体" w:hAnsi="宋体" w:eastAsia="宋体" w:cs="宋体"/>
          <w:kern w:val="2"/>
          <w:sz w:val="28"/>
          <w:szCs w:val="24"/>
        </w:rPr>
      </w:pPr>
      <w:r>
        <w:rPr>
          <w:rFonts w:hint="eastAsia" w:ascii="宋体" w:hAnsi="宋体" w:eastAsia="宋体" w:cs="宋体"/>
          <w:kern w:val="2"/>
          <w:sz w:val="28"/>
          <w:szCs w:val="24"/>
        </w:rPr>
        <w:t>针对不同的需要，须事先编制大量的检查表，工作量大，且安全检查表的质量受编制人员的知识水平和经验影响。</w:t>
      </w:r>
    </w:p>
    <w:p w14:paraId="6602870D">
      <w:pPr>
        <w:pStyle w:val="4"/>
        <w:bidi w:val="0"/>
        <w:rPr>
          <w:rFonts w:hint="default" w:ascii="Times New Roman" w:hAnsi="Times New Roman" w:eastAsia="黑体" w:cs="Times New Roman"/>
          <w:color w:val="000000" w:themeColor="text1"/>
          <w14:textFill>
            <w14:solidFill>
              <w14:schemeClr w14:val="tx1"/>
            </w14:solidFill>
          </w14:textFill>
        </w:rPr>
      </w:pPr>
      <w:bookmarkStart w:id="654" w:name="_Toc8149"/>
      <w:bookmarkStart w:id="655" w:name="_Toc27488"/>
      <w:bookmarkStart w:id="656" w:name="_Toc4473"/>
      <w:bookmarkStart w:id="657" w:name="_Toc208675035"/>
      <w:bookmarkStart w:id="658" w:name="_Toc208674447"/>
      <w:bookmarkStart w:id="659" w:name="_Toc313453627"/>
      <w:bookmarkStart w:id="660" w:name="_Toc14419"/>
      <w:bookmarkStart w:id="661" w:name="_Toc13746"/>
      <w:bookmarkStart w:id="662" w:name="_Toc335926316"/>
      <w:bookmarkStart w:id="663" w:name="_Toc9727"/>
      <w:r>
        <w:rPr>
          <w:rFonts w:ascii="Times New Roman" w:hAnsi="Times New Roman"/>
          <w:color w:val="000000" w:themeColor="text1"/>
          <w14:textFill>
            <w14:solidFill>
              <w14:schemeClr w14:val="tx1"/>
            </w14:solidFill>
          </w14:textFill>
        </w:rPr>
        <w:br w:type="page"/>
      </w:r>
      <w:bookmarkStart w:id="664" w:name="_Toc763"/>
      <w:bookmarkStart w:id="665" w:name="_Toc5401"/>
      <w:r>
        <w:rPr>
          <w:rFonts w:hint="default" w:ascii="Times New Roman" w:hAnsi="Times New Roman" w:eastAsia="黑体" w:cs="Times New Roman"/>
          <w:color w:val="000000" w:themeColor="text1"/>
          <w14:textFill>
            <w14:solidFill>
              <w14:schemeClr w14:val="tx1"/>
            </w14:solidFill>
          </w14:textFill>
        </w:rPr>
        <w:t xml:space="preserve">第5章 </w:t>
      </w:r>
      <w:bookmarkEnd w:id="654"/>
      <w:r>
        <w:rPr>
          <w:rFonts w:hint="default" w:ascii="Times New Roman" w:hAnsi="Times New Roman" w:eastAsia="黑体" w:cs="Times New Roman"/>
          <w:color w:val="000000" w:themeColor="text1"/>
          <w14:textFill>
            <w14:solidFill>
              <w14:schemeClr w14:val="tx1"/>
            </w14:solidFill>
          </w14:textFill>
        </w:rPr>
        <w:t xml:space="preserve"> 定性、定量评价</w:t>
      </w:r>
      <w:bookmarkEnd w:id="655"/>
      <w:bookmarkEnd w:id="656"/>
      <w:bookmarkEnd w:id="664"/>
      <w:bookmarkEnd w:id="665"/>
    </w:p>
    <w:p w14:paraId="375A95F8">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666" w:name="_Toc29878"/>
      <w:bookmarkStart w:id="667" w:name="_Toc937"/>
      <w:bookmarkStart w:id="668" w:name="_Toc25341"/>
      <w:bookmarkStart w:id="669" w:name="_Toc16932"/>
      <w:bookmarkStart w:id="670" w:name="_Toc309682497"/>
      <w:bookmarkStart w:id="671" w:name="_Toc8228"/>
      <w:bookmarkStart w:id="672" w:name="_Toc327017834"/>
      <w:bookmarkStart w:id="673" w:name="_Toc335926267"/>
      <w:bookmarkStart w:id="674" w:name="_Toc201767299"/>
      <w:bookmarkStart w:id="675" w:name="_Toc278151421"/>
      <w:bookmarkStart w:id="676" w:name="_Toc202575709"/>
      <w:r>
        <w:rPr>
          <w:rFonts w:hint="default" w:ascii="Times New Roman" w:hAnsi="Times New Roman" w:eastAsia="楷体" w:cs="Times New Roman"/>
          <w:color w:val="000000" w:themeColor="text1"/>
          <w14:textFill>
            <w14:solidFill>
              <w14:schemeClr w14:val="tx1"/>
            </w14:solidFill>
          </w14:textFill>
        </w:rPr>
        <w:t>5.1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厂址及总平面布置评价单元</w:t>
      </w:r>
      <w:bookmarkEnd w:id="666"/>
      <w:bookmarkEnd w:id="667"/>
      <w:bookmarkEnd w:id="668"/>
      <w:bookmarkEnd w:id="669"/>
    </w:p>
    <w:p w14:paraId="7BE66B7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677" w:name="_Toc15050"/>
      <w:bookmarkStart w:id="678" w:name="_Toc2499"/>
      <w:bookmarkStart w:id="679" w:name="_Toc1741"/>
      <w:r>
        <w:rPr>
          <w:rFonts w:hint="default" w:ascii="Times New Roman" w:hAnsi="Times New Roman" w:eastAsia="黑体" w:cs="Times New Roman"/>
          <w:color w:val="000000" w:themeColor="text1"/>
          <w:lang w:val="en-US" w:eastAsia="zh-CN"/>
          <w14:textFill>
            <w14:solidFill>
              <w14:schemeClr w14:val="tx1"/>
            </w14:solidFill>
          </w14:textFill>
        </w:rPr>
        <w:t>5.1.1厂址及总平面布置安全检查表</w:t>
      </w:r>
      <w:bookmarkEnd w:id="670"/>
      <w:bookmarkEnd w:id="671"/>
      <w:bookmarkEnd w:id="672"/>
      <w:bookmarkEnd w:id="673"/>
      <w:bookmarkEnd w:id="674"/>
      <w:bookmarkEnd w:id="675"/>
      <w:bookmarkEnd w:id="676"/>
      <w:bookmarkEnd w:id="677"/>
      <w:bookmarkEnd w:id="678"/>
      <w:bookmarkEnd w:id="679"/>
    </w:p>
    <w:p w14:paraId="2480E81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本评价单元依据《工业企业总平面设计规范》（GB50187-2012）、《工业企业厂内铁路、道路运输安全规程》（GB4387-2008）</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《建筑设计防火规范〔2018</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eastAsia="宋体" w:cs="宋体"/>
          <w:color w:val="000000" w:themeColor="text1"/>
          <w:sz w:val="28"/>
          <w:szCs w:val="28"/>
          <w14:textFill>
            <w14:solidFill>
              <w14:schemeClr w14:val="tx1"/>
            </w14:solidFill>
          </w14:textFill>
        </w:rPr>
        <w:t>版〕》（GB 50016-2014）等相关标准和规范中的相关内容对该项目的厂址和总平面布置采用安全检查表进行分析评价，检查其是否符合有关标准、规范的要求。</w:t>
      </w:r>
    </w:p>
    <w:p w14:paraId="12D130CF">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表5-1  厂址及总平面布置安全检查表</w:t>
      </w:r>
    </w:p>
    <w:tbl>
      <w:tblPr>
        <w:tblStyle w:val="52"/>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520"/>
        <w:gridCol w:w="2400"/>
        <w:gridCol w:w="2145"/>
        <w:gridCol w:w="720"/>
      </w:tblGrid>
      <w:tr w14:paraId="6FF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37" w:type="dxa"/>
            <w:vAlign w:val="center"/>
          </w:tcPr>
          <w:p w14:paraId="7D6080E2">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520" w:type="dxa"/>
            <w:vAlign w:val="center"/>
          </w:tcPr>
          <w:p w14:paraId="0766C011">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检查内容</w:t>
            </w:r>
          </w:p>
        </w:tc>
        <w:tc>
          <w:tcPr>
            <w:tcW w:w="2400" w:type="dxa"/>
            <w:vAlign w:val="center"/>
          </w:tcPr>
          <w:p w14:paraId="432A50CA">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依据标准</w:t>
            </w:r>
          </w:p>
        </w:tc>
        <w:tc>
          <w:tcPr>
            <w:tcW w:w="2145" w:type="dxa"/>
            <w:vAlign w:val="center"/>
          </w:tcPr>
          <w:p w14:paraId="61BA3306">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检查情况</w:t>
            </w:r>
          </w:p>
        </w:tc>
        <w:tc>
          <w:tcPr>
            <w:tcW w:w="720" w:type="dxa"/>
            <w:vAlign w:val="center"/>
          </w:tcPr>
          <w:p w14:paraId="722D60C6">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结论</w:t>
            </w:r>
          </w:p>
        </w:tc>
      </w:tr>
      <w:tr w14:paraId="183E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22" w:type="dxa"/>
            <w:gridSpan w:val="5"/>
            <w:vAlign w:val="center"/>
          </w:tcPr>
          <w:p w14:paraId="5150C9E3">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厂址检查</w:t>
            </w:r>
          </w:p>
        </w:tc>
      </w:tr>
      <w:tr w14:paraId="543A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9F0D804">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w:t>
            </w:r>
          </w:p>
        </w:tc>
        <w:tc>
          <w:tcPr>
            <w:tcW w:w="2520" w:type="dxa"/>
            <w:vAlign w:val="center"/>
          </w:tcPr>
          <w:p w14:paraId="1D2C05C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厂址选择应符合国家的工业布局、城镇（乡）总体规划及土地利用总体规划的要求。  </w:t>
            </w:r>
          </w:p>
        </w:tc>
        <w:tc>
          <w:tcPr>
            <w:tcW w:w="2400" w:type="dxa"/>
            <w:vAlign w:val="center"/>
          </w:tcPr>
          <w:p w14:paraId="6D67E58D">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F78B22C">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第3.0.1条</w:t>
            </w:r>
          </w:p>
        </w:tc>
        <w:tc>
          <w:tcPr>
            <w:tcW w:w="2145" w:type="dxa"/>
            <w:vAlign w:val="center"/>
          </w:tcPr>
          <w:p w14:paraId="4E501149">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该厂有土地使用</w:t>
            </w:r>
            <w:r>
              <w:rPr>
                <w:rFonts w:hint="eastAsia" w:ascii="宋体" w:hAnsi="宋体" w:eastAsia="宋体" w:cs="宋体"/>
                <w:color w:val="000000" w:themeColor="text1"/>
                <w:kern w:val="2"/>
                <w:sz w:val="21"/>
                <w:szCs w:val="21"/>
                <w:lang w:val="en-US" w:eastAsia="zh-CN"/>
                <w14:textFill>
                  <w14:solidFill>
                    <w14:schemeClr w14:val="tx1"/>
                  </w14:solidFill>
                </w14:textFill>
              </w:rPr>
              <w:t>证</w:t>
            </w:r>
            <w:r>
              <w:rPr>
                <w:rFonts w:hint="eastAsia" w:ascii="宋体" w:hAnsi="宋体" w:eastAsia="宋体" w:cs="宋体"/>
                <w:color w:val="000000" w:themeColor="text1"/>
                <w:kern w:val="2"/>
                <w:sz w:val="21"/>
                <w:szCs w:val="21"/>
                <w14:textFill>
                  <w14:solidFill>
                    <w14:schemeClr w14:val="tx1"/>
                  </w14:solidFill>
                </w14:textFill>
              </w:rPr>
              <w:t>，选址选择</w:t>
            </w:r>
            <w:r>
              <w:rPr>
                <w:rFonts w:hint="eastAsia" w:ascii="宋体" w:hAnsi="宋体" w:eastAsia="宋体" w:cs="宋体"/>
                <w:color w:val="000000" w:themeColor="text1"/>
                <w:sz w:val="21"/>
                <w:szCs w:val="21"/>
                <w14:textFill>
                  <w14:solidFill>
                    <w14:schemeClr w14:val="tx1"/>
                  </w14:solidFill>
                </w14:textFill>
              </w:rPr>
              <w:t>符合城镇总体规划的要求。</w:t>
            </w:r>
          </w:p>
        </w:tc>
        <w:tc>
          <w:tcPr>
            <w:tcW w:w="720" w:type="dxa"/>
            <w:vAlign w:val="center"/>
          </w:tcPr>
          <w:p w14:paraId="6E51AD1D">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9D8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6BC85D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2</w:t>
            </w:r>
          </w:p>
        </w:tc>
        <w:tc>
          <w:tcPr>
            <w:tcW w:w="2520" w:type="dxa"/>
            <w:vAlign w:val="center"/>
          </w:tcPr>
          <w:p w14:paraId="1D433B6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配套和服务工业企业的居住区、交通运输、动力公用设施、废料场及环境保护工程、施工基地等用地，应与厂区用地同时选择。 </w:t>
            </w:r>
          </w:p>
        </w:tc>
        <w:tc>
          <w:tcPr>
            <w:tcW w:w="2400" w:type="dxa"/>
            <w:vAlign w:val="center"/>
          </w:tcPr>
          <w:p w14:paraId="1DA66F43">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188FCBF1">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第3.0.2条</w:t>
            </w:r>
          </w:p>
        </w:tc>
        <w:tc>
          <w:tcPr>
            <w:tcW w:w="2145" w:type="dxa"/>
            <w:vAlign w:val="center"/>
          </w:tcPr>
          <w:p w14:paraId="7BAE36AE">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生活区、交通运输、动力公用设施、废料场及环境保护工程、施工基地等用地，厂区用地同时选择。</w:t>
            </w:r>
          </w:p>
        </w:tc>
        <w:tc>
          <w:tcPr>
            <w:tcW w:w="720" w:type="dxa"/>
            <w:vAlign w:val="center"/>
          </w:tcPr>
          <w:p w14:paraId="2062FDED">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DD3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FFF604D">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520" w:type="dxa"/>
            <w:vAlign w:val="center"/>
          </w:tcPr>
          <w:p w14:paraId="547CCA1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原料、燃料或产品运输量（特别）大的工业企业，厂址宜靠近原料、燃料基地或产品主要销售地及协作条件好的地区。 </w:t>
            </w:r>
          </w:p>
        </w:tc>
        <w:tc>
          <w:tcPr>
            <w:tcW w:w="2400" w:type="dxa"/>
            <w:vAlign w:val="center"/>
          </w:tcPr>
          <w:p w14:paraId="31F69B4E">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6BE8209">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第3.0.4条</w:t>
            </w:r>
          </w:p>
        </w:tc>
        <w:tc>
          <w:tcPr>
            <w:tcW w:w="2145" w:type="dxa"/>
            <w:vAlign w:val="center"/>
          </w:tcPr>
          <w:p w14:paraId="7574CAF9">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该项目原、辅料等的来源进行多方案技术经济比较，择优确定。</w:t>
            </w:r>
          </w:p>
        </w:tc>
        <w:tc>
          <w:tcPr>
            <w:tcW w:w="720" w:type="dxa"/>
            <w:vAlign w:val="center"/>
          </w:tcPr>
          <w:p w14:paraId="32C52BE9">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0B9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8A7AACE">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520" w:type="dxa"/>
            <w:vAlign w:val="center"/>
          </w:tcPr>
          <w:p w14:paraId="63098C2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厂址应有便利和经济的交通运输条件，与厂外铁路、公路的连接，应便捷、工程量小。临近江、河、湖、海的厂址，通航条件满足企业运输要求时，应尽量利用水运，且厂址宜靠近适合建设码头的地段。 </w:t>
            </w:r>
          </w:p>
        </w:tc>
        <w:tc>
          <w:tcPr>
            <w:tcW w:w="2400" w:type="dxa"/>
            <w:vAlign w:val="center"/>
          </w:tcPr>
          <w:p w14:paraId="0A6DFEC7">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5128CF3">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第3.0.5条</w:t>
            </w:r>
          </w:p>
        </w:tc>
        <w:tc>
          <w:tcPr>
            <w:tcW w:w="2145" w:type="dxa"/>
            <w:vAlign w:val="center"/>
          </w:tcPr>
          <w:p w14:paraId="1E641051">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主要原、辅料、产品运输较方便。</w:t>
            </w:r>
          </w:p>
        </w:tc>
        <w:tc>
          <w:tcPr>
            <w:tcW w:w="720" w:type="dxa"/>
            <w:vAlign w:val="center"/>
          </w:tcPr>
          <w:p w14:paraId="1A49D4C4">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EF8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5A4C67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2520" w:type="dxa"/>
            <w:vAlign w:val="center"/>
          </w:tcPr>
          <w:p w14:paraId="068D1855">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厂址应具有满足生产、生活及发展所必需的水源和电源。水源和电源与厂址之间的管线连接应尽量短捷，且用水、用电量（特别）大的工业企业宜靠近水源及电源地。 </w:t>
            </w:r>
          </w:p>
        </w:tc>
        <w:tc>
          <w:tcPr>
            <w:tcW w:w="2400" w:type="dxa"/>
            <w:vAlign w:val="center"/>
          </w:tcPr>
          <w:p w14:paraId="1589B25A">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2C55209F">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第3.0.6条</w:t>
            </w:r>
          </w:p>
        </w:tc>
        <w:tc>
          <w:tcPr>
            <w:tcW w:w="2145" w:type="dxa"/>
            <w:vAlign w:val="center"/>
          </w:tcPr>
          <w:p w14:paraId="27CD5F08">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厂址具有满足生产、生活及发展规划所必需的水源和电源。</w:t>
            </w:r>
          </w:p>
        </w:tc>
        <w:tc>
          <w:tcPr>
            <w:tcW w:w="720" w:type="dxa"/>
            <w:vAlign w:val="center"/>
          </w:tcPr>
          <w:p w14:paraId="46EB6EDB">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41E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37" w:type="dxa"/>
            <w:vAlign w:val="center"/>
          </w:tcPr>
          <w:p w14:paraId="5BF90C57">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2520" w:type="dxa"/>
            <w:vAlign w:val="center"/>
          </w:tcPr>
          <w:p w14:paraId="5681E66D">
            <w:pPr>
              <w:adjustRightInd w:val="0"/>
              <w:snapToGrid w:val="0"/>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厂址应具有满足建设工程需要的工程地质条件和水文地质条件。</w:t>
            </w:r>
          </w:p>
        </w:tc>
        <w:tc>
          <w:tcPr>
            <w:tcW w:w="2400" w:type="dxa"/>
            <w:vAlign w:val="center"/>
          </w:tcPr>
          <w:p w14:paraId="53335A8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《工业企业总平面设计规范》（GB50187-2012）</w:t>
            </w:r>
          </w:p>
          <w:p w14:paraId="36E634DA">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3.0.8</w:t>
            </w:r>
          </w:p>
        </w:tc>
        <w:tc>
          <w:tcPr>
            <w:tcW w:w="2145" w:type="dxa"/>
            <w:vAlign w:val="center"/>
          </w:tcPr>
          <w:p w14:paraId="35E99A23">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据项目组现场勘查，场地满足建设工程需要的工程地质条件。</w:t>
            </w:r>
          </w:p>
        </w:tc>
        <w:tc>
          <w:tcPr>
            <w:tcW w:w="720" w:type="dxa"/>
            <w:vAlign w:val="center"/>
          </w:tcPr>
          <w:p w14:paraId="41AC9F1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9F7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652B55D">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2520" w:type="dxa"/>
            <w:vAlign w:val="center"/>
          </w:tcPr>
          <w:p w14:paraId="1990520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厂址应满足近期建设所必需的场地面积和适宜的建厂地形，并应根据工业企业远期发展规划的需要，留有适当的发展余地。</w:t>
            </w:r>
          </w:p>
        </w:tc>
        <w:tc>
          <w:tcPr>
            <w:tcW w:w="2400" w:type="dxa"/>
            <w:vAlign w:val="center"/>
          </w:tcPr>
          <w:p w14:paraId="450F04D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F5B1A6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第3.0.9条</w:t>
            </w:r>
          </w:p>
        </w:tc>
        <w:tc>
          <w:tcPr>
            <w:tcW w:w="2145" w:type="dxa"/>
            <w:vAlign w:val="center"/>
          </w:tcPr>
          <w:p w14:paraId="685AD193">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厂址满足近期建设所 </w:t>
            </w:r>
          </w:p>
          <w:p w14:paraId="0A8D7C65">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必需的场地面积和适 </w:t>
            </w:r>
          </w:p>
          <w:p w14:paraId="7FFC36D3">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宜的建厂地形，并预 </w:t>
            </w:r>
          </w:p>
          <w:p w14:paraId="77B0B9A8">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留有空地。</w:t>
            </w:r>
          </w:p>
        </w:tc>
        <w:tc>
          <w:tcPr>
            <w:tcW w:w="720" w:type="dxa"/>
            <w:vAlign w:val="center"/>
          </w:tcPr>
          <w:p w14:paraId="3C21F242">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69FB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85B9957">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2520" w:type="dxa"/>
            <w:vAlign w:val="center"/>
          </w:tcPr>
          <w:p w14:paraId="7A32B15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厂址应满足适宜的地形坡度，尽量避开自然地形复杂、自然坡度大的地段，应避免将盆地、积水洼地作为厂址。</w:t>
            </w:r>
          </w:p>
        </w:tc>
        <w:tc>
          <w:tcPr>
            <w:tcW w:w="2400" w:type="dxa"/>
            <w:vAlign w:val="center"/>
          </w:tcPr>
          <w:p w14:paraId="49937A2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37E7340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第3.0.10条</w:t>
            </w:r>
          </w:p>
        </w:tc>
        <w:tc>
          <w:tcPr>
            <w:tcW w:w="2145" w:type="dxa"/>
            <w:vAlign w:val="center"/>
          </w:tcPr>
          <w:p w14:paraId="791AC05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厂址具有适宜的地形坡度，不属于自然地形复杂、自然坡度大的地段。</w:t>
            </w:r>
          </w:p>
        </w:tc>
        <w:tc>
          <w:tcPr>
            <w:tcW w:w="720" w:type="dxa"/>
            <w:vAlign w:val="center"/>
          </w:tcPr>
          <w:p w14:paraId="449FE9F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619D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47CF57B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w:t>
            </w:r>
          </w:p>
        </w:tc>
        <w:tc>
          <w:tcPr>
            <w:tcW w:w="2520" w:type="dxa"/>
            <w:vAlign w:val="center"/>
          </w:tcPr>
          <w:p w14:paraId="45B798B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厂址应有利于同邻近工业企业和依托城镇在生产、交通运输、动力公用、机修和器材供应、综合利用、发展循环经济和生活设施等方面的协作等方面的协作。</w:t>
            </w:r>
          </w:p>
        </w:tc>
        <w:tc>
          <w:tcPr>
            <w:tcW w:w="2400" w:type="dxa"/>
            <w:vAlign w:val="center"/>
          </w:tcPr>
          <w:p w14:paraId="3FB5A973">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1A9A85F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第3.0.11条</w:t>
            </w:r>
          </w:p>
        </w:tc>
        <w:tc>
          <w:tcPr>
            <w:tcW w:w="2145" w:type="dxa"/>
            <w:vAlign w:val="center"/>
          </w:tcPr>
          <w:p w14:paraId="3D66C3F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项目厂址有利于依托城镇在生产、交通运输、动力公用、修理、综合利用和生活设施等方面的协作。</w:t>
            </w:r>
          </w:p>
        </w:tc>
        <w:tc>
          <w:tcPr>
            <w:tcW w:w="720" w:type="dxa"/>
            <w:vAlign w:val="center"/>
          </w:tcPr>
          <w:p w14:paraId="6E764F3A">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0622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091D15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2520" w:type="dxa"/>
            <w:vAlign w:val="center"/>
          </w:tcPr>
          <w:p w14:paraId="7F02C47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厂址应位于不受洪水、潮水或内涝威胁的地带，并应符合下列规定： </w:t>
            </w:r>
          </w:p>
          <w:p w14:paraId="055151E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当厂址不可避免不受洪水、潮水、或内涝威胁的地带时，必须采取防洪、排涝措施； </w:t>
            </w:r>
          </w:p>
          <w:p w14:paraId="0138553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凡受江、河、潮、海洪水、潮水或山洪威胁的工业企业，防洪标准应符合现行国家标准 《防洪标准 》GB 50201的有关规定。</w:t>
            </w:r>
          </w:p>
        </w:tc>
        <w:tc>
          <w:tcPr>
            <w:tcW w:w="2400" w:type="dxa"/>
            <w:vAlign w:val="center"/>
          </w:tcPr>
          <w:p w14:paraId="7CDEDA5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0BD10A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第3.0.12条</w:t>
            </w:r>
          </w:p>
        </w:tc>
        <w:tc>
          <w:tcPr>
            <w:tcW w:w="2145" w:type="dxa"/>
            <w:vAlign w:val="center"/>
          </w:tcPr>
          <w:p w14:paraId="7E3F746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该项目厂址不受洪水、潮水和内涝的威胁。</w:t>
            </w:r>
          </w:p>
        </w:tc>
        <w:tc>
          <w:tcPr>
            <w:tcW w:w="720" w:type="dxa"/>
            <w:vAlign w:val="center"/>
          </w:tcPr>
          <w:p w14:paraId="79FB8949">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48F0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B98AE1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520" w:type="dxa"/>
            <w:vAlign w:val="center"/>
          </w:tcPr>
          <w:p w14:paraId="67E20D8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下列地段和地区不应选为厂址： </w:t>
            </w:r>
          </w:p>
          <w:p w14:paraId="4805F6E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1）发震断层和抗震设防烈度为9 度及高于9度的地震区；</w:t>
            </w:r>
          </w:p>
          <w:p w14:paraId="7E686B1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2）有泥石流、滑坡、流沙、溶洞等直接危害的地段；</w:t>
            </w:r>
          </w:p>
          <w:p w14:paraId="63E4986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3）采矿陷落（错动）区地表界限内；</w:t>
            </w:r>
          </w:p>
          <w:p w14:paraId="0DE71AC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4）爆破危险界限内；</w:t>
            </w:r>
          </w:p>
          <w:p w14:paraId="17526CE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5）坝或堤决溃后可能淹没的地区； </w:t>
            </w:r>
          </w:p>
          <w:p w14:paraId="29E2216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6）有严重放射性物质污染影响区；</w:t>
            </w:r>
          </w:p>
          <w:p w14:paraId="0BC1554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7）生活居住区、文教区、水源保护区、名胜古迹、风景游览区、温泉、疗 养区、自然保护区和其它需要特别保护的区域；</w:t>
            </w:r>
          </w:p>
          <w:p w14:paraId="5911D61F">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8）对飞机起落、电台通讯、电视转播、雷达导航和重要的天文、气象、地震观察以及军事设施等规定有影响的范围内；</w:t>
            </w:r>
          </w:p>
          <w:p w14:paraId="6F380B1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9）很严重的自重湿陷性黄土地段，厚度大的新近堆积黄土地段和高压缩性的 饱和黄土地段等地质条件恶劣地段；</w:t>
            </w:r>
          </w:p>
          <w:p w14:paraId="270B4CC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10）具有开采价值的矿藏区； 11）受海啸或湖涌危害的地区。</w:t>
            </w:r>
          </w:p>
        </w:tc>
        <w:tc>
          <w:tcPr>
            <w:tcW w:w="2400" w:type="dxa"/>
            <w:vAlign w:val="center"/>
          </w:tcPr>
          <w:p w14:paraId="4BF21F37">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36E9A89B">
            <w:pPr>
              <w:pStyle w:val="163"/>
              <w:keepNext w:val="0"/>
              <w:keepLines w:val="0"/>
              <w:pageBreakBefore w:val="0"/>
              <w:widowControl w:val="0"/>
              <w:kinsoku/>
              <w:wordWrap/>
              <w:overflowPunct/>
              <w:topLinePunct w:val="0"/>
              <w:bidi w:val="0"/>
              <w:adjustRightInd/>
              <w:snapToGrid w:val="0"/>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第3.0.14条</w:t>
            </w:r>
          </w:p>
        </w:tc>
        <w:tc>
          <w:tcPr>
            <w:tcW w:w="2145" w:type="dxa"/>
            <w:vAlign w:val="center"/>
          </w:tcPr>
          <w:p w14:paraId="7B12FEC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厂址选择满足要求。</w:t>
            </w:r>
          </w:p>
        </w:tc>
        <w:tc>
          <w:tcPr>
            <w:tcW w:w="720" w:type="dxa"/>
            <w:vAlign w:val="center"/>
          </w:tcPr>
          <w:p w14:paraId="0D1C1656">
            <w:pPr>
              <w:pStyle w:val="163"/>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C46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D7B6680">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w:t>
            </w:r>
          </w:p>
        </w:tc>
        <w:tc>
          <w:tcPr>
            <w:tcW w:w="2520" w:type="dxa"/>
            <w:vAlign w:val="center"/>
          </w:tcPr>
          <w:p w14:paraId="66F70C5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2400" w:type="dxa"/>
            <w:vAlign w:val="center"/>
          </w:tcPr>
          <w:p w14:paraId="07163FF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《工业企业设计卫生标准》（GBZ1-2010）</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5.1.3</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229AE7E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该项目厂址避开了可能产生或存在危害健康的场所和设施。</w:t>
            </w:r>
          </w:p>
        </w:tc>
        <w:tc>
          <w:tcPr>
            <w:tcW w:w="720" w:type="dxa"/>
            <w:vAlign w:val="center"/>
          </w:tcPr>
          <w:p w14:paraId="0A8E2A2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0929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87DE6B3">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w:t>
            </w:r>
          </w:p>
        </w:tc>
        <w:tc>
          <w:tcPr>
            <w:tcW w:w="2520" w:type="dxa"/>
            <w:vAlign w:val="center"/>
          </w:tcPr>
          <w:p w14:paraId="206E594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在同一工业区内布置不同卫生特征的工业企业时，宜避免不同有害因素产生交叉污染和联合作用。</w:t>
            </w:r>
          </w:p>
        </w:tc>
        <w:tc>
          <w:tcPr>
            <w:tcW w:w="2400" w:type="dxa"/>
            <w:vAlign w:val="center"/>
          </w:tcPr>
          <w:p w14:paraId="23FC5382">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《工业企业设计卫生标准》（GBZ1-2010）</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5.1.5</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60B77D7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厂址与周边工业企业基本不会产生交叉污染和联合作用。</w:t>
            </w:r>
          </w:p>
        </w:tc>
        <w:tc>
          <w:tcPr>
            <w:tcW w:w="720" w:type="dxa"/>
            <w:vAlign w:val="center"/>
          </w:tcPr>
          <w:p w14:paraId="0068A2A4">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45BE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4DBF642">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14</w:t>
            </w:r>
          </w:p>
        </w:tc>
        <w:tc>
          <w:tcPr>
            <w:tcW w:w="2520" w:type="dxa"/>
            <w:shd w:val="clear" w:color="auto" w:fill="auto"/>
            <w:vAlign w:val="center"/>
          </w:tcPr>
          <w:p w14:paraId="3D63D94D">
            <w:pPr>
              <w:pStyle w:val="69"/>
              <w:jc w:val="left"/>
              <w:rPr>
                <w:rFonts w:hint="eastAsia" w:ascii="宋体" w:hAnsi="宋体" w:eastAsia="宋体" w:cs="宋体"/>
                <w:sz w:val="21"/>
                <w:szCs w:val="21"/>
                <w:lang w:val="en-US" w:eastAsia="zh-CN" w:bidi="ar-SA"/>
              </w:rPr>
            </w:pPr>
            <w:r>
              <w:rPr>
                <w:rFonts w:hint="eastAsia" w:ascii="宋体" w:hAnsi="宋体" w:eastAsia="宋体" w:cs="宋体"/>
                <w:sz w:val="21"/>
                <w:szCs w:val="21"/>
              </w:rPr>
              <w:t>工业企业选址宜避开自然疫源地；对于因建设工程需要等原因不能避开的，应设计具体的疫情综合预防控制措施。</w:t>
            </w:r>
          </w:p>
        </w:tc>
        <w:tc>
          <w:tcPr>
            <w:tcW w:w="2400" w:type="dxa"/>
            <w:shd w:val="clear" w:color="auto" w:fill="auto"/>
            <w:vAlign w:val="center"/>
          </w:tcPr>
          <w:p w14:paraId="344AB61D">
            <w:pPr>
              <w:pStyle w:val="69"/>
              <w:rPr>
                <w:rFonts w:hint="eastAsia" w:ascii="宋体" w:hAnsi="宋体" w:eastAsia="宋体" w:cs="宋体"/>
                <w:sz w:val="21"/>
                <w:szCs w:val="21"/>
              </w:rPr>
            </w:pPr>
            <w:r>
              <w:rPr>
                <w:rFonts w:hint="eastAsia" w:ascii="宋体" w:hAnsi="宋体" w:eastAsia="宋体" w:cs="宋体"/>
                <w:sz w:val="21"/>
                <w:szCs w:val="21"/>
              </w:rPr>
              <w:t>《工业企业设计卫生标准》</w:t>
            </w:r>
          </w:p>
          <w:p w14:paraId="1AADD0EB">
            <w:pPr>
              <w:pStyle w:val="69"/>
              <w:rPr>
                <w:rFonts w:hint="eastAsia" w:ascii="宋体" w:hAnsi="宋体" w:eastAsia="宋体" w:cs="宋体"/>
                <w:sz w:val="21"/>
                <w:szCs w:val="21"/>
                <w:lang w:val="en-US" w:eastAsia="zh-CN" w:bidi="ar-SA"/>
              </w:rPr>
            </w:pPr>
            <w:r>
              <w:rPr>
                <w:rFonts w:hint="eastAsia" w:ascii="宋体" w:hAnsi="宋体" w:eastAsia="宋体" w:cs="宋体"/>
                <w:sz w:val="21"/>
                <w:szCs w:val="21"/>
              </w:rPr>
              <w:t>（GB Z1-2010）5.1.2</w:t>
            </w:r>
          </w:p>
        </w:tc>
        <w:tc>
          <w:tcPr>
            <w:tcW w:w="2145" w:type="dxa"/>
            <w:shd w:val="clear" w:color="auto" w:fill="auto"/>
            <w:vAlign w:val="center"/>
          </w:tcPr>
          <w:p w14:paraId="438E414A">
            <w:pPr>
              <w:pStyle w:val="69"/>
              <w:jc w:val="left"/>
              <w:rPr>
                <w:rFonts w:hint="eastAsia" w:ascii="宋体" w:hAnsi="宋体" w:eastAsia="宋体" w:cs="宋体"/>
                <w:sz w:val="21"/>
                <w:szCs w:val="21"/>
                <w:lang w:val="en-US" w:eastAsia="zh-CN" w:bidi="ar-SA"/>
              </w:rPr>
            </w:pPr>
            <w:r>
              <w:rPr>
                <w:rFonts w:hint="eastAsia" w:ascii="宋体" w:hAnsi="宋体" w:eastAsia="宋体" w:cs="宋体"/>
                <w:sz w:val="21"/>
                <w:szCs w:val="21"/>
              </w:rPr>
              <w:t>该项目厂区不属于自然疫源地。</w:t>
            </w:r>
          </w:p>
        </w:tc>
        <w:tc>
          <w:tcPr>
            <w:tcW w:w="720" w:type="dxa"/>
            <w:shd w:val="clear" w:color="auto" w:fill="auto"/>
            <w:vAlign w:val="center"/>
          </w:tcPr>
          <w:p w14:paraId="6DEB3299">
            <w:pPr>
              <w:pStyle w:val="69"/>
              <w:rPr>
                <w:rFonts w:hint="eastAsia" w:ascii="宋体" w:hAnsi="宋体" w:eastAsia="宋体" w:cs="宋体"/>
                <w:sz w:val="21"/>
                <w:szCs w:val="21"/>
                <w:lang w:val="en-US" w:eastAsia="zh-CN" w:bidi="ar-SA"/>
              </w:rPr>
            </w:pPr>
            <w:r>
              <w:rPr>
                <w:rFonts w:hint="eastAsia" w:ascii="宋体" w:hAnsi="宋体" w:eastAsia="宋体" w:cs="宋体"/>
                <w:sz w:val="21"/>
                <w:szCs w:val="21"/>
              </w:rPr>
              <w:t>符合</w:t>
            </w:r>
          </w:p>
        </w:tc>
      </w:tr>
      <w:tr w14:paraId="36D1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2" w:type="dxa"/>
            <w:gridSpan w:val="5"/>
            <w:vAlign w:val="center"/>
          </w:tcPr>
          <w:p w14:paraId="214B8F87">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总平面布置检查</w:t>
            </w:r>
          </w:p>
        </w:tc>
      </w:tr>
      <w:tr w14:paraId="51C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78F6198">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520" w:type="dxa"/>
            <w:vAlign w:val="center"/>
          </w:tcPr>
          <w:p w14:paraId="7C9F2D75">
            <w:pPr>
              <w:bidi w:val="0"/>
              <w:rPr>
                <w:rFonts w:hint="eastAsia"/>
                <w:sz w:val="21"/>
                <w:szCs w:val="21"/>
                <w:lang w:val="en-US" w:eastAsia="zh-CN"/>
              </w:rPr>
            </w:pPr>
            <w:r>
              <w:rPr>
                <w:rFonts w:hint="eastAsia"/>
                <w:sz w:val="21"/>
                <w:szCs w:val="21"/>
                <w:lang w:val="en-US" w:eastAsia="zh-CN"/>
              </w:rPr>
              <w:t>工业企业总体规划应贯彻节约集约用地的原则，并应严格执行国家规定的土地使用审批程序，应利用荒地、劣地及非耕地，不应占用基本农田。分期建设时，总体规划应正确处理近期和远期的关系。近期应集中布置，远期应预留发展，应分期征地，并应合理有效利用土地。</w:t>
            </w:r>
          </w:p>
        </w:tc>
        <w:tc>
          <w:tcPr>
            <w:tcW w:w="2400" w:type="dxa"/>
            <w:vAlign w:val="center"/>
          </w:tcPr>
          <w:p w14:paraId="65315452">
            <w:pPr>
              <w:bidi w:val="0"/>
              <w:rPr>
                <w:rFonts w:hint="eastAsia"/>
                <w:sz w:val="21"/>
                <w:szCs w:val="21"/>
                <w:lang w:val="en-US" w:eastAsia="zh-CN"/>
              </w:rPr>
            </w:pPr>
            <w:r>
              <w:rPr>
                <w:rFonts w:hint="eastAsia"/>
                <w:sz w:val="21"/>
                <w:szCs w:val="21"/>
                <w:lang w:val="en-US" w:eastAsia="zh-CN"/>
              </w:rPr>
              <w:t>《工业企业总平面设计规范》 (GB50187-2012)</w:t>
            </w:r>
          </w:p>
          <w:p w14:paraId="563985D6">
            <w:pPr>
              <w:bidi w:val="0"/>
              <w:rPr>
                <w:rFonts w:hint="eastAsia"/>
                <w:sz w:val="21"/>
                <w:szCs w:val="21"/>
                <w:lang w:val="en-US" w:eastAsia="zh-CN"/>
              </w:rPr>
            </w:pPr>
            <w:r>
              <w:rPr>
                <w:rFonts w:hint="eastAsia"/>
                <w:sz w:val="21"/>
                <w:szCs w:val="21"/>
                <w:lang w:val="en-US" w:eastAsia="zh-CN"/>
              </w:rPr>
              <w:t>第4.1.4</w:t>
            </w:r>
          </w:p>
        </w:tc>
        <w:tc>
          <w:tcPr>
            <w:tcW w:w="2145" w:type="dxa"/>
            <w:vAlign w:val="center"/>
          </w:tcPr>
          <w:p w14:paraId="78168E08">
            <w:pPr>
              <w:bidi w:val="0"/>
              <w:rPr>
                <w:rFonts w:hint="eastAsia"/>
                <w:sz w:val="21"/>
                <w:szCs w:val="21"/>
                <w:lang w:val="en-US" w:eastAsia="zh-CN"/>
              </w:rPr>
            </w:pPr>
            <w:r>
              <w:rPr>
                <w:rFonts w:hint="eastAsia"/>
                <w:sz w:val="21"/>
                <w:szCs w:val="21"/>
                <w:lang w:val="en-US" w:eastAsia="zh-CN"/>
              </w:rPr>
              <w:t>本项目生产装置布置紧凑，节约用地，在生产区西南侧留有发展用地。</w:t>
            </w:r>
          </w:p>
        </w:tc>
        <w:tc>
          <w:tcPr>
            <w:tcW w:w="720" w:type="dxa"/>
            <w:vAlign w:val="center"/>
          </w:tcPr>
          <w:p w14:paraId="3C6658C7">
            <w:pPr>
              <w:bidi w:val="0"/>
              <w:rPr>
                <w:rFonts w:hint="eastAsia"/>
                <w:sz w:val="21"/>
                <w:szCs w:val="21"/>
                <w:lang w:val="en-US" w:eastAsia="zh-CN"/>
              </w:rPr>
            </w:pPr>
            <w:r>
              <w:rPr>
                <w:rFonts w:hint="eastAsia"/>
                <w:sz w:val="21"/>
                <w:szCs w:val="21"/>
                <w:lang w:val="en-US" w:eastAsia="zh-CN"/>
              </w:rPr>
              <w:t>符合</w:t>
            </w:r>
          </w:p>
        </w:tc>
      </w:tr>
      <w:tr w14:paraId="1602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D70CE35">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520" w:type="dxa"/>
            <w:vAlign w:val="center"/>
          </w:tcPr>
          <w:p w14:paraId="45344C3F">
            <w:pPr>
              <w:pStyle w:val="163"/>
              <w:widowControl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工业企业总体规划，应符合城乡总体规划和土地利用总体规划的要求。有条件时，规划应与城乡和邻近工业企业在生产、交通运输、动力公用、机修和器材供应、综合利用及生活设施等方面进行协作。</w:t>
            </w:r>
          </w:p>
        </w:tc>
        <w:tc>
          <w:tcPr>
            <w:tcW w:w="2400" w:type="dxa"/>
            <w:vAlign w:val="center"/>
          </w:tcPr>
          <w:p w14:paraId="19CFE3A2">
            <w:pPr>
              <w:pStyle w:val="163"/>
              <w:widowControl w:val="0"/>
              <w:snapToGrid w:val="0"/>
              <w:spacing w:line="300" w:lineRule="exact"/>
              <w:contextualSpacing/>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《工业企业总平面设计规范》（GB50187-2012）第4.1.2条</w:t>
            </w:r>
          </w:p>
        </w:tc>
        <w:tc>
          <w:tcPr>
            <w:tcW w:w="2145" w:type="dxa"/>
            <w:vAlign w:val="center"/>
          </w:tcPr>
          <w:p w14:paraId="58DCB417">
            <w:pPr>
              <w:pStyle w:val="163"/>
              <w:widowControl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工业企业总体规划，符合城乡总体规划和土地利用总体规划的要求。</w:t>
            </w:r>
          </w:p>
        </w:tc>
        <w:tc>
          <w:tcPr>
            <w:tcW w:w="720" w:type="dxa"/>
            <w:vAlign w:val="center"/>
          </w:tcPr>
          <w:p w14:paraId="77C55762">
            <w:pPr>
              <w:pStyle w:val="163"/>
              <w:widowControl w:val="0"/>
              <w:snapToGrid w:val="0"/>
              <w:spacing w:line="300" w:lineRule="exact"/>
              <w:contextualSpacing/>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35B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4232F6D9">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3</w:t>
            </w:r>
          </w:p>
        </w:tc>
        <w:tc>
          <w:tcPr>
            <w:tcW w:w="2520" w:type="dxa"/>
            <w:vAlign w:val="center"/>
          </w:tcPr>
          <w:p w14:paraId="465A86F2">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出入口数量是否满足生产运输需要。</w:t>
            </w:r>
          </w:p>
        </w:tc>
        <w:tc>
          <w:tcPr>
            <w:tcW w:w="2400" w:type="dxa"/>
            <w:vAlign w:val="center"/>
          </w:tcPr>
          <w:p w14:paraId="572A25D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（GB50187-2012）</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.7.4</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1C5026D3">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厂区的出入口，满足要求</w:t>
            </w:r>
          </w:p>
        </w:tc>
        <w:tc>
          <w:tcPr>
            <w:tcW w:w="720" w:type="dxa"/>
            <w:vAlign w:val="center"/>
          </w:tcPr>
          <w:p w14:paraId="26E9EF2E">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7398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CD3885A">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4</w:t>
            </w:r>
          </w:p>
        </w:tc>
        <w:tc>
          <w:tcPr>
            <w:tcW w:w="2520" w:type="dxa"/>
            <w:vAlign w:val="center"/>
          </w:tcPr>
          <w:p w14:paraId="32AE7975">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在总体规划的基础上，根据工业企业的性质、规模、生产流程、交通运输、环境保护，以及防火、安全、卫生、节能、施工、检修、厂区发展等要求，结合场地自然条件，经技术经济比较后择优确定。</w:t>
            </w:r>
          </w:p>
        </w:tc>
        <w:tc>
          <w:tcPr>
            <w:tcW w:w="2400" w:type="dxa"/>
            <w:vAlign w:val="center"/>
          </w:tcPr>
          <w:p w14:paraId="7CDBD8CD">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29BF23DE">
            <w:pPr>
              <w:pStyle w:val="37"/>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 5.1.1条 </w:t>
            </w:r>
          </w:p>
        </w:tc>
        <w:tc>
          <w:tcPr>
            <w:tcW w:w="2145" w:type="dxa"/>
            <w:vAlign w:val="center"/>
          </w:tcPr>
          <w:p w14:paraId="2994DCD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厂内总平面布置考虑了上述要求。</w:t>
            </w:r>
          </w:p>
        </w:tc>
        <w:tc>
          <w:tcPr>
            <w:tcW w:w="720" w:type="dxa"/>
            <w:vAlign w:val="center"/>
          </w:tcPr>
          <w:p w14:paraId="494DAC2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BE3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0FE4116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5</w:t>
            </w:r>
          </w:p>
        </w:tc>
        <w:tc>
          <w:tcPr>
            <w:tcW w:w="2520" w:type="dxa"/>
            <w:vAlign w:val="center"/>
          </w:tcPr>
          <w:p w14:paraId="608E64B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总平面布置应节约集约用地，提高土地利用率。布置时并应符合下列要求：1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在符合生产流程、操作要求和使用功能的前提下，建筑物、构筑物等设施，应采用联合、集中、多层布置；2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应按企业规模和功能分区，合理地确定通道宽度；3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厂区功能分区及建筑物、构筑物的外形宜规整；4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功能分区内各项设施的布置，应紧凑、合理。</w:t>
            </w:r>
          </w:p>
        </w:tc>
        <w:tc>
          <w:tcPr>
            <w:tcW w:w="2400" w:type="dxa"/>
            <w:vAlign w:val="center"/>
          </w:tcPr>
          <w:p w14:paraId="5AE3314A">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99D23E1">
            <w:pPr>
              <w:pStyle w:val="37"/>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第5.1.2条</w:t>
            </w:r>
          </w:p>
        </w:tc>
        <w:tc>
          <w:tcPr>
            <w:tcW w:w="2145" w:type="dxa"/>
            <w:vAlign w:val="center"/>
          </w:tcPr>
          <w:p w14:paraId="02A348E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本项目工艺设备布置紧凑、合理，作业通道基本满足要求。</w:t>
            </w:r>
          </w:p>
        </w:tc>
        <w:tc>
          <w:tcPr>
            <w:tcW w:w="720" w:type="dxa"/>
            <w:vAlign w:val="center"/>
          </w:tcPr>
          <w:p w14:paraId="234ABAC1">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4A5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06C39C3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6</w:t>
            </w:r>
          </w:p>
        </w:tc>
        <w:tc>
          <w:tcPr>
            <w:tcW w:w="2520" w:type="dxa"/>
            <w:vAlign w:val="center"/>
          </w:tcPr>
          <w:p w14:paraId="65DAA49D">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厂区的通道宽度，应符合下列要求：1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应符合通道两侧建筑物、构筑物及露天设施对防火、安全与卫生间距的要求；2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应符合铁路、道路与带式输送机通廊等工业运输线路的布置要求；3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应符合各种工程管线的布置要求；4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应符合绿化布置的要求；5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应符合施工、安装与检修的要求；6</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应符合竖向设计的要求；7</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应符合预留发展用地的要求。</w:t>
            </w:r>
          </w:p>
        </w:tc>
        <w:tc>
          <w:tcPr>
            <w:tcW w:w="2400" w:type="dxa"/>
            <w:vAlign w:val="center"/>
          </w:tcPr>
          <w:p w14:paraId="07B333DA">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4B030CE">
            <w:pPr>
              <w:pStyle w:val="37"/>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第5.1.4 条 </w:t>
            </w:r>
          </w:p>
        </w:tc>
        <w:tc>
          <w:tcPr>
            <w:tcW w:w="2145" w:type="dxa"/>
            <w:vAlign w:val="center"/>
          </w:tcPr>
          <w:p w14:paraId="7A0237F3">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本项目工艺设备布置紧凑、合理，厂内通道满足要求。</w:t>
            </w:r>
          </w:p>
        </w:tc>
        <w:tc>
          <w:tcPr>
            <w:tcW w:w="720" w:type="dxa"/>
            <w:vAlign w:val="center"/>
          </w:tcPr>
          <w:p w14:paraId="3A90241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A67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0AA7F5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7</w:t>
            </w:r>
          </w:p>
        </w:tc>
        <w:tc>
          <w:tcPr>
            <w:tcW w:w="2520" w:type="dxa"/>
            <w:vAlign w:val="center"/>
          </w:tcPr>
          <w:p w14:paraId="10EB69E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总平面布置，应充分利用地形、地势、工程地质及水文地质条件，布置建筑物、构筑物和有关设施，应减少土（石）方工程量和基础工程费用，并应符合下列要求：1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当厂区地形坡度较大时，建筑物、构筑物的长轴宜顺等高线布置；2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应结合地形及竖向设计，为物料采用自流管道及高站台、低货位等设施创造条件。</w:t>
            </w:r>
          </w:p>
        </w:tc>
        <w:tc>
          <w:tcPr>
            <w:tcW w:w="2400" w:type="dxa"/>
            <w:vAlign w:val="center"/>
          </w:tcPr>
          <w:p w14:paraId="7BA4EC7E">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78FAC5F7">
            <w:pPr>
              <w:pStyle w:val="37"/>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第5.1.5条  </w:t>
            </w:r>
          </w:p>
        </w:tc>
        <w:tc>
          <w:tcPr>
            <w:tcW w:w="2145" w:type="dxa"/>
            <w:vAlign w:val="center"/>
          </w:tcPr>
          <w:p w14:paraId="4E52452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厂内建构筑物布置依托了原有地形、地势条件进行布置。</w:t>
            </w:r>
          </w:p>
        </w:tc>
        <w:tc>
          <w:tcPr>
            <w:tcW w:w="720" w:type="dxa"/>
            <w:vAlign w:val="center"/>
          </w:tcPr>
          <w:p w14:paraId="7E58A190">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C74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37" w:type="dxa"/>
            <w:vAlign w:val="center"/>
          </w:tcPr>
          <w:p w14:paraId="08798F4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8</w:t>
            </w:r>
          </w:p>
        </w:tc>
        <w:tc>
          <w:tcPr>
            <w:tcW w:w="2520" w:type="dxa"/>
            <w:vAlign w:val="center"/>
          </w:tcPr>
          <w:p w14:paraId="150EAD5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总平面布置应采取防止高温、有害气体、烟、雾、粉尘、强烈振动和高噪声对周围环境和人身安全的危害的安全保障措施，并应符合现行国家有关工业企业卫生设计标准的规定。</w:t>
            </w:r>
          </w:p>
        </w:tc>
        <w:tc>
          <w:tcPr>
            <w:tcW w:w="2400" w:type="dxa"/>
            <w:vAlign w:val="center"/>
          </w:tcPr>
          <w:p w14:paraId="650965B8">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ABF6530">
            <w:pPr>
              <w:pStyle w:val="37"/>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第5.1.7条</w:t>
            </w:r>
          </w:p>
        </w:tc>
        <w:tc>
          <w:tcPr>
            <w:tcW w:w="2145" w:type="dxa"/>
            <w:vAlign w:val="center"/>
          </w:tcPr>
          <w:p w14:paraId="697CCB1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w:t>
            </w:r>
            <w:r>
              <w:rPr>
                <w:rFonts w:hint="eastAsia" w:ascii="宋体" w:hAnsi="宋体" w:eastAsia="宋体" w:cs="宋体"/>
                <w:color w:val="000000" w:themeColor="text1"/>
                <w:sz w:val="21"/>
                <w:szCs w:val="21"/>
                <w:lang w:eastAsia="zh-CN"/>
                <w14:textFill>
                  <w14:solidFill>
                    <w14:schemeClr w14:val="tx1"/>
                  </w14:solidFill>
                </w14:textFill>
              </w:rPr>
              <w:t>不</w:t>
            </w:r>
            <w:r>
              <w:rPr>
                <w:rFonts w:hint="eastAsia" w:ascii="宋体" w:hAnsi="宋体" w:eastAsia="宋体" w:cs="宋体"/>
                <w:color w:val="000000" w:themeColor="text1"/>
                <w:sz w:val="21"/>
                <w:szCs w:val="21"/>
                <w14:textFill>
                  <w14:solidFill>
                    <w14:schemeClr w14:val="tx1"/>
                  </w14:solidFill>
                </w14:textFill>
              </w:rPr>
              <w:t>产生有害物气体，</w:t>
            </w:r>
            <w:r>
              <w:rPr>
                <w:rFonts w:hint="eastAsia" w:ascii="宋体" w:hAnsi="宋体" w:eastAsia="宋体" w:cs="宋体"/>
                <w:color w:val="000000" w:themeColor="text1"/>
                <w:sz w:val="21"/>
                <w:szCs w:val="21"/>
                <w:lang w:eastAsia="zh-CN"/>
                <w14:textFill>
                  <w14:solidFill>
                    <w14:schemeClr w14:val="tx1"/>
                  </w14:solidFill>
                </w14:textFill>
              </w:rPr>
              <w:t>本</w:t>
            </w:r>
            <w:r>
              <w:rPr>
                <w:rFonts w:hint="eastAsia" w:ascii="宋体" w:hAnsi="宋体" w:eastAsia="宋体" w:cs="宋体"/>
                <w:color w:val="000000" w:themeColor="text1"/>
                <w:sz w:val="21"/>
                <w:szCs w:val="21"/>
                <w14:textFill>
                  <w14:solidFill>
                    <w14:schemeClr w14:val="tx1"/>
                  </w14:solidFill>
                </w14:textFill>
              </w:rPr>
              <w:t>项目采取了除尘、降噪措施，配发了相应</w:t>
            </w:r>
            <w:r>
              <w:rPr>
                <w:rFonts w:hint="eastAsia" w:ascii="宋体" w:hAnsi="宋体" w:eastAsia="宋体" w:cs="宋体"/>
                <w:color w:val="000000" w:themeColor="text1"/>
                <w:sz w:val="21"/>
                <w:szCs w:val="21"/>
                <w:lang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劳</w:t>
            </w:r>
            <w:r>
              <w:rPr>
                <w:rFonts w:hint="eastAsia" w:ascii="宋体" w:hAnsi="宋体" w:eastAsia="宋体" w:cs="宋体"/>
                <w:color w:val="000000" w:themeColor="text1"/>
                <w:sz w:val="21"/>
                <w:szCs w:val="21"/>
                <w:lang w:eastAsia="zh-CN"/>
                <w14:textFill>
                  <w14:solidFill>
                    <w14:schemeClr w14:val="tx1"/>
                  </w14:solidFill>
                </w14:textFill>
              </w:rPr>
              <w:t>动防护用</w:t>
            </w:r>
            <w:r>
              <w:rPr>
                <w:rFonts w:hint="eastAsia" w:ascii="宋体" w:hAnsi="宋体" w:eastAsia="宋体" w:cs="宋体"/>
                <w:color w:val="000000" w:themeColor="text1"/>
                <w:sz w:val="21"/>
                <w:szCs w:val="21"/>
                <w14:textFill>
                  <w14:solidFill>
                    <w14:schemeClr w14:val="tx1"/>
                  </w14:solidFill>
                </w14:textFill>
              </w:rPr>
              <w:t>品。</w:t>
            </w:r>
          </w:p>
        </w:tc>
        <w:tc>
          <w:tcPr>
            <w:tcW w:w="720" w:type="dxa"/>
            <w:vAlign w:val="center"/>
          </w:tcPr>
          <w:p w14:paraId="25040F88">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5E8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955C77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9</w:t>
            </w:r>
          </w:p>
        </w:tc>
        <w:tc>
          <w:tcPr>
            <w:tcW w:w="2520" w:type="dxa"/>
            <w:vAlign w:val="center"/>
          </w:tcPr>
          <w:p w14:paraId="11E805E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总平面布置，应合理地组织货流和人流，并应符合下列要求：1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运输线路的布置，应保证物流顺畅、径路短捷、不折返；2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应避免运输繁忙的铁路与道路平面交叉；3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应使人、货分流，应避免运输繁忙的货流与人流交叉；4应避免进出厂的主要货流与企业外部交通干线的平面交叉。</w:t>
            </w:r>
          </w:p>
        </w:tc>
        <w:tc>
          <w:tcPr>
            <w:tcW w:w="2400" w:type="dxa"/>
            <w:vAlign w:val="center"/>
          </w:tcPr>
          <w:p w14:paraId="4B9FE924">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1E1720B">
            <w:pPr>
              <w:pStyle w:val="163"/>
              <w:keepNext w:val="0"/>
              <w:keepLines w:val="0"/>
              <w:pageBreakBefore w:val="0"/>
              <w:widowControl w:val="0"/>
              <w:kinsoku/>
              <w:wordWrap/>
              <w:overflowPunct/>
              <w:topLinePunct w:val="0"/>
              <w:bidi w:val="0"/>
              <w:adjustRightInd/>
              <w:snapToGrid w:val="0"/>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第5.1.8条</w:t>
            </w:r>
          </w:p>
        </w:tc>
        <w:tc>
          <w:tcPr>
            <w:tcW w:w="2145" w:type="dxa"/>
            <w:vAlign w:val="center"/>
          </w:tcPr>
          <w:p w14:paraId="3D738E3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厂区交通运输通畅。</w:t>
            </w:r>
          </w:p>
        </w:tc>
        <w:tc>
          <w:tcPr>
            <w:tcW w:w="720" w:type="dxa"/>
            <w:vAlign w:val="center"/>
          </w:tcPr>
          <w:p w14:paraId="7AD09DB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D9D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637" w:type="dxa"/>
            <w:vAlign w:val="center"/>
          </w:tcPr>
          <w:p w14:paraId="654F8BCB">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bookmarkStart w:id="680" w:name="_Toc309682498"/>
            <w:bookmarkStart w:id="681" w:name="_Toc278151422"/>
            <w:bookmarkStart w:id="682" w:name="_Toc327017835"/>
            <w:bookmarkStart w:id="683" w:name="_Toc202575710"/>
            <w:bookmarkStart w:id="684" w:name="_Toc201767300"/>
            <w:r>
              <w:rPr>
                <w:rFonts w:hint="eastAsia" w:ascii="宋体" w:hAnsi="宋体" w:eastAsia="宋体" w:cs="宋体"/>
                <w:color w:val="000000" w:themeColor="text1"/>
                <w:sz w:val="21"/>
                <w:szCs w:val="21"/>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0</w:t>
            </w:r>
          </w:p>
        </w:tc>
        <w:tc>
          <w:tcPr>
            <w:tcW w:w="2520" w:type="dxa"/>
            <w:vAlign w:val="center"/>
          </w:tcPr>
          <w:p w14:paraId="2203123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仓库与堆场，应根据贮存物料的性质、货流出入方向、供应对象、贮存面积、运输方式等因素，按不同类别相对集中布置，并为运输、装卸、管理创造有利条件，且应符合国家现行的防火、防爆、安全、卫生等工程设计标准的有关规定。</w:t>
            </w:r>
          </w:p>
        </w:tc>
        <w:tc>
          <w:tcPr>
            <w:tcW w:w="2400" w:type="dxa"/>
            <w:vAlign w:val="center"/>
          </w:tcPr>
          <w:p w14:paraId="26BBB023">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eastAsia="宋体" w:cs="宋体"/>
                <w:color w:val="000000" w:themeColor="text1"/>
                <w:sz w:val="21"/>
                <w:szCs w:val="21"/>
                <w:lang w:val="zh-CN"/>
                <w14:textFill>
                  <w14:solidFill>
                    <w14:schemeClr w14:val="tx1"/>
                  </w14:solidFill>
                </w14:textFill>
              </w:rPr>
              <w:t>.6.1条</w:t>
            </w:r>
          </w:p>
        </w:tc>
        <w:tc>
          <w:tcPr>
            <w:tcW w:w="2145" w:type="dxa"/>
            <w:vAlign w:val="center"/>
          </w:tcPr>
          <w:p w14:paraId="62BE931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仓库</w:t>
            </w:r>
            <w:r>
              <w:rPr>
                <w:rFonts w:hint="eastAsia" w:ascii="宋体" w:hAnsi="宋体" w:eastAsia="宋体" w:cs="宋体"/>
                <w:color w:val="000000" w:themeColor="text1"/>
                <w:sz w:val="21"/>
                <w:szCs w:val="21"/>
                <w:lang w:val="en-US" w:eastAsia="zh-CN"/>
                <w14:textFill>
                  <w14:solidFill>
                    <w14:schemeClr w14:val="tx1"/>
                  </w14:solidFill>
                </w14:textFill>
              </w:rPr>
              <w:t>原料分区存放</w:t>
            </w:r>
            <w:r>
              <w:rPr>
                <w:rFonts w:hint="eastAsia" w:ascii="宋体" w:hAnsi="宋体" w:eastAsia="宋体" w:cs="宋体"/>
                <w:color w:val="000000" w:themeColor="text1"/>
                <w:sz w:val="21"/>
                <w:szCs w:val="21"/>
                <w:lang w:val="zh-CN"/>
                <w14:textFill>
                  <w14:solidFill>
                    <w14:schemeClr w14:val="tx1"/>
                  </w14:solidFill>
                </w14:textFill>
              </w:rPr>
              <w:t>。</w:t>
            </w:r>
          </w:p>
        </w:tc>
        <w:tc>
          <w:tcPr>
            <w:tcW w:w="720" w:type="dxa"/>
            <w:vAlign w:val="center"/>
          </w:tcPr>
          <w:p w14:paraId="365B2695">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641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5DF95BA">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11</w:t>
            </w:r>
          </w:p>
        </w:tc>
        <w:tc>
          <w:tcPr>
            <w:tcW w:w="2520" w:type="dxa"/>
            <w:shd w:val="clear" w:color="auto" w:fill="auto"/>
            <w:vAlign w:val="center"/>
          </w:tcPr>
          <w:p w14:paraId="7049D90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总平面布置，应合理地组织货流和人流，并应符合下列要求：（1）运输线路的布置，应保证物流顺畅、路径短捷、不折返；（2）应避免运输繁忙的铁路与道路平面交叉；（3）应使人、货分流，应避免运输繁忙的货流与人流交叉；（4）应避免进出厂的主要货流与企业外部交通干线的平面交叉。</w:t>
            </w:r>
          </w:p>
        </w:tc>
        <w:tc>
          <w:tcPr>
            <w:tcW w:w="2400" w:type="dxa"/>
            <w:shd w:val="clear" w:color="auto" w:fill="auto"/>
            <w:vAlign w:val="center"/>
          </w:tcPr>
          <w:p w14:paraId="0411EF9E">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《工业企业总平面设计规范》 (GB50187-2012)</w:t>
            </w:r>
          </w:p>
          <w:p w14:paraId="252C19C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第5.1.10</w:t>
            </w:r>
          </w:p>
        </w:tc>
        <w:tc>
          <w:tcPr>
            <w:tcW w:w="2145" w:type="dxa"/>
            <w:shd w:val="clear" w:color="auto" w:fill="auto"/>
            <w:vAlign w:val="center"/>
          </w:tcPr>
          <w:p w14:paraId="1E5CB3F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厂区合理组织货流和人流。</w:t>
            </w:r>
          </w:p>
        </w:tc>
        <w:tc>
          <w:tcPr>
            <w:tcW w:w="720" w:type="dxa"/>
            <w:shd w:val="clear" w:color="auto" w:fill="auto"/>
            <w:vAlign w:val="center"/>
          </w:tcPr>
          <w:p w14:paraId="76FBB7FD">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14:paraId="78C4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65F7512">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12</w:t>
            </w:r>
          </w:p>
        </w:tc>
        <w:tc>
          <w:tcPr>
            <w:tcW w:w="2520" w:type="dxa"/>
            <w:shd w:val="clear" w:color="auto" w:fill="auto"/>
            <w:vAlign w:val="center"/>
          </w:tcPr>
          <w:p w14:paraId="0056334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存在或可能产生职业病危害的生产车间、设备应按照GBZ158设置职业病危害警示标识。</w:t>
            </w:r>
          </w:p>
        </w:tc>
        <w:tc>
          <w:tcPr>
            <w:tcW w:w="2400" w:type="dxa"/>
            <w:shd w:val="clear" w:color="auto" w:fill="auto"/>
            <w:vAlign w:val="center"/>
          </w:tcPr>
          <w:p w14:paraId="151F16CE">
            <w:pPr>
              <w:keepNext w:val="0"/>
              <w:keepLines w:val="0"/>
              <w:pageBreakBefore w:val="0"/>
              <w:kinsoku/>
              <w:wordWrap/>
              <w:overflowPunct/>
              <w:topLinePunct w:val="0"/>
              <w:bidi w:val="0"/>
              <w:snapToGrid w:val="0"/>
              <w:jc w:val="left"/>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《工业企业设计卫生标准》(GBZ1-2010) 第5.2.1.6</w:t>
            </w:r>
          </w:p>
        </w:tc>
        <w:tc>
          <w:tcPr>
            <w:tcW w:w="2145" w:type="dxa"/>
            <w:shd w:val="clear" w:color="auto" w:fill="auto"/>
            <w:vAlign w:val="center"/>
          </w:tcPr>
          <w:p w14:paraId="605BA03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设置有相应安全警示标志和职业卫生告知牌。</w:t>
            </w:r>
          </w:p>
        </w:tc>
        <w:tc>
          <w:tcPr>
            <w:tcW w:w="720" w:type="dxa"/>
            <w:vAlign w:val="center"/>
          </w:tcPr>
          <w:p w14:paraId="06942E5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符合</w:t>
            </w:r>
          </w:p>
        </w:tc>
      </w:tr>
      <w:tr w14:paraId="7D4A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778CF79">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3</w:t>
            </w:r>
          </w:p>
        </w:tc>
        <w:tc>
          <w:tcPr>
            <w:tcW w:w="2520" w:type="dxa"/>
            <w:vAlign w:val="center"/>
          </w:tcPr>
          <w:p w14:paraId="78E24F1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员工宿舍严禁设置在厂房内。</w:t>
            </w:r>
          </w:p>
        </w:tc>
        <w:tc>
          <w:tcPr>
            <w:tcW w:w="2400" w:type="dxa"/>
            <w:vAlign w:val="center"/>
          </w:tcPr>
          <w:p w14:paraId="48BC4289">
            <w:pPr>
              <w:keepNext w:val="0"/>
              <w:keepLines w:val="0"/>
              <w:pageBreakBefore w:val="0"/>
              <w:tabs>
                <w:tab w:val="left" w:pos="2898"/>
              </w:tabs>
              <w:kinsoku/>
              <w:wordWrap/>
              <w:overflowPunct/>
              <w:topLinePunct w:val="0"/>
              <w:bidi w:val="0"/>
              <w:snapToGrid w:val="0"/>
              <w:jc w:val="both"/>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《建筑设计防火规范〔2018版〕》（GB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zh-CN"/>
                <w14:textFill>
                  <w14:solidFill>
                    <w14:schemeClr w14:val="tx1"/>
                  </w14:solidFill>
                </w14:textFill>
              </w:rPr>
              <w:t>50016</w:t>
            </w:r>
          </w:p>
          <w:p w14:paraId="2AA23604">
            <w:pPr>
              <w:keepNext w:val="0"/>
              <w:keepLines w:val="0"/>
              <w:pageBreakBefore w:val="0"/>
              <w:tabs>
                <w:tab w:val="left" w:pos="2898"/>
              </w:tabs>
              <w:kinsoku/>
              <w:wordWrap/>
              <w:overflowPunct/>
              <w:topLinePunct w:val="0"/>
              <w:bidi w:val="0"/>
              <w:snapToGrid w:val="0"/>
              <w:jc w:val="both"/>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-2014）第3.3.5条</w:t>
            </w:r>
          </w:p>
        </w:tc>
        <w:tc>
          <w:tcPr>
            <w:tcW w:w="2145" w:type="dxa"/>
            <w:vAlign w:val="center"/>
          </w:tcPr>
          <w:p w14:paraId="6009E38A">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项目厂房内未设置员工宿舍。</w:t>
            </w:r>
          </w:p>
        </w:tc>
        <w:tc>
          <w:tcPr>
            <w:tcW w:w="720" w:type="dxa"/>
            <w:vAlign w:val="center"/>
          </w:tcPr>
          <w:p w14:paraId="3BA5B5D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549F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353C139">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4</w:t>
            </w:r>
          </w:p>
        </w:tc>
        <w:tc>
          <w:tcPr>
            <w:tcW w:w="2520" w:type="dxa"/>
            <w:shd w:val="clear" w:color="auto" w:fill="auto"/>
            <w:vAlign w:val="center"/>
          </w:tcPr>
          <w:p w14:paraId="584389AD">
            <w:pPr>
              <w:pStyle w:val="356"/>
              <w:overflowPunct w:val="0"/>
              <w:snapToGrid w:val="0"/>
              <w:jc w:val="both"/>
              <w:rPr>
                <w:rFonts w:hint="eastAsia" w:ascii="宋体" w:hAnsi="宋体" w:eastAsia="宋体" w:cs="宋体"/>
                <w:color w:val="000000" w:themeColor="text1"/>
                <w:sz w:val="21"/>
                <w:szCs w:val="21"/>
                <w:lang w:val="zh-CN"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员工宿舍严禁设置在仓库内。</w:t>
            </w:r>
          </w:p>
        </w:tc>
        <w:tc>
          <w:tcPr>
            <w:tcW w:w="2400" w:type="dxa"/>
            <w:shd w:val="clear" w:color="auto" w:fill="auto"/>
            <w:vAlign w:val="center"/>
          </w:tcPr>
          <w:p w14:paraId="63512C81">
            <w:pPr>
              <w:pStyle w:val="356"/>
              <w:overflowPunct w:val="0"/>
              <w:snapToGrid w:val="0"/>
              <w:jc w:val="center"/>
              <w:rPr>
                <w:rFonts w:hint="eastAsia" w:ascii="宋体" w:hAnsi="宋体" w:eastAsia="宋体" w:cs="宋体"/>
                <w:color w:val="000000" w:themeColor="text1"/>
                <w:sz w:val="21"/>
                <w:szCs w:val="21"/>
                <w:lang w:val="zh-CN"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《建筑设计防火规范》（GB50016-2014，2018版）第3.3.9条</w:t>
            </w:r>
          </w:p>
        </w:tc>
        <w:tc>
          <w:tcPr>
            <w:tcW w:w="2145" w:type="dxa"/>
            <w:shd w:val="clear" w:color="auto" w:fill="auto"/>
            <w:vAlign w:val="center"/>
          </w:tcPr>
          <w:p w14:paraId="674BB93C">
            <w:pPr>
              <w:pStyle w:val="356"/>
              <w:overflowPunct w:val="0"/>
              <w:snapToGrid w:val="0"/>
              <w:jc w:val="both"/>
              <w:rPr>
                <w:rFonts w:hint="eastAsia" w:ascii="宋体" w:hAnsi="宋体" w:eastAsia="宋体" w:cs="宋体"/>
                <w:bCs/>
                <w:color w:val="000000" w:themeColor="text1"/>
                <w:sz w:val="21"/>
                <w:szCs w:val="21"/>
                <w:lang w:val="zh-CN"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仓库内未设置宿舍、办公室、休息室等。</w:t>
            </w:r>
          </w:p>
        </w:tc>
        <w:tc>
          <w:tcPr>
            <w:tcW w:w="720" w:type="dxa"/>
            <w:shd w:val="clear" w:color="auto" w:fill="auto"/>
            <w:vAlign w:val="center"/>
          </w:tcPr>
          <w:p w14:paraId="281ECB39">
            <w:pPr>
              <w:overflowPunct w:val="0"/>
              <w:adjustRightInd w:val="0"/>
              <w:snapToGrid w:val="0"/>
              <w:spacing w:line="300" w:lineRule="exact"/>
              <w:jc w:val="center"/>
              <w:rPr>
                <w:rFonts w:hint="eastAsia" w:ascii="宋体" w:hAnsi="宋体" w:eastAsia="宋体" w:cs="宋体"/>
                <w:bCs/>
                <w:color w:val="000000" w:themeColor="text1"/>
                <w:sz w:val="21"/>
                <w:szCs w:val="21"/>
                <w:lang w:val="zh-CN"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符合</w:t>
            </w:r>
          </w:p>
        </w:tc>
      </w:tr>
      <w:tr w14:paraId="3CB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2" w:type="dxa"/>
            <w:gridSpan w:val="5"/>
            <w:vAlign w:val="center"/>
          </w:tcPr>
          <w:p w14:paraId="253BC9A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厂区道路检查</w:t>
            </w:r>
          </w:p>
        </w:tc>
      </w:tr>
      <w:tr w14:paraId="08A0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C66F801">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520" w:type="dxa"/>
          </w:tcPr>
          <w:p w14:paraId="1FD78864">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满足生产要求，物流顺畅，线路短捷，人流、物流组织合理。</w:t>
            </w:r>
          </w:p>
        </w:tc>
        <w:tc>
          <w:tcPr>
            <w:tcW w:w="2400" w:type="dxa"/>
            <w:vAlign w:val="center"/>
          </w:tcPr>
          <w:p w14:paraId="52114CD8">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4E971F9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物流顺畅，线路短捷。</w:t>
            </w:r>
          </w:p>
        </w:tc>
        <w:tc>
          <w:tcPr>
            <w:tcW w:w="720" w:type="dxa"/>
            <w:vAlign w:val="center"/>
          </w:tcPr>
          <w:p w14:paraId="0E1C62C3">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2E21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4A246FC">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520" w:type="dxa"/>
          </w:tcPr>
          <w:p w14:paraId="0C017B31">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主要道路应环形布置。尽头端式道路应有足够的消防回转场地。</w:t>
            </w:r>
          </w:p>
        </w:tc>
        <w:tc>
          <w:tcPr>
            <w:tcW w:w="2400" w:type="dxa"/>
            <w:vAlign w:val="center"/>
          </w:tcPr>
          <w:p w14:paraId="5FEA097E">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5.3.3</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1DA331A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厂区道路布置</w:t>
            </w:r>
            <w:r>
              <w:rPr>
                <w:rFonts w:hint="eastAsia" w:ascii="宋体" w:hAnsi="宋体" w:eastAsia="宋体" w:cs="宋体"/>
                <w:color w:val="000000" w:themeColor="text1"/>
                <w:sz w:val="21"/>
                <w:szCs w:val="21"/>
                <w:lang w:eastAsia="zh-CN"/>
                <w14:textFill>
                  <w14:solidFill>
                    <w14:schemeClr w14:val="tx1"/>
                  </w14:solidFill>
                </w14:textFill>
              </w:rPr>
              <w:t>合理</w:t>
            </w:r>
          </w:p>
        </w:tc>
        <w:tc>
          <w:tcPr>
            <w:tcW w:w="720" w:type="dxa"/>
            <w:vAlign w:val="center"/>
          </w:tcPr>
          <w:p w14:paraId="4215AD12">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8B6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B52428B">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520" w:type="dxa"/>
            <w:vAlign w:val="center"/>
          </w:tcPr>
          <w:p w14:paraId="2837919F">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路面平整、路基稳固、边坡整齐、排水良好。</w:t>
            </w:r>
          </w:p>
        </w:tc>
        <w:tc>
          <w:tcPr>
            <w:tcW w:w="2400" w:type="dxa"/>
            <w:vAlign w:val="center"/>
          </w:tcPr>
          <w:p w14:paraId="159578F4">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《工业企业厂内铁路、道路运输安全规程》（GB4387-2008）第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220BA753">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主要道路已硬化，</w:t>
            </w:r>
            <w:r>
              <w:rPr>
                <w:rFonts w:hint="eastAsia" w:ascii="宋体" w:hAnsi="宋体" w:eastAsia="宋体" w:cs="宋体"/>
                <w:color w:val="000000" w:themeColor="text1"/>
                <w:sz w:val="21"/>
                <w:szCs w:val="21"/>
                <w:lang w:val="en-US" w:eastAsia="zh-CN"/>
                <w14:textFill>
                  <w14:solidFill>
                    <w14:schemeClr w14:val="tx1"/>
                  </w14:solidFill>
                </w14:textFill>
              </w:rPr>
              <w:t>为水泥道路，排水畅通</w:t>
            </w:r>
          </w:p>
        </w:tc>
        <w:tc>
          <w:tcPr>
            <w:tcW w:w="720" w:type="dxa"/>
            <w:vAlign w:val="center"/>
          </w:tcPr>
          <w:p w14:paraId="2737B88E">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bookmarkEnd w:id="680"/>
      <w:bookmarkEnd w:id="681"/>
      <w:bookmarkEnd w:id="682"/>
      <w:bookmarkEnd w:id="683"/>
      <w:bookmarkEnd w:id="684"/>
    </w:tbl>
    <w:p w14:paraId="07F29BE2">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685" w:name="_Toc327017836"/>
      <w:bookmarkStart w:id="686" w:name="_Toc202575711"/>
      <w:bookmarkStart w:id="687" w:name="_Toc201767301"/>
      <w:bookmarkStart w:id="688" w:name="_Toc309682499"/>
      <w:bookmarkStart w:id="689" w:name="_Toc5096"/>
      <w:bookmarkStart w:id="690" w:name="_Toc278151423"/>
      <w:bookmarkStart w:id="691" w:name="_Toc26445"/>
      <w:bookmarkStart w:id="692" w:name="_Toc335926269"/>
      <w:bookmarkStart w:id="693" w:name="_Toc5142"/>
      <w:bookmarkStart w:id="694" w:name="_Toc30114"/>
      <w:r>
        <w:rPr>
          <w:rFonts w:hint="default" w:ascii="Times New Roman" w:hAnsi="Times New Roman" w:eastAsia="黑体" w:cs="Times New Roman"/>
          <w:color w:val="000000" w:themeColor="text1"/>
          <w:lang w:val="en-US" w:eastAsia="zh-CN"/>
          <w14:textFill>
            <w14:solidFill>
              <w14:schemeClr w14:val="tx1"/>
            </w14:solidFill>
          </w14:textFill>
        </w:rPr>
        <w:t>5.1.2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评价小结</w:t>
      </w:r>
      <w:bookmarkEnd w:id="685"/>
      <w:bookmarkEnd w:id="686"/>
      <w:bookmarkEnd w:id="687"/>
      <w:bookmarkEnd w:id="688"/>
      <w:bookmarkEnd w:id="689"/>
      <w:bookmarkEnd w:id="690"/>
      <w:bookmarkEnd w:id="691"/>
      <w:bookmarkEnd w:id="692"/>
      <w:bookmarkEnd w:id="693"/>
      <w:bookmarkEnd w:id="694"/>
    </w:p>
    <w:p w14:paraId="7C26AA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本章采用安全检查表法，对本项目的厂址、总平面布置、</w:t>
      </w:r>
      <w:r>
        <w:rPr>
          <w:rFonts w:hint="eastAsia" w:ascii="宋体" w:hAnsi="宋体" w:eastAsia="宋体" w:cs="宋体"/>
          <w:color w:val="000000" w:themeColor="text1"/>
          <w:sz w:val="28"/>
          <w:szCs w:val="28"/>
          <w:lang w:val="en-US" w:eastAsia="zh-CN"/>
          <w14:textFill>
            <w14:solidFill>
              <w14:schemeClr w14:val="tx1"/>
            </w14:solidFill>
          </w14:textFill>
        </w:rPr>
        <w:t>厂区道路</w:t>
      </w:r>
      <w:r>
        <w:rPr>
          <w:rFonts w:hint="eastAsia" w:ascii="宋体" w:hAnsi="宋体" w:eastAsia="宋体" w:cs="宋体"/>
          <w:color w:val="000000" w:themeColor="text1"/>
          <w:sz w:val="28"/>
          <w:szCs w:val="28"/>
          <w14:textFill>
            <w14:solidFill>
              <w14:schemeClr w14:val="tx1"/>
            </w14:solidFill>
          </w14:textFill>
        </w:rPr>
        <w:t>进行了检查，总平面布置各功能区</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分布合理，布局连续紧凑，分区明确，生产环境良好，便于管理，能够满足目前安全生产的要求。</w:t>
      </w:r>
    </w:p>
    <w:p w14:paraId="3604FEE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项目平面布置</w:t>
      </w:r>
      <w:r>
        <w:rPr>
          <w:rFonts w:hint="eastAsia" w:ascii="宋体" w:hAnsi="宋体" w:eastAsia="宋体" w:cs="宋体"/>
          <w:color w:val="000000" w:themeColor="text1"/>
          <w:sz w:val="28"/>
          <w:szCs w:val="28"/>
          <w:lang w:val="en-US" w:eastAsia="zh-CN"/>
          <w14:textFill>
            <w14:solidFill>
              <w14:schemeClr w14:val="tx1"/>
            </w14:solidFill>
          </w14:textFill>
        </w:rPr>
        <w:t>符合</w:t>
      </w:r>
      <w:r>
        <w:rPr>
          <w:rFonts w:hint="eastAsia" w:ascii="宋体" w:hAnsi="宋体" w:eastAsia="宋体" w:cs="宋体"/>
          <w:color w:val="000000" w:themeColor="text1"/>
          <w:sz w:val="28"/>
          <w:szCs w:val="28"/>
          <w14:textFill>
            <w14:solidFill>
              <w14:schemeClr w14:val="tx1"/>
            </w14:solidFill>
          </w14:textFill>
        </w:rPr>
        <w:t>《工业企业总平面设计规范》（</w:t>
      </w:r>
      <w:r>
        <w:rPr>
          <w:rFonts w:hint="eastAsia" w:ascii="宋体" w:hAnsi="宋体" w:eastAsia="宋体" w:cs="宋体"/>
          <w:color w:val="000000" w:themeColor="text1"/>
          <w:sz w:val="28"/>
          <w:szCs w:val="28"/>
          <w:lang w:val="zh-CN"/>
          <w14:textFill>
            <w14:solidFill>
              <w14:schemeClr w14:val="tx1"/>
            </w14:solidFill>
          </w14:textFill>
        </w:rPr>
        <w:t>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50187-2012）、《工业企业厂内铁路、道路运输安全规程》（GB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4387-2008）</w:t>
      </w:r>
      <w:r>
        <w:rPr>
          <w:rFonts w:hint="eastAsia" w:ascii="宋体" w:hAnsi="宋体" w:eastAsia="宋体" w:cs="宋体"/>
          <w:color w:val="000000" w:themeColor="text1"/>
          <w:sz w:val="28"/>
          <w:szCs w:val="28"/>
          <w14:textFill>
            <w14:solidFill>
              <w14:schemeClr w14:val="tx1"/>
            </w14:solidFill>
          </w14:textFill>
        </w:rPr>
        <w:t>和《建筑设计防火规范〔2018版〕》（GB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50016-2014）中的</w:t>
      </w:r>
      <w:r>
        <w:rPr>
          <w:rFonts w:hint="eastAsia" w:ascii="宋体" w:hAnsi="宋体" w:eastAsia="宋体" w:cs="宋体"/>
          <w:color w:val="000000" w:themeColor="text1"/>
          <w:sz w:val="28"/>
          <w:szCs w:val="28"/>
          <w:lang w:val="en-US" w:eastAsia="zh-CN"/>
          <w14:textFill>
            <w14:solidFill>
              <w14:schemeClr w14:val="tx1"/>
            </w14:solidFill>
          </w14:textFill>
        </w:rPr>
        <w:t>规范要求</w:t>
      </w:r>
      <w:r>
        <w:rPr>
          <w:rFonts w:hint="eastAsia" w:ascii="宋体" w:hAnsi="宋体" w:eastAsia="宋体" w:cs="宋体"/>
          <w:color w:val="000000" w:themeColor="text1"/>
          <w:sz w:val="28"/>
          <w:szCs w:val="28"/>
          <w14:textFill>
            <w14:solidFill>
              <w14:schemeClr w14:val="tx1"/>
            </w14:solidFill>
          </w14:textFill>
        </w:rPr>
        <w:t>。</w:t>
      </w:r>
    </w:p>
    <w:p w14:paraId="2A587B97">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695" w:name="_Toc32345"/>
      <w:bookmarkStart w:id="696" w:name="_Toc18641"/>
      <w:bookmarkStart w:id="697" w:name="_Toc19848"/>
      <w:bookmarkStart w:id="698" w:name="_Toc21024"/>
      <w:bookmarkStart w:id="699" w:name="_Toc313545238"/>
      <w:bookmarkStart w:id="700" w:name="_Toc335926278"/>
      <w:bookmarkStart w:id="701" w:name="_Toc8408"/>
      <w:bookmarkStart w:id="702" w:name="_Toc313453594"/>
      <w:bookmarkStart w:id="703" w:name="_Toc145775716"/>
      <w:r>
        <w:rPr>
          <w:rFonts w:hint="default" w:ascii="Times New Roman" w:hAnsi="Times New Roman" w:eastAsia="楷体" w:cs="Times New Roman"/>
          <w:color w:val="000000" w:themeColor="text1"/>
          <w14:textFill>
            <w14:solidFill>
              <w14:schemeClr w14:val="tx1"/>
            </w14:solidFill>
          </w14:textFill>
        </w:rPr>
        <w:t>5.2</w:t>
      </w:r>
      <w:r>
        <w:rPr>
          <w:rFonts w:hint="eastAsia" w:ascii="Times New Roman" w:hAnsi="Times New Roman" w:cs="Times New Roman"/>
          <w:color w:val="000000" w:themeColor="text1"/>
          <w:lang w:val="en-US" w:eastAsia="zh-CN"/>
          <w14:textFill>
            <w14:solidFill>
              <w14:schemeClr w14:val="tx1"/>
            </w14:solidFill>
          </w14:textFill>
        </w:rPr>
        <w:t xml:space="preserve"> 生产</w:t>
      </w:r>
      <w:r>
        <w:rPr>
          <w:rFonts w:hint="default" w:ascii="Times New Roman" w:hAnsi="Times New Roman" w:eastAsia="楷体" w:cs="Times New Roman"/>
          <w:color w:val="000000" w:themeColor="text1"/>
          <w14:textFill>
            <w14:solidFill>
              <w14:schemeClr w14:val="tx1"/>
            </w14:solidFill>
          </w14:textFill>
        </w:rPr>
        <w:t>工艺</w:t>
      </w:r>
      <w:r>
        <w:rPr>
          <w:rFonts w:hint="eastAsia" w:ascii="Times New Roman" w:hAnsi="Times New Roman" w:cs="Times New Roman"/>
          <w:color w:val="000000" w:themeColor="text1"/>
          <w:lang w:val="en-US" w:eastAsia="zh-CN"/>
          <w14:textFill>
            <w14:solidFill>
              <w14:schemeClr w14:val="tx1"/>
            </w14:solidFill>
          </w14:textFill>
        </w:rPr>
        <w:t>及设备设施</w:t>
      </w:r>
      <w:r>
        <w:rPr>
          <w:rFonts w:hint="default" w:ascii="Times New Roman" w:hAnsi="Times New Roman" w:eastAsia="楷体" w:cs="Times New Roman"/>
          <w:color w:val="000000" w:themeColor="text1"/>
          <w14:textFill>
            <w14:solidFill>
              <w14:schemeClr w14:val="tx1"/>
            </w14:solidFill>
          </w14:textFill>
        </w:rPr>
        <w:t>评价单元</w:t>
      </w:r>
      <w:bookmarkEnd w:id="695"/>
      <w:bookmarkEnd w:id="696"/>
      <w:bookmarkEnd w:id="697"/>
      <w:bookmarkEnd w:id="698"/>
    </w:p>
    <w:p w14:paraId="14A221E3">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04" w:name="_Toc23262"/>
      <w:bookmarkStart w:id="705" w:name="_Toc30203"/>
      <w:bookmarkStart w:id="706" w:name="_Toc25440"/>
      <w:r>
        <w:rPr>
          <w:rFonts w:hint="default" w:ascii="Times New Roman" w:hAnsi="Times New Roman" w:eastAsia="黑体" w:cs="Times New Roman"/>
          <w:color w:val="000000" w:themeColor="text1"/>
          <w:lang w:val="en-US" w:eastAsia="zh-CN"/>
          <w14:textFill>
            <w14:solidFill>
              <w14:schemeClr w14:val="tx1"/>
            </w14:solidFill>
          </w14:textFill>
        </w:rPr>
        <w:t>5.2.1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安全检查</w:t>
      </w:r>
      <w:bookmarkEnd w:id="699"/>
      <w:r>
        <w:rPr>
          <w:rFonts w:hint="default" w:ascii="Times New Roman" w:hAnsi="Times New Roman" w:eastAsia="黑体" w:cs="Times New Roman"/>
          <w:color w:val="000000" w:themeColor="text1"/>
          <w:lang w:val="en-US" w:eastAsia="zh-CN"/>
          <w14:textFill>
            <w14:solidFill>
              <w14:schemeClr w14:val="tx1"/>
            </w14:solidFill>
          </w14:textFill>
        </w:rPr>
        <w:t>表</w:t>
      </w:r>
      <w:bookmarkEnd w:id="700"/>
      <w:bookmarkEnd w:id="701"/>
      <w:bookmarkEnd w:id="704"/>
      <w:bookmarkEnd w:id="705"/>
      <w:bookmarkEnd w:id="706"/>
      <w:bookmarkStart w:id="707" w:name="_Toc335926279"/>
      <w:bookmarkStart w:id="708" w:name="_Toc21611"/>
    </w:p>
    <w:p w14:paraId="032001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按照《生产设备安全卫生设计总则》（GB5083-</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）、《生产过程安全卫生要求总则》（GB/T 12801-2008）、《中华人民共和国安全生产法》（中华人民共和国主席令第88号，2021年修订）、</w:t>
      </w:r>
      <w:r>
        <w:rPr>
          <w:rFonts w:hint="eastAsia" w:ascii="宋体" w:hAnsi="宋体" w:eastAsia="宋体" w:cs="宋体"/>
          <w:color w:val="000000" w:themeColor="text1"/>
          <w:kern w:val="0"/>
          <w:sz w:val="28"/>
          <w:szCs w:val="28"/>
          <w14:textFill>
            <w14:solidFill>
              <w14:schemeClr w14:val="tx1"/>
            </w14:solidFill>
          </w14:textFill>
        </w:rPr>
        <w:t>《压力容器定期检验规则》（TSG R7001-2013）</w:t>
      </w:r>
      <w:r>
        <w:rPr>
          <w:rFonts w:hint="eastAsia" w:ascii="宋体" w:hAnsi="宋体" w:eastAsia="宋体" w:cs="宋体"/>
          <w:color w:val="000000" w:themeColor="text1"/>
          <w:sz w:val="28"/>
          <w:szCs w:val="28"/>
          <w14:textFill>
            <w14:solidFill>
              <w14:schemeClr w14:val="tx1"/>
            </w14:solidFill>
          </w14:textFill>
        </w:rPr>
        <w:t>等标准规范的规定，对该项目的生产工艺设备设施采用安全检查表法进行分析评价。检查结果见表5-</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w:t>
      </w:r>
    </w:p>
    <w:p w14:paraId="14BD37FE">
      <w:pPr>
        <w:adjustRightInd w:val="0"/>
        <w:snapToGrid w:val="0"/>
        <w:spacing w:line="240" w:lineRule="auto"/>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表5-</w:t>
      </w:r>
      <w:r>
        <w:rPr>
          <w:rFonts w:hint="eastAsia" w:hAnsi="宋体" w:cs="宋体"/>
          <w:b/>
          <w:bCs/>
          <w:color w:val="000000" w:themeColor="text1"/>
          <w:sz w:val="24"/>
          <w:lang w:val="en-US" w:eastAsia="zh-CN"/>
          <w14:textFill>
            <w14:solidFill>
              <w14:schemeClr w14:val="tx1"/>
            </w14:solidFill>
          </w14:textFill>
        </w:rPr>
        <w:t>2</w:t>
      </w:r>
      <w:r>
        <w:rPr>
          <w:rFonts w:hint="eastAsia" w:ascii="宋体" w:hAnsi="宋体" w:eastAsia="宋体" w:cs="宋体"/>
          <w:b/>
          <w:bCs/>
          <w:color w:val="000000" w:themeColor="text1"/>
          <w:sz w:val="24"/>
          <w14:textFill>
            <w14:solidFill>
              <w14:schemeClr w14:val="tx1"/>
            </w14:solidFill>
          </w14:textFill>
        </w:rPr>
        <w:t xml:space="preserve">  生产工艺及设备设施安全检查表</w:t>
      </w:r>
    </w:p>
    <w:tbl>
      <w:tblPr>
        <w:tblStyle w:val="52"/>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235"/>
        <w:gridCol w:w="2140"/>
        <w:gridCol w:w="2070"/>
        <w:gridCol w:w="845"/>
      </w:tblGrid>
      <w:tr w14:paraId="4B61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57" w:type="dxa"/>
            <w:vAlign w:val="center"/>
          </w:tcPr>
          <w:p w14:paraId="48A8DCC8">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235" w:type="dxa"/>
            <w:vAlign w:val="center"/>
          </w:tcPr>
          <w:p w14:paraId="0B389B03">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40" w:type="dxa"/>
            <w:vAlign w:val="center"/>
          </w:tcPr>
          <w:p w14:paraId="0C0063E0">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2070" w:type="dxa"/>
            <w:vAlign w:val="center"/>
          </w:tcPr>
          <w:p w14:paraId="24C054AE">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845" w:type="dxa"/>
            <w:vAlign w:val="center"/>
          </w:tcPr>
          <w:p w14:paraId="4A14C9DE">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0952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765E4CF">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5E4E6649">
            <w:pPr>
              <w:autoSpaceDE w:val="0"/>
              <w:autoSpaceDN w:val="0"/>
              <w:adjustRightInd w:val="0"/>
              <w:snapToGrid w:val="0"/>
              <w:spacing w:line="300" w:lineRule="exact"/>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生产经营单位不得使用应当淘汰的危及生产安全的工艺、设备。</w:t>
            </w:r>
          </w:p>
        </w:tc>
        <w:tc>
          <w:tcPr>
            <w:tcW w:w="2140" w:type="dxa"/>
            <w:vAlign w:val="center"/>
          </w:tcPr>
          <w:p w14:paraId="0EAA332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《中华人民共和国安全生产法》（中华人民共和国主席令第88号，2021年修订）</w:t>
            </w:r>
          </w:p>
          <w:p w14:paraId="32FF2D84">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第三十八条</w:t>
            </w:r>
          </w:p>
        </w:tc>
        <w:tc>
          <w:tcPr>
            <w:tcW w:w="2070" w:type="dxa"/>
            <w:vAlign w:val="center"/>
          </w:tcPr>
          <w:p w14:paraId="2E9F94F3">
            <w:pPr>
              <w:adjustRightInd w:val="0"/>
              <w:snapToGrid w:val="0"/>
              <w:spacing w:line="300" w:lineRule="exac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没有使用国家明令淘汰、禁止使用的危及生产安全的工艺、设备</w:t>
            </w:r>
            <w:r>
              <w:rPr>
                <w:rFonts w:hint="eastAsia" w:ascii="宋体" w:hAnsi="宋体" w:eastAsia="宋体" w:cs="宋体"/>
                <w:snapToGrid w:val="0"/>
                <w:color w:val="000000" w:themeColor="text1"/>
                <w:kern w:val="0"/>
                <w:sz w:val="21"/>
                <w:szCs w:val="21"/>
                <w14:textFill>
                  <w14:solidFill>
                    <w14:schemeClr w14:val="tx1"/>
                  </w14:solidFill>
                </w14:textFill>
              </w:rPr>
              <w:t>。</w:t>
            </w:r>
          </w:p>
        </w:tc>
        <w:tc>
          <w:tcPr>
            <w:tcW w:w="845" w:type="dxa"/>
            <w:vAlign w:val="center"/>
          </w:tcPr>
          <w:p w14:paraId="2806BE13">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A54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1107A0C2">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20D3FE3C">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对工艺、作业和施工过程的控制、检测系统的要求：</w:t>
            </w:r>
          </w:p>
          <w:p w14:paraId="10A68E9B">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a）对事故后果严重的生产过程，应按冗余原则，设计备用装置或备用系统，并能保证在出现危险时能自动转换到备用装置或备用系统；</w:t>
            </w:r>
          </w:p>
          <w:p w14:paraId="0590DA2F">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b）各种仪器、仪表、监测记录装置等，必须选用合理，灵敏可靠，易于辨识。</w:t>
            </w:r>
          </w:p>
        </w:tc>
        <w:tc>
          <w:tcPr>
            <w:tcW w:w="2140" w:type="dxa"/>
            <w:vAlign w:val="center"/>
          </w:tcPr>
          <w:p w14:paraId="2DBA1FF1">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 T12801-2008）第5.3.2条</w:t>
            </w:r>
          </w:p>
        </w:tc>
        <w:tc>
          <w:tcPr>
            <w:tcW w:w="2070" w:type="dxa"/>
            <w:vAlign w:val="center"/>
          </w:tcPr>
          <w:p w14:paraId="735D7094">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工艺、作业满足以上要求。</w:t>
            </w:r>
          </w:p>
        </w:tc>
        <w:tc>
          <w:tcPr>
            <w:tcW w:w="845" w:type="dxa"/>
            <w:vAlign w:val="center"/>
          </w:tcPr>
          <w:p w14:paraId="69233C74">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A68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29D1F11">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4ECD437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配置设备、设施、管线、电缆和组织作业区的基本要求</w:t>
            </w:r>
          </w:p>
          <w:p w14:paraId="7F31A457">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a）在生产厂房和作业场地上配置的生产设备、设施、管线、电缆以及堆放的生产物料、产品和剩余物料，不应对人员、生产和运输造成危险和有害影响；</w:t>
            </w:r>
          </w:p>
          <w:p w14:paraId="20EE3B8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b）各设备之间，管线之间，以及设备、管线与厂房、建（构）筑物的墙壁之间的距离，均应符合有关设计和建筑规范要求；</w:t>
            </w:r>
          </w:p>
          <w:p w14:paraId="2EF31680">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c）在设备、设施、管线上需要人员操作、监察和维修，并有发生高处坠落危险的部位，应配置扶梯、平台、围栏和系挂装置等附属设施。</w:t>
            </w:r>
          </w:p>
        </w:tc>
        <w:tc>
          <w:tcPr>
            <w:tcW w:w="2140" w:type="dxa"/>
            <w:vAlign w:val="center"/>
          </w:tcPr>
          <w:p w14:paraId="22532EC3">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12801-2008）第5.7.1条</w:t>
            </w:r>
          </w:p>
        </w:tc>
        <w:tc>
          <w:tcPr>
            <w:tcW w:w="2070" w:type="dxa"/>
            <w:vAlign w:val="center"/>
          </w:tcPr>
          <w:p w14:paraId="1CEE9DE9">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配置设备、设施、管线、电缆和组织作业区满足要求。</w:t>
            </w:r>
          </w:p>
        </w:tc>
        <w:tc>
          <w:tcPr>
            <w:tcW w:w="845" w:type="dxa"/>
            <w:vAlign w:val="center"/>
          </w:tcPr>
          <w:p w14:paraId="360AA743">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49C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4B0694CA">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55E84AA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设备布置的原则：</w:t>
            </w:r>
          </w:p>
          <w:p w14:paraId="3DFF4403">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a）便于操作和维护；</w:t>
            </w:r>
          </w:p>
          <w:p w14:paraId="57D0285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b）发生火灾或出现紧急情况时，便于人员撤离；</w:t>
            </w:r>
          </w:p>
          <w:p w14:paraId="13015AA5">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c）尽量避免生产装置之间危害因素的相互影响，减小对人员的综合作用；</w:t>
            </w:r>
          </w:p>
          <w:p w14:paraId="672EA6E0">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d）布置具有潜在危险的设备时，应根据有关规定进行分散和隔离，并设置必要的提示、标志和警告信号；</w:t>
            </w:r>
          </w:p>
          <w:p w14:paraId="20E152E7">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e）对振动、爆炸敏感的设备，应进行隔离或设置屏蔽、防护墙、减振设施等；</w:t>
            </w:r>
          </w:p>
          <w:p w14:paraId="2E8B8C9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f） 设备的噪声超过有关标准规定时，应予以隔离；</w:t>
            </w:r>
          </w:p>
          <w:p w14:paraId="47A080C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g）加热设备及反应釜等的作业孔、操纵器、观察孔等应有防护设施；作业区的热辐射强度不应超过有关规定。</w:t>
            </w:r>
          </w:p>
        </w:tc>
        <w:tc>
          <w:tcPr>
            <w:tcW w:w="2140" w:type="dxa"/>
            <w:vAlign w:val="center"/>
          </w:tcPr>
          <w:p w14:paraId="11A70F4A">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12801-2008）第5.7.2条</w:t>
            </w:r>
          </w:p>
        </w:tc>
        <w:tc>
          <w:tcPr>
            <w:tcW w:w="2070" w:type="dxa"/>
            <w:vAlign w:val="center"/>
          </w:tcPr>
          <w:p w14:paraId="02C333DF">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该项目均选用低噪声设备，周围没有对振动要求高</w:t>
            </w:r>
            <w:r>
              <w:rPr>
                <w:rFonts w:hint="eastAsia" w:ascii="宋体" w:hAnsi="宋体" w:eastAsia="宋体" w:cs="宋体"/>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设备，均按相关要求规定进行布置，有足够的操作空间；设置了2个紧急出入口，发生事故便于人员撤离。</w:t>
            </w:r>
          </w:p>
        </w:tc>
        <w:tc>
          <w:tcPr>
            <w:tcW w:w="845" w:type="dxa"/>
            <w:vAlign w:val="center"/>
          </w:tcPr>
          <w:p w14:paraId="49DD316E">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AE5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642C1DC">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0B0B479E">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企业应按照GB11651和国家颁发的劳动防护用品配备标准和有关规定，为从业人员配备劳动防护用品。</w:t>
            </w:r>
          </w:p>
        </w:tc>
        <w:tc>
          <w:tcPr>
            <w:tcW w:w="2140" w:type="dxa"/>
            <w:vAlign w:val="center"/>
          </w:tcPr>
          <w:p w14:paraId="03415D8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12801-2008）第6.2.1条</w:t>
            </w:r>
          </w:p>
        </w:tc>
        <w:tc>
          <w:tcPr>
            <w:tcW w:w="2070" w:type="dxa"/>
            <w:vAlign w:val="center"/>
          </w:tcPr>
          <w:p w14:paraId="07BCB401">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企业向从业人员定期发放劳动防护用品。</w:t>
            </w:r>
          </w:p>
        </w:tc>
        <w:tc>
          <w:tcPr>
            <w:tcW w:w="845" w:type="dxa"/>
            <w:vAlign w:val="center"/>
          </w:tcPr>
          <w:p w14:paraId="7FF8541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4E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64C1DF5">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7310FB0F">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具有火灾危险的工作过程，应综合考虑防火防爆措施和报警系统，合理选择和配置消防设施。</w:t>
            </w:r>
          </w:p>
        </w:tc>
        <w:tc>
          <w:tcPr>
            <w:tcW w:w="2140" w:type="dxa"/>
            <w:vAlign w:val="center"/>
          </w:tcPr>
          <w:p w14:paraId="47B7802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《生产过程安全卫生要求总则》（GB12801-2008）</w:t>
            </w:r>
          </w:p>
          <w:p w14:paraId="4BED833C">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第6.3.1条</w:t>
            </w:r>
          </w:p>
        </w:tc>
        <w:tc>
          <w:tcPr>
            <w:tcW w:w="2070" w:type="dxa"/>
            <w:vAlign w:val="center"/>
          </w:tcPr>
          <w:p w14:paraId="5A0C5CC6">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w:t>
            </w:r>
            <w:r>
              <w:rPr>
                <w:rFonts w:hint="eastAsia" w:ascii="宋体" w:hAnsi="宋体" w:eastAsia="宋体" w:cs="宋体"/>
                <w:color w:val="000000" w:themeColor="text1"/>
                <w:sz w:val="21"/>
                <w:szCs w:val="21"/>
                <w:lang w:val="en-US" w:eastAsia="zh-CN"/>
                <w14:textFill>
                  <w14:solidFill>
                    <w14:schemeClr w14:val="tx1"/>
                  </w14:solidFill>
                </w14:textFill>
              </w:rPr>
              <w:t>生产区</w:t>
            </w:r>
            <w:r>
              <w:rPr>
                <w:rFonts w:hint="eastAsia" w:ascii="宋体" w:hAnsi="宋体" w:eastAsia="宋体" w:cs="宋体"/>
                <w:color w:val="000000" w:themeColor="text1"/>
                <w:sz w:val="21"/>
                <w:szCs w:val="21"/>
                <w14:textFill>
                  <w14:solidFill>
                    <w14:schemeClr w14:val="tx1"/>
                  </w14:solidFill>
                </w14:textFill>
              </w:rPr>
              <w:t>、办公室等区域配备了灭火器。</w:t>
            </w:r>
          </w:p>
        </w:tc>
        <w:tc>
          <w:tcPr>
            <w:tcW w:w="845" w:type="dxa"/>
            <w:vAlign w:val="center"/>
          </w:tcPr>
          <w:p w14:paraId="19351F7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E3C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372890E">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6277D940">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生产设备(包括零部件)应有符合产品安全性能的力学特性、稳定性和可靠性。在按规定条件制</w:t>
            </w:r>
          </w:p>
          <w:p w14:paraId="78D96BE4">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造、运输、储存、安装、使用和拆除时，不应对人员造成危害。</w:t>
            </w:r>
          </w:p>
        </w:tc>
        <w:tc>
          <w:tcPr>
            <w:tcW w:w="2140" w:type="dxa"/>
            <w:vAlign w:val="center"/>
          </w:tcPr>
          <w:p w14:paraId="10C51E89">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《生产设备安全卫生设计总则》（GB5083-2023）第4.2条</w:t>
            </w:r>
          </w:p>
        </w:tc>
        <w:tc>
          <w:tcPr>
            <w:tcW w:w="2070" w:type="dxa"/>
            <w:vAlign w:val="center"/>
          </w:tcPr>
          <w:p w14:paraId="28CDC02F">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该项目生产设备均通过具有生产资质的厂家采购，设备有产品合格证，各设备危险点均采取了相应防护措施。</w:t>
            </w:r>
          </w:p>
        </w:tc>
        <w:tc>
          <w:tcPr>
            <w:tcW w:w="845" w:type="dxa"/>
            <w:vAlign w:val="center"/>
          </w:tcPr>
          <w:p w14:paraId="3E305F6C">
            <w:pPr>
              <w:snapToGrid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1C9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2384FE3">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1B63D95">
            <w:pPr>
              <w:adjustRightInd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生产设备不应在振动、风载荷或其他外载荷作用下倾覆或产生允许范围外的运动或位移。</w:t>
            </w:r>
          </w:p>
        </w:tc>
        <w:tc>
          <w:tcPr>
            <w:tcW w:w="2140" w:type="dxa"/>
            <w:shd w:val="clear" w:color="auto" w:fill="auto"/>
            <w:vAlign w:val="center"/>
          </w:tcPr>
          <w:p w14:paraId="3C41FF07">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29318B38">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第5.3.1条</w:t>
            </w:r>
          </w:p>
        </w:tc>
        <w:tc>
          <w:tcPr>
            <w:tcW w:w="2070" w:type="dxa"/>
            <w:shd w:val="clear" w:color="auto" w:fill="auto"/>
            <w:vAlign w:val="center"/>
          </w:tcPr>
          <w:p w14:paraId="71A054F0">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生产设备没有在上述条件下运动。</w:t>
            </w:r>
          </w:p>
        </w:tc>
        <w:tc>
          <w:tcPr>
            <w:tcW w:w="845" w:type="dxa"/>
            <w:shd w:val="clear" w:color="auto" w:fill="auto"/>
            <w:vAlign w:val="center"/>
          </w:tcPr>
          <w:p w14:paraId="2AC63EE3">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3BC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AAA4988">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25D42213">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生产设备的控制装置不应使用联锁装置代替控制开关执行常规机械功能。</w:t>
            </w:r>
          </w:p>
        </w:tc>
        <w:tc>
          <w:tcPr>
            <w:tcW w:w="2140" w:type="dxa"/>
            <w:shd w:val="clear" w:color="auto" w:fill="auto"/>
            <w:vAlign w:val="center"/>
          </w:tcPr>
          <w:p w14:paraId="6AA8F61D">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4459E31E">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第5.6.2.9条</w:t>
            </w:r>
          </w:p>
        </w:tc>
        <w:tc>
          <w:tcPr>
            <w:tcW w:w="2070" w:type="dxa"/>
            <w:shd w:val="clear" w:color="auto" w:fill="auto"/>
            <w:vAlign w:val="center"/>
          </w:tcPr>
          <w:p w14:paraId="534AD537">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生产设备的控制开关为手动开关。</w:t>
            </w:r>
          </w:p>
        </w:tc>
        <w:tc>
          <w:tcPr>
            <w:tcW w:w="845" w:type="dxa"/>
            <w:shd w:val="clear" w:color="auto" w:fill="auto"/>
            <w:vAlign w:val="center"/>
          </w:tcPr>
          <w:p w14:paraId="7F4FCB3B">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3F9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B7D9686">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lang w:val="en-US" w:eastAsia="zh-CN" w:bidi="ar-SA"/>
                <w14:textFill>
                  <w14:solidFill>
                    <w14:schemeClr w14:val="tx1"/>
                  </w14:solidFill>
                </w14:textFill>
              </w:rPr>
            </w:pPr>
          </w:p>
        </w:tc>
        <w:tc>
          <w:tcPr>
            <w:tcW w:w="3235" w:type="dxa"/>
            <w:shd w:val="clear" w:color="auto" w:fill="auto"/>
            <w:vAlign w:val="center"/>
          </w:tcPr>
          <w:p w14:paraId="2D8696F2">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生产设备上供人员作业的操作位置应安全可靠，并应满足人机交互功能的要求。其工作空间应保证作业人员的身体各部位在作业中可正常活动。危险作业点应留有安全退避空间。</w:t>
            </w:r>
          </w:p>
        </w:tc>
        <w:tc>
          <w:tcPr>
            <w:tcW w:w="2140" w:type="dxa"/>
            <w:shd w:val="clear" w:color="auto" w:fill="auto"/>
            <w:vAlign w:val="center"/>
          </w:tcPr>
          <w:p w14:paraId="3A93B141">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《生产设备安全卫生设计总则》（GB5083-2023）第5.7.1条</w:t>
            </w:r>
          </w:p>
        </w:tc>
        <w:tc>
          <w:tcPr>
            <w:tcW w:w="2070" w:type="dxa"/>
            <w:shd w:val="clear" w:color="auto" w:fill="auto"/>
            <w:vAlign w:val="center"/>
          </w:tcPr>
          <w:p w14:paraId="7B9900AD">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default" w:ascii="宋体" w:hAnsi="宋体" w:eastAsia="宋体" w:cs="宋体"/>
                <w:color w:val="000000" w:themeColor="text1"/>
                <w:sz w:val="21"/>
                <w:szCs w:val="21"/>
                <w:lang w:val="en-US" w:eastAsia="zh-CN" w:bidi="ar-SA"/>
                <w14:textFill>
                  <w14:solidFill>
                    <w14:schemeClr w14:val="tx1"/>
                  </w14:solidFill>
                </w14:textFill>
              </w:rPr>
              <w:t>设备工作空间可以保证操作人员的头、臂、手、腿、足在正常作业中有充分的活动余地。</w:t>
            </w:r>
          </w:p>
        </w:tc>
        <w:tc>
          <w:tcPr>
            <w:tcW w:w="845" w:type="dxa"/>
            <w:shd w:val="clear" w:color="auto" w:fill="auto"/>
            <w:vAlign w:val="center"/>
          </w:tcPr>
          <w:p w14:paraId="5D4FD08B">
            <w:pPr>
              <w:pStyle w:val="356"/>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094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DEE2BFC">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1E3DFD4">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生产设备的操作点和操作区域应防止各种频闪效应和眩光现象,其照明设计应按GB50034 的规定执行。生产设备本体照明设计应符合视觉工效学原则。</w:t>
            </w:r>
          </w:p>
        </w:tc>
        <w:tc>
          <w:tcPr>
            <w:tcW w:w="2140" w:type="dxa"/>
            <w:shd w:val="clear" w:color="auto" w:fill="auto"/>
            <w:vAlign w:val="center"/>
          </w:tcPr>
          <w:p w14:paraId="2C7EE0DC">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《生产设备安全卫生设计总则》（GB5083-2023）第5.8.1条</w:t>
            </w:r>
          </w:p>
        </w:tc>
        <w:tc>
          <w:tcPr>
            <w:tcW w:w="2070" w:type="dxa"/>
            <w:shd w:val="clear" w:color="auto" w:fill="auto"/>
            <w:vAlign w:val="center"/>
          </w:tcPr>
          <w:p w14:paraId="1A45A3BD">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default" w:ascii="宋体" w:hAnsi="宋体" w:eastAsia="宋体" w:cs="宋体"/>
                <w:color w:val="000000" w:themeColor="text1"/>
                <w:sz w:val="21"/>
                <w:szCs w:val="21"/>
                <w:lang w:val="en-US" w:eastAsia="zh-CN" w:bidi="ar-SA"/>
                <w14:textFill>
                  <w14:solidFill>
                    <w14:schemeClr w14:val="tx1"/>
                  </w14:solidFill>
                </w14:textFill>
              </w:rPr>
              <w:t>生产车间安装照明设施。</w:t>
            </w:r>
          </w:p>
        </w:tc>
        <w:tc>
          <w:tcPr>
            <w:tcW w:w="845" w:type="dxa"/>
            <w:shd w:val="clear" w:color="auto" w:fill="auto"/>
            <w:vAlign w:val="center"/>
          </w:tcPr>
          <w:p w14:paraId="6615E7AC">
            <w:pPr>
              <w:pStyle w:val="356"/>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符合</w:t>
            </w:r>
          </w:p>
        </w:tc>
      </w:tr>
      <w:tr w14:paraId="17CE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3674AB0A">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2511ECFC">
            <w:pPr>
              <w:pStyle w:val="357"/>
              <w:overflowPunct w:val="0"/>
              <w:snapToGrid w:val="0"/>
              <w:spacing w:line="300" w:lineRule="exact"/>
              <w:jc w:val="both"/>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生产设备运行时可能触及并易造成人身伤害的可动零部件应配置安全卫生防护装置。</w:t>
            </w:r>
          </w:p>
        </w:tc>
        <w:tc>
          <w:tcPr>
            <w:tcW w:w="2140" w:type="dxa"/>
            <w:shd w:val="clear" w:color="auto" w:fill="auto"/>
            <w:vAlign w:val="center"/>
          </w:tcPr>
          <w:p w14:paraId="076A0937">
            <w:pPr>
              <w:pStyle w:val="357"/>
              <w:overflowPunct w:val="0"/>
              <w:snapToGrid w:val="0"/>
              <w:spacing w:line="300" w:lineRule="exact"/>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3BE39F34">
            <w:pPr>
              <w:pStyle w:val="357"/>
              <w:overflowPunct w:val="0"/>
              <w:snapToGrid w:val="0"/>
              <w:spacing w:line="300" w:lineRule="exact"/>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第6.1.1条</w:t>
            </w:r>
          </w:p>
        </w:tc>
        <w:tc>
          <w:tcPr>
            <w:tcW w:w="2070" w:type="dxa"/>
            <w:shd w:val="clear" w:color="auto" w:fill="auto"/>
            <w:vAlign w:val="center"/>
          </w:tcPr>
          <w:p w14:paraId="32F49D5D">
            <w:pPr>
              <w:overflowPunct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各设备存在危险的部位均设置了防护网、罩防护。</w:t>
            </w:r>
          </w:p>
        </w:tc>
        <w:tc>
          <w:tcPr>
            <w:tcW w:w="845" w:type="dxa"/>
            <w:shd w:val="clear" w:color="auto" w:fill="auto"/>
            <w:vAlign w:val="center"/>
          </w:tcPr>
          <w:p w14:paraId="553DD881">
            <w:pPr>
              <w:overflowPunct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82A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68046880">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540336B">
            <w:pPr>
              <w:bidi w:val="0"/>
              <w:rPr>
                <w:rFonts w:hint="eastAsia"/>
                <w:sz w:val="21"/>
                <w:szCs w:val="21"/>
                <w:lang w:val="en-US" w:eastAsia="zh-CN"/>
              </w:rPr>
            </w:pPr>
            <w:r>
              <w:rPr>
                <w:rFonts w:hint="eastAsia"/>
                <w:sz w:val="21"/>
                <w:szCs w:val="21"/>
                <w:lang w:val="en-US" w:eastAsia="zh-CN"/>
              </w:rPr>
              <w:t>建（构）筑物的通风换气条件，应保证作业环境空气中的危险和有害物质浓度不超过国家卫生标准和防爆规定。</w:t>
            </w:r>
          </w:p>
        </w:tc>
        <w:tc>
          <w:tcPr>
            <w:tcW w:w="2140" w:type="dxa"/>
            <w:shd w:val="clear" w:color="auto" w:fill="auto"/>
            <w:vAlign w:val="center"/>
          </w:tcPr>
          <w:p w14:paraId="5E2A0C40">
            <w:pPr>
              <w:bidi w:val="0"/>
              <w:rPr>
                <w:rFonts w:hint="eastAsia"/>
                <w:sz w:val="21"/>
                <w:szCs w:val="21"/>
                <w:lang w:val="en-US" w:eastAsia="zh-CN"/>
              </w:rPr>
            </w:pPr>
            <w:r>
              <w:rPr>
                <w:rFonts w:hint="eastAsia"/>
                <w:sz w:val="21"/>
                <w:szCs w:val="21"/>
                <w:lang w:val="en-US" w:eastAsia="zh-CN"/>
              </w:rPr>
              <w:t xml:space="preserve">《生产过程安全卫生要求总则》 </w:t>
            </w:r>
          </w:p>
          <w:p w14:paraId="792CFA62">
            <w:pPr>
              <w:bidi w:val="0"/>
              <w:rPr>
                <w:rFonts w:hint="eastAsia"/>
                <w:sz w:val="21"/>
                <w:szCs w:val="21"/>
                <w:lang w:val="en-US" w:eastAsia="zh-CN"/>
              </w:rPr>
            </w:pPr>
            <w:r>
              <w:rPr>
                <w:rFonts w:hint="eastAsia"/>
                <w:sz w:val="21"/>
                <w:szCs w:val="21"/>
                <w:lang w:val="en-US" w:eastAsia="zh-CN"/>
              </w:rPr>
              <w:t>(GB/T 12801-2008)</w:t>
            </w:r>
          </w:p>
          <w:p w14:paraId="7376D887">
            <w:pPr>
              <w:bidi w:val="0"/>
              <w:rPr>
                <w:rFonts w:hint="eastAsia"/>
                <w:sz w:val="21"/>
                <w:szCs w:val="21"/>
                <w:lang w:val="en-US" w:eastAsia="zh-CN"/>
              </w:rPr>
            </w:pPr>
            <w:r>
              <w:rPr>
                <w:rFonts w:hint="eastAsia"/>
                <w:sz w:val="21"/>
                <w:szCs w:val="21"/>
                <w:lang w:val="en-US" w:eastAsia="zh-CN"/>
              </w:rPr>
              <w:t>5.4.2</w:t>
            </w:r>
          </w:p>
        </w:tc>
        <w:tc>
          <w:tcPr>
            <w:tcW w:w="2070" w:type="dxa"/>
            <w:shd w:val="clear" w:color="auto" w:fill="auto"/>
            <w:vAlign w:val="center"/>
          </w:tcPr>
          <w:p w14:paraId="45A556C6">
            <w:pPr>
              <w:bidi w:val="0"/>
              <w:rPr>
                <w:rFonts w:hint="eastAsia"/>
                <w:sz w:val="21"/>
                <w:szCs w:val="21"/>
                <w:lang w:val="en-US" w:eastAsia="zh-CN"/>
              </w:rPr>
            </w:pPr>
            <w:r>
              <w:rPr>
                <w:rFonts w:hint="eastAsia"/>
                <w:sz w:val="21"/>
                <w:szCs w:val="21"/>
                <w:lang w:val="en-US" w:eastAsia="zh-CN"/>
              </w:rPr>
              <w:t>厂房和仓库通风条件较好。</w:t>
            </w:r>
          </w:p>
        </w:tc>
        <w:tc>
          <w:tcPr>
            <w:tcW w:w="845" w:type="dxa"/>
            <w:shd w:val="clear" w:color="auto" w:fill="auto"/>
            <w:vAlign w:val="center"/>
          </w:tcPr>
          <w:p w14:paraId="15371A7C">
            <w:pPr>
              <w:pStyle w:val="69"/>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sz w:val="21"/>
                <w:szCs w:val="21"/>
                <w:lang w:val="en-US" w:eastAsia="zh-CN"/>
              </w:rPr>
              <w:t>符合</w:t>
            </w:r>
          </w:p>
        </w:tc>
      </w:tr>
      <w:tr w14:paraId="7183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18A44402">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DAA8518">
            <w:pPr>
              <w:bidi w:val="0"/>
              <w:rPr>
                <w:rFonts w:hint="eastAsia"/>
                <w:sz w:val="21"/>
                <w:szCs w:val="21"/>
                <w:lang w:val="en-US" w:eastAsia="zh-CN"/>
              </w:rPr>
            </w:pPr>
            <w:r>
              <w:rPr>
                <w:rFonts w:hint="eastAsia"/>
                <w:sz w:val="21"/>
                <w:szCs w:val="21"/>
                <w:lang w:val="en-US" w:eastAsia="zh-CN"/>
              </w:rPr>
              <w:t>危险性作业场所，应设置安全通道；应设应急照明、安全标志和疏散指示标志；门窗应向外开启；通道和出口应保持畅通；出入口的设置应符合有关规定。</w:t>
            </w:r>
          </w:p>
        </w:tc>
        <w:tc>
          <w:tcPr>
            <w:tcW w:w="2140" w:type="dxa"/>
            <w:shd w:val="clear" w:color="auto" w:fill="auto"/>
            <w:vAlign w:val="center"/>
          </w:tcPr>
          <w:p w14:paraId="13F59122">
            <w:pPr>
              <w:bidi w:val="0"/>
              <w:rPr>
                <w:rFonts w:hint="eastAsia"/>
                <w:sz w:val="21"/>
                <w:szCs w:val="21"/>
                <w:lang w:val="en-US" w:eastAsia="zh-CN"/>
              </w:rPr>
            </w:pPr>
            <w:r>
              <w:rPr>
                <w:rFonts w:hint="eastAsia"/>
                <w:sz w:val="21"/>
                <w:szCs w:val="21"/>
                <w:lang w:val="en-US" w:eastAsia="zh-CN"/>
              </w:rPr>
              <w:t xml:space="preserve">《生产过程安全卫生要求总则》 </w:t>
            </w:r>
          </w:p>
          <w:p w14:paraId="2A7D6216">
            <w:pPr>
              <w:bidi w:val="0"/>
              <w:rPr>
                <w:rFonts w:hint="eastAsia"/>
                <w:sz w:val="21"/>
                <w:szCs w:val="21"/>
                <w:lang w:val="en-US" w:eastAsia="zh-CN"/>
              </w:rPr>
            </w:pPr>
            <w:r>
              <w:rPr>
                <w:rFonts w:hint="eastAsia"/>
                <w:sz w:val="21"/>
                <w:szCs w:val="21"/>
                <w:lang w:val="en-US" w:eastAsia="zh-CN"/>
              </w:rPr>
              <w:t>(GB/T 12801-2008)</w:t>
            </w:r>
          </w:p>
          <w:p w14:paraId="78ECF40D">
            <w:pPr>
              <w:bidi w:val="0"/>
              <w:rPr>
                <w:rFonts w:hint="eastAsia"/>
                <w:sz w:val="21"/>
                <w:szCs w:val="21"/>
                <w:lang w:val="en-US" w:eastAsia="zh-CN"/>
              </w:rPr>
            </w:pPr>
            <w:r>
              <w:rPr>
                <w:rFonts w:hint="eastAsia"/>
                <w:sz w:val="21"/>
                <w:szCs w:val="21"/>
                <w:lang w:val="en-US" w:eastAsia="zh-CN"/>
              </w:rPr>
              <w:t>5.4.6</w:t>
            </w:r>
          </w:p>
        </w:tc>
        <w:tc>
          <w:tcPr>
            <w:tcW w:w="2070" w:type="dxa"/>
            <w:shd w:val="clear" w:color="auto" w:fill="auto"/>
            <w:vAlign w:val="center"/>
          </w:tcPr>
          <w:p w14:paraId="7F48A850">
            <w:pPr>
              <w:bidi w:val="0"/>
              <w:rPr>
                <w:rFonts w:hint="eastAsia"/>
                <w:sz w:val="21"/>
                <w:szCs w:val="21"/>
                <w:lang w:val="en-US" w:eastAsia="zh-CN"/>
              </w:rPr>
            </w:pPr>
            <w:r>
              <w:rPr>
                <w:rFonts w:hint="eastAsia"/>
                <w:sz w:val="21"/>
                <w:szCs w:val="21"/>
                <w:lang w:val="en-US" w:eastAsia="zh-CN"/>
              </w:rPr>
              <w:t>生产车间设置安全出口，车间内设 置的安全通道，满足要求。</w:t>
            </w:r>
          </w:p>
        </w:tc>
        <w:tc>
          <w:tcPr>
            <w:tcW w:w="845" w:type="dxa"/>
            <w:shd w:val="clear" w:color="auto" w:fill="auto"/>
            <w:vAlign w:val="center"/>
          </w:tcPr>
          <w:p w14:paraId="579B92D7">
            <w:pPr>
              <w:pStyle w:val="69"/>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sz w:val="21"/>
                <w:szCs w:val="21"/>
                <w:lang w:val="en-US" w:eastAsia="zh-CN"/>
              </w:rPr>
              <w:t>符合</w:t>
            </w:r>
          </w:p>
        </w:tc>
      </w:tr>
      <w:tr w14:paraId="1B66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6DE26DC0">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lang w:val="en-US" w:eastAsia="zh-CN" w:bidi="ar-SA"/>
                <w14:textFill>
                  <w14:solidFill>
                    <w14:schemeClr w14:val="tx1"/>
                  </w14:solidFill>
                </w14:textFill>
              </w:rPr>
            </w:pPr>
          </w:p>
        </w:tc>
        <w:tc>
          <w:tcPr>
            <w:tcW w:w="3235" w:type="dxa"/>
            <w:shd w:val="clear" w:color="auto" w:fill="auto"/>
            <w:vAlign w:val="center"/>
          </w:tcPr>
          <w:p w14:paraId="50E534A5">
            <w:pPr>
              <w:bidi w:val="0"/>
              <w:rPr>
                <w:rFonts w:hint="eastAsia"/>
                <w:sz w:val="21"/>
                <w:szCs w:val="21"/>
                <w:lang w:val="en-US" w:eastAsia="zh-CN"/>
              </w:rPr>
            </w:pPr>
            <w:r>
              <w:rPr>
                <w:rFonts w:hint="eastAsia"/>
                <w:sz w:val="21"/>
                <w:szCs w:val="21"/>
                <w:lang w:val="en-US" w:eastAsia="zh-CN"/>
              </w:rPr>
              <w:t>配置设备、设施、管线、电缆和组织作业区的基本要求：（1）在生产房和作业场地上配置的生产设备、设施、管线、电缆以及堆放的生产物料、产品和剩余物料，不应对人员、生产和运输造成危险和有害影响；（2）各设备之间，管线之间，以及设备、管线与厂房、建（构）筑物的墙壁之间的距离，均应符合有关设计和建筑规范要求；（3）在设备、设施、管线上需要人员操作、检查和维修，并有发生高处坠落危险的部位，应配置扶梯、平台、围栏和系挂装置等附属设施。</w:t>
            </w:r>
          </w:p>
        </w:tc>
        <w:tc>
          <w:tcPr>
            <w:tcW w:w="2140" w:type="dxa"/>
            <w:shd w:val="clear" w:color="auto" w:fill="auto"/>
            <w:vAlign w:val="center"/>
          </w:tcPr>
          <w:p w14:paraId="502B8EEB">
            <w:pPr>
              <w:bidi w:val="0"/>
              <w:rPr>
                <w:rFonts w:hint="eastAsia"/>
                <w:sz w:val="21"/>
                <w:szCs w:val="21"/>
                <w:lang w:val="en-US" w:eastAsia="zh-CN"/>
              </w:rPr>
            </w:pPr>
            <w:r>
              <w:rPr>
                <w:rFonts w:hint="eastAsia"/>
                <w:sz w:val="21"/>
                <w:szCs w:val="21"/>
                <w:lang w:val="en-US" w:eastAsia="zh-CN"/>
              </w:rPr>
              <w:t xml:space="preserve">《生产过程安全卫生要求总则》 </w:t>
            </w:r>
          </w:p>
          <w:p w14:paraId="39D9A38D">
            <w:pPr>
              <w:bidi w:val="0"/>
              <w:rPr>
                <w:rFonts w:hint="eastAsia"/>
                <w:sz w:val="21"/>
                <w:szCs w:val="21"/>
                <w:lang w:val="en-US" w:eastAsia="zh-CN"/>
              </w:rPr>
            </w:pPr>
            <w:r>
              <w:rPr>
                <w:rFonts w:hint="eastAsia"/>
                <w:sz w:val="21"/>
                <w:szCs w:val="21"/>
                <w:lang w:val="en-US" w:eastAsia="zh-CN"/>
              </w:rPr>
              <w:t>(GB/T 12801-2008)</w:t>
            </w:r>
          </w:p>
          <w:p w14:paraId="758ABF87">
            <w:pPr>
              <w:bidi w:val="0"/>
              <w:rPr>
                <w:rFonts w:hint="eastAsia"/>
                <w:sz w:val="21"/>
                <w:szCs w:val="21"/>
                <w:lang w:val="en-US" w:eastAsia="zh-CN"/>
              </w:rPr>
            </w:pPr>
            <w:r>
              <w:rPr>
                <w:rFonts w:hint="eastAsia"/>
                <w:sz w:val="21"/>
                <w:szCs w:val="21"/>
                <w:lang w:val="en-US" w:eastAsia="zh-CN"/>
              </w:rPr>
              <w:t>5.7.1</w:t>
            </w:r>
          </w:p>
        </w:tc>
        <w:tc>
          <w:tcPr>
            <w:tcW w:w="2070" w:type="dxa"/>
            <w:shd w:val="clear" w:color="auto" w:fill="auto"/>
            <w:vAlign w:val="center"/>
          </w:tcPr>
          <w:p w14:paraId="24BCB207">
            <w:pPr>
              <w:bidi w:val="0"/>
              <w:rPr>
                <w:rFonts w:hint="eastAsia"/>
                <w:sz w:val="21"/>
                <w:szCs w:val="21"/>
                <w:lang w:val="en-US" w:eastAsia="zh-CN"/>
              </w:rPr>
            </w:pPr>
            <w:r>
              <w:rPr>
                <w:rFonts w:hint="eastAsia"/>
                <w:sz w:val="21"/>
                <w:szCs w:val="21"/>
                <w:lang w:val="en-US" w:eastAsia="zh-CN"/>
              </w:rPr>
              <w:t>该项目在生产厂房和作业场地上配置的生产设备、设施、管线符合有关设计和建筑规范要求， 未对人员、生产和运输造成危险和有 害影响。</w:t>
            </w:r>
          </w:p>
        </w:tc>
        <w:tc>
          <w:tcPr>
            <w:tcW w:w="845" w:type="dxa"/>
            <w:shd w:val="clear" w:color="auto" w:fill="auto"/>
            <w:vAlign w:val="center"/>
          </w:tcPr>
          <w:p w14:paraId="3EA4D64C">
            <w:pPr>
              <w:bidi w:val="0"/>
              <w:rPr>
                <w:rFonts w:hint="eastAsia"/>
                <w:sz w:val="21"/>
                <w:szCs w:val="21"/>
                <w:lang w:val="en-US" w:eastAsia="zh-CN"/>
              </w:rPr>
            </w:pPr>
            <w:r>
              <w:rPr>
                <w:rFonts w:hint="eastAsia"/>
                <w:sz w:val="21"/>
                <w:szCs w:val="21"/>
                <w:lang w:val="en-US" w:eastAsia="zh-CN"/>
              </w:rPr>
              <w:t>符合</w:t>
            </w:r>
          </w:p>
        </w:tc>
      </w:tr>
      <w:tr w14:paraId="4FCF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4282A4C9">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5073A2C9">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设备布置的原则：</w:t>
            </w:r>
          </w:p>
          <w:p w14:paraId="3F3F9C2D">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便于操作和维护；（2）发生火灾或出现紧急情况时，便于人员撤离；（3）尽量避免生产装置之间危害因素的相互影响，减小对人员的综合作用；（4）布置具有潜在危险的设备时，应根据有关规定进行分散和隔离，并设置必要的提示、标志和警告信号；（5）对振动、爆炸敏感的设备，应进行隔离或设置屏蔽、防护墙、减振设施等；（6）设备的噪声超过有关标准规定时，应予以隔离。</w:t>
            </w:r>
          </w:p>
        </w:tc>
        <w:tc>
          <w:tcPr>
            <w:tcW w:w="2140" w:type="dxa"/>
            <w:vAlign w:val="center"/>
          </w:tcPr>
          <w:p w14:paraId="6D9D8232">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 xml:space="preserve">《生产过程安全卫生要求总则》 </w:t>
            </w:r>
          </w:p>
          <w:p w14:paraId="77EDD84E">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(GB/T 12801-2008)</w:t>
            </w:r>
          </w:p>
          <w:p w14:paraId="296E8DD9">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5.7.2</w:t>
            </w:r>
          </w:p>
        </w:tc>
        <w:tc>
          <w:tcPr>
            <w:tcW w:w="2070" w:type="dxa"/>
            <w:vAlign w:val="center"/>
          </w:tcPr>
          <w:p w14:paraId="63DC0583">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该项目均选用低噪声设备，周围没有 对振动要求高的设备，均按相关要求 规定进行布置，有足够的操作和检维修空间，便于操作和维护。</w:t>
            </w:r>
          </w:p>
        </w:tc>
        <w:tc>
          <w:tcPr>
            <w:tcW w:w="845" w:type="dxa"/>
            <w:vAlign w:val="center"/>
          </w:tcPr>
          <w:p w14:paraId="69EE0554">
            <w:pPr>
              <w:bidi w:val="0"/>
              <w:rPr>
                <w:rFonts w:hint="eastAsia" w:ascii="宋体" w:hAnsi="Times New Roman" w:eastAsia="宋体" w:cs="Times New Roman"/>
                <w:sz w:val="21"/>
                <w:szCs w:val="21"/>
                <w:lang w:val="en-US" w:eastAsia="zh-CN"/>
              </w:rPr>
            </w:pPr>
            <w:r>
              <w:rPr>
                <w:rFonts w:hint="eastAsia" w:ascii="宋体" w:hAnsi="Times New Roman" w:eastAsia="宋体" w:cs="Times New Roman"/>
                <w:sz w:val="21"/>
                <w:szCs w:val="21"/>
                <w:lang w:val="en-US" w:eastAsia="zh-CN"/>
              </w:rPr>
              <w:t>符合</w:t>
            </w:r>
          </w:p>
        </w:tc>
      </w:tr>
      <w:tr w14:paraId="0099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3B512D1">
            <w:pPr>
              <w:numPr>
                <w:ilvl w:val="0"/>
                <w:numId w:val="11"/>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6F56DF0D">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使用单位应当在压力容器定期检验有效期届满前1个月向检验机构提出定期检验要求。检验机构接到定期检验要求后，应当及时进行检验。</w:t>
            </w:r>
          </w:p>
        </w:tc>
        <w:tc>
          <w:tcPr>
            <w:tcW w:w="2140" w:type="dxa"/>
            <w:vAlign w:val="center"/>
          </w:tcPr>
          <w:p w14:paraId="549F1F3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《压力容器定期检验规则》（TSG R7001-2013）</w:t>
            </w:r>
          </w:p>
          <w:p w14:paraId="41918CA2">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第十条</w:t>
            </w:r>
          </w:p>
        </w:tc>
        <w:tc>
          <w:tcPr>
            <w:tcW w:w="2070" w:type="dxa"/>
            <w:vAlign w:val="center"/>
          </w:tcPr>
          <w:p w14:paraId="4893963E">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所查的</w:t>
            </w:r>
            <w:r>
              <w:rPr>
                <w:rFonts w:hint="eastAsia" w:hAnsi="宋体" w:cs="宋体"/>
                <w:color w:val="000000" w:themeColor="text1"/>
                <w:sz w:val="21"/>
                <w:szCs w:val="21"/>
                <w:lang w:val="en-US" w:eastAsia="zh-CN"/>
                <w14:textFill>
                  <w14:solidFill>
                    <w14:schemeClr w14:val="tx1"/>
                  </w14:solidFill>
                </w14:textFill>
              </w:rPr>
              <w:t>压力表、</w:t>
            </w:r>
            <w:r>
              <w:rPr>
                <w:rFonts w:hint="eastAsia" w:ascii="宋体" w:hAnsi="宋体" w:eastAsia="宋体" w:cs="宋体"/>
                <w:color w:val="000000" w:themeColor="text1"/>
                <w:sz w:val="21"/>
                <w:szCs w:val="21"/>
                <w14:textFill>
                  <w14:solidFill>
                    <w14:schemeClr w14:val="tx1"/>
                  </w14:solidFill>
                </w14:textFill>
              </w:rPr>
              <w:t>安全阀均在检验周期内使用。</w:t>
            </w:r>
          </w:p>
        </w:tc>
        <w:tc>
          <w:tcPr>
            <w:tcW w:w="845" w:type="dxa"/>
            <w:vAlign w:val="center"/>
          </w:tcPr>
          <w:p w14:paraId="2237A6FB">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37F82ADB">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09" w:name="_Toc9284"/>
      <w:bookmarkStart w:id="710" w:name="_Toc5731"/>
      <w:r>
        <w:rPr>
          <w:rFonts w:hint="default" w:ascii="Times New Roman" w:hAnsi="Times New Roman" w:eastAsia="黑体" w:cs="Times New Roman"/>
          <w:color w:val="000000" w:themeColor="text1"/>
          <w:lang w:val="en-US" w:eastAsia="zh-CN"/>
          <w14:textFill>
            <w14:solidFill>
              <w14:schemeClr w14:val="tx1"/>
            </w14:solidFill>
          </w14:textFill>
        </w:rPr>
        <w:t>5.2.2作业条件危险性分析</w:t>
      </w:r>
      <w:bookmarkEnd w:id="709"/>
      <w:bookmarkEnd w:id="710"/>
    </w:p>
    <w:p w14:paraId="66BE9BE3">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该项目主要生产工艺过程为</w:t>
      </w:r>
      <w:r>
        <w:rPr>
          <w:rFonts w:hint="eastAsia" w:hAnsi="宋体" w:cs="宋体"/>
          <w:color w:val="000000" w:themeColor="text1"/>
          <w:sz w:val="28"/>
          <w:szCs w:val="28"/>
          <w:lang w:val="en-US" w:eastAsia="zh-CN"/>
          <w14:textFill>
            <w14:solidFill>
              <w14:schemeClr w14:val="tx1"/>
            </w14:solidFill>
          </w14:textFill>
        </w:rPr>
        <w:t>洗涤用品</w:t>
      </w:r>
      <w:r>
        <w:rPr>
          <w:rFonts w:hint="eastAsia" w:ascii="宋体" w:hAnsi="宋体" w:eastAsia="宋体" w:cs="宋体"/>
          <w:color w:val="000000" w:themeColor="text1"/>
          <w:sz w:val="28"/>
          <w:szCs w:val="28"/>
          <w14:textFill>
            <w14:solidFill>
              <w14:schemeClr w14:val="tx1"/>
            </w14:solidFill>
          </w14:textFill>
        </w:rPr>
        <w:t>加工工序（</w:t>
      </w:r>
      <w:r>
        <w:rPr>
          <w:rFonts w:hint="eastAsia" w:hAnsi="宋体" w:cs="宋体"/>
          <w:color w:val="000000" w:themeColor="text1"/>
          <w:sz w:val="28"/>
          <w:szCs w:val="28"/>
          <w:lang w:val="en-US" w:eastAsia="zh-CN"/>
          <w14:textFill>
            <w14:solidFill>
              <w14:schemeClr w14:val="tx1"/>
            </w14:solidFill>
          </w14:textFill>
        </w:rPr>
        <w:t>原辅料配料、混合、搅拌、静态混合、出料包装</w:t>
      </w:r>
      <w:r>
        <w:rPr>
          <w:rFonts w:hint="eastAsia" w:ascii="宋体" w:hAnsi="宋体" w:eastAsia="宋体" w:cs="宋体"/>
          <w:color w:val="000000" w:themeColor="text1"/>
          <w:sz w:val="28"/>
          <w:szCs w:val="28"/>
          <w14:textFill>
            <w14:solidFill>
              <w14:schemeClr w14:val="tx1"/>
            </w14:solidFill>
          </w14:textFill>
        </w:rPr>
        <w:t>），由于生产中供配电单元、给排水单元也具有一定的危险性，因此也单独纳入此次工艺作业条件危险性分析。根据各生产工艺在生产过程中的操作条件及作业人员进入危险环境的频次，下面分别对各生产工艺涉及的各参数进行取值计算。</w:t>
      </w:r>
    </w:p>
    <w:p w14:paraId="6E0AEF95">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以供配电单元为例，通过对其操作条件及危险性分析，可知此工艺生产过程中有危险事件发生可能性L，由于是可以设想，因此L值取0.5，又因操作人员逐日暴露在危险环境中，因此E值取6，根据该作业环境中产生的危害对人体的可能伤害程度，危险严重度C值取3。按照以上取值计算：</w:t>
      </w:r>
    </w:p>
    <w:p w14:paraId="6AB7DE38">
      <w:pPr>
        <w:adjustRightInd w:val="0"/>
        <w:snapToGrid w:val="0"/>
        <w:spacing w:line="500" w:lineRule="exact"/>
        <w:ind w:firstLine="561"/>
        <w:contextualSpacing/>
        <w:jc w:val="center"/>
        <w:rPr>
          <w:rFonts w:hint="default" w:ascii="Times New Roman" w:hAnsi="Times New Roman" w:cs="Times New Roman"/>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kern w:val="0"/>
          <w:sz w:val="28"/>
          <w:szCs w:val="28"/>
          <w14:textFill>
            <w14:solidFill>
              <w14:schemeClr w14:val="tx1"/>
            </w14:solidFill>
          </w14:textFill>
        </w:rPr>
        <w:t>危险性（D）= L×E×C</w:t>
      </w:r>
    </w:p>
    <w:p w14:paraId="7B076254">
      <w:pPr>
        <w:adjustRightInd w:val="0"/>
        <w:snapToGrid w:val="0"/>
        <w:spacing w:line="500" w:lineRule="exact"/>
        <w:ind w:firstLine="561"/>
        <w:contextualSpacing/>
        <w:jc w:val="center"/>
        <w:rPr>
          <w:rFonts w:hint="default" w:ascii="Times New Roman" w:hAnsi="Times New Roman" w:cs="Times New Roman"/>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kern w:val="0"/>
          <w:sz w:val="28"/>
          <w:szCs w:val="28"/>
          <w14:textFill>
            <w14:solidFill>
              <w14:schemeClr w14:val="tx1"/>
            </w14:solidFill>
          </w14:textFill>
        </w:rPr>
        <w:t xml:space="preserve">           =0.5×6×3</w:t>
      </w:r>
    </w:p>
    <w:p w14:paraId="5C0A699D">
      <w:pPr>
        <w:adjustRightInd w:val="0"/>
        <w:snapToGrid w:val="0"/>
        <w:spacing w:line="500" w:lineRule="exact"/>
        <w:ind w:firstLine="561"/>
        <w:contextualSpacing/>
        <w:jc w:val="center"/>
        <w:rPr>
          <w:rFonts w:hint="default" w:ascii="Times New Roman" w:hAnsi="Times New Roman" w:cs="Times New Roman"/>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kern w:val="0"/>
          <w:sz w:val="28"/>
          <w:szCs w:val="28"/>
          <w14:textFill>
            <w14:solidFill>
              <w14:schemeClr w14:val="tx1"/>
            </w14:solidFill>
          </w14:textFill>
        </w:rPr>
        <w:t xml:space="preserve">      =9</w:t>
      </w:r>
    </w:p>
    <w:p w14:paraId="6497F918">
      <w:pPr>
        <w:keepNext w:val="0"/>
        <w:keepLines w:val="0"/>
        <w:pageBreakBefore w:val="0"/>
        <w:widowControl w:val="0"/>
        <w:kinsoku/>
        <w:wordWrap/>
        <w:overflowPunct/>
        <w:topLinePunct w:val="0"/>
        <w:autoSpaceDE/>
        <w:autoSpaceDN/>
        <w:bidi w:val="0"/>
        <w:adjustRightInd/>
        <w:snapToGrid/>
        <w:spacing w:line="500" w:lineRule="exact"/>
        <w:ind w:firstLine="560" w:firstLineChars="200"/>
        <w:contextualSpacing/>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根据本项目生产过程中的操作条件及作业人员进入危险环境的频次，下面分别对其他各单元涉及的各参数进行取值及计算</w:t>
      </w:r>
      <w:r>
        <w:rPr>
          <w:rFonts w:hint="eastAsia" w:hAnsi="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kern w:val="0"/>
          <w:sz w:val="28"/>
          <w:szCs w:val="28"/>
          <w14:textFill>
            <w14:solidFill>
              <w14:schemeClr w14:val="tx1"/>
            </w14:solidFill>
          </w14:textFill>
        </w:rPr>
        <w:t>结果列入表5-</w:t>
      </w:r>
      <w:r>
        <w:rPr>
          <w:rFonts w:hint="eastAsia" w:ascii="宋体" w:hAnsi="宋体" w:eastAsia="宋体" w:cs="宋体"/>
          <w:color w:val="000000" w:themeColor="text1"/>
          <w:kern w:val="0"/>
          <w:sz w:val="28"/>
          <w:szCs w:val="28"/>
          <w:lang w:val="en-US" w:eastAsia="zh-CN"/>
          <w14:textFill>
            <w14:solidFill>
              <w14:schemeClr w14:val="tx1"/>
            </w14:solidFill>
          </w14:textFill>
        </w:rPr>
        <w:t>3</w:t>
      </w:r>
      <w:r>
        <w:rPr>
          <w:rFonts w:hint="eastAsia" w:ascii="宋体" w:hAnsi="宋体" w:eastAsia="宋体" w:cs="宋体"/>
          <w:color w:val="000000" w:themeColor="text1"/>
          <w:kern w:val="0"/>
          <w:sz w:val="28"/>
          <w:szCs w:val="28"/>
          <w14:textFill>
            <w14:solidFill>
              <w14:schemeClr w14:val="tx1"/>
            </w14:solidFill>
          </w14:textFill>
        </w:rPr>
        <w:t>：</w:t>
      </w:r>
    </w:p>
    <w:p w14:paraId="17EE4126">
      <w:pPr>
        <w:adjustRightInd w:val="0"/>
        <w:snapToGrid w:val="0"/>
        <w:spacing w:line="500" w:lineRule="exact"/>
        <w:contextualSpacing/>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表5-</w:t>
      </w:r>
      <w:r>
        <w:rPr>
          <w:rFonts w:hint="eastAsia" w:asci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 xml:space="preserve"> 评价结果表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634"/>
        <w:gridCol w:w="1030"/>
        <w:gridCol w:w="1125"/>
        <w:gridCol w:w="1233"/>
        <w:gridCol w:w="1108"/>
        <w:gridCol w:w="1743"/>
      </w:tblGrid>
      <w:tr w14:paraId="2ABF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481" w:type="dxa"/>
            <w:gridSpan w:val="2"/>
            <w:vAlign w:val="center"/>
          </w:tcPr>
          <w:p w14:paraId="3605EC99">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工序项目</w:t>
            </w:r>
          </w:p>
        </w:tc>
        <w:tc>
          <w:tcPr>
            <w:tcW w:w="1030" w:type="dxa"/>
            <w:vAlign w:val="center"/>
          </w:tcPr>
          <w:p w14:paraId="660BDA4D">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L</w:t>
            </w:r>
          </w:p>
        </w:tc>
        <w:tc>
          <w:tcPr>
            <w:tcW w:w="1125" w:type="dxa"/>
            <w:vAlign w:val="center"/>
          </w:tcPr>
          <w:p w14:paraId="7DCBBB7D">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E</w:t>
            </w:r>
          </w:p>
        </w:tc>
        <w:tc>
          <w:tcPr>
            <w:tcW w:w="1233" w:type="dxa"/>
            <w:vAlign w:val="center"/>
          </w:tcPr>
          <w:p w14:paraId="4C0E6585">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C</w:t>
            </w:r>
          </w:p>
        </w:tc>
        <w:tc>
          <w:tcPr>
            <w:tcW w:w="1108" w:type="dxa"/>
            <w:vAlign w:val="center"/>
          </w:tcPr>
          <w:p w14:paraId="0E3D744B">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w:t>
            </w:r>
          </w:p>
        </w:tc>
        <w:tc>
          <w:tcPr>
            <w:tcW w:w="1743" w:type="dxa"/>
            <w:vAlign w:val="center"/>
          </w:tcPr>
          <w:p w14:paraId="03B7B999">
            <w:pPr>
              <w:pStyle w:val="23"/>
              <w:spacing w:line="3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危险程度分级</w:t>
            </w:r>
          </w:p>
        </w:tc>
      </w:tr>
      <w:tr w14:paraId="21E2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 w:type="dxa"/>
            <w:vMerge w:val="restart"/>
            <w:vAlign w:val="center"/>
          </w:tcPr>
          <w:p w14:paraId="426883FD">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洗涤产品</w:t>
            </w:r>
            <w:r>
              <w:rPr>
                <w:rFonts w:hint="eastAsia" w:ascii="宋体" w:hAnsi="宋体" w:eastAsia="宋体" w:cs="宋体"/>
                <w:color w:val="000000" w:themeColor="text1"/>
                <w:sz w:val="21"/>
                <w:szCs w:val="21"/>
                <w14:textFill>
                  <w14:solidFill>
                    <w14:schemeClr w14:val="tx1"/>
                  </w14:solidFill>
                </w14:textFill>
              </w:rPr>
              <w:t>加工工序</w:t>
            </w:r>
          </w:p>
        </w:tc>
        <w:tc>
          <w:tcPr>
            <w:tcW w:w="1634" w:type="dxa"/>
            <w:vAlign w:val="center"/>
          </w:tcPr>
          <w:p w14:paraId="167712A6">
            <w:pPr>
              <w:pStyle w:val="23"/>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配料</w:t>
            </w:r>
          </w:p>
        </w:tc>
        <w:tc>
          <w:tcPr>
            <w:tcW w:w="1030" w:type="dxa"/>
            <w:vAlign w:val="center"/>
          </w:tcPr>
          <w:p w14:paraId="0925A288">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25" w:type="dxa"/>
            <w:vAlign w:val="center"/>
          </w:tcPr>
          <w:p w14:paraId="581A655E">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1E6B3F3E">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08" w:type="dxa"/>
            <w:vAlign w:val="center"/>
          </w:tcPr>
          <w:p w14:paraId="728652FA">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w:t>
            </w:r>
          </w:p>
        </w:tc>
        <w:tc>
          <w:tcPr>
            <w:tcW w:w="1743" w:type="dxa"/>
            <w:vAlign w:val="center"/>
          </w:tcPr>
          <w:p w14:paraId="518F9359">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可能危险</w:t>
            </w:r>
          </w:p>
        </w:tc>
      </w:tr>
      <w:tr w14:paraId="1C05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 w:type="dxa"/>
            <w:vMerge w:val="continue"/>
            <w:vAlign w:val="center"/>
          </w:tcPr>
          <w:p w14:paraId="57BD4B4D">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1634" w:type="dxa"/>
            <w:vAlign w:val="center"/>
          </w:tcPr>
          <w:p w14:paraId="53805DEF">
            <w:pPr>
              <w:pStyle w:val="23"/>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混合</w:t>
            </w:r>
          </w:p>
        </w:tc>
        <w:tc>
          <w:tcPr>
            <w:tcW w:w="1030" w:type="dxa"/>
            <w:vAlign w:val="center"/>
          </w:tcPr>
          <w:p w14:paraId="5080C8BE">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25" w:type="dxa"/>
            <w:vAlign w:val="center"/>
          </w:tcPr>
          <w:p w14:paraId="166769F0">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68AFF6F7">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08" w:type="dxa"/>
            <w:vAlign w:val="center"/>
          </w:tcPr>
          <w:p w14:paraId="73D46289">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w:t>
            </w:r>
          </w:p>
        </w:tc>
        <w:tc>
          <w:tcPr>
            <w:tcW w:w="1743" w:type="dxa"/>
            <w:vAlign w:val="center"/>
          </w:tcPr>
          <w:p w14:paraId="6AB59D18">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可能危险</w:t>
            </w:r>
          </w:p>
        </w:tc>
      </w:tr>
      <w:tr w14:paraId="5470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 w:type="dxa"/>
            <w:vMerge w:val="continue"/>
            <w:vAlign w:val="center"/>
          </w:tcPr>
          <w:p w14:paraId="2E52548A">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1634" w:type="dxa"/>
            <w:vAlign w:val="center"/>
          </w:tcPr>
          <w:p w14:paraId="72C3E638">
            <w:pPr>
              <w:pStyle w:val="23"/>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搅拌</w:t>
            </w:r>
          </w:p>
        </w:tc>
        <w:tc>
          <w:tcPr>
            <w:tcW w:w="1030" w:type="dxa"/>
            <w:vAlign w:val="center"/>
          </w:tcPr>
          <w:p w14:paraId="26951AA7">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25" w:type="dxa"/>
            <w:vAlign w:val="center"/>
          </w:tcPr>
          <w:p w14:paraId="202482CC">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1D9B1680">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08" w:type="dxa"/>
            <w:vAlign w:val="center"/>
          </w:tcPr>
          <w:p w14:paraId="784EBA44">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w:t>
            </w:r>
          </w:p>
        </w:tc>
        <w:tc>
          <w:tcPr>
            <w:tcW w:w="1743" w:type="dxa"/>
            <w:vAlign w:val="center"/>
          </w:tcPr>
          <w:p w14:paraId="676593FD">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可能危险</w:t>
            </w:r>
          </w:p>
        </w:tc>
      </w:tr>
      <w:tr w14:paraId="4357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 w:type="dxa"/>
            <w:vMerge w:val="continue"/>
            <w:vAlign w:val="center"/>
          </w:tcPr>
          <w:p w14:paraId="3AEC8FDC">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1634" w:type="dxa"/>
            <w:vAlign w:val="center"/>
          </w:tcPr>
          <w:p w14:paraId="68B00569">
            <w:pPr>
              <w:pStyle w:val="23"/>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静态混合</w:t>
            </w:r>
          </w:p>
        </w:tc>
        <w:tc>
          <w:tcPr>
            <w:tcW w:w="1030" w:type="dxa"/>
            <w:vAlign w:val="center"/>
          </w:tcPr>
          <w:p w14:paraId="0BB3F543">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25" w:type="dxa"/>
            <w:vAlign w:val="center"/>
          </w:tcPr>
          <w:p w14:paraId="154F58A1">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51B8A9B5">
            <w:pPr>
              <w:pStyle w:val="23"/>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3</w:t>
            </w:r>
          </w:p>
        </w:tc>
        <w:tc>
          <w:tcPr>
            <w:tcW w:w="1108" w:type="dxa"/>
            <w:vAlign w:val="center"/>
          </w:tcPr>
          <w:p w14:paraId="1878769A">
            <w:pPr>
              <w:pStyle w:val="23"/>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18</w:t>
            </w:r>
          </w:p>
        </w:tc>
        <w:tc>
          <w:tcPr>
            <w:tcW w:w="1743" w:type="dxa"/>
            <w:vAlign w:val="center"/>
          </w:tcPr>
          <w:p w14:paraId="5B49C907">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稍有</w:t>
            </w:r>
            <w:r>
              <w:rPr>
                <w:rFonts w:hint="eastAsia" w:ascii="宋体" w:hAnsi="宋体" w:eastAsia="宋体" w:cs="宋体"/>
                <w:color w:val="000000" w:themeColor="text1"/>
                <w:sz w:val="21"/>
                <w:szCs w:val="21"/>
                <w14:textFill>
                  <w14:solidFill>
                    <w14:schemeClr w14:val="tx1"/>
                  </w14:solidFill>
                </w14:textFill>
              </w:rPr>
              <w:t>危险</w:t>
            </w:r>
          </w:p>
        </w:tc>
      </w:tr>
      <w:tr w14:paraId="1542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 w:type="dxa"/>
            <w:vMerge w:val="continue"/>
            <w:vAlign w:val="center"/>
          </w:tcPr>
          <w:p w14:paraId="7A88A672">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1634" w:type="dxa"/>
            <w:vAlign w:val="center"/>
          </w:tcPr>
          <w:p w14:paraId="2E35A233">
            <w:pPr>
              <w:pStyle w:val="23"/>
              <w:spacing w:line="30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出料包装</w:t>
            </w:r>
          </w:p>
        </w:tc>
        <w:tc>
          <w:tcPr>
            <w:tcW w:w="1030" w:type="dxa"/>
            <w:vAlign w:val="center"/>
          </w:tcPr>
          <w:p w14:paraId="7F12B0C1">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25" w:type="dxa"/>
            <w:vAlign w:val="center"/>
          </w:tcPr>
          <w:p w14:paraId="23FFE7C4">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07E79D85">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08" w:type="dxa"/>
            <w:vAlign w:val="center"/>
          </w:tcPr>
          <w:p w14:paraId="4D5F9600">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1743" w:type="dxa"/>
            <w:vAlign w:val="center"/>
          </w:tcPr>
          <w:p w14:paraId="520EC001">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稍有危险</w:t>
            </w:r>
          </w:p>
        </w:tc>
      </w:tr>
      <w:tr w14:paraId="3CCB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1" w:type="dxa"/>
            <w:gridSpan w:val="2"/>
            <w:vAlign w:val="center"/>
          </w:tcPr>
          <w:p w14:paraId="4565C638">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供配电系统</w:t>
            </w:r>
          </w:p>
        </w:tc>
        <w:tc>
          <w:tcPr>
            <w:tcW w:w="1030" w:type="dxa"/>
            <w:vAlign w:val="center"/>
          </w:tcPr>
          <w:p w14:paraId="31E86D6C">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25" w:type="dxa"/>
            <w:vAlign w:val="center"/>
          </w:tcPr>
          <w:p w14:paraId="7BFA7A46">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594A7F05">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1108" w:type="dxa"/>
            <w:vAlign w:val="center"/>
          </w:tcPr>
          <w:p w14:paraId="3DD986D8">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42</w:t>
            </w:r>
          </w:p>
        </w:tc>
        <w:tc>
          <w:tcPr>
            <w:tcW w:w="1743" w:type="dxa"/>
            <w:vAlign w:val="center"/>
          </w:tcPr>
          <w:p w14:paraId="2509BCCC">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可能危险</w:t>
            </w:r>
          </w:p>
        </w:tc>
      </w:tr>
      <w:tr w14:paraId="1AA8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1" w:type="dxa"/>
            <w:gridSpan w:val="2"/>
            <w:vAlign w:val="center"/>
          </w:tcPr>
          <w:p w14:paraId="79B7B2F5">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给排水系统</w:t>
            </w:r>
          </w:p>
        </w:tc>
        <w:tc>
          <w:tcPr>
            <w:tcW w:w="1030" w:type="dxa"/>
            <w:vAlign w:val="center"/>
          </w:tcPr>
          <w:p w14:paraId="7240C155">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25" w:type="dxa"/>
            <w:vAlign w:val="center"/>
          </w:tcPr>
          <w:p w14:paraId="386F127A">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233" w:type="dxa"/>
            <w:vAlign w:val="center"/>
          </w:tcPr>
          <w:p w14:paraId="48A5CBBA">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108" w:type="dxa"/>
            <w:vAlign w:val="center"/>
          </w:tcPr>
          <w:p w14:paraId="0F3FDABB">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1743" w:type="dxa"/>
            <w:vAlign w:val="center"/>
          </w:tcPr>
          <w:p w14:paraId="13028C13">
            <w:pPr>
              <w:pStyle w:val="23"/>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稍有危险</w:t>
            </w:r>
          </w:p>
        </w:tc>
      </w:tr>
    </w:tbl>
    <w:p w14:paraId="6911A00E">
      <w:pPr>
        <w:adjustRightInd w:val="0"/>
        <w:snapToGrid w:val="0"/>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从上表中可以看出：该项目各工序风险控制措施有效，</w:t>
      </w:r>
      <w:r>
        <w:rPr>
          <w:rFonts w:hint="eastAsia" w:ascii="Times New Roman" w:cs="Times New Roman"/>
          <w:color w:val="000000" w:themeColor="text1"/>
          <w:sz w:val="28"/>
          <w:szCs w:val="28"/>
          <w:lang w:val="en-US" w:eastAsia="zh-CN"/>
          <w14:textFill>
            <w14:solidFill>
              <w14:schemeClr w14:val="tx1"/>
            </w14:solidFill>
          </w14:textFill>
        </w:rPr>
        <w:t>静态混合、出料包装</w:t>
      </w:r>
      <w:r>
        <w:rPr>
          <w:rFonts w:hint="default" w:ascii="Times New Roman" w:hAnsi="Times New Roman" w:cs="Times New Roman"/>
          <w:color w:val="000000" w:themeColor="text1"/>
          <w:sz w:val="28"/>
          <w:szCs w:val="28"/>
          <w14:textFill>
            <w14:solidFill>
              <w14:schemeClr w14:val="tx1"/>
            </w14:solidFill>
          </w14:textFill>
        </w:rPr>
        <w:t>、给排水系统为稍有危险单元</w:t>
      </w:r>
      <w:r>
        <w:rPr>
          <w:rFonts w:hint="eastAsia" w:ascii="Times New Roman" w:cs="Times New Roman"/>
          <w:color w:val="000000" w:themeColor="text1"/>
          <w:sz w:val="28"/>
          <w:szCs w:val="28"/>
          <w:lang w:eastAsia="zh-CN"/>
          <w14:textFill>
            <w14:solidFill>
              <w14:schemeClr w14:val="tx1"/>
            </w14:solidFill>
          </w14:textFill>
        </w:rPr>
        <w:t>。</w:t>
      </w:r>
      <w:r>
        <w:rPr>
          <w:rFonts w:hint="eastAsia" w:ascii="Times New Roman" w:cs="Times New Roman"/>
          <w:color w:val="000000" w:themeColor="text1"/>
          <w:sz w:val="28"/>
          <w:szCs w:val="28"/>
          <w:lang w:val="en-US" w:eastAsia="zh-CN"/>
          <w14:textFill>
            <w14:solidFill>
              <w14:schemeClr w14:val="tx1"/>
            </w14:solidFill>
          </w14:textFill>
        </w:rPr>
        <w:t>原辅料配料、混合、搅拌</w:t>
      </w:r>
      <w:r>
        <w:rPr>
          <w:rFonts w:hint="default" w:ascii="Times New Roman" w:hAnsi="Times New Roman" w:cs="Times New Roman"/>
          <w:color w:val="000000" w:themeColor="text1"/>
          <w:sz w:val="28"/>
          <w:szCs w:val="28"/>
          <w14:textFill>
            <w14:solidFill>
              <w14:schemeClr w14:val="tx1"/>
            </w14:solidFill>
          </w14:textFill>
        </w:rPr>
        <w:t>、供配电系统为可能危险单元。</w:t>
      </w:r>
    </w:p>
    <w:p w14:paraId="3CD013B6">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11" w:name="_Toc31834"/>
      <w:bookmarkStart w:id="712" w:name="_Toc30789"/>
      <w:r>
        <w:rPr>
          <w:rFonts w:hint="default" w:ascii="Times New Roman" w:hAnsi="Times New Roman" w:eastAsia="黑体" w:cs="Times New Roman"/>
          <w:color w:val="000000" w:themeColor="text1"/>
          <w:lang w:val="en-US" w:eastAsia="zh-CN"/>
          <w14:textFill>
            <w14:solidFill>
              <w14:schemeClr w14:val="tx1"/>
            </w14:solidFill>
          </w14:textFill>
        </w:rPr>
        <w:t>5.2.3单元小结</w:t>
      </w:r>
      <w:bookmarkEnd w:id="711"/>
      <w:bookmarkEnd w:id="712"/>
    </w:p>
    <w:p w14:paraId="7669C396">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通过以上分析评价可知：</w:t>
      </w:r>
    </w:p>
    <w:p w14:paraId="1DEC5E10">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安全检查表分析评价结果：该项目的生产工艺设备设施符合《生产设备安全卫生设计总则》（GB5083-</w:t>
      </w:r>
      <w:r>
        <w:rPr>
          <w:rFonts w:hint="eastAsia" w:hAnsi="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）、《生产过程安全卫生要求总则》（GB/T 12801-2008）、《中华人民共和国安全生产法》（中华人民共和国主席令第88号，2021年修订）、</w:t>
      </w:r>
      <w:r>
        <w:rPr>
          <w:rFonts w:hint="eastAsia" w:ascii="宋体" w:hAnsi="宋体" w:eastAsia="宋体" w:cs="宋体"/>
          <w:color w:val="000000" w:themeColor="text1"/>
          <w:kern w:val="0"/>
          <w:sz w:val="28"/>
          <w:szCs w:val="28"/>
          <w14:textFill>
            <w14:solidFill>
              <w14:schemeClr w14:val="tx1"/>
            </w14:solidFill>
          </w14:textFill>
        </w:rPr>
        <w:t>《压力容器定期检验规则》（TSG R7001-2013）</w:t>
      </w:r>
      <w:r>
        <w:rPr>
          <w:rFonts w:hint="eastAsia" w:ascii="宋体" w:hAnsi="宋体" w:eastAsia="宋体" w:cs="宋体"/>
          <w:color w:val="000000" w:themeColor="text1"/>
          <w:sz w:val="28"/>
          <w:szCs w:val="28"/>
          <w14:textFill>
            <w14:solidFill>
              <w14:schemeClr w14:val="tx1"/>
            </w14:solidFill>
          </w14:textFill>
        </w:rPr>
        <w:t>等相关规范的要求。</w:t>
      </w:r>
    </w:p>
    <w:p w14:paraId="16881B65">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作业条件危险性分析结果可知：</w:t>
      </w:r>
      <w:r>
        <w:rPr>
          <w:rFonts w:hint="default" w:ascii="Times New Roman" w:hAnsi="Times New Roman" w:cs="Times New Roman"/>
          <w:color w:val="000000" w:themeColor="text1"/>
          <w:sz w:val="28"/>
          <w:szCs w:val="28"/>
          <w14:textFill>
            <w14:solidFill>
              <w14:schemeClr w14:val="tx1"/>
            </w14:solidFill>
          </w14:textFill>
        </w:rPr>
        <w:t>该项目各工序风险控制措施有效，</w:t>
      </w:r>
      <w:r>
        <w:rPr>
          <w:rFonts w:hint="eastAsia" w:ascii="Times New Roman" w:cs="Times New Roman"/>
          <w:color w:val="000000" w:themeColor="text1"/>
          <w:sz w:val="28"/>
          <w:szCs w:val="28"/>
          <w:lang w:val="en-US" w:eastAsia="zh-CN"/>
          <w14:textFill>
            <w14:solidFill>
              <w14:schemeClr w14:val="tx1"/>
            </w14:solidFill>
          </w14:textFill>
        </w:rPr>
        <w:t>静态混合、出料包装</w:t>
      </w:r>
      <w:r>
        <w:rPr>
          <w:rFonts w:hint="default" w:ascii="Times New Roman" w:hAnsi="Times New Roman" w:cs="Times New Roman"/>
          <w:color w:val="000000" w:themeColor="text1"/>
          <w:sz w:val="28"/>
          <w:szCs w:val="28"/>
          <w14:textFill>
            <w14:solidFill>
              <w14:schemeClr w14:val="tx1"/>
            </w14:solidFill>
          </w14:textFill>
        </w:rPr>
        <w:t>、给排水系统为稍有危险单元</w:t>
      </w:r>
      <w:r>
        <w:rPr>
          <w:rFonts w:hint="eastAsia" w:ascii="Times New Roman" w:cs="Times New Roman"/>
          <w:color w:val="000000" w:themeColor="text1"/>
          <w:sz w:val="28"/>
          <w:szCs w:val="28"/>
          <w:lang w:eastAsia="zh-CN"/>
          <w14:textFill>
            <w14:solidFill>
              <w14:schemeClr w14:val="tx1"/>
            </w14:solidFill>
          </w14:textFill>
        </w:rPr>
        <w:t>。</w:t>
      </w:r>
      <w:r>
        <w:rPr>
          <w:rFonts w:hint="eastAsia" w:ascii="Times New Roman" w:cs="Times New Roman"/>
          <w:color w:val="000000" w:themeColor="text1"/>
          <w:sz w:val="28"/>
          <w:szCs w:val="28"/>
          <w:lang w:val="en-US" w:eastAsia="zh-CN"/>
          <w14:textFill>
            <w14:solidFill>
              <w14:schemeClr w14:val="tx1"/>
            </w14:solidFill>
          </w14:textFill>
        </w:rPr>
        <w:t>原辅料配料、混合、搅拌</w:t>
      </w:r>
      <w:r>
        <w:rPr>
          <w:rFonts w:hint="default" w:ascii="Times New Roman" w:hAnsi="Times New Roman" w:cs="Times New Roman"/>
          <w:color w:val="000000" w:themeColor="text1"/>
          <w:sz w:val="28"/>
          <w:szCs w:val="28"/>
          <w14:textFill>
            <w14:solidFill>
              <w14:schemeClr w14:val="tx1"/>
            </w14:solidFill>
          </w14:textFill>
        </w:rPr>
        <w:t>、供配电系统为可能危险单元</w:t>
      </w:r>
      <w:r>
        <w:rPr>
          <w:rFonts w:hint="eastAsia" w:ascii="宋体" w:hAnsi="宋体" w:eastAsia="宋体" w:cs="宋体"/>
          <w:color w:val="000000" w:themeColor="text1"/>
          <w:sz w:val="28"/>
          <w:szCs w:val="28"/>
          <w14:textFill>
            <w14:solidFill>
              <w14:schemeClr w14:val="tx1"/>
            </w14:solidFill>
          </w14:textFill>
        </w:rPr>
        <w:t>，企业的风险控制措施有效。</w:t>
      </w:r>
    </w:p>
    <w:p w14:paraId="0BFBB1B2">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713" w:name="_Toc61474470"/>
      <w:bookmarkStart w:id="714" w:name="_Toc13490"/>
      <w:bookmarkStart w:id="715" w:name="_Toc32459"/>
      <w:bookmarkStart w:id="716" w:name="_Toc30001447"/>
      <w:bookmarkStart w:id="717" w:name="_Toc20842"/>
      <w:bookmarkStart w:id="718" w:name="_Toc5201"/>
      <w:r>
        <w:rPr>
          <w:rFonts w:hint="default" w:ascii="Times New Roman" w:hAnsi="Times New Roman" w:eastAsia="楷体" w:cs="Times New Roman"/>
          <w:color w:val="000000" w:themeColor="text1"/>
          <w14:textFill>
            <w14:solidFill>
              <w14:schemeClr w14:val="tx1"/>
            </w14:solidFill>
          </w14:textFill>
        </w:rPr>
        <w:t>5.3安全防护设施评价单元</w:t>
      </w:r>
      <w:bookmarkEnd w:id="713"/>
      <w:bookmarkEnd w:id="714"/>
      <w:bookmarkEnd w:id="715"/>
      <w:bookmarkEnd w:id="716"/>
      <w:bookmarkEnd w:id="717"/>
      <w:bookmarkEnd w:id="718"/>
    </w:p>
    <w:p w14:paraId="51DCA293">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19" w:name="_Toc28763"/>
      <w:bookmarkStart w:id="720" w:name="_Toc26190"/>
      <w:bookmarkStart w:id="721" w:name="_Toc61474471"/>
      <w:bookmarkStart w:id="722" w:name="_Toc21957"/>
      <w:bookmarkStart w:id="723" w:name="_Toc30001448"/>
      <w:bookmarkStart w:id="724" w:name="_Toc31600"/>
      <w:bookmarkStart w:id="725" w:name="_Toc9157"/>
      <w:r>
        <w:rPr>
          <w:rFonts w:hint="default" w:ascii="Times New Roman" w:hAnsi="Times New Roman" w:eastAsia="黑体" w:cs="Times New Roman"/>
          <w:color w:val="000000" w:themeColor="text1"/>
          <w:lang w:val="en-US" w:eastAsia="zh-CN"/>
          <w14:textFill>
            <w14:solidFill>
              <w14:schemeClr w14:val="tx1"/>
            </w14:solidFill>
          </w14:textFill>
        </w:rPr>
        <w:t>5.3.1常规防护设施和措施安全检查表法</w:t>
      </w:r>
      <w:bookmarkEnd w:id="719"/>
      <w:bookmarkEnd w:id="720"/>
      <w:bookmarkEnd w:id="721"/>
      <w:bookmarkEnd w:id="722"/>
      <w:bookmarkEnd w:id="723"/>
      <w:bookmarkEnd w:id="724"/>
      <w:bookmarkEnd w:id="725"/>
    </w:p>
    <w:p w14:paraId="1855C1FD">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安全色》（GB2893-2008）、《安全标志及其使用导则》（GB2894-2008）、《机械安全防护装置固定式和活动式防护装置的设计与制造一般要求》（GB/T8196-2018）、《机械工业职业安全卫生设计规范》（JBJ18-2000）等规范的要求，编制了常规防护设施和措施检查表，对该项目的常规防护设施和措施进行检查，其检查结果见下表5-</w:t>
      </w: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w:t>
      </w:r>
    </w:p>
    <w:p w14:paraId="2CFFBF8F">
      <w:pPr>
        <w:adjustRightInd w:val="0"/>
        <w:snapToGrid w:val="0"/>
        <w:spacing w:line="5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表5-</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常规防护设施和措施安全检查表</w:t>
      </w:r>
    </w:p>
    <w:tbl>
      <w:tblPr>
        <w:tblStyle w:val="52"/>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5"/>
        <w:gridCol w:w="2271"/>
        <w:gridCol w:w="1808"/>
        <w:gridCol w:w="806"/>
      </w:tblGrid>
      <w:tr w14:paraId="5BF6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0" w:type="dxa"/>
            <w:vAlign w:val="center"/>
          </w:tcPr>
          <w:p w14:paraId="7A1030C6">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335" w:type="dxa"/>
            <w:vAlign w:val="center"/>
          </w:tcPr>
          <w:p w14:paraId="4ADCA767">
            <w:pPr>
              <w:suppressAutoHyphens/>
              <w:adjustRightInd w:val="0"/>
              <w:snapToGrid w:val="0"/>
              <w:spacing w:line="300" w:lineRule="exact"/>
              <w:ind w:firstLine="211" w:firstLineChars="100"/>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检查内容</w:t>
            </w:r>
          </w:p>
        </w:tc>
        <w:tc>
          <w:tcPr>
            <w:tcW w:w="2271" w:type="dxa"/>
            <w:vAlign w:val="center"/>
          </w:tcPr>
          <w:p w14:paraId="2AFE8BB2">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依据标准</w:t>
            </w:r>
          </w:p>
        </w:tc>
        <w:tc>
          <w:tcPr>
            <w:tcW w:w="1808" w:type="dxa"/>
            <w:vAlign w:val="center"/>
          </w:tcPr>
          <w:p w14:paraId="013768E7">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检查情况</w:t>
            </w:r>
          </w:p>
        </w:tc>
        <w:tc>
          <w:tcPr>
            <w:tcW w:w="806" w:type="dxa"/>
            <w:vAlign w:val="center"/>
          </w:tcPr>
          <w:p w14:paraId="0B9D098D">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结论</w:t>
            </w:r>
          </w:p>
        </w:tc>
      </w:tr>
      <w:tr w14:paraId="2E65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970" w:type="dxa"/>
            <w:gridSpan w:val="5"/>
            <w:vAlign w:val="center"/>
          </w:tcPr>
          <w:p w14:paraId="1066EF2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安全色与安全标识</w:t>
            </w:r>
          </w:p>
        </w:tc>
      </w:tr>
      <w:tr w14:paraId="7146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CEFEA03">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88B7607">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使用安全色时要考虑周围的亮度及同其他颜色的关系,要使安全色能正确辨认。</w:t>
            </w:r>
          </w:p>
        </w:tc>
        <w:tc>
          <w:tcPr>
            <w:tcW w:w="2271" w:type="dxa"/>
            <w:vAlign w:val="center"/>
          </w:tcPr>
          <w:p w14:paraId="1F294222">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394FFECE">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第A.3条</w:t>
            </w:r>
          </w:p>
        </w:tc>
        <w:tc>
          <w:tcPr>
            <w:tcW w:w="1808" w:type="dxa"/>
            <w:vAlign w:val="center"/>
          </w:tcPr>
          <w:p w14:paraId="5541043D">
            <w:pPr>
              <w:tabs>
                <w:tab w:val="left" w:pos="2898"/>
              </w:tabs>
              <w:adjustRightInd w:val="0"/>
              <w:snapToGrid w:val="0"/>
              <w:spacing w:line="300" w:lineRule="exact"/>
              <w:ind w:left="210" w:hanging="210" w:hangingChars="1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该项目使用的安全色符合要求。</w:t>
            </w:r>
          </w:p>
        </w:tc>
        <w:tc>
          <w:tcPr>
            <w:tcW w:w="806" w:type="dxa"/>
            <w:vAlign w:val="center"/>
          </w:tcPr>
          <w:p w14:paraId="3E81FC8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E5D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D372868">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78329BA">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凡涂有安全色的部位，每半年应检查一次，应保持整洁、明亮，如有变色、褪色等不符合安全色范围,逆反射系数低于70%或安全色的使用环境改变时，应及时重涂或更换，以保证安全色正确、醒目，达到安全警示的目的。</w:t>
            </w:r>
          </w:p>
        </w:tc>
        <w:tc>
          <w:tcPr>
            <w:tcW w:w="2271" w:type="dxa"/>
            <w:vAlign w:val="center"/>
          </w:tcPr>
          <w:p w14:paraId="7B30EB7D">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0C1EC9B2">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第A.4条</w:t>
            </w:r>
          </w:p>
        </w:tc>
        <w:tc>
          <w:tcPr>
            <w:tcW w:w="1808" w:type="dxa"/>
            <w:vAlign w:val="center"/>
          </w:tcPr>
          <w:p w14:paraId="4750475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该公司对安全色的使用和管理符合规范要求。</w:t>
            </w:r>
          </w:p>
        </w:tc>
        <w:tc>
          <w:tcPr>
            <w:tcW w:w="806" w:type="dxa"/>
            <w:vAlign w:val="center"/>
          </w:tcPr>
          <w:p w14:paraId="10705D0B">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CC9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2435BF11">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0B03805E">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标志牌设置的高度，应尽量与人眼的视线高度相一致。悬排式和柱式的环境信息标志牌的下缘距地面的高度不宜小于2m，局部信息标志设置高度视具体情况确定。</w:t>
            </w:r>
          </w:p>
        </w:tc>
        <w:tc>
          <w:tcPr>
            <w:tcW w:w="2271" w:type="dxa"/>
            <w:vAlign w:val="center"/>
          </w:tcPr>
          <w:p w14:paraId="21CD17EF">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《安全标志及其使用导则》</w:t>
            </w:r>
            <w:r>
              <w:rPr>
                <w:rFonts w:hint="eastAsia" w:ascii="宋体" w:hAnsi="宋体" w:eastAsia="宋体" w:cs="宋体"/>
                <w:color w:val="000000" w:themeColor="text1"/>
                <w:kern w:val="0"/>
                <w:sz w:val="21"/>
                <w:szCs w:val="21"/>
                <w14:textFill>
                  <w14:solidFill>
                    <w14:schemeClr w14:val="tx1"/>
                  </w14:solidFill>
                </w14:textFill>
              </w:rPr>
              <w:br w:type="textWrapping"/>
            </w:r>
            <w:r>
              <w:rPr>
                <w:rFonts w:hint="eastAsia" w:ascii="宋体" w:hAnsi="宋体" w:eastAsia="宋体" w:cs="宋体"/>
                <w:color w:val="000000" w:themeColor="text1"/>
                <w:kern w:val="0"/>
                <w:sz w:val="21"/>
                <w:szCs w:val="21"/>
                <w14:textFill>
                  <w14:solidFill>
                    <w14:schemeClr w14:val="tx1"/>
                  </w14:solidFill>
                </w14:textFill>
              </w:rPr>
              <w:t>（GB 2894-2008 ）</w:t>
            </w:r>
          </w:p>
          <w:p w14:paraId="573E72B7">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第8条</w:t>
            </w:r>
          </w:p>
        </w:tc>
        <w:tc>
          <w:tcPr>
            <w:tcW w:w="1808" w:type="dxa"/>
            <w:vAlign w:val="center"/>
          </w:tcPr>
          <w:p w14:paraId="0638127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该项目内的标志牌设置高度符合规范要求。</w:t>
            </w:r>
          </w:p>
        </w:tc>
        <w:tc>
          <w:tcPr>
            <w:tcW w:w="806" w:type="dxa"/>
            <w:vAlign w:val="center"/>
          </w:tcPr>
          <w:p w14:paraId="6A034651">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116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434826C">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51A69C8">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标志牌不应设在门、窗、架等可移动的物体上，以免标志牌随母体物体相应移动，影响认读，标志牌前不得放置妨碍认读的障碍物。</w:t>
            </w:r>
          </w:p>
        </w:tc>
        <w:tc>
          <w:tcPr>
            <w:tcW w:w="2271" w:type="dxa"/>
            <w:vAlign w:val="center"/>
          </w:tcPr>
          <w:p w14:paraId="14168ADD">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0F761093">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第9.1条</w:t>
            </w:r>
          </w:p>
        </w:tc>
        <w:tc>
          <w:tcPr>
            <w:tcW w:w="1808" w:type="dxa"/>
            <w:vAlign w:val="center"/>
          </w:tcPr>
          <w:p w14:paraId="1644EAA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该项目内的标志牌未设置在可移动的物体上，均固定牢靠。</w:t>
            </w:r>
          </w:p>
        </w:tc>
        <w:tc>
          <w:tcPr>
            <w:tcW w:w="806" w:type="dxa"/>
            <w:vAlign w:val="center"/>
          </w:tcPr>
          <w:p w14:paraId="0BDB40E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BEB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AD36953">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7B1BC711">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安全标志牌至少每半年检查一次，如发现有破损、变形、褪色等不符合要求时,应及时修正或更换。</w:t>
            </w:r>
          </w:p>
        </w:tc>
        <w:tc>
          <w:tcPr>
            <w:tcW w:w="2271" w:type="dxa"/>
            <w:vAlign w:val="center"/>
          </w:tcPr>
          <w:p w14:paraId="7E0275B1">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46F4A35B">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第10.1条</w:t>
            </w:r>
          </w:p>
        </w:tc>
        <w:tc>
          <w:tcPr>
            <w:tcW w:w="1808" w:type="dxa"/>
            <w:vAlign w:val="center"/>
          </w:tcPr>
          <w:p w14:paraId="2A390A5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w:t>
            </w:r>
            <w:r>
              <w:rPr>
                <w:rFonts w:hint="eastAsia" w:ascii="宋体" w:hAnsi="宋体" w:eastAsia="宋体" w:cs="宋体"/>
                <w:color w:val="000000" w:themeColor="text1"/>
                <w:sz w:val="21"/>
                <w:szCs w:val="21"/>
                <w:lang w:val="en-US" w:eastAsia="zh-CN"/>
                <w14:textFill>
                  <w14:solidFill>
                    <w14:schemeClr w14:val="tx1"/>
                  </w14:solidFill>
                </w14:textFill>
              </w:rPr>
              <w:t>生产区</w:t>
            </w:r>
            <w:r>
              <w:rPr>
                <w:rFonts w:hint="eastAsia" w:ascii="宋体" w:hAnsi="宋体" w:eastAsia="宋体" w:cs="宋体"/>
                <w:color w:val="000000" w:themeColor="text1"/>
                <w:sz w:val="21"/>
                <w:szCs w:val="21"/>
                <w14:textFill>
                  <w14:solidFill>
                    <w14:schemeClr w14:val="tx1"/>
                  </w14:solidFill>
                </w14:textFill>
              </w:rPr>
              <w:t>安全标志牌符合要求。</w:t>
            </w:r>
          </w:p>
        </w:tc>
        <w:tc>
          <w:tcPr>
            <w:tcW w:w="806" w:type="dxa"/>
            <w:vAlign w:val="center"/>
          </w:tcPr>
          <w:p w14:paraId="2FBE9AD6">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BF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70" w:type="dxa"/>
            <w:gridSpan w:val="5"/>
            <w:vAlign w:val="center"/>
          </w:tcPr>
          <w:p w14:paraId="3BE4CA0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固定式钢直梯</w:t>
            </w:r>
          </w:p>
        </w:tc>
      </w:tr>
      <w:tr w14:paraId="4685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9DCB2F2">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BBB77FA">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钢直梯应与其固定的结构表明平行并尽可能垂直水平面设置。</w:t>
            </w:r>
          </w:p>
        </w:tc>
        <w:tc>
          <w:tcPr>
            <w:tcW w:w="2271" w:type="dxa"/>
            <w:vAlign w:val="center"/>
          </w:tcPr>
          <w:p w14:paraId="2FF909E4">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4284B70C">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199EF6C2">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第4.2条</w:t>
            </w:r>
          </w:p>
        </w:tc>
        <w:tc>
          <w:tcPr>
            <w:tcW w:w="1808" w:type="dxa"/>
            <w:vAlign w:val="center"/>
          </w:tcPr>
          <w:p w14:paraId="680905F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该项目中脱硫塔设置的直梯符合要求。</w:t>
            </w:r>
          </w:p>
        </w:tc>
        <w:tc>
          <w:tcPr>
            <w:tcW w:w="806" w:type="dxa"/>
            <w:vAlign w:val="center"/>
          </w:tcPr>
          <w:p w14:paraId="7E5487E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0C5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742E094">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0E9D1F6">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钢直梯应采用焊接连接，焊接要求应符合GB50205的规定。采用其他方式连接时，连接强度应不低于焊接。安装后的梯子不应有歪斜、扭曲、变形及其他缺陷。</w:t>
            </w:r>
          </w:p>
        </w:tc>
        <w:tc>
          <w:tcPr>
            <w:tcW w:w="2271" w:type="dxa"/>
            <w:vAlign w:val="center"/>
          </w:tcPr>
          <w:p w14:paraId="50C1EEB3">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237049BA">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15D2F333">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第4.4.1条</w:t>
            </w:r>
          </w:p>
        </w:tc>
        <w:tc>
          <w:tcPr>
            <w:tcW w:w="1808" w:type="dxa"/>
            <w:vAlign w:val="center"/>
          </w:tcPr>
          <w:p w14:paraId="49EF468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w:t>
            </w:r>
            <w:r>
              <w:rPr>
                <w:rFonts w:hint="eastAsia" w:ascii="宋体" w:hAnsi="宋体" w:eastAsia="宋体" w:cs="宋体"/>
                <w:color w:val="000000" w:themeColor="text1"/>
                <w:sz w:val="21"/>
                <w:szCs w:val="21"/>
                <w14:textFill>
                  <w14:solidFill>
                    <w14:schemeClr w14:val="tx1"/>
                  </w14:solidFill>
                </w14:textFill>
              </w:rPr>
              <w:t>采用焊接，现场查看时未发现明显缺陷。</w:t>
            </w:r>
          </w:p>
        </w:tc>
        <w:tc>
          <w:tcPr>
            <w:tcW w:w="806" w:type="dxa"/>
            <w:vAlign w:val="center"/>
          </w:tcPr>
          <w:p w14:paraId="64E8D671">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B9A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F8EA611">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866F534">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制造安装工艺应确保梯子及其所有部件的表面光滑、无锐边、尖角、毛刺或其他可能对梯子使用者造成伤害或妨碍其通过的外部缺陷。</w:t>
            </w:r>
          </w:p>
        </w:tc>
        <w:tc>
          <w:tcPr>
            <w:tcW w:w="2271" w:type="dxa"/>
            <w:vAlign w:val="center"/>
          </w:tcPr>
          <w:p w14:paraId="67F3BDDF">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450A24F6">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6CD8991D">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第4.4.2条</w:t>
            </w:r>
          </w:p>
        </w:tc>
        <w:tc>
          <w:tcPr>
            <w:tcW w:w="1808" w:type="dxa"/>
            <w:vAlign w:val="center"/>
          </w:tcPr>
          <w:p w14:paraId="0C50CB5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楼梯表面光滑、无锐边、尖角、等外部缺陷。</w:t>
            </w:r>
          </w:p>
        </w:tc>
        <w:tc>
          <w:tcPr>
            <w:tcW w:w="806" w:type="dxa"/>
            <w:vAlign w:val="center"/>
          </w:tcPr>
          <w:p w14:paraId="58009E0E">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59E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9CF2155">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D8CF80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根据钢直梯使用场合及环境条件，应对梯子进行合适的防锈及防腐涂装。</w:t>
            </w:r>
          </w:p>
        </w:tc>
        <w:tc>
          <w:tcPr>
            <w:tcW w:w="2271" w:type="dxa"/>
            <w:vAlign w:val="center"/>
          </w:tcPr>
          <w:p w14:paraId="6E41A068">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0CE230BC">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38CA818B">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第4.5.2条</w:t>
            </w:r>
          </w:p>
        </w:tc>
        <w:tc>
          <w:tcPr>
            <w:tcW w:w="1808" w:type="dxa"/>
            <w:vAlign w:val="center"/>
          </w:tcPr>
          <w:p w14:paraId="098C442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通过现场检查，该项目的钢直梯进行了防腐油漆。</w:t>
            </w:r>
          </w:p>
        </w:tc>
        <w:tc>
          <w:tcPr>
            <w:tcW w:w="806" w:type="dxa"/>
            <w:vAlign w:val="center"/>
          </w:tcPr>
          <w:p w14:paraId="2880F6E2">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FE5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E36CCE8">
            <w:pPr>
              <w:numPr>
                <w:ilvl w:val="0"/>
                <w:numId w:val="12"/>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0B994A5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在持续潮湿条件下使用的梯子,建议进行热镀锌,或采用特殊涂层或采用耐腐蚀材料。</w:t>
            </w:r>
          </w:p>
        </w:tc>
        <w:tc>
          <w:tcPr>
            <w:tcW w:w="2271" w:type="dxa"/>
            <w:vAlign w:val="center"/>
          </w:tcPr>
          <w:p w14:paraId="5C889F50">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31D24815">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291BFCCF">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第4.5.4条</w:t>
            </w:r>
          </w:p>
        </w:tc>
        <w:tc>
          <w:tcPr>
            <w:tcW w:w="1808" w:type="dxa"/>
            <w:vAlign w:val="center"/>
          </w:tcPr>
          <w:p w14:paraId="6D59291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通过现场检查，该项目的钢直梯进行了防腐涂装。</w:t>
            </w:r>
          </w:p>
        </w:tc>
        <w:tc>
          <w:tcPr>
            <w:tcW w:w="806" w:type="dxa"/>
            <w:vAlign w:val="center"/>
          </w:tcPr>
          <w:p w14:paraId="1603601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D44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970" w:type="dxa"/>
            <w:gridSpan w:val="5"/>
            <w:vAlign w:val="center"/>
          </w:tcPr>
          <w:p w14:paraId="3899F6E1">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固定式钢斜梯</w:t>
            </w:r>
          </w:p>
        </w:tc>
      </w:tr>
      <w:tr w14:paraId="45A3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A028F5B">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EDD161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采用的钢材力学性能不应低于Q235-B，并具有含碳量合格保证。</w:t>
            </w:r>
          </w:p>
        </w:tc>
        <w:tc>
          <w:tcPr>
            <w:tcW w:w="2271" w:type="dxa"/>
            <w:vAlign w:val="center"/>
          </w:tcPr>
          <w:p w14:paraId="089F5DD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 第2部分：钢斜梯》</w:t>
            </w:r>
          </w:p>
          <w:p w14:paraId="24D44F1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0544A2C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第4.1条</w:t>
            </w:r>
          </w:p>
        </w:tc>
        <w:tc>
          <w:tcPr>
            <w:tcW w:w="1808" w:type="dxa"/>
            <w:vAlign w:val="center"/>
          </w:tcPr>
          <w:p w14:paraId="1CE84D8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该项目采用的钢材符合相关的要求。</w:t>
            </w:r>
          </w:p>
        </w:tc>
        <w:tc>
          <w:tcPr>
            <w:tcW w:w="806" w:type="dxa"/>
            <w:vAlign w:val="center"/>
          </w:tcPr>
          <w:p w14:paraId="58A3F579">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CAA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CAB5D02">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271FC4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钢斜梯应采用焊接连接。</w:t>
            </w:r>
          </w:p>
        </w:tc>
        <w:tc>
          <w:tcPr>
            <w:tcW w:w="2271" w:type="dxa"/>
            <w:vAlign w:val="center"/>
          </w:tcPr>
          <w:p w14:paraId="57F7BB1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25D7B09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0AE37D8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第4.4.1条</w:t>
            </w:r>
          </w:p>
        </w:tc>
        <w:tc>
          <w:tcPr>
            <w:tcW w:w="1808" w:type="dxa"/>
            <w:vAlign w:val="center"/>
          </w:tcPr>
          <w:p w14:paraId="7240E67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项目的钢斜梯采用焊接连接。</w:t>
            </w:r>
          </w:p>
        </w:tc>
        <w:tc>
          <w:tcPr>
            <w:tcW w:w="806" w:type="dxa"/>
            <w:vAlign w:val="center"/>
          </w:tcPr>
          <w:p w14:paraId="19ED5436">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8E0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84D4525">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F30D7F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制造安装工艺应确保梯子及其所有构件的表面光滑、无锐边、尖角、毛刺或其他可能对梯子使用者造成伤害或者妨碍其通过的外部缺陷。</w:t>
            </w:r>
          </w:p>
        </w:tc>
        <w:tc>
          <w:tcPr>
            <w:tcW w:w="2271" w:type="dxa"/>
            <w:vAlign w:val="center"/>
          </w:tcPr>
          <w:p w14:paraId="21AAD98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2D8908D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7EEEE52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第4.4.2条</w:t>
            </w:r>
          </w:p>
        </w:tc>
        <w:tc>
          <w:tcPr>
            <w:tcW w:w="1808" w:type="dxa"/>
            <w:vAlign w:val="center"/>
          </w:tcPr>
          <w:p w14:paraId="67E33FF0">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项目内的钢斜梯符合相关要求。</w:t>
            </w:r>
          </w:p>
        </w:tc>
        <w:tc>
          <w:tcPr>
            <w:tcW w:w="806" w:type="dxa"/>
            <w:vAlign w:val="center"/>
          </w:tcPr>
          <w:p w14:paraId="4AC2642F">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80A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EC9A83D">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EE4C17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根据钢斜梯使用场合及环境条件,应对梯子进行合适的防锈及防腐涂装。</w:t>
            </w:r>
          </w:p>
        </w:tc>
        <w:tc>
          <w:tcPr>
            <w:tcW w:w="2271" w:type="dxa"/>
            <w:vAlign w:val="center"/>
          </w:tcPr>
          <w:p w14:paraId="0DE64A0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2E16974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0C95C99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第4.5.2条</w:t>
            </w:r>
          </w:p>
        </w:tc>
        <w:tc>
          <w:tcPr>
            <w:tcW w:w="1808" w:type="dxa"/>
            <w:vAlign w:val="center"/>
          </w:tcPr>
          <w:p w14:paraId="5443FB3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项目内的钢斜梯均进行了相关的防锈及防腐涂装。</w:t>
            </w:r>
          </w:p>
        </w:tc>
        <w:tc>
          <w:tcPr>
            <w:tcW w:w="806" w:type="dxa"/>
            <w:vAlign w:val="center"/>
          </w:tcPr>
          <w:p w14:paraId="6619E19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4A0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C23FFE9">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567147A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在室外安装的钢斜梯和连按部分的防雷电保护,连接和接地附件应符合相关要求。</w:t>
            </w:r>
          </w:p>
        </w:tc>
        <w:tc>
          <w:tcPr>
            <w:tcW w:w="2271" w:type="dxa"/>
            <w:vAlign w:val="center"/>
          </w:tcPr>
          <w:p w14:paraId="0F860C6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69AD3E0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6D13EFA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第4.6条</w:t>
            </w:r>
          </w:p>
        </w:tc>
        <w:tc>
          <w:tcPr>
            <w:tcW w:w="1808" w:type="dxa"/>
            <w:vAlign w:val="center"/>
          </w:tcPr>
          <w:p w14:paraId="42B5500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项目内的钢斜梯均设置了相应的防雷电保护设施。</w:t>
            </w:r>
          </w:p>
        </w:tc>
        <w:tc>
          <w:tcPr>
            <w:tcW w:w="806" w:type="dxa"/>
            <w:vAlign w:val="center"/>
          </w:tcPr>
          <w:p w14:paraId="5782DD4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BF5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8424EDD">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112CEF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扶手应沿其整个长度方向上连续可抓握。</w:t>
            </w:r>
          </w:p>
        </w:tc>
        <w:tc>
          <w:tcPr>
            <w:tcW w:w="2271" w:type="dxa"/>
            <w:vAlign w:val="center"/>
          </w:tcPr>
          <w:p w14:paraId="7F1912F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5A102D2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09DA1AB5">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第5.6.8条</w:t>
            </w:r>
          </w:p>
        </w:tc>
        <w:tc>
          <w:tcPr>
            <w:tcW w:w="1808" w:type="dxa"/>
            <w:vAlign w:val="center"/>
          </w:tcPr>
          <w:p w14:paraId="1977ED3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该项目内钢斜梯的扶手符合要求。</w:t>
            </w:r>
          </w:p>
        </w:tc>
        <w:tc>
          <w:tcPr>
            <w:tcW w:w="806" w:type="dxa"/>
            <w:vAlign w:val="center"/>
          </w:tcPr>
          <w:p w14:paraId="62366FD3">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91D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970" w:type="dxa"/>
            <w:gridSpan w:val="5"/>
            <w:vAlign w:val="center"/>
          </w:tcPr>
          <w:p w14:paraId="7EBE2145">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工业防护栏杆及钢平台</w:t>
            </w:r>
          </w:p>
        </w:tc>
      </w:tr>
      <w:tr w14:paraId="6DB3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66CA162">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72CA142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距下方相邻地板或地面1.2m 及以上的平台、通道或工作面的所有敞开边缘应设置防护栏杆。</w:t>
            </w:r>
          </w:p>
        </w:tc>
        <w:tc>
          <w:tcPr>
            <w:tcW w:w="2271" w:type="dxa"/>
            <w:vAlign w:val="center"/>
          </w:tcPr>
          <w:p w14:paraId="00BCEFF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20672DC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547321B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第4.1.1条</w:t>
            </w:r>
          </w:p>
        </w:tc>
        <w:tc>
          <w:tcPr>
            <w:tcW w:w="1808" w:type="dxa"/>
            <w:vAlign w:val="center"/>
          </w:tcPr>
          <w:p w14:paraId="715BB780">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平台设置了防护栏杆。</w:t>
            </w:r>
          </w:p>
        </w:tc>
        <w:tc>
          <w:tcPr>
            <w:tcW w:w="806" w:type="dxa"/>
            <w:vAlign w:val="center"/>
          </w:tcPr>
          <w:p w14:paraId="5F7BDFBF">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39C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A8914E8">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tcPr>
          <w:p w14:paraId="33FB9CD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bookmarkStart w:id="726" w:name="_Toc5942"/>
            <w:bookmarkStart w:id="727" w:name="_Toc12967"/>
            <w:bookmarkStart w:id="728" w:name="_Toc22279"/>
            <w:bookmarkStart w:id="729" w:name="_Toc9402"/>
            <w:bookmarkStart w:id="730" w:name="_Toc30564"/>
            <w:bookmarkStart w:id="731" w:name="_Toc8677"/>
            <w:bookmarkStart w:id="732" w:name="_Toc12194"/>
            <w:bookmarkStart w:id="733" w:name="_Toc20226"/>
            <w:bookmarkStart w:id="734" w:name="_Toc27337"/>
            <w:bookmarkStart w:id="735" w:name="_Toc2892"/>
            <w:bookmarkStart w:id="736" w:name="_Toc1708"/>
            <w:bookmarkStart w:id="737" w:name="_Toc30641"/>
            <w:bookmarkStart w:id="738" w:name="_Toc532"/>
            <w:bookmarkStart w:id="739" w:name="_Toc728"/>
            <w:bookmarkStart w:id="740" w:name="_Toc26173"/>
            <w:r>
              <w:rPr>
                <w:rFonts w:hint="eastAsia" w:ascii="宋体" w:hAnsi="宋体" w:eastAsia="宋体" w:cs="宋体"/>
                <w:color w:val="000000" w:themeColor="text1"/>
                <w:sz w:val="21"/>
                <w:szCs w:val="21"/>
                <w14:textFill>
                  <w14:solidFill>
                    <w14:schemeClr w14:val="tx1"/>
                  </w14:solidFill>
                </w14:textFill>
              </w:rPr>
              <w:t>防护栏杆及钢平台应采用焊接连接，焊接要求应符合GB 50205 的规定。</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B1A95F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bookmarkStart w:id="741" w:name="_Toc12547"/>
            <w:bookmarkStart w:id="742" w:name="_Toc2131"/>
            <w:bookmarkStart w:id="743" w:name="_Toc18729"/>
            <w:bookmarkStart w:id="744" w:name="_Toc5331"/>
            <w:bookmarkStart w:id="745" w:name="_Toc4823"/>
            <w:bookmarkStart w:id="746" w:name="_Toc20274"/>
            <w:bookmarkStart w:id="747" w:name="_Toc23531"/>
            <w:bookmarkStart w:id="748" w:name="_Toc20920"/>
            <w:bookmarkStart w:id="749" w:name="_Toc1808"/>
            <w:bookmarkStart w:id="750" w:name="_Toc18355"/>
            <w:bookmarkStart w:id="751" w:name="_Toc12075"/>
            <w:bookmarkStart w:id="752" w:name="_Toc30638"/>
            <w:bookmarkStart w:id="753" w:name="_Toc1362"/>
            <w:bookmarkStart w:id="754" w:name="_Toc30759"/>
            <w:bookmarkStart w:id="755" w:name="_Toc13685"/>
            <w:r>
              <w:rPr>
                <w:rFonts w:hint="eastAsia" w:ascii="宋体" w:hAnsi="宋体" w:eastAsia="宋体" w:cs="宋体"/>
                <w:color w:val="000000" w:themeColor="text1"/>
                <w:sz w:val="21"/>
                <w:szCs w:val="21"/>
                <w14:textFill>
                  <w14:solidFill>
                    <w14:schemeClr w14:val="tx1"/>
                  </w14:solidFill>
                </w14:textFill>
              </w:rPr>
              <w:t>当不便焊接时，可用螺栓连接，但应保证设计的结构强度。安装后的防护栏杆及钢平台不应有歪斜、扭曲、变形及其它缺陷。</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tc>
        <w:tc>
          <w:tcPr>
            <w:tcW w:w="2271" w:type="dxa"/>
            <w:vAlign w:val="center"/>
          </w:tcPr>
          <w:p w14:paraId="02DA4C5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709F628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2B3A0D8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第4.5.1条</w:t>
            </w:r>
          </w:p>
        </w:tc>
        <w:tc>
          <w:tcPr>
            <w:tcW w:w="1808" w:type="dxa"/>
            <w:vAlign w:val="center"/>
          </w:tcPr>
          <w:p w14:paraId="37FE76B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防护栏杆及钢平台采用焊接连接。</w:t>
            </w:r>
          </w:p>
        </w:tc>
        <w:tc>
          <w:tcPr>
            <w:tcW w:w="806" w:type="dxa"/>
            <w:vAlign w:val="center"/>
          </w:tcPr>
          <w:p w14:paraId="1C3E3ACF">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14F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E845438">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833D61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防护栏杆制造安装工艺应确保所有构件及其连接部分表面光滑，无锐边、尖角、毛刺或其它可能对人员造成伤害或妨碍其通过的外部缺陷。</w:t>
            </w:r>
          </w:p>
        </w:tc>
        <w:tc>
          <w:tcPr>
            <w:tcW w:w="2271" w:type="dxa"/>
            <w:vAlign w:val="center"/>
          </w:tcPr>
          <w:p w14:paraId="5CE5A36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47BE3B2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757718C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第4.5.2条</w:t>
            </w:r>
          </w:p>
        </w:tc>
        <w:tc>
          <w:tcPr>
            <w:tcW w:w="1808" w:type="dxa"/>
            <w:vAlign w:val="center"/>
          </w:tcPr>
          <w:p w14:paraId="3192752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现场检查扶手无尖角、不光滑等外部缺陷。</w:t>
            </w:r>
          </w:p>
        </w:tc>
        <w:tc>
          <w:tcPr>
            <w:tcW w:w="806" w:type="dxa"/>
            <w:vAlign w:val="center"/>
          </w:tcPr>
          <w:p w14:paraId="03EAE4E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54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7B2E02E">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76C78C75">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安装后的平台钢梁应平直，铺板应平整，不应有歪斜、翘曲、变形及其它缺陷。</w:t>
            </w:r>
          </w:p>
        </w:tc>
        <w:tc>
          <w:tcPr>
            <w:tcW w:w="2271" w:type="dxa"/>
            <w:vAlign w:val="center"/>
          </w:tcPr>
          <w:p w14:paraId="45583CE3">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w:t>
            </w:r>
            <w:r>
              <w:rPr>
                <w:rFonts w:hint="eastAsia" w:ascii="宋体" w:hAnsi="宋体" w:eastAsia="宋体" w:cs="宋体"/>
                <w:color w:val="000000" w:themeColor="text1"/>
                <w:kern w:val="0"/>
                <w:sz w:val="21"/>
                <w:szCs w:val="21"/>
                <w14:textFill>
                  <w14:solidFill>
                    <w14:schemeClr w14:val="tx1"/>
                  </w14:solidFill>
                </w14:textFill>
              </w:rPr>
              <w:t>工业防护栏杆及钢平台</w:t>
            </w:r>
            <w:r>
              <w:rPr>
                <w:rFonts w:hint="eastAsia" w:ascii="宋体" w:hAnsi="宋体" w:eastAsia="宋体" w:cs="宋体"/>
                <w:color w:val="000000" w:themeColor="text1"/>
                <w:sz w:val="21"/>
                <w:szCs w:val="21"/>
                <w14:textFill>
                  <w14:solidFill>
                    <w14:schemeClr w14:val="tx1"/>
                  </w14:solidFill>
                </w14:textFill>
              </w:rPr>
              <w:t>》</w:t>
            </w:r>
          </w:p>
          <w:p w14:paraId="0C06D2B3">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Style w:val="55"/>
                <w:rFonts w:hint="eastAsia" w:ascii="宋体" w:hAnsi="宋体" w:eastAsia="宋体" w:cs="宋体"/>
                <w:b w:val="0"/>
                <w:color w:val="000000" w:themeColor="text1"/>
                <w:sz w:val="21"/>
                <w:szCs w:val="21"/>
                <w14:textFill>
                  <w14:solidFill>
                    <w14:schemeClr w14:val="tx1"/>
                  </w14:solidFill>
                </w14:textFill>
              </w:rPr>
              <w:t>（GB 4053.3-2009）</w:t>
            </w:r>
          </w:p>
          <w:p w14:paraId="3641859E">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第4.5.4条</w:t>
            </w:r>
          </w:p>
        </w:tc>
        <w:tc>
          <w:tcPr>
            <w:tcW w:w="1808" w:type="dxa"/>
            <w:vAlign w:val="center"/>
          </w:tcPr>
          <w:p w14:paraId="6410B2A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现场检查时未发现平台存在明显缺陷。</w:t>
            </w:r>
          </w:p>
        </w:tc>
        <w:tc>
          <w:tcPr>
            <w:tcW w:w="806" w:type="dxa"/>
            <w:vAlign w:val="center"/>
          </w:tcPr>
          <w:p w14:paraId="0B960EC0">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B8B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03DAC785">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EE7DBFC">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根据防护栏杆和钢平台使用场合及环境条件，应对其进行合适的防锈及防腐涂装。</w:t>
            </w:r>
          </w:p>
        </w:tc>
        <w:tc>
          <w:tcPr>
            <w:tcW w:w="2271" w:type="dxa"/>
            <w:vAlign w:val="center"/>
          </w:tcPr>
          <w:p w14:paraId="1F4C277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w:t>
            </w:r>
            <w:r>
              <w:rPr>
                <w:rFonts w:hint="eastAsia" w:ascii="宋体" w:hAnsi="宋体" w:eastAsia="宋体" w:cs="宋体"/>
                <w:color w:val="000000" w:themeColor="text1"/>
                <w:kern w:val="0"/>
                <w:sz w:val="21"/>
                <w:szCs w:val="21"/>
                <w14:textFill>
                  <w14:solidFill>
                    <w14:schemeClr w14:val="tx1"/>
                  </w14:solidFill>
                </w14:textFill>
              </w:rPr>
              <w:t>工业防护栏杆及钢平台</w:t>
            </w:r>
            <w:r>
              <w:rPr>
                <w:rFonts w:hint="eastAsia" w:ascii="宋体" w:hAnsi="宋体" w:eastAsia="宋体" w:cs="宋体"/>
                <w:color w:val="000000" w:themeColor="text1"/>
                <w:sz w:val="21"/>
                <w:szCs w:val="21"/>
                <w14:textFill>
                  <w14:solidFill>
                    <w14:schemeClr w14:val="tx1"/>
                  </w14:solidFill>
                </w14:textFill>
              </w:rPr>
              <w:t>》</w:t>
            </w:r>
          </w:p>
          <w:p w14:paraId="77F52FF1">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Style w:val="55"/>
                <w:rFonts w:hint="eastAsia" w:ascii="宋体" w:hAnsi="宋体" w:eastAsia="宋体" w:cs="宋体"/>
                <w:b w:val="0"/>
                <w:color w:val="000000" w:themeColor="text1"/>
                <w:sz w:val="21"/>
                <w:szCs w:val="21"/>
                <w14:textFill>
                  <w14:solidFill>
                    <w14:schemeClr w14:val="tx1"/>
                  </w14:solidFill>
                </w14:textFill>
              </w:rPr>
              <w:t>（GB 4053.3-2009）</w:t>
            </w:r>
          </w:p>
          <w:p w14:paraId="070DC9DF">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第4.6.2条</w:t>
            </w:r>
          </w:p>
        </w:tc>
        <w:tc>
          <w:tcPr>
            <w:tcW w:w="1808" w:type="dxa"/>
            <w:vAlign w:val="center"/>
          </w:tcPr>
          <w:p w14:paraId="45E79D9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项目的防护栏杆和钢平台进行了防腐涂装。</w:t>
            </w:r>
          </w:p>
        </w:tc>
        <w:tc>
          <w:tcPr>
            <w:tcW w:w="806" w:type="dxa"/>
            <w:vAlign w:val="center"/>
          </w:tcPr>
          <w:p w14:paraId="51229243">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F78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970" w:type="dxa"/>
            <w:gridSpan w:val="5"/>
            <w:vAlign w:val="center"/>
          </w:tcPr>
          <w:p w14:paraId="1976F8A9">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机械设备防护装置</w:t>
            </w:r>
          </w:p>
        </w:tc>
      </w:tr>
      <w:tr w14:paraId="4499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1A2B34F">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711696A">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在设计和应用防护装置时，应适当考虑在机器整个预期寿命期间的运行和可预见的机器环境方面的因素。对这些方面的考虑不当可能导致不安全或机器不能运行，以致人为的使防护装置失效，从而使人员暴露在更大的风险中。</w:t>
            </w:r>
          </w:p>
        </w:tc>
        <w:tc>
          <w:tcPr>
            <w:tcW w:w="2271" w:type="dxa"/>
            <w:vAlign w:val="center"/>
          </w:tcPr>
          <w:p w14:paraId="294DAA44">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5A29468F">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5F82289D">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第5.1.1条</w:t>
            </w:r>
          </w:p>
        </w:tc>
        <w:tc>
          <w:tcPr>
            <w:tcW w:w="1808" w:type="dxa"/>
            <w:vAlign w:val="center"/>
          </w:tcPr>
          <w:p w14:paraId="2B1F626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该项目的采用的防护装置均考虑了相关的因素。</w:t>
            </w:r>
          </w:p>
        </w:tc>
        <w:tc>
          <w:tcPr>
            <w:tcW w:w="806" w:type="dxa"/>
            <w:vAlign w:val="center"/>
          </w:tcPr>
          <w:p w14:paraId="732F71F9">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E65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3FF0140">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623A0C0">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在可行时,为尽可能减少进入危险区,防护装置和机械的设计应使得不用打开或拆卸防护装置就可进行例行的调整、润滑和维护。</w:t>
            </w:r>
          </w:p>
          <w:p w14:paraId="1BEF1724">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如果需要进入被防护区域，则应尽可能做到可自由、畅通无阻地进入。</w:t>
            </w:r>
          </w:p>
        </w:tc>
        <w:tc>
          <w:tcPr>
            <w:tcW w:w="2271" w:type="dxa"/>
            <w:vAlign w:val="center"/>
          </w:tcPr>
          <w:p w14:paraId="08D7A042">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149A0150">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34DC298F">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第5.1.2条</w:t>
            </w:r>
          </w:p>
        </w:tc>
        <w:tc>
          <w:tcPr>
            <w:tcW w:w="1808" w:type="dxa"/>
            <w:vAlign w:val="center"/>
          </w:tcPr>
          <w:p w14:paraId="64B5374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该项目的防护装置符合相关的要求。</w:t>
            </w:r>
          </w:p>
        </w:tc>
        <w:tc>
          <w:tcPr>
            <w:tcW w:w="806" w:type="dxa"/>
            <w:vAlign w:val="center"/>
          </w:tcPr>
          <w:p w14:paraId="7694BE3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DC5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8FC9541">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7CA0631">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对于用于防止进入危险区的防护装置，其设计、制造和定位应满足 ISO 13857，以防止人体各部位触及危险区。对联锁活动式防护装置，还应满足ISO 13855 的安全距离。</w:t>
            </w:r>
          </w:p>
        </w:tc>
        <w:tc>
          <w:tcPr>
            <w:tcW w:w="2271" w:type="dxa"/>
            <w:vAlign w:val="center"/>
          </w:tcPr>
          <w:p w14:paraId="1B4DB4FE">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55525814">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5ADCF6B6">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第5.2.2条</w:t>
            </w:r>
          </w:p>
        </w:tc>
        <w:tc>
          <w:tcPr>
            <w:tcW w:w="1808" w:type="dxa"/>
            <w:vAlign w:val="center"/>
          </w:tcPr>
          <w:p w14:paraId="2B7FAD1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该项目的防护装置符合相关的要求。</w:t>
            </w:r>
          </w:p>
        </w:tc>
        <w:tc>
          <w:tcPr>
            <w:tcW w:w="806" w:type="dxa"/>
            <w:vAlign w:val="center"/>
          </w:tcPr>
          <w:p w14:paraId="0125717B">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F56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D6E2E93">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D518881">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连接牢固性：焊接、粘接或机械式紧固连接应有足够的强度，以承受正常的可预见的载荷。在使用粘接剂的场合，应使其与所采用的工艺和使用的材料相匹配。在使用机械紧固件的场合，其强度、数量和位置应足以保证防护装置的稳定性和刚度。</w:t>
            </w:r>
          </w:p>
        </w:tc>
        <w:tc>
          <w:tcPr>
            <w:tcW w:w="2271" w:type="dxa"/>
            <w:vAlign w:val="center"/>
          </w:tcPr>
          <w:p w14:paraId="738DB5F4">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2F9C7B4C">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2E5EA35B">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第5.3.8条</w:t>
            </w:r>
          </w:p>
        </w:tc>
        <w:tc>
          <w:tcPr>
            <w:tcW w:w="1808" w:type="dxa"/>
            <w:vAlign w:val="center"/>
          </w:tcPr>
          <w:p w14:paraId="292E454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该项目防护装置连接牢固性基本符合要求，现场检查时未发现明显缺陷。</w:t>
            </w:r>
          </w:p>
        </w:tc>
        <w:tc>
          <w:tcPr>
            <w:tcW w:w="806" w:type="dxa"/>
            <w:vAlign w:val="center"/>
          </w:tcPr>
          <w:p w14:paraId="2A8EDD8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2A8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7E60EE7">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531E96B5">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只能用工具拆卸：防护装置的可拆卸部件应只能借助工具才可以拆卸。</w:t>
            </w:r>
          </w:p>
        </w:tc>
        <w:tc>
          <w:tcPr>
            <w:tcW w:w="2271" w:type="dxa"/>
            <w:vAlign w:val="center"/>
          </w:tcPr>
          <w:p w14:paraId="14ED2B4A">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1F8DE85D">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1BFC1985">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第5.3.9条</w:t>
            </w:r>
          </w:p>
        </w:tc>
        <w:tc>
          <w:tcPr>
            <w:tcW w:w="1808" w:type="dxa"/>
            <w:vAlign w:val="center"/>
          </w:tcPr>
          <w:p w14:paraId="1DE9EE6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该项目防护装置可拆卸部件设计符合相关要求。</w:t>
            </w:r>
          </w:p>
        </w:tc>
        <w:tc>
          <w:tcPr>
            <w:tcW w:w="806" w:type="dxa"/>
            <w:vAlign w:val="center"/>
          </w:tcPr>
          <w:p w14:paraId="529E5F7E">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DAC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13EB934">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3FB3FCC">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对于带轮、传动带、齿轮、齿条齿轮和传动轴等运动的传动部件产生的危险,应采用固定式防护装置(见图 1)或联锁的活动式防护装置进行防护。</w:t>
            </w:r>
          </w:p>
        </w:tc>
        <w:tc>
          <w:tcPr>
            <w:tcW w:w="2271" w:type="dxa"/>
            <w:vAlign w:val="center"/>
          </w:tcPr>
          <w:p w14:paraId="459BA258">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2A616319">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133818FE">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第6.4.2条</w:t>
            </w:r>
          </w:p>
        </w:tc>
        <w:tc>
          <w:tcPr>
            <w:tcW w:w="1808" w:type="dxa"/>
            <w:vAlign w:val="center"/>
          </w:tcPr>
          <w:p w14:paraId="6EE40C85">
            <w:pPr>
              <w:tabs>
                <w:tab w:val="left" w:pos="2898"/>
              </w:tabs>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该项目的转动或传动机械设备部位设置了机械防护装置。</w:t>
            </w:r>
          </w:p>
        </w:tc>
        <w:tc>
          <w:tcPr>
            <w:tcW w:w="806" w:type="dxa"/>
            <w:vAlign w:val="center"/>
          </w:tcPr>
          <w:p w14:paraId="41BF23F5">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ECF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051F111F">
            <w:pPr>
              <w:numPr>
                <w:ilvl w:val="0"/>
                <w:numId w:val="12"/>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93E1BC0">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车间的地面应平坦、不打滑。</w:t>
            </w:r>
          </w:p>
        </w:tc>
        <w:tc>
          <w:tcPr>
            <w:tcW w:w="2271" w:type="dxa"/>
            <w:vAlign w:val="center"/>
          </w:tcPr>
          <w:p w14:paraId="311CC757">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《机械工业职业安全卫生设计规范》</w:t>
            </w:r>
            <w:r>
              <w:rPr>
                <w:rFonts w:hint="eastAsia" w:ascii="宋体" w:hAnsi="宋体" w:eastAsia="宋体" w:cs="宋体"/>
                <w:color w:val="000000" w:themeColor="text1"/>
                <w:kern w:val="0"/>
                <w:sz w:val="21"/>
                <w:szCs w:val="21"/>
                <w14:textFill>
                  <w14:solidFill>
                    <w14:schemeClr w14:val="tx1"/>
                  </w14:solidFill>
                </w14:textFill>
              </w:rPr>
              <w:br w:type="textWrapping"/>
            </w:r>
            <w:r>
              <w:rPr>
                <w:rFonts w:hint="eastAsia" w:ascii="宋体" w:hAnsi="宋体" w:eastAsia="宋体" w:cs="宋体"/>
                <w:color w:val="000000" w:themeColor="text1"/>
                <w:kern w:val="0"/>
                <w:sz w:val="21"/>
                <w:szCs w:val="21"/>
                <w14:textFill>
                  <w14:solidFill>
                    <w14:schemeClr w14:val="tx1"/>
                  </w14:solidFill>
                </w14:textFill>
              </w:rPr>
              <w:t>（JBJ 18-2000）</w:t>
            </w:r>
          </w:p>
          <w:p w14:paraId="3402A8E0">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第3.1.4条</w:t>
            </w:r>
          </w:p>
        </w:tc>
        <w:tc>
          <w:tcPr>
            <w:tcW w:w="1808" w:type="dxa"/>
            <w:vAlign w:val="center"/>
          </w:tcPr>
          <w:p w14:paraId="6FE01E2A">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该项目车间地面平坦、不打滑。</w:t>
            </w:r>
          </w:p>
        </w:tc>
        <w:tc>
          <w:tcPr>
            <w:tcW w:w="806" w:type="dxa"/>
            <w:vAlign w:val="center"/>
          </w:tcPr>
          <w:p w14:paraId="3AD7F5E7">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16E8BEE7">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56" w:name="_Toc16943"/>
      <w:bookmarkStart w:id="757" w:name="_Toc5267"/>
      <w:bookmarkStart w:id="758" w:name="_Toc5797"/>
      <w:bookmarkStart w:id="759" w:name="_Toc4239"/>
      <w:bookmarkStart w:id="760" w:name="_Toc61474472"/>
      <w:bookmarkStart w:id="761" w:name="_Toc30001449"/>
      <w:bookmarkStart w:id="762" w:name="_Toc11760"/>
      <w:r>
        <w:rPr>
          <w:rFonts w:hint="default" w:ascii="Times New Roman" w:hAnsi="Times New Roman" w:eastAsia="黑体" w:cs="Times New Roman"/>
          <w:color w:val="000000" w:themeColor="text1"/>
          <w:lang w:val="en-US" w:eastAsia="zh-CN"/>
          <w14:textFill>
            <w14:solidFill>
              <w14:schemeClr w14:val="tx1"/>
            </w14:solidFill>
          </w14:textFill>
        </w:rPr>
        <w:t>5.3.2防雷、防静电安全评价子单元安全检查表</w:t>
      </w:r>
      <w:bookmarkEnd w:id="756"/>
      <w:bookmarkEnd w:id="757"/>
      <w:bookmarkEnd w:id="758"/>
      <w:bookmarkEnd w:id="759"/>
    </w:p>
    <w:p w14:paraId="79F07344">
      <w:pPr>
        <w:spacing w:line="500" w:lineRule="exact"/>
        <w:ind w:firstLine="560" w:firstLineChars="200"/>
        <w:jc w:val="left"/>
        <w:rPr>
          <w:color w:val="000000" w:themeColor="text1"/>
          <w:kern w:val="0"/>
          <w:sz w:val="28"/>
          <w:szCs w:val="28"/>
          <w14:textFill>
            <w14:solidFill>
              <w14:schemeClr w14:val="tx1"/>
            </w14:solidFill>
          </w14:textFill>
        </w:rPr>
      </w:pPr>
      <w:r>
        <w:rPr>
          <w:color w:val="000000" w:themeColor="text1"/>
          <w:kern w:val="0"/>
          <w:sz w:val="28"/>
          <w:szCs w:val="28"/>
          <w14:textFill>
            <w14:solidFill>
              <w14:schemeClr w14:val="tx1"/>
            </w14:solidFill>
          </w14:textFill>
        </w:rPr>
        <w:t>根据</w:t>
      </w:r>
      <w:r>
        <w:rPr>
          <w:rFonts w:hint="eastAsia"/>
          <w:color w:val="000000" w:themeColor="text1"/>
          <w:kern w:val="0"/>
          <w:sz w:val="28"/>
          <w:szCs w:val="28"/>
          <w14:textFill>
            <w14:solidFill>
              <w14:schemeClr w14:val="tx1"/>
            </w14:solidFill>
          </w14:textFill>
        </w:rPr>
        <w:t>《建筑物防雷设计规范》（</w:t>
      </w:r>
      <w:r>
        <w:rPr>
          <w:color w:val="000000" w:themeColor="text1"/>
          <w:kern w:val="0"/>
          <w:sz w:val="28"/>
          <w:szCs w:val="28"/>
          <w14:textFill>
            <w14:solidFill>
              <w14:schemeClr w14:val="tx1"/>
            </w14:solidFill>
          </w14:textFill>
        </w:rPr>
        <w:t>GB50057-2010</w:t>
      </w:r>
      <w:r>
        <w:rPr>
          <w:rFonts w:hint="eastAsia"/>
          <w:color w:val="000000" w:themeColor="text1"/>
          <w:kern w:val="0"/>
          <w:sz w:val="28"/>
          <w:szCs w:val="28"/>
          <w14:textFill>
            <w14:solidFill>
              <w14:schemeClr w14:val="tx1"/>
            </w14:solidFill>
          </w14:textFill>
        </w:rPr>
        <w:t>）、《生产设备安全卫生设计总则》（GB5083-2023）、《防止静电事故通用导则》（</w:t>
      </w:r>
      <w:r>
        <w:rPr>
          <w:color w:val="000000" w:themeColor="text1"/>
          <w:kern w:val="0"/>
          <w:sz w:val="28"/>
          <w:szCs w:val="28"/>
          <w14:textFill>
            <w14:solidFill>
              <w14:schemeClr w14:val="tx1"/>
            </w14:solidFill>
          </w14:textFill>
        </w:rPr>
        <w:t>GB12158-2006</w:t>
      </w:r>
      <w:r>
        <w:rPr>
          <w:rFonts w:hint="eastAsia"/>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等标准、规范要求，对该项目区的防雷、防静电设施进行安全评价，具体情况见下表5-</w:t>
      </w:r>
      <w:r>
        <w:rPr>
          <w:rFonts w:hint="eastAsia"/>
          <w:color w:val="000000" w:themeColor="text1"/>
          <w:kern w:val="0"/>
          <w:sz w:val="28"/>
          <w:szCs w:val="28"/>
          <w:lang w:val="en-US" w:eastAsia="zh-CN"/>
          <w14:textFill>
            <w14:solidFill>
              <w14:schemeClr w14:val="tx1"/>
            </w14:solidFill>
          </w14:textFill>
        </w:rPr>
        <w:t>5</w:t>
      </w:r>
      <w:r>
        <w:rPr>
          <w:color w:val="000000" w:themeColor="text1"/>
          <w:kern w:val="0"/>
          <w:sz w:val="28"/>
          <w:szCs w:val="28"/>
          <w14:textFill>
            <w14:solidFill>
              <w14:schemeClr w14:val="tx1"/>
            </w14:solidFill>
          </w14:textFill>
        </w:rPr>
        <w:t>所示。</w:t>
      </w:r>
    </w:p>
    <w:p w14:paraId="1882DF42">
      <w:pPr>
        <w:pStyle w:val="32"/>
        <w:autoSpaceDE w:val="0"/>
        <w:autoSpaceDN w:val="0"/>
        <w:adjustRightInd w:val="0"/>
        <w:snapToGrid w:val="0"/>
        <w:spacing w:after="0" w:line="500" w:lineRule="exact"/>
        <w:ind w:left="0" w:leftChars="0" w:firstLine="482" w:firstLineChars="200"/>
        <w:jc w:val="center"/>
        <w:rPr>
          <w:snapToGrid w:val="0"/>
          <w:color w:val="000000" w:themeColor="text1"/>
          <w:kern w:val="0"/>
          <w:sz w:val="24"/>
          <w14:textFill>
            <w14:solidFill>
              <w14:schemeClr w14:val="tx1"/>
            </w14:solidFill>
          </w14:textFill>
        </w:rPr>
      </w:pPr>
      <w:r>
        <w:rPr>
          <w:b/>
          <w:bCs/>
          <w:color w:val="000000" w:themeColor="text1"/>
          <w:szCs w:val="21"/>
          <w14:textFill>
            <w14:solidFill>
              <w14:schemeClr w14:val="tx1"/>
            </w14:solidFill>
          </w14:textFill>
        </w:rPr>
        <w:t>表5-</w:t>
      </w:r>
      <w:r>
        <w:rPr>
          <w:rFonts w:hint="eastAsia"/>
          <w:b/>
          <w:bCs/>
          <w:color w:val="000000" w:themeColor="text1"/>
          <w:szCs w:val="21"/>
          <w:lang w:val="en-US" w:eastAsia="zh-CN"/>
          <w14:textFill>
            <w14:solidFill>
              <w14:schemeClr w14:val="tx1"/>
            </w14:solidFill>
          </w14:textFill>
        </w:rPr>
        <w:t xml:space="preserve">5 </w:t>
      </w:r>
      <w:r>
        <w:rPr>
          <w:b/>
          <w:bCs/>
          <w:color w:val="000000" w:themeColor="text1"/>
          <w:szCs w:val="21"/>
          <w14:textFill>
            <w14:solidFill>
              <w14:schemeClr w14:val="tx1"/>
            </w14:solidFill>
          </w14:textFill>
        </w:rPr>
        <w:t>防雷、防静电设施安全检查表</w:t>
      </w:r>
    </w:p>
    <w:tbl>
      <w:tblPr>
        <w:tblStyle w:val="52"/>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2316"/>
        <w:gridCol w:w="1843"/>
        <w:gridCol w:w="3449"/>
        <w:gridCol w:w="1228"/>
      </w:tblGrid>
      <w:tr w14:paraId="0F51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21" w:type="dxa"/>
            <w:vAlign w:val="center"/>
          </w:tcPr>
          <w:p w14:paraId="6FBB9BA6">
            <w:pPr>
              <w:autoSpaceDE w:val="0"/>
              <w:autoSpaceDN w:val="0"/>
              <w:adjustRightInd w:val="0"/>
              <w:snapToGrid w:val="0"/>
              <w:spacing w:line="3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316" w:type="dxa"/>
            <w:vAlign w:val="center"/>
          </w:tcPr>
          <w:p w14:paraId="0B4F23BF">
            <w:pPr>
              <w:autoSpaceDE w:val="0"/>
              <w:autoSpaceDN w:val="0"/>
              <w:adjustRightInd w:val="0"/>
              <w:snapToGrid w:val="0"/>
              <w:spacing w:line="3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检查内容</w:t>
            </w:r>
          </w:p>
        </w:tc>
        <w:tc>
          <w:tcPr>
            <w:tcW w:w="1843" w:type="dxa"/>
            <w:vAlign w:val="center"/>
          </w:tcPr>
          <w:p w14:paraId="761B1459">
            <w:pPr>
              <w:autoSpaceDE w:val="0"/>
              <w:autoSpaceDN w:val="0"/>
              <w:adjustRightInd w:val="0"/>
              <w:snapToGrid w:val="0"/>
              <w:spacing w:line="3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检查依据</w:t>
            </w:r>
          </w:p>
        </w:tc>
        <w:tc>
          <w:tcPr>
            <w:tcW w:w="3449" w:type="dxa"/>
            <w:vAlign w:val="center"/>
          </w:tcPr>
          <w:p w14:paraId="07E8A2DB">
            <w:pPr>
              <w:autoSpaceDE w:val="0"/>
              <w:autoSpaceDN w:val="0"/>
              <w:adjustRightInd w:val="0"/>
              <w:snapToGrid w:val="0"/>
              <w:spacing w:line="3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检查记录</w:t>
            </w:r>
          </w:p>
        </w:tc>
        <w:tc>
          <w:tcPr>
            <w:tcW w:w="1228" w:type="dxa"/>
            <w:vAlign w:val="center"/>
          </w:tcPr>
          <w:p w14:paraId="02BC5D3D">
            <w:pPr>
              <w:autoSpaceDE w:val="0"/>
              <w:autoSpaceDN w:val="0"/>
              <w:adjustRightInd w:val="0"/>
              <w:snapToGrid w:val="0"/>
              <w:spacing w:line="3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检查结果</w:t>
            </w:r>
          </w:p>
        </w:tc>
      </w:tr>
      <w:tr w14:paraId="0434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1" w:type="dxa"/>
            <w:vAlign w:val="center"/>
          </w:tcPr>
          <w:p w14:paraId="4C01E291">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316" w:type="dxa"/>
            <w:vAlign w:val="center"/>
          </w:tcPr>
          <w:p w14:paraId="7F5DB0E9">
            <w:pPr>
              <w:spacing w:line="30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可能遭受雷击的生产设备，应有防雷等措施</w:t>
            </w:r>
            <w:r>
              <w:rPr>
                <w:color w:val="000000" w:themeColor="text1"/>
                <w:sz w:val="21"/>
                <w:szCs w:val="21"/>
                <w14:textFill>
                  <w14:solidFill>
                    <w14:schemeClr w14:val="tx1"/>
                  </w14:solidFill>
                </w14:textFill>
              </w:rPr>
              <w:t>。</w:t>
            </w:r>
          </w:p>
        </w:tc>
        <w:tc>
          <w:tcPr>
            <w:tcW w:w="1843" w:type="dxa"/>
            <w:vAlign w:val="center"/>
          </w:tcPr>
          <w:p w14:paraId="4858CB7D">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《生产设备安全卫生设计总则》</w:t>
            </w:r>
          </w:p>
          <w:p w14:paraId="1183432B">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GB5083-2023</w:t>
            </w:r>
            <w:r>
              <w:rPr>
                <w:color w:val="000000" w:themeColor="text1"/>
                <w:sz w:val="21"/>
                <w:szCs w:val="21"/>
                <w14:textFill>
                  <w14:solidFill>
                    <w14:schemeClr w14:val="tx1"/>
                  </w14:solidFill>
                </w14:textFill>
              </w:rPr>
              <w:t>）</w:t>
            </w:r>
          </w:p>
          <w:p w14:paraId="73B48A68">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第6.1</w:t>
            </w:r>
            <w:r>
              <w:rPr>
                <w:rFonts w:hint="eastAsia"/>
                <w:color w:val="000000" w:themeColor="text1"/>
                <w:sz w:val="21"/>
                <w:szCs w:val="21"/>
                <w14:textFill>
                  <w14:solidFill>
                    <w14:schemeClr w14:val="tx1"/>
                  </w14:solidFill>
                </w14:textFill>
              </w:rPr>
              <w:t>0.1</w:t>
            </w:r>
            <w:r>
              <w:rPr>
                <w:color w:val="000000" w:themeColor="text1"/>
                <w:sz w:val="21"/>
                <w:szCs w:val="21"/>
                <w14:textFill>
                  <w14:solidFill>
                    <w14:schemeClr w14:val="tx1"/>
                  </w14:solidFill>
                </w14:textFill>
              </w:rPr>
              <w:t>条</w:t>
            </w:r>
          </w:p>
        </w:tc>
        <w:tc>
          <w:tcPr>
            <w:tcW w:w="3449" w:type="dxa"/>
            <w:vAlign w:val="center"/>
          </w:tcPr>
          <w:p w14:paraId="702EA40D">
            <w:pPr>
              <w:spacing w:line="30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本项目防雷接地设施于202</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11</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07</w:t>
            </w:r>
            <w:r>
              <w:rPr>
                <w:rFonts w:hint="eastAsia"/>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由云南云雷联创气象科技服务有限公司</w:t>
            </w:r>
            <w:r>
              <w:rPr>
                <w:rFonts w:hint="eastAsia"/>
                <w:color w:val="000000" w:themeColor="text1"/>
                <w:sz w:val="21"/>
                <w:szCs w:val="21"/>
                <w14:textFill>
                  <w14:solidFill>
                    <w14:schemeClr w14:val="tx1"/>
                  </w14:solidFill>
                </w14:textFill>
              </w:rPr>
              <w:t>检测完成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检测结果均为合格，有效期至：202</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11</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07</w:t>
            </w:r>
            <w:r>
              <w:rPr>
                <w:rFonts w:hint="eastAsia"/>
                <w:color w:val="000000" w:themeColor="text1"/>
                <w:sz w:val="21"/>
                <w:szCs w:val="21"/>
                <w14:textFill>
                  <w14:solidFill>
                    <w14:schemeClr w14:val="tx1"/>
                  </w14:solidFill>
                </w14:textFill>
              </w:rPr>
              <w:t>日，报告编号：</w:t>
            </w:r>
            <w:r>
              <w:rPr>
                <w:rFonts w:hint="eastAsia"/>
                <w:color w:val="000000" w:themeColor="text1"/>
                <w:sz w:val="21"/>
                <w:szCs w:val="21"/>
                <w:lang w:val="en-US" w:eastAsia="zh-CN"/>
                <w14:textFill>
                  <w14:solidFill>
                    <w14:schemeClr w14:val="tx1"/>
                  </w14:solidFill>
                </w14:textFill>
              </w:rPr>
              <w:t>YLLC雷检[2024]0978号。</w:t>
            </w:r>
          </w:p>
        </w:tc>
        <w:tc>
          <w:tcPr>
            <w:tcW w:w="1228" w:type="dxa"/>
            <w:vAlign w:val="center"/>
          </w:tcPr>
          <w:p w14:paraId="485872B2">
            <w:pPr>
              <w:pStyle w:val="163"/>
              <w:widowControl w:val="0"/>
              <w:adjustRightInd/>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5AAA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21" w:type="dxa"/>
            <w:vAlign w:val="center"/>
          </w:tcPr>
          <w:p w14:paraId="7C85A758">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316" w:type="dxa"/>
            <w:vAlign w:val="center"/>
          </w:tcPr>
          <w:p w14:paraId="2E71D960">
            <w:pPr>
              <w:autoSpaceDE w:val="0"/>
              <w:autoSpaceDN w:val="0"/>
              <w:adjustRightInd w:val="0"/>
              <w:snapToGrid w:val="0"/>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各类防雷建构物应设防直击雷的外部防雷装置，并应采取防雷电电涌浸入措施。</w:t>
            </w:r>
          </w:p>
        </w:tc>
        <w:tc>
          <w:tcPr>
            <w:tcW w:w="1843" w:type="dxa"/>
            <w:vAlign w:val="center"/>
          </w:tcPr>
          <w:p w14:paraId="60ACFBD5">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《建筑物防雷设计规范》（GB50057-2010）</w:t>
            </w:r>
          </w:p>
          <w:p w14:paraId="674610EA">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第4.1.1条</w:t>
            </w:r>
          </w:p>
        </w:tc>
        <w:tc>
          <w:tcPr>
            <w:tcW w:w="3449" w:type="dxa"/>
            <w:vAlign w:val="center"/>
          </w:tcPr>
          <w:p w14:paraId="0603C87D">
            <w:pPr>
              <w:autoSpaceDE w:val="0"/>
              <w:autoSpaceDN w:val="0"/>
              <w:adjustRightInd w:val="0"/>
              <w:snapToGrid w:val="0"/>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根据现场检查可知，该项目设置了防雷和防静电接地。</w:t>
            </w:r>
          </w:p>
        </w:tc>
        <w:tc>
          <w:tcPr>
            <w:tcW w:w="1228" w:type="dxa"/>
            <w:vAlign w:val="center"/>
          </w:tcPr>
          <w:p w14:paraId="5A2F10F7">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E37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21" w:type="dxa"/>
            <w:vAlign w:val="center"/>
          </w:tcPr>
          <w:p w14:paraId="63556EBD">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316" w:type="dxa"/>
            <w:vAlign w:val="center"/>
          </w:tcPr>
          <w:p w14:paraId="5F864603">
            <w:pPr>
              <w:autoSpaceDE w:val="0"/>
              <w:autoSpaceDN w:val="0"/>
              <w:adjustRightInd w:val="0"/>
              <w:snapToGrid w:val="0"/>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各类防雷建构筑物应设置内部防雷装置。</w:t>
            </w:r>
          </w:p>
        </w:tc>
        <w:tc>
          <w:tcPr>
            <w:tcW w:w="1843" w:type="dxa"/>
            <w:vAlign w:val="center"/>
          </w:tcPr>
          <w:p w14:paraId="3D38DCDF">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《建筑物防雷设计规范》（GB50057-2010）</w:t>
            </w:r>
          </w:p>
          <w:p w14:paraId="497E338C">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第4.1.2条</w:t>
            </w:r>
          </w:p>
        </w:tc>
        <w:tc>
          <w:tcPr>
            <w:tcW w:w="3449" w:type="dxa"/>
            <w:vAlign w:val="center"/>
          </w:tcPr>
          <w:p w14:paraId="098C6837">
            <w:pPr>
              <w:autoSpaceDE w:val="0"/>
              <w:autoSpaceDN w:val="0"/>
              <w:adjustRightInd w:val="0"/>
              <w:snapToGrid w:val="0"/>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构筑物已设置内部防雷装置。</w:t>
            </w:r>
          </w:p>
        </w:tc>
        <w:tc>
          <w:tcPr>
            <w:tcW w:w="1228" w:type="dxa"/>
            <w:vAlign w:val="center"/>
          </w:tcPr>
          <w:p w14:paraId="6A86BE19">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C0C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521" w:type="dxa"/>
            <w:vAlign w:val="center"/>
          </w:tcPr>
          <w:p w14:paraId="4CE02FF5">
            <w:pPr>
              <w:autoSpaceDE w:val="0"/>
              <w:autoSpaceDN w:val="0"/>
              <w:adjustRightInd w:val="0"/>
              <w:snapToGrid w:val="0"/>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316" w:type="dxa"/>
            <w:vAlign w:val="center"/>
          </w:tcPr>
          <w:p w14:paraId="4F9CAF75">
            <w:pPr>
              <w:spacing w:line="30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在静电危险场所，所有属于静电导体的物体必须接地。对金属物体必须采用金属导体与大地做导通性连接，对金属以外的静电导体及亚导体则应间接接地。</w:t>
            </w:r>
          </w:p>
        </w:tc>
        <w:tc>
          <w:tcPr>
            <w:tcW w:w="1843" w:type="dxa"/>
            <w:vAlign w:val="center"/>
          </w:tcPr>
          <w:p w14:paraId="4903F318">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《防止静电事故通用导则》</w:t>
            </w:r>
          </w:p>
          <w:p w14:paraId="3791C685">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（GB12158-2006）</w:t>
            </w:r>
          </w:p>
          <w:p w14:paraId="6E79BE3F">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第6.1.2条</w:t>
            </w:r>
          </w:p>
        </w:tc>
        <w:tc>
          <w:tcPr>
            <w:tcW w:w="3449" w:type="dxa"/>
            <w:vAlign w:val="center"/>
          </w:tcPr>
          <w:p w14:paraId="4F84603C">
            <w:pPr>
              <w:spacing w:line="30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本项目防雷接地设施于202</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11</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07</w:t>
            </w:r>
            <w:r>
              <w:rPr>
                <w:rFonts w:hint="eastAsia"/>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由云南云雷联创气象科技服务有限公司</w:t>
            </w:r>
            <w:r>
              <w:rPr>
                <w:rFonts w:hint="eastAsia"/>
                <w:color w:val="000000" w:themeColor="text1"/>
                <w:sz w:val="21"/>
                <w:szCs w:val="21"/>
                <w14:textFill>
                  <w14:solidFill>
                    <w14:schemeClr w14:val="tx1"/>
                  </w14:solidFill>
                </w14:textFill>
              </w:rPr>
              <w:t>检测完成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检测结果均为合格，有效期至：202</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11</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07</w:t>
            </w:r>
            <w:r>
              <w:rPr>
                <w:rFonts w:hint="eastAsia"/>
                <w:color w:val="000000" w:themeColor="text1"/>
                <w:sz w:val="21"/>
                <w:szCs w:val="21"/>
                <w14:textFill>
                  <w14:solidFill>
                    <w14:schemeClr w14:val="tx1"/>
                  </w14:solidFill>
                </w14:textFill>
              </w:rPr>
              <w:t>日，报告编号：</w:t>
            </w:r>
            <w:r>
              <w:rPr>
                <w:rFonts w:hint="eastAsia"/>
                <w:color w:val="000000" w:themeColor="text1"/>
                <w:sz w:val="21"/>
                <w:szCs w:val="21"/>
                <w:lang w:val="en-US" w:eastAsia="zh-CN"/>
                <w14:textFill>
                  <w14:solidFill>
                    <w14:schemeClr w14:val="tx1"/>
                  </w14:solidFill>
                </w14:textFill>
              </w:rPr>
              <w:t>YLLC雷检[2024]0978号。</w:t>
            </w:r>
          </w:p>
        </w:tc>
        <w:tc>
          <w:tcPr>
            <w:tcW w:w="1228" w:type="dxa"/>
            <w:vAlign w:val="center"/>
          </w:tcPr>
          <w:p w14:paraId="246CC6A0">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0B63CCFE">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63" w:name="_Toc24965"/>
      <w:bookmarkStart w:id="764" w:name="_Toc28849"/>
      <w:bookmarkStart w:id="765" w:name="_Toc22920"/>
      <w:bookmarkStart w:id="766" w:name="_Toc26353"/>
      <w:r>
        <w:rPr>
          <w:rFonts w:hint="default" w:ascii="Times New Roman" w:hAnsi="Times New Roman" w:eastAsia="黑体" w:cs="Times New Roman"/>
          <w:color w:val="000000" w:themeColor="text1"/>
          <w:lang w:val="en-US" w:eastAsia="zh-CN"/>
          <w14:textFill>
            <w14:solidFill>
              <w14:schemeClr w14:val="tx1"/>
            </w14:solidFill>
          </w14:textFill>
        </w:rPr>
        <w:t>5.3.3单元评价小结</w:t>
      </w:r>
      <w:bookmarkEnd w:id="760"/>
      <w:bookmarkEnd w:id="761"/>
      <w:bookmarkEnd w:id="762"/>
      <w:bookmarkEnd w:id="763"/>
      <w:bookmarkEnd w:id="764"/>
      <w:bookmarkEnd w:id="765"/>
      <w:bookmarkEnd w:id="766"/>
    </w:p>
    <w:p w14:paraId="0EBBD26A">
      <w:pPr>
        <w:keepNext w:val="0"/>
        <w:keepLines w:val="0"/>
        <w:pageBreakBefore w:val="0"/>
        <w:widowControl w:val="0"/>
        <w:kinsoku/>
        <w:wordWrap/>
        <w:overflowPunct/>
        <w:topLinePunct w:val="0"/>
        <w:bidi w:val="0"/>
        <w:adjustRightInd w:val="0"/>
        <w:snapToGrid w:val="0"/>
        <w:spacing w:line="500" w:lineRule="exact"/>
        <w:ind w:firstLine="560" w:firstLineChars="200"/>
        <w:textAlignment w:val="auto"/>
        <w:rPr>
          <w:rFonts w:eastAsia="黑体"/>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w:t>
      </w:r>
      <w:r>
        <w:rPr>
          <w:rFonts w:hint="eastAsia"/>
          <w:color w:val="000000" w:themeColor="text1"/>
          <w:sz w:val="28"/>
          <w:szCs w:val="28"/>
          <w:lang w:eastAsia="zh-CN"/>
          <w14:textFill>
            <w14:solidFill>
              <w14:schemeClr w14:val="tx1"/>
            </w14:solidFill>
          </w14:textFill>
        </w:rPr>
        <w:t>.</w:t>
      </w:r>
      <w:r>
        <w:rPr>
          <w:color w:val="000000" w:themeColor="text1"/>
          <w:sz w:val="28"/>
          <w:szCs w:val="28"/>
          <w14:textFill>
            <w14:solidFill>
              <w14:schemeClr w14:val="tx1"/>
            </w14:solidFill>
          </w14:textFill>
        </w:rPr>
        <w:t>安全检查表分析评价结果：该项目的安全防护设施符合《安全色》（GB2893-2008）、《安全标志及其使用导则》（GB2894-2008）、《机械安全防护装置固定式和活动式防护装置的设计与制造一般要求》（GB/T8196-2018）、《机械工业职业安全卫生设计规范》（JBJ18-2000）等国家相关标准、规范的规定和要求。</w:t>
      </w:r>
    </w:p>
    <w:p w14:paraId="665E2F35">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w:t>
      </w:r>
      <w:r>
        <w:rPr>
          <w:rFonts w:hint="eastAsia"/>
          <w:color w:val="000000" w:themeColor="text1"/>
          <w:sz w:val="28"/>
          <w:szCs w:val="28"/>
          <w:lang w:eastAsia="zh-CN"/>
          <w14:textFill>
            <w14:solidFill>
              <w14:schemeClr w14:val="tx1"/>
            </w14:solidFill>
          </w14:textFill>
        </w:rPr>
        <w:t>.</w:t>
      </w:r>
      <w:r>
        <w:rPr>
          <w:color w:val="000000" w:themeColor="text1"/>
          <w:sz w:val="28"/>
          <w:szCs w:val="28"/>
          <w14:textFill>
            <w14:solidFill>
              <w14:schemeClr w14:val="tx1"/>
            </w14:solidFill>
          </w14:textFill>
        </w:rPr>
        <w:t>安全检查表分析评价结果</w:t>
      </w:r>
      <w:r>
        <w:rPr>
          <w:color w:val="000000" w:themeColor="text1"/>
          <w:kern w:val="0"/>
          <w:sz w:val="28"/>
          <w:szCs w:val="28"/>
          <w14:textFill>
            <w14:solidFill>
              <w14:schemeClr w14:val="tx1"/>
            </w14:solidFill>
          </w14:textFill>
        </w:rPr>
        <w:t>：该项目防雷、防静电装置符合《建筑物防雷设计规范》（GB50057-2010）、《生产设备安全卫生设计总则》（GB5083-</w:t>
      </w:r>
      <w:r>
        <w:rPr>
          <w:rFonts w:hint="eastAsia"/>
          <w:color w:val="000000" w:themeColor="text1"/>
          <w:kern w:val="0"/>
          <w:sz w:val="28"/>
          <w:szCs w:val="28"/>
          <w14:textFill>
            <w14:solidFill>
              <w14:schemeClr w14:val="tx1"/>
            </w14:solidFill>
          </w14:textFill>
        </w:rPr>
        <w:t>2023</w:t>
      </w:r>
      <w:r>
        <w:rPr>
          <w:color w:val="000000" w:themeColor="text1"/>
          <w:kern w:val="0"/>
          <w:sz w:val="28"/>
          <w:szCs w:val="28"/>
          <w14:textFill>
            <w14:solidFill>
              <w14:schemeClr w14:val="tx1"/>
            </w14:solidFill>
          </w14:textFill>
        </w:rPr>
        <w:t>）</w:t>
      </w:r>
      <w:r>
        <w:rPr>
          <w:rFonts w:hint="eastAsia"/>
          <w:color w:val="000000" w:themeColor="text1"/>
          <w:kern w:val="0"/>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《防止静电事故通用导则》（</w:t>
      </w:r>
      <w:r>
        <w:rPr>
          <w:color w:val="000000" w:themeColor="text1"/>
          <w:sz w:val="28"/>
          <w:szCs w:val="28"/>
          <w14:textFill>
            <w14:solidFill>
              <w14:schemeClr w14:val="tx1"/>
            </w14:solidFill>
          </w14:textFill>
        </w:rPr>
        <w:t>GB12158-2006</w:t>
      </w:r>
      <w:r>
        <w:rPr>
          <w:rFonts w:hint="eastAsia"/>
          <w:color w:val="000000" w:themeColor="text1"/>
          <w:sz w:val="28"/>
          <w:szCs w:val="28"/>
          <w14:textFill>
            <w14:solidFill>
              <w14:schemeClr w14:val="tx1"/>
            </w14:solidFill>
          </w14:textFill>
        </w:rPr>
        <w:t>）</w:t>
      </w:r>
      <w:r>
        <w:rPr>
          <w:color w:val="000000" w:themeColor="text1"/>
          <w:kern w:val="0"/>
          <w:sz w:val="28"/>
          <w:szCs w:val="28"/>
          <w14:textFill>
            <w14:solidFill>
              <w14:schemeClr w14:val="tx1"/>
            </w14:solidFill>
          </w14:textFill>
        </w:rPr>
        <w:t>等标准、规范的要求</w:t>
      </w:r>
      <w:r>
        <w:rPr>
          <w:color w:val="000000" w:themeColor="text1"/>
          <w:sz w:val="28"/>
          <w:szCs w:val="28"/>
          <w14:textFill>
            <w14:solidFill>
              <w14:schemeClr w14:val="tx1"/>
            </w14:solidFill>
          </w14:textFill>
        </w:rPr>
        <w:t>。</w:t>
      </w:r>
    </w:p>
    <w:bookmarkEnd w:id="702"/>
    <w:bookmarkEnd w:id="703"/>
    <w:bookmarkEnd w:id="707"/>
    <w:bookmarkEnd w:id="708"/>
    <w:p w14:paraId="3D2EEEEF">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767" w:name="_Toc15595"/>
      <w:bookmarkStart w:id="768" w:name="_Toc4845"/>
      <w:bookmarkStart w:id="769" w:name="_Toc13427"/>
      <w:bookmarkStart w:id="770" w:name="_Toc767"/>
      <w:bookmarkStart w:id="771" w:name="_Toc313453596"/>
      <w:bookmarkStart w:id="772" w:name="_Toc335926300"/>
      <w:bookmarkStart w:id="773" w:name="_Toc11730"/>
      <w:bookmarkStart w:id="774" w:name="_Toc145775743"/>
      <w:bookmarkStart w:id="775" w:name="_Toc313493993"/>
      <w:r>
        <w:rPr>
          <w:rFonts w:hint="default" w:ascii="Times New Roman" w:hAnsi="Times New Roman" w:eastAsia="楷体" w:cs="Times New Roman"/>
          <w:color w:val="000000" w:themeColor="text1"/>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楷体" w:cs="Times New Roman"/>
          <w:color w:val="000000" w:themeColor="text1"/>
          <w14:textFill>
            <w14:solidFill>
              <w14:schemeClr w14:val="tx1"/>
            </w14:solidFill>
          </w14:textFill>
        </w:rPr>
        <w:t>公用工程及辅助设施评价单元</w:t>
      </w:r>
      <w:bookmarkEnd w:id="767"/>
      <w:bookmarkEnd w:id="768"/>
      <w:bookmarkEnd w:id="769"/>
      <w:bookmarkEnd w:id="770"/>
    </w:p>
    <w:p w14:paraId="00773BD8">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76" w:name="_Toc433009881"/>
      <w:bookmarkStart w:id="777" w:name="_Toc27554"/>
      <w:bookmarkStart w:id="778" w:name="_Toc12520"/>
      <w:bookmarkStart w:id="779" w:name="_Toc278282327"/>
      <w:bookmarkStart w:id="780" w:name="_Toc211237913"/>
      <w:r>
        <w:rPr>
          <w:rFonts w:hint="default" w:ascii="Times New Roman" w:hAnsi="Times New Roman" w:eastAsia="黑体"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 xml:space="preserve"> 供配电系统</w:t>
      </w:r>
      <w:r>
        <w:rPr>
          <w:rFonts w:hint="default" w:ascii="Times New Roman" w:hAnsi="Times New Roman" w:eastAsia="黑体" w:cs="Times New Roman"/>
          <w:color w:val="000000" w:themeColor="text1"/>
          <w:lang w:val="en-US" w:eastAsia="zh-CN"/>
          <w14:textFill>
            <w14:solidFill>
              <w14:schemeClr w14:val="tx1"/>
            </w14:solidFill>
          </w14:textFill>
        </w:rPr>
        <w:t>安全检查表</w:t>
      </w:r>
      <w:bookmarkEnd w:id="776"/>
      <w:bookmarkEnd w:id="777"/>
      <w:bookmarkEnd w:id="778"/>
    </w:p>
    <w:p w14:paraId="6F54A2F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依据《用电安全导则》（GB/T 13869-2017）、《低压配电设计规范》（GB 50054-2011）等标准规范的规定，对本项目的供配电采用安全检查表法进行分析评价。检查结果见下表。</w:t>
      </w:r>
    </w:p>
    <w:p w14:paraId="76841EB5">
      <w:pPr>
        <w:numPr>
          <w:ilvl w:val="0"/>
          <w:numId w:val="0"/>
        </w:numPr>
        <w:adjustRightInd w:val="0"/>
        <w:snapToGrid w:val="0"/>
        <w:ind w:leftChars="0"/>
        <w:jc w:val="center"/>
        <w:rPr>
          <w:rFonts w:ascii="宋体" w:hAnsi="宋体"/>
          <w:b/>
          <w:bCs w:val="0"/>
          <w:color w:val="000000" w:themeColor="text1"/>
          <w:sz w:val="24"/>
          <w14:textFill>
            <w14:solidFill>
              <w14:schemeClr w14:val="tx1"/>
            </w14:solidFill>
          </w14:textFill>
        </w:rPr>
      </w:pPr>
      <w:r>
        <w:rPr>
          <w:rFonts w:hint="eastAsia" w:hAnsi="宋体"/>
          <w:b/>
          <w:bCs w:val="0"/>
          <w:color w:val="000000" w:themeColor="text1"/>
          <w:sz w:val="24"/>
          <w:lang w:val="en-US" w:eastAsia="zh-CN"/>
          <w14:textFill>
            <w14:solidFill>
              <w14:schemeClr w14:val="tx1"/>
            </w14:solidFill>
          </w14:textFill>
        </w:rPr>
        <w:t xml:space="preserve">表5-6 </w:t>
      </w:r>
      <w:r>
        <w:rPr>
          <w:rFonts w:ascii="宋体" w:hAnsi="宋体"/>
          <w:b/>
          <w:bCs w:val="0"/>
          <w:color w:val="000000" w:themeColor="text1"/>
          <w:sz w:val="24"/>
          <w14:textFill>
            <w14:solidFill>
              <w14:schemeClr w14:val="tx1"/>
            </w14:solidFill>
          </w14:textFill>
        </w:rPr>
        <w:t>供配电安全检查表</w:t>
      </w:r>
    </w:p>
    <w:tbl>
      <w:tblPr>
        <w:tblStyle w:val="52"/>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343"/>
        <w:gridCol w:w="2126"/>
        <w:gridCol w:w="2539"/>
        <w:gridCol w:w="700"/>
      </w:tblGrid>
      <w:tr w14:paraId="42DF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0" w:type="dxa"/>
            <w:vAlign w:val="center"/>
          </w:tcPr>
          <w:p w14:paraId="15C0FD0D">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343" w:type="dxa"/>
            <w:vAlign w:val="center"/>
          </w:tcPr>
          <w:p w14:paraId="249C610A">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26" w:type="dxa"/>
            <w:vAlign w:val="center"/>
          </w:tcPr>
          <w:p w14:paraId="2EF9E568">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2539" w:type="dxa"/>
            <w:vAlign w:val="center"/>
          </w:tcPr>
          <w:p w14:paraId="3ADEF5BB">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700" w:type="dxa"/>
            <w:vAlign w:val="center"/>
          </w:tcPr>
          <w:p w14:paraId="3D6A2BFC">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469D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3D815579">
            <w:pPr>
              <w:numPr>
                <w:ilvl w:val="0"/>
                <w:numId w:val="13"/>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vAlign w:val="center"/>
          </w:tcPr>
          <w:p w14:paraId="02F46605">
            <w:pPr>
              <w:spacing w:line="240" w:lineRule="auto"/>
              <w:ind w:firstLine="0"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配电线路应装设短路保护和过负荷保护</w:t>
            </w:r>
          </w:p>
        </w:tc>
        <w:tc>
          <w:tcPr>
            <w:tcW w:w="2126" w:type="dxa"/>
            <w:vAlign w:val="center"/>
          </w:tcPr>
          <w:p w14:paraId="57CD8887">
            <w:pPr>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《低压配电设计规范》（GB 50054-2011）6.1.1</w:t>
            </w:r>
          </w:p>
        </w:tc>
        <w:tc>
          <w:tcPr>
            <w:tcW w:w="2539" w:type="dxa"/>
            <w:vAlign w:val="center"/>
          </w:tcPr>
          <w:p w14:paraId="7EFC52FA">
            <w:pPr>
              <w:spacing w:line="240" w:lineRule="auto"/>
              <w:ind w:firstLine="0"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配电线路装设短路保护，过载保护和接地保护。</w:t>
            </w:r>
          </w:p>
        </w:tc>
        <w:tc>
          <w:tcPr>
            <w:tcW w:w="700" w:type="dxa"/>
            <w:vAlign w:val="center"/>
          </w:tcPr>
          <w:p w14:paraId="1E5B50C8">
            <w:pPr>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符合</w:t>
            </w:r>
          </w:p>
        </w:tc>
      </w:tr>
      <w:tr w14:paraId="0E8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7298E210">
            <w:pPr>
              <w:numPr>
                <w:ilvl w:val="0"/>
                <w:numId w:val="13"/>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192B005E">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电气线路应具有足够的绝缘强度、机械强度和导电能力，其安装应符合相应产品标准的规定。</w:t>
            </w:r>
          </w:p>
        </w:tc>
        <w:tc>
          <w:tcPr>
            <w:tcW w:w="2126" w:type="dxa"/>
            <w:shd w:val="clear" w:color="auto" w:fill="auto"/>
            <w:vAlign w:val="center"/>
          </w:tcPr>
          <w:p w14:paraId="05A85F3B">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GB/T13869-2017第5.1.2条</w:t>
            </w:r>
          </w:p>
        </w:tc>
        <w:tc>
          <w:tcPr>
            <w:tcW w:w="2539" w:type="dxa"/>
            <w:shd w:val="clear" w:color="auto" w:fill="auto"/>
            <w:vAlign w:val="center"/>
          </w:tcPr>
          <w:p w14:paraId="175C2A98">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电气线路由专业电气操作人员安装、维护。</w:t>
            </w:r>
          </w:p>
        </w:tc>
        <w:tc>
          <w:tcPr>
            <w:tcW w:w="700" w:type="dxa"/>
            <w:shd w:val="clear" w:color="auto" w:fill="auto"/>
            <w:vAlign w:val="center"/>
          </w:tcPr>
          <w:p w14:paraId="28403DDA">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BF7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60EDB983">
            <w:pPr>
              <w:numPr>
                <w:ilvl w:val="0"/>
                <w:numId w:val="13"/>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1A265807">
            <w:pPr>
              <w:spacing w:line="360" w:lineRule="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在控制室、屋内配电装置室及屋内主要通道等处，应装设事故照明。</w:t>
            </w:r>
          </w:p>
        </w:tc>
        <w:tc>
          <w:tcPr>
            <w:tcW w:w="2126" w:type="dxa"/>
            <w:shd w:val="clear" w:color="auto" w:fill="auto"/>
            <w:vAlign w:val="top"/>
          </w:tcPr>
          <w:p w14:paraId="4DAD9429">
            <w:pPr>
              <w:spacing w:line="360" w:lineRule="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《用电安全导则》GB/T13869-2017</w:t>
            </w:r>
          </w:p>
        </w:tc>
        <w:tc>
          <w:tcPr>
            <w:tcW w:w="2539" w:type="dxa"/>
            <w:shd w:val="clear" w:color="auto" w:fill="auto"/>
            <w:vAlign w:val="center"/>
          </w:tcPr>
          <w:p w14:paraId="12822930">
            <w:pPr>
              <w:widowControl/>
              <w:spacing w:line="360" w:lineRule="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根据生产需求，未设置配电室。</w:t>
            </w:r>
          </w:p>
        </w:tc>
        <w:tc>
          <w:tcPr>
            <w:tcW w:w="700" w:type="dxa"/>
            <w:shd w:val="clear" w:color="auto" w:fill="auto"/>
            <w:vAlign w:val="center"/>
          </w:tcPr>
          <w:p w14:paraId="58AB9969">
            <w:pPr>
              <w:spacing w:line="360" w:lineRule="auto"/>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13BAA19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由上述安全检查表的结果可知，</w:t>
      </w:r>
      <w:bookmarkStart w:id="781" w:name="_Hlk51319922"/>
      <w:r>
        <w:rPr>
          <w:rFonts w:hint="eastAsia" w:ascii="宋体" w:hAnsi="宋体" w:eastAsia="宋体" w:cs="宋体"/>
          <w:color w:val="000000" w:themeColor="text1"/>
          <w:sz w:val="28"/>
          <w:szCs w:val="28"/>
          <w14:textFill>
            <w14:solidFill>
              <w14:schemeClr w14:val="tx1"/>
            </w14:solidFill>
          </w14:textFill>
        </w:rPr>
        <w:t>本项目的供配电系统</w:t>
      </w:r>
      <w:bookmarkEnd w:id="781"/>
      <w:r>
        <w:rPr>
          <w:rFonts w:hint="eastAsia" w:ascii="宋体" w:hAnsi="宋体" w:eastAsia="宋体" w:cs="宋体"/>
          <w:color w:val="000000" w:themeColor="text1"/>
          <w:sz w:val="28"/>
          <w:szCs w:val="28"/>
          <w14:textFill>
            <w14:solidFill>
              <w14:schemeClr w14:val="tx1"/>
            </w14:solidFill>
          </w14:textFill>
        </w:rPr>
        <w:t>符合《用电安全导则》（GB/T 13869-2017）、《低压配电设计规范》（GB 50054-2011）等标准规范的要求。</w:t>
      </w:r>
    </w:p>
    <w:p w14:paraId="2267E65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82" w:name="_Toc16866"/>
      <w:bookmarkStart w:id="783" w:name="_Toc433009882"/>
      <w:r>
        <w:rPr>
          <w:rFonts w:hint="default" w:ascii="Times New Roman" w:hAnsi="Times New Roman" w:eastAsia="黑体"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lang w:val="en-US" w:eastAsia="zh-CN"/>
          <w14:textFill>
            <w14:solidFill>
              <w14:schemeClr w14:val="tx1"/>
            </w14:solidFill>
          </w14:textFill>
        </w:rPr>
        <w:t>2</w:t>
      </w:r>
      <w:r>
        <w:rPr>
          <w:rFonts w:hint="eastAsia" w:ascii="Times New Roman" w:hAnsi="Times New Roman" w:eastAsia="黑体"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给排水系统</w:t>
      </w:r>
      <w:r>
        <w:rPr>
          <w:rFonts w:hint="eastAsia" w:ascii="Times New Roman" w:hAnsi="Times New Roman" w:cs="Times New Roman"/>
          <w:color w:val="000000" w:themeColor="text1"/>
          <w:lang w:val="en-US" w:eastAsia="zh-CN"/>
          <w14:textFill>
            <w14:solidFill>
              <w14:schemeClr w14:val="tx1"/>
            </w14:solidFill>
          </w14:textFill>
        </w:rPr>
        <w:t>安全检查表</w:t>
      </w:r>
      <w:bookmarkEnd w:id="782"/>
    </w:p>
    <w:bookmarkEnd w:id="779"/>
    <w:bookmarkEnd w:id="780"/>
    <w:bookmarkEnd w:id="783"/>
    <w:p w14:paraId="12EA9F5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Ansi="宋体" w:cs="宋体"/>
          <w:color w:val="000000" w:themeColor="text1"/>
          <w:sz w:val="28"/>
          <w:szCs w:val="28"/>
          <w14:textFill>
            <w14:solidFill>
              <w14:schemeClr w14:val="tx1"/>
            </w14:solidFill>
          </w14:textFill>
        </w:rPr>
      </w:pPr>
      <w:r>
        <w:rPr>
          <w:rFonts w:hint="eastAsia" w:hAnsi="宋体" w:cs="宋体"/>
          <w:color w:val="000000" w:themeColor="text1"/>
          <w:sz w:val="28"/>
          <w:szCs w:val="28"/>
          <w14:textFill>
            <w14:solidFill>
              <w14:schemeClr w14:val="tx1"/>
            </w14:solidFill>
          </w14:textFill>
        </w:rPr>
        <w:t>依据《工业企业总平面设计规范》（GB50187-2012）等标准规范的要求，对该厂的给排水进行安全检查。检查结果见下表5-</w:t>
      </w:r>
      <w:r>
        <w:rPr>
          <w:rFonts w:hint="eastAsia" w:hAnsi="宋体" w:cs="宋体"/>
          <w:color w:val="000000" w:themeColor="text1"/>
          <w:sz w:val="28"/>
          <w:szCs w:val="28"/>
          <w:lang w:val="en-US" w:eastAsia="zh-CN"/>
          <w14:textFill>
            <w14:solidFill>
              <w14:schemeClr w14:val="tx1"/>
            </w14:solidFill>
          </w14:textFill>
        </w:rPr>
        <w:t>7</w:t>
      </w:r>
      <w:r>
        <w:rPr>
          <w:rFonts w:hint="eastAsia" w:hAnsi="宋体" w:cs="宋体"/>
          <w:color w:val="000000" w:themeColor="text1"/>
          <w:sz w:val="28"/>
          <w:szCs w:val="28"/>
          <w14:textFill>
            <w14:solidFill>
              <w14:schemeClr w14:val="tx1"/>
            </w14:solidFill>
          </w14:textFill>
        </w:rPr>
        <w:t>。</w:t>
      </w:r>
    </w:p>
    <w:p w14:paraId="6EC517FD">
      <w:pPr>
        <w:spacing w:line="500" w:lineRule="exact"/>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表5-</w:t>
      </w:r>
      <w:r>
        <w:rPr>
          <w:rFonts w:hint="eastAsia" w:ascii="Times New Roman"/>
          <w:b/>
          <w:bCs/>
          <w:color w:val="000000" w:themeColor="text1"/>
          <w:lang w:val="en-US" w:eastAsia="zh-CN"/>
          <w14:textFill>
            <w14:solidFill>
              <w14:schemeClr w14:val="tx1"/>
            </w14:solidFill>
          </w14:textFill>
        </w:rPr>
        <w:t>7</w:t>
      </w:r>
      <w:r>
        <w:rPr>
          <w:rFonts w:ascii="Times New Roman"/>
          <w:b/>
          <w:bCs/>
          <w:color w:val="000000" w:themeColor="text1"/>
          <w14:textFill>
            <w14:solidFill>
              <w14:schemeClr w14:val="tx1"/>
            </w14:solidFill>
          </w14:textFill>
        </w:rPr>
        <w:t xml:space="preserve">  给排水安全检查表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838"/>
        <w:gridCol w:w="2160"/>
        <w:gridCol w:w="1320"/>
        <w:gridCol w:w="676"/>
      </w:tblGrid>
      <w:tr w14:paraId="1E4F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53813D65">
            <w:pPr>
              <w:tabs>
                <w:tab w:val="left" w:pos="810"/>
              </w:tabs>
              <w:jc w:val="left"/>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r>
              <w:rPr>
                <w:rFonts w:hint="eastAsia" w:ascii="宋体" w:hAnsi="宋体" w:eastAsia="宋体" w:cs="宋体"/>
                <w:color w:val="000000" w:themeColor="text1"/>
                <w:sz w:val="21"/>
                <w:szCs w:val="21"/>
                <w14:textFill>
                  <w14:solidFill>
                    <w14:schemeClr w14:val="tx1"/>
                  </w14:solidFill>
                </w14:textFill>
              </w:rPr>
              <w:tab/>
            </w:r>
            <w:r>
              <w:rPr>
                <w:rFonts w:hint="eastAsia" w:ascii="宋体" w:hAnsi="宋体" w:eastAsia="宋体" w:cs="宋体"/>
                <w:b/>
                <w:color w:val="000000" w:themeColor="text1"/>
                <w:sz w:val="21"/>
                <w:szCs w:val="21"/>
                <w14:textFill>
                  <w14:solidFill>
                    <w14:schemeClr w14:val="tx1"/>
                  </w14:solidFill>
                </w14:textFill>
              </w:rPr>
              <w:t>序号</w:t>
            </w:r>
          </w:p>
        </w:tc>
        <w:tc>
          <w:tcPr>
            <w:tcW w:w="3838" w:type="dxa"/>
            <w:vAlign w:val="center"/>
          </w:tcPr>
          <w:p w14:paraId="1CAAB471">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60" w:type="dxa"/>
            <w:vAlign w:val="center"/>
          </w:tcPr>
          <w:p w14:paraId="463FB8DD">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1320" w:type="dxa"/>
            <w:vAlign w:val="center"/>
          </w:tcPr>
          <w:p w14:paraId="10ECA172">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676" w:type="dxa"/>
            <w:vAlign w:val="center"/>
          </w:tcPr>
          <w:p w14:paraId="6FE4DFA6">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344F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2D8B2299">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1</w:t>
            </w:r>
          </w:p>
        </w:tc>
        <w:tc>
          <w:tcPr>
            <w:tcW w:w="3838" w:type="dxa"/>
            <w:vAlign w:val="center"/>
          </w:tcPr>
          <w:p w14:paraId="107748A1">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场地应有完整、有效的雨水排水系统。场地雨水的排除方式，应结合工业企业所在地区的雨水排除方式、建筑密度、环境卫生要求、地质和气候条件等因素，合理选择暗管、明沟或地面自然排渗等方式，并应符合下列要求：（1）厂区雨水排水管、沟应与厂外排雨水系统相衔接，场地雨水不得任意排至厂外；（2）有条件的工业企业应建立雨水收集系统，应对收集的雨水充分利用；（3）厂区雨水宜采用暗管排水。</w:t>
            </w:r>
          </w:p>
        </w:tc>
        <w:tc>
          <w:tcPr>
            <w:tcW w:w="2160" w:type="dxa"/>
            <w:vAlign w:val="center"/>
          </w:tcPr>
          <w:p w14:paraId="4D88CF8D">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3B09E706">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6FDFC041">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本项目有较为完整、有效的排水系统。</w:t>
            </w:r>
          </w:p>
        </w:tc>
        <w:tc>
          <w:tcPr>
            <w:tcW w:w="676" w:type="dxa"/>
            <w:vAlign w:val="center"/>
          </w:tcPr>
          <w:p w14:paraId="375EFB5A">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75A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7BAB8048">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2</w:t>
            </w:r>
          </w:p>
        </w:tc>
        <w:tc>
          <w:tcPr>
            <w:tcW w:w="3838" w:type="dxa"/>
            <w:vAlign w:val="center"/>
          </w:tcPr>
          <w:p w14:paraId="2E7C8FB0">
            <w:pPr>
              <w:snapToGrid w:val="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场地雨水排水设计流量计算，应符合现行国家标准《室外排水设计</w:t>
            </w:r>
            <w:r>
              <w:rPr>
                <w:rFonts w:hint="eastAsia" w:ascii="宋体" w:hAnsi="宋体" w:eastAsia="宋体" w:cs="宋体"/>
                <w:color w:val="000000" w:themeColor="text1"/>
                <w:sz w:val="21"/>
                <w:szCs w:val="21"/>
                <w:lang w:eastAsia="zh-CN"/>
                <w14:textFill>
                  <w14:solidFill>
                    <w14:schemeClr w14:val="tx1"/>
                  </w14:solidFill>
                </w14:textFill>
              </w:rPr>
              <w:t>规范</w:t>
            </w:r>
            <w:r>
              <w:rPr>
                <w:rFonts w:hint="eastAsia" w:ascii="宋体" w:hAnsi="宋体" w:eastAsia="宋体" w:cs="宋体"/>
                <w:color w:val="000000" w:themeColor="text1"/>
                <w:sz w:val="21"/>
                <w:szCs w:val="21"/>
                <w14:textFill>
                  <w14:solidFill>
                    <w14:schemeClr w14:val="tx1"/>
                  </w14:solidFill>
                </w14:textFill>
              </w:rPr>
              <w:t>》GB 50014的有关规定。</w:t>
            </w:r>
          </w:p>
        </w:tc>
        <w:tc>
          <w:tcPr>
            <w:tcW w:w="2160" w:type="dxa"/>
            <w:vAlign w:val="center"/>
          </w:tcPr>
          <w:p w14:paraId="25FCBF3D">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61894041">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22CBC0EC">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本项目场地雨水排量符合相关要求。</w:t>
            </w:r>
          </w:p>
        </w:tc>
        <w:tc>
          <w:tcPr>
            <w:tcW w:w="676" w:type="dxa"/>
            <w:vAlign w:val="center"/>
          </w:tcPr>
          <w:p w14:paraId="465B01F6">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072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4AEB9D4E">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3</w:t>
            </w:r>
          </w:p>
        </w:tc>
        <w:tc>
          <w:tcPr>
            <w:tcW w:w="3838" w:type="dxa"/>
            <w:vAlign w:val="center"/>
          </w:tcPr>
          <w:p w14:paraId="12829C54">
            <w:pPr>
              <w:snapToGrid w:val="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当采用明沟排水时，排水沟宜沿铁路、道路布置，并宜避免与其交叉。排出厂外的雨水，不得对其它工程设施或农田造成危害。</w:t>
            </w:r>
          </w:p>
        </w:tc>
        <w:tc>
          <w:tcPr>
            <w:tcW w:w="2160" w:type="dxa"/>
            <w:vAlign w:val="center"/>
          </w:tcPr>
          <w:p w14:paraId="4338C3AF">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0A456ADB">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4890FDDE">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采用明沟排水，明沟沿道路设置，不会对其他设施造成危害。</w:t>
            </w:r>
          </w:p>
        </w:tc>
        <w:tc>
          <w:tcPr>
            <w:tcW w:w="676" w:type="dxa"/>
            <w:vAlign w:val="center"/>
          </w:tcPr>
          <w:p w14:paraId="7BBE3B5F">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7E3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7243E9FD">
            <w:pPr>
              <w:snapToGrid w:val="0"/>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4</w:t>
            </w:r>
          </w:p>
        </w:tc>
        <w:tc>
          <w:tcPr>
            <w:tcW w:w="3838" w:type="dxa"/>
            <w:vAlign w:val="center"/>
          </w:tcPr>
          <w:p w14:paraId="35B8CAE1">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排水明沟的铺砌方式，应根据所处地段的土质和流速等情况确定，应符合下列规定：（1）厂区明沟宜加铺砌；（2）对厂容、卫生和安全要求较高的地段，尚应铺设盖板；（3）矿山及厂区的边缘地段，可采用土明沟。</w:t>
            </w:r>
          </w:p>
        </w:tc>
        <w:tc>
          <w:tcPr>
            <w:tcW w:w="2160" w:type="dxa"/>
            <w:vAlign w:val="center"/>
          </w:tcPr>
          <w:p w14:paraId="6F494BEC">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45888448">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2012）第7.4.5条</w:t>
            </w:r>
          </w:p>
        </w:tc>
        <w:tc>
          <w:tcPr>
            <w:tcW w:w="1320" w:type="dxa"/>
            <w:vAlign w:val="center"/>
          </w:tcPr>
          <w:p w14:paraId="64F7A395">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本项目的排水设施均按要求进行了布置。</w:t>
            </w:r>
          </w:p>
        </w:tc>
        <w:tc>
          <w:tcPr>
            <w:tcW w:w="676" w:type="dxa"/>
            <w:vAlign w:val="center"/>
          </w:tcPr>
          <w:p w14:paraId="403246D7">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33CC2DE1">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84" w:name="_Toc7172"/>
      <w:bookmarkStart w:id="785" w:name="_Toc18522"/>
      <w:bookmarkStart w:id="786" w:name="_Toc267853224"/>
      <w:bookmarkStart w:id="787" w:name="_Toc7538"/>
      <w:bookmarkStart w:id="788" w:name="_Toc278282328"/>
      <w:bookmarkStart w:id="789" w:name="_Toc335926303"/>
      <w:bookmarkStart w:id="790" w:name="_Toc335838637"/>
      <w:bookmarkStart w:id="791" w:name="_Toc313493995"/>
      <w:bookmarkStart w:id="792" w:name="_Toc433009883"/>
      <w:bookmarkStart w:id="793" w:name="_Toc278282330"/>
      <w:bookmarkStart w:id="794" w:name="_Toc211237914"/>
      <w:r>
        <w:rPr>
          <w:rFonts w:hint="default" w:ascii="Times New Roman" w:hAnsi="Times New Roman" w:eastAsia="黑体"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eastAsia="黑体"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消防</w:t>
      </w:r>
      <w:r>
        <w:rPr>
          <w:rFonts w:hint="eastAsia" w:ascii="Times New Roman" w:hAnsi="Times New Roman" w:eastAsia="黑体" w:cs="Times New Roman"/>
          <w:color w:val="000000" w:themeColor="text1"/>
          <w:lang w:val="en-US" w:eastAsia="zh-CN"/>
          <w14:textFill>
            <w14:solidFill>
              <w14:schemeClr w14:val="tx1"/>
            </w14:solidFill>
          </w14:textFill>
        </w:rPr>
        <w:t>系统</w:t>
      </w:r>
      <w:r>
        <w:rPr>
          <w:rFonts w:hint="eastAsia" w:ascii="Times New Roman" w:hAnsi="Times New Roman" w:cs="Times New Roman"/>
          <w:color w:val="000000" w:themeColor="text1"/>
          <w:lang w:val="en-US" w:eastAsia="zh-CN"/>
          <w14:textFill>
            <w14:solidFill>
              <w14:schemeClr w14:val="tx1"/>
            </w14:solidFill>
          </w14:textFill>
        </w:rPr>
        <w:t>安全检查表</w:t>
      </w:r>
      <w:bookmarkEnd w:id="784"/>
    </w:p>
    <w:bookmarkEnd w:id="785"/>
    <w:bookmarkEnd w:id="786"/>
    <w:bookmarkEnd w:id="787"/>
    <w:bookmarkEnd w:id="788"/>
    <w:bookmarkEnd w:id="789"/>
    <w:bookmarkEnd w:id="790"/>
    <w:p w14:paraId="786A8D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依据《中华人民共和国消防法》</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《建筑灭火器配置设计规范》（GB50140-2005）、《建筑设计防火规范（2018版）》（GB50016-2014）等相关法律法规、标准规范的要求，对该厂的消防进行安全检查。检查结果见下表。</w:t>
      </w:r>
    </w:p>
    <w:p w14:paraId="60A6EBEA">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表5-</w:t>
      </w:r>
      <w:r>
        <w:rPr>
          <w:rFonts w:hint="eastAsia" w:ascii="宋体" w:hAnsi="宋体" w:eastAsia="宋体" w:cs="宋体"/>
          <w:b/>
          <w:bCs/>
          <w:color w:val="000000" w:themeColor="text1"/>
          <w:lang w:val="en-US" w:eastAsia="zh-CN"/>
          <w14:textFill>
            <w14:solidFill>
              <w14:schemeClr w14:val="tx1"/>
            </w14:solidFill>
          </w14:textFill>
        </w:rPr>
        <w:t>8</w:t>
      </w:r>
      <w:r>
        <w:rPr>
          <w:rFonts w:hint="eastAsia" w:ascii="宋体" w:hAnsi="宋体" w:eastAsia="宋体" w:cs="宋体"/>
          <w:b/>
          <w:bCs/>
          <w:color w:val="000000" w:themeColor="text1"/>
          <w14:textFill>
            <w14:solidFill>
              <w14:schemeClr w14:val="tx1"/>
            </w14:solidFill>
          </w14:textFill>
        </w:rPr>
        <w:t xml:space="preserve">  消防系统安全检查表</w:t>
      </w:r>
    </w:p>
    <w:tbl>
      <w:tblPr>
        <w:tblStyle w:val="52"/>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3510"/>
        <w:gridCol w:w="2475"/>
        <w:gridCol w:w="1779"/>
        <w:gridCol w:w="652"/>
      </w:tblGrid>
      <w:tr w14:paraId="7723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2" w:type="pct"/>
            <w:tcBorders>
              <w:top w:val="single" w:color="auto" w:sz="4" w:space="0"/>
              <w:left w:val="single" w:color="auto" w:sz="4" w:space="0"/>
              <w:bottom w:val="single" w:color="auto" w:sz="4" w:space="0"/>
              <w:right w:val="single" w:color="auto" w:sz="4" w:space="0"/>
            </w:tcBorders>
            <w:vAlign w:val="center"/>
          </w:tcPr>
          <w:p w14:paraId="6F9C7727">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971" w:type="pct"/>
            <w:tcBorders>
              <w:top w:val="single" w:color="auto" w:sz="4" w:space="0"/>
              <w:left w:val="single" w:color="auto" w:sz="4" w:space="0"/>
              <w:bottom w:val="single" w:color="auto" w:sz="4" w:space="0"/>
              <w:right w:val="single" w:color="auto" w:sz="4" w:space="0"/>
            </w:tcBorders>
            <w:vAlign w:val="center"/>
          </w:tcPr>
          <w:p w14:paraId="283ECD30">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检查内容</w:t>
            </w:r>
          </w:p>
        </w:tc>
        <w:tc>
          <w:tcPr>
            <w:tcW w:w="1390" w:type="pct"/>
            <w:tcBorders>
              <w:top w:val="single" w:color="auto" w:sz="4" w:space="0"/>
              <w:left w:val="single" w:color="auto" w:sz="4" w:space="0"/>
              <w:bottom w:val="single" w:color="auto" w:sz="4" w:space="0"/>
              <w:right w:val="single" w:color="auto" w:sz="4" w:space="0"/>
            </w:tcBorders>
            <w:vAlign w:val="center"/>
          </w:tcPr>
          <w:p w14:paraId="2F8D7DC6">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依据标准</w:t>
            </w:r>
          </w:p>
        </w:tc>
        <w:tc>
          <w:tcPr>
            <w:tcW w:w="999" w:type="pct"/>
            <w:tcBorders>
              <w:top w:val="single" w:color="auto" w:sz="4" w:space="0"/>
              <w:left w:val="single" w:color="auto" w:sz="4" w:space="0"/>
              <w:bottom w:val="single" w:color="auto" w:sz="4" w:space="0"/>
              <w:right w:val="single" w:color="auto" w:sz="4" w:space="0"/>
            </w:tcBorders>
            <w:vAlign w:val="center"/>
          </w:tcPr>
          <w:p w14:paraId="2E9FB567">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检查情况</w:t>
            </w:r>
          </w:p>
        </w:tc>
        <w:tc>
          <w:tcPr>
            <w:tcW w:w="366" w:type="pct"/>
            <w:tcBorders>
              <w:top w:val="single" w:color="auto" w:sz="4" w:space="0"/>
              <w:left w:val="single" w:color="auto" w:sz="4" w:space="0"/>
              <w:bottom w:val="single" w:color="auto" w:sz="4" w:space="0"/>
              <w:right w:val="single" w:color="auto" w:sz="4" w:space="0"/>
            </w:tcBorders>
            <w:vAlign w:val="center"/>
          </w:tcPr>
          <w:p w14:paraId="6FB9C7E5">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结论</w:t>
            </w:r>
          </w:p>
        </w:tc>
      </w:tr>
      <w:tr w14:paraId="5BC9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top w:val="single" w:color="auto" w:sz="4" w:space="0"/>
              <w:left w:val="single" w:color="auto" w:sz="4" w:space="0"/>
              <w:bottom w:val="single" w:color="auto" w:sz="4" w:space="0"/>
              <w:right w:val="single" w:color="auto" w:sz="4" w:space="0"/>
            </w:tcBorders>
            <w:vAlign w:val="center"/>
          </w:tcPr>
          <w:p w14:paraId="74B293FE">
            <w:pPr>
              <w:numPr>
                <w:ilvl w:val="0"/>
                <w:numId w:val="14"/>
              </w:numPr>
              <w:adjustRightInd w:val="0"/>
              <w:snapToGrid w:val="0"/>
              <w:spacing w:line="300" w:lineRule="exact"/>
              <w:ind w:left="420" w:leftChars="0" w:hanging="420"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2" w:type="dxa"/>
            <w:tcBorders>
              <w:top w:val="single" w:color="auto" w:sz="4" w:space="0"/>
              <w:left w:val="single" w:color="auto" w:sz="4" w:space="0"/>
              <w:bottom w:val="single" w:color="auto" w:sz="4" w:space="0"/>
              <w:right w:val="single" w:color="auto" w:sz="4" w:space="0"/>
            </w:tcBorders>
            <w:vAlign w:val="center"/>
          </w:tcPr>
          <w:p w14:paraId="7DE01626">
            <w:pPr>
              <w:pStyle w:val="182"/>
              <w:snapToGrid w:val="0"/>
              <w:spacing w:before="0" w:after="0"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按照国家标准、行业标准配置消防设施、器材，设置消防安全标志，并定期组织检验、维修，确保完好有效。</w:t>
            </w:r>
          </w:p>
        </w:tc>
        <w:tc>
          <w:tcPr>
            <w:tcW w:w="2421" w:type="dxa"/>
            <w:tcBorders>
              <w:top w:val="single" w:color="auto" w:sz="4" w:space="0"/>
              <w:left w:val="single" w:color="auto" w:sz="4" w:space="0"/>
              <w:bottom w:val="single" w:color="auto" w:sz="4" w:space="0"/>
              <w:right w:val="single" w:color="auto" w:sz="4" w:space="0"/>
            </w:tcBorders>
            <w:vAlign w:val="center"/>
          </w:tcPr>
          <w:p w14:paraId="6766315C">
            <w:pPr>
              <w:pStyle w:val="182"/>
              <w:snapToGrid w:val="0"/>
              <w:spacing w:before="0" w:after="0"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《中华人民共和国消防法》第十六条</w:t>
            </w:r>
          </w:p>
        </w:tc>
        <w:tc>
          <w:tcPr>
            <w:tcW w:w="1740" w:type="dxa"/>
            <w:tcBorders>
              <w:top w:val="single" w:color="auto" w:sz="4" w:space="0"/>
              <w:left w:val="single" w:color="auto" w:sz="4" w:space="0"/>
              <w:bottom w:val="single" w:color="auto" w:sz="4" w:space="0"/>
              <w:right w:val="single" w:color="auto" w:sz="4" w:space="0"/>
            </w:tcBorders>
            <w:vAlign w:val="center"/>
          </w:tcPr>
          <w:p w14:paraId="6482F2E9">
            <w:pPr>
              <w:pStyle w:val="182"/>
              <w:snapToGrid w:val="0"/>
              <w:spacing w:before="0" w:after="0"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该项目消防器材、设施等完好有效。</w:t>
            </w:r>
          </w:p>
        </w:tc>
        <w:tc>
          <w:tcPr>
            <w:tcW w:w="366" w:type="pct"/>
            <w:tcBorders>
              <w:top w:val="single" w:color="auto" w:sz="4" w:space="0"/>
              <w:left w:val="single" w:color="auto" w:sz="4" w:space="0"/>
              <w:bottom w:val="single" w:color="auto" w:sz="4" w:space="0"/>
              <w:right w:val="single" w:color="auto" w:sz="4" w:space="0"/>
            </w:tcBorders>
            <w:vAlign w:val="center"/>
          </w:tcPr>
          <w:p w14:paraId="5F76DB1C">
            <w:pPr>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716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op w:val="single" w:color="auto" w:sz="4" w:space="0"/>
              <w:left w:val="single" w:color="auto" w:sz="4" w:space="0"/>
              <w:bottom w:val="single" w:color="auto" w:sz="4" w:space="0"/>
              <w:right w:val="single" w:color="auto" w:sz="4" w:space="0"/>
            </w:tcBorders>
            <w:vAlign w:val="center"/>
          </w:tcPr>
          <w:p w14:paraId="6A3B2E0B">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971" w:type="pct"/>
            <w:tcBorders>
              <w:top w:val="single" w:color="auto" w:sz="4" w:space="0"/>
              <w:left w:val="single" w:color="auto" w:sz="4" w:space="0"/>
              <w:bottom w:val="single" w:color="auto" w:sz="4" w:space="0"/>
              <w:right w:val="single" w:color="auto" w:sz="4" w:space="0"/>
            </w:tcBorders>
            <w:vAlign w:val="center"/>
          </w:tcPr>
          <w:p w14:paraId="3C22C5AA">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灭火器应设置在位置明显和便于取用的地点，且不得影响安全疏散。</w:t>
            </w:r>
          </w:p>
        </w:tc>
        <w:tc>
          <w:tcPr>
            <w:tcW w:w="1390" w:type="pct"/>
            <w:tcBorders>
              <w:top w:val="single" w:color="auto" w:sz="4" w:space="0"/>
              <w:left w:val="single" w:color="auto" w:sz="4" w:space="0"/>
              <w:bottom w:val="single" w:color="auto" w:sz="4" w:space="0"/>
              <w:right w:val="single" w:color="auto" w:sz="4" w:space="0"/>
            </w:tcBorders>
            <w:vAlign w:val="center"/>
          </w:tcPr>
          <w:p w14:paraId="05803A27">
            <w:pPr>
              <w:snapToGrid w:val="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50140-2005）</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999" w:type="pct"/>
            <w:tcBorders>
              <w:top w:val="single" w:color="auto" w:sz="4" w:space="0"/>
              <w:left w:val="single" w:color="auto" w:sz="4" w:space="0"/>
              <w:bottom w:val="single" w:color="auto" w:sz="4" w:space="0"/>
              <w:right w:val="single" w:color="auto" w:sz="4" w:space="0"/>
            </w:tcBorders>
            <w:vAlign w:val="center"/>
          </w:tcPr>
          <w:p w14:paraId="776335F9">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该项目灭火器设置在明显和便于取用的地点，且不影响安全疏散。</w:t>
            </w:r>
          </w:p>
        </w:tc>
        <w:tc>
          <w:tcPr>
            <w:tcW w:w="366" w:type="pct"/>
            <w:tcBorders>
              <w:top w:val="single" w:color="auto" w:sz="4" w:space="0"/>
              <w:left w:val="single" w:color="auto" w:sz="4" w:space="0"/>
              <w:bottom w:val="single" w:color="auto" w:sz="4" w:space="0"/>
              <w:right w:val="single" w:color="auto" w:sz="4" w:space="0"/>
            </w:tcBorders>
            <w:vAlign w:val="center"/>
          </w:tcPr>
          <w:p w14:paraId="6F924C00">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73F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op w:val="single" w:color="auto" w:sz="4" w:space="0"/>
              <w:left w:val="single" w:color="auto" w:sz="4" w:space="0"/>
              <w:bottom w:val="single" w:color="auto" w:sz="4" w:space="0"/>
              <w:right w:val="single" w:color="auto" w:sz="4" w:space="0"/>
            </w:tcBorders>
            <w:vAlign w:val="center"/>
          </w:tcPr>
          <w:p w14:paraId="43796D99">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3</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10CF616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灭火器不宜设置在潮湿或强腐蚀性的地点。当必须设置时，应有相应的保护措施。</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CFF5D29">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6B4E768E">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第5.1.4条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766A65F">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该项目灭火器基本未设置在潮湿或强腐蚀性的地点。</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680A020">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9F8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op w:val="single" w:color="auto" w:sz="4" w:space="0"/>
              <w:left w:val="single" w:color="auto" w:sz="4" w:space="0"/>
              <w:bottom w:val="single" w:color="auto" w:sz="4" w:space="0"/>
              <w:right w:val="single" w:color="auto" w:sz="4" w:space="0"/>
            </w:tcBorders>
            <w:vAlign w:val="center"/>
          </w:tcPr>
          <w:p w14:paraId="7D46C61A">
            <w:pPr>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68DC4E6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灭火器不得设置在超出其使用温度范围的地点。</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3FCD34E8">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04F16ED9">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第5.1.5条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39A3ADD9">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该项目灭火器的使用温度均在允许范围内。</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72C9BB2">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1F9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op w:val="single" w:color="auto" w:sz="4" w:space="0"/>
              <w:left w:val="single" w:color="auto" w:sz="4" w:space="0"/>
              <w:bottom w:val="single" w:color="auto" w:sz="4" w:space="0"/>
              <w:right w:val="single" w:color="auto" w:sz="4" w:space="0"/>
            </w:tcBorders>
            <w:vAlign w:val="center"/>
          </w:tcPr>
          <w:p w14:paraId="28C3B2F7">
            <w:pPr>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287B8B0E">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一个计算单元内配置的灭火器数量不得少于2具。</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E3C04AB">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29CA51D0">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第6.1.1条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5F6311CF">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该项目建构筑物内灭火器的配置数量符合规范要求。</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8804763">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70F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op w:val="single" w:color="auto" w:sz="4" w:space="0"/>
              <w:left w:val="single" w:color="auto" w:sz="4" w:space="0"/>
              <w:bottom w:val="single" w:color="auto" w:sz="4" w:space="0"/>
              <w:right w:val="single" w:color="auto" w:sz="4" w:space="0"/>
            </w:tcBorders>
            <w:vAlign w:val="center"/>
          </w:tcPr>
          <w:p w14:paraId="3AB4A6D5">
            <w:pPr>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7F97E53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每个灭火器设置点实配灭火器的灭火级别和数量不得小于最小需配灭火级别和数量的计算值。</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65891626">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6DE8EB9D">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第7.1.2条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DA67C66">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该项目每个灭火器设置点实配灭火器的灭火级别和数量符合要求。</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82F2D16">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bookmarkEnd w:id="791"/>
    </w:tbl>
    <w:p w14:paraId="068B41EF">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795" w:name="_Toc14804"/>
      <w:bookmarkStart w:id="796" w:name="_Toc3808"/>
      <w:r>
        <w:rPr>
          <w:rFonts w:hint="default" w:ascii="Times New Roman" w:hAnsi="Times New Roman" w:eastAsia="黑体"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黑体"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4 </w:t>
      </w:r>
      <w:r>
        <w:rPr>
          <w:rFonts w:hint="default" w:ascii="Times New Roman" w:hAnsi="Times New Roman" w:eastAsia="黑体" w:cs="Times New Roman"/>
          <w:color w:val="000000" w:themeColor="text1"/>
          <w:lang w:val="en-US" w:eastAsia="zh-CN"/>
          <w14:textFill>
            <w14:solidFill>
              <w14:schemeClr w14:val="tx1"/>
            </w14:solidFill>
          </w14:textFill>
        </w:rPr>
        <w:t>单元小结</w:t>
      </w:r>
      <w:bookmarkEnd w:id="792"/>
      <w:bookmarkEnd w:id="793"/>
      <w:bookmarkEnd w:id="794"/>
      <w:bookmarkEnd w:id="795"/>
      <w:bookmarkEnd w:id="796"/>
    </w:p>
    <w:p w14:paraId="0FAA7F2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供配电系统基本按照《低压配电设计规范》（GB50054-2011）及《用电安全导则》（GB/T13869-2017）等标准规范的规定等国家相关的标准规范要求；结合公司现场实际情况，该公司的电气设备具备安全生产的条件；</w:t>
      </w:r>
    </w:p>
    <w:p w14:paraId="1ADD7EDF">
      <w:pPr>
        <w:pStyle w:val="23"/>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安全检查表分析评价结果：该项目的给排水符合《工业企业总平面设计规范》（GB50187-2012）要求；</w:t>
      </w:r>
    </w:p>
    <w:p w14:paraId="63B515E4">
      <w:pPr>
        <w:adjustRightInd w:val="0"/>
        <w:snapToGrid w:val="0"/>
        <w:spacing w:line="500" w:lineRule="exact"/>
        <w:ind w:firstLine="560" w:firstLineChars="200"/>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r>
        <w:rPr>
          <w:rFonts w:hint="eastAsia"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安全检查表分析评价结果：该项目的消防设施建设基本符合《中华人民共和国消防法》、《建筑灭火器配置设计规范》（GB50140-2005）等相关法律法规、标准规范的要求</w:t>
      </w:r>
      <w:r>
        <w:rPr>
          <w:rFonts w:hint="eastAsia" w:hAnsi="宋体" w:cs="宋体"/>
          <w:color w:val="000000" w:themeColor="text1"/>
          <w:sz w:val="28"/>
          <w:szCs w:val="28"/>
          <w:lang w:eastAsia="zh-CN"/>
          <w14:textFill>
            <w14:solidFill>
              <w14:schemeClr w14:val="tx1"/>
            </w14:solidFill>
          </w14:textFill>
        </w:rPr>
        <w:t>。</w:t>
      </w:r>
      <w:r>
        <w:rPr>
          <w:rFonts w:hint="eastAsia" w:hAnsi="宋体" w:cs="宋体"/>
          <w:color w:val="000000" w:themeColor="text1"/>
          <w:sz w:val="28"/>
          <w:szCs w:val="28"/>
          <w:lang w:val="en-US" w:eastAsia="zh-CN"/>
          <w14:textFill>
            <w14:solidFill>
              <w14:schemeClr w14:val="tx1"/>
            </w14:solidFill>
          </w14:textFill>
        </w:rPr>
        <w:t>并</w:t>
      </w:r>
      <w:r>
        <w:rPr>
          <w:rFonts w:hint="eastAsia" w:ascii="Times New Roman" w:cs="Times New Roman"/>
          <w:color w:val="000000" w:themeColor="text1"/>
          <w:sz w:val="28"/>
          <w:szCs w:val="28"/>
          <w:lang w:val="en-US" w:eastAsia="zh-CN"/>
          <w14:textFill>
            <w14:solidFill>
              <w14:schemeClr w14:val="tx1"/>
            </w14:solidFill>
          </w14:textFill>
        </w:rPr>
        <w:t>已取得消防验收备案检查合格通知书，编号为：红公消竣查字（2016）第0028号。</w:t>
      </w:r>
    </w:p>
    <w:bookmarkEnd w:id="771"/>
    <w:bookmarkEnd w:id="772"/>
    <w:bookmarkEnd w:id="773"/>
    <w:bookmarkEnd w:id="774"/>
    <w:bookmarkEnd w:id="775"/>
    <w:p w14:paraId="45BF4E3B">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797" w:name="_Hlt145775763"/>
      <w:bookmarkEnd w:id="797"/>
      <w:bookmarkStart w:id="798" w:name="_Toc145775755"/>
      <w:bookmarkStart w:id="799" w:name="_Toc133428988"/>
      <w:bookmarkStart w:id="800" w:name="_Toc28491"/>
      <w:bookmarkStart w:id="801" w:name="_Toc335926312"/>
      <w:bookmarkStart w:id="802" w:name="_Toc27135"/>
      <w:bookmarkStart w:id="803" w:name="_Toc11562"/>
      <w:bookmarkStart w:id="804" w:name="_Toc25067"/>
      <w:bookmarkStart w:id="805" w:name="_Toc313453623"/>
      <w:bookmarkStart w:id="806" w:name="_Toc31028"/>
      <w:r>
        <w:rPr>
          <w:rFonts w:hint="default" w:ascii="Times New Roman" w:hAnsi="Times New Roman" w:eastAsia="楷体" w:cs="Times New Roman"/>
          <w:color w:val="000000" w:themeColor="text1"/>
          <w14:textFill>
            <w14:solidFill>
              <w14:schemeClr w14:val="tx1"/>
            </w14:solidFill>
          </w14:textFill>
        </w:rPr>
        <w:t>5.5</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安全生产管理评价</w:t>
      </w:r>
      <w:bookmarkEnd w:id="798"/>
      <w:bookmarkEnd w:id="799"/>
      <w:r>
        <w:rPr>
          <w:rFonts w:hint="default" w:ascii="Times New Roman" w:hAnsi="Times New Roman" w:eastAsia="楷体" w:cs="Times New Roman"/>
          <w:color w:val="000000" w:themeColor="text1"/>
          <w14:textFill>
            <w14:solidFill>
              <w14:schemeClr w14:val="tx1"/>
            </w14:solidFill>
          </w14:textFill>
        </w:rPr>
        <w:t>单元</w:t>
      </w:r>
      <w:bookmarkEnd w:id="800"/>
      <w:bookmarkEnd w:id="801"/>
      <w:bookmarkEnd w:id="802"/>
      <w:bookmarkEnd w:id="803"/>
      <w:bookmarkEnd w:id="804"/>
      <w:bookmarkEnd w:id="805"/>
      <w:bookmarkEnd w:id="806"/>
    </w:p>
    <w:p w14:paraId="4C7626D9">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heme="minorEastAsia" w:hAnsiTheme="minorEastAsia" w:eastAsiaTheme="minorEastAsia"/>
          <w:snapToGrid w:val="0"/>
          <w:color w:val="000000" w:themeColor="text1"/>
          <w14:textFill>
            <w14:solidFill>
              <w14:schemeClr w14:val="tx1"/>
            </w14:solidFill>
          </w14:textFill>
        </w:rPr>
      </w:pPr>
      <w:bookmarkStart w:id="807" w:name="_Toc403746183"/>
      <w:bookmarkStart w:id="808" w:name="_Toc365119548"/>
      <w:bookmarkStart w:id="809" w:name="_Toc4740"/>
      <w:bookmarkStart w:id="810" w:name="_Toc30001458"/>
      <w:bookmarkStart w:id="811" w:name="_Toc23196"/>
      <w:bookmarkStart w:id="812" w:name="_Toc8165"/>
      <w:bookmarkStart w:id="813" w:name="_Toc61474481"/>
      <w:bookmarkStart w:id="814" w:name="_Toc5340"/>
      <w:bookmarkStart w:id="815" w:name="_Toc23914"/>
      <w:r>
        <w:rPr>
          <w:rFonts w:hint="default" w:ascii="Times New Roman" w:hAnsi="Times New Roman" w:eastAsia="黑体" w:cs="Times New Roman"/>
          <w:color w:val="000000" w:themeColor="text1"/>
          <w:lang w:val="en-US" w:eastAsia="zh-CN"/>
          <w14:textFill>
            <w14:solidFill>
              <w14:schemeClr w14:val="tx1"/>
            </w14:solidFill>
          </w14:textFill>
        </w:rPr>
        <w:t>5.5.1安全管理</w:t>
      </w:r>
      <w:bookmarkEnd w:id="807"/>
      <w:bookmarkEnd w:id="808"/>
      <w:r>
        <w:rPr>
          <w:rFonts w:hint="default" w:ascii="Times New Roman" w:hAnsi="Times New Roman" w:eastAsia="黑体" w:cs="Times New Roman"/>
          <w:color w:val="000000" w:themeColor="text1"/>
          <w:lang w:val="en-US" w:eastAsia="zh-CN"/>
          <w14:textFill>
            <w14:solidFill>
              <w14:schemeClr w14:val="tx1"/>
            </w14:solidFill>
          </w14:textFill>
        </w:rPr>
        <w:t>检查表</w:t>
      </w:r>
      <w:bookmarkEnd w:id="809"/>
      <w:bookmarkEnd w:id="810"/>
      <w:bookmarkEnd w:id="811"/>
      <w:bookmarkEnd w:id="812"/>
      <w:bookmarkEnd w:id="813"/>
      <w:bookmarkEnd w:id="814"/>
      <w:bookmarkEnd w:id="815"/>
    </w:p>
    <w:p w14:paraId="68061DA5">
      <w:pPr>
        <w:pStyle w:val="218"/>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bCs/>
          <w:color w:val="000000" w:themeColor="text1"/>
          <w:szCs w:val="2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本节依据《中华人民共和国安全生产法》的相关要求，编制安全检查表对企业安全生产管理状况进行检查，检查结果见下表。</w:t>
      </w:r>
    </w:p>
    <w:p w14:paraId="39815BB4">
      <w:pPr>
        <w:tabs>
          <w:tab w:val="left" w:pos="851"/>
        </w:tabs>
        <w:adjustRightInd w:val="0"/>
        <w:snapToGrid w:val="0"/>
        <w:spacing w:line="240" w:lineRule="exact"/>
        <w:jc w:val="center"/>
        <w:rPr>
          <w:rFonts w:hint="eastAsia" w:ascii="宋体" w:hAnsi="宋体" w:cs="宋体"/>
          <w:b/>
          <w:bCs/>
          <w:color w:val="000000" w:themeColor="text1"/>
          <w:szCs w:val="21"/>
          <w14:textFill>
            <w14:solidFill>
              <w14:schemeClr w14:val="tx1"/>
            </w14:solidFill>
          </w14:textFill>
        </w:rPr>
      </w:pPr>
    </w:p>
    <w:p w14:paraId="7C28EBF3">
      <w:pPr>
        <w:tabs>
          <w:tab w:val="left" w:pos="851"/>
        </w:tabs>
        <w:adjustRightInd w:val="0"/>
        <w:snapToGrid w:val="0"/>
        <w:spacing w:line="240" w:lineRule="exact"/>
        <w:jc w:val="center"/>
        <w:rPr>
          <w:rFonts w:hint="eastAsia" w:ascii="宋体" w:hAnsi="宋体" w:cs="宋体"/>
          <w:b/>
          <w:bCs/>
          <w:color w:val="000000" w:themeColor="text1"/>
          <w:szCs w:val="21"/>
          <w14:textFill>
            <w14:solidFill>
              <w14:schemeClr w14:val="tx1"/>
            </w14:solidFill>
          </w14:textFill>
        </w:rPr>
      </w:pPr>
    </w:p>
    <w:p w14:paraId="6F4B53D9">
      <w:pPr>
        <w:tabs>
          <w:tab w:val="left" w:pos="851"/>
        </w:tabs>
        <w:adjustRightInd w:val="0"/>
        <w:snapToGrid w:val="0"/>
        <w:spacing w:line="240" w:lineRule="exact"/>
        <w:jc w:val="center"/>
        <w:rPr>
          <w:rFonts w:hint="eastAsia" w:ascii="宋体" w:hAnsi="宋体" w:cs="宋体"/>
          <w:b/>
          <w:bCs/>
          <w:color w:val="000000" w:themeColor="text1"/>
          <w:szCs w:val="21"/>
          <w14:textFill>
            <w14:solidFill>
              <w14:schemeClr w14:val="tx1"/>
            </w14:solidFill>
          </w14:textFill>
        </w:rPr>
      </w:pPr>
    </w:p>
    <w:p w14:paraId="1E4112A2">
      <w:pPr>
        <w:tabs>
          <w:tab w:val="left" w:pos="851"/>
        </w:tabs>
        <w:adjustRightInd w:val="0"/>
        <w:snapToGrid w:val="0"/>
        <w:spacing w:line="240" w:lineRule="exact"/>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表5-</w:t>
      </w:r>
      <w:r>
        <w:rPr>
          <w:rFonts w:hint="eastAsia" w:hAnsi="宋体" w:cs="宋体"/>
          <w:b/>
          <w:bCs/>
          <w:color w:val="000000" w:themeColor="text1"/>
          <w:szCs w:val="21"/>
          <w:lang w:val="en-US" w:eastAsia="zh-CN"/>
          <w14:textFill>
            <w14:solidFill>
              <w14:schemeClr w14:val="tx1"/>
            </w14:solidFill>
          </w14:textFill>
        </w:rPr>
        <w:t>9</w:t>
      </w:r>
      <w:r>
        <w:rPr>
          <w:rFonts w:hint="eastAsia" w:ascii="宋体" w:hAnsi="宋体" w:cs="宋体"/>
          <w:b/>
          <w:bCs/>
          <w:color w:val="000000" w:themeColor="text1"/>
          <w:szCs w:val="21"/>
          <w14:textFill>
            <w14:solidFill>
              <w14:schemeClr w14:val="tx1"/>
            </w14:solidFill>
          </w14:textFill>
        </w:rPr>
        <w:t>安全生产管理检查表</w:t>
      </w:r>
    </w:p>
    <w:tbl>
      <w:tblPr>
        <w:tblStyle w:val="52"/>
        <w:tblW w:w="860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2"/>
        <w:gridCol w:w="3998"/>
        <w:gridCol w:w="1185"/>
        <w:gridCol w:w="1935"/>
        <w:gridCol w:w="701"/>
      </w:tblGrid>
      <w:tr w14:paraId="3E8CF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 w:hRule="atLeast"/>
          <w:tblHeader/>
        </w:trPr>
        <w:tc>
          <w:tcPr>
            <w:tcW w:w="782" w:type="dxa"/>
            <w:tcBorders>
              <w:top w:val="single" w:color="auto" w:sz="4" w:space="0"/>
              <w:left w:val="single" w:color="auto" w:sz="4" w:space="0"/>
              <w:bottom w:val="single" w:color="auto" w:sz="4" w:space="0"/>
              <w:right w:val="single" w:color="auto" w:sz="4" w:space="0"/>
            </w:tcBorders>
            <w:vAlign w:val="center"/>
          </w:tcPr>
          <w:p w14:paraId="679C64BB">
            <w:pPr>
              <w:tabs>
                <w:tab w:val="left" w:pos="851"/>
              </w:tabs>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998" w:type="dxa"/>
            <w:tcBorders>
              <w:top w:val="single" w:color="auto" w:sz="4" w:space="0"/>
              <w:left w:val="single" w:color="auto" w:sz="4" w:space="0"/>
              <w:bottom w:val="single" w:color="auto" w:sz="4" w:space="0"/>
              <w:right w:val="single" w:color="auto" w:sz="4" w:space="0"/>
            </w:tcBorders>
            <w:vAlign w:val="center"/>
          </w:tcPr>
          <w:p w14:paraId="1AAB5AD9">
            <w:pPr>
              <w:tabs>
                <w:tab w:val="left" w:pos="851"/>
              </w:tabs>
              <w:adjustRightInd w:val="0"/>
              <w:snapToGrid w:val="0"/>
              <w:jc w:val="left"/>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  查  内  容</w:t>
            </w:r>
          </w:p>
        </w:tc>
        <w:tc>
          <w:tcPr>
            <w:tcW w:w="1185" w:type="dxa"/>
            <w:tcBorders>
              <w:top w:val="single" w:color="auto" w:sz="4" w:space="0"/>
              <w:left w:val="single" w:color="auto" w:sz="4" w:space="0"/>
              <w:bottom w:val="single" w:color="auto" w:sz="4" w:space="0"/>
              <w:right w:val="single" w:color="auto" w:sz="4" w:space="0"/>
            </w:tcBorders>
            <w:vAlign w:val="center"/>
          </w:tcPr>
          <w:p w14:paraId="0393CF71">
            <w:pPr>
              <w:tabs>
                <w:tab w:val="left" w:pos="851"/>
              </w:tabs>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依据标准</w:t>
            </w:r>
          </w:p>
        </w:tc>
        <w:tc>
          <w:tcPr>
            <w:tcW w:w="1935" w:type="dxa"/>
            <w:tcBorders>
              <w:top w:val="single" w:color="auto" w:sz="4" w:space="0"/>
              <w:left w:val="single" w:color="auto" w:sz="4" w:space="0"/>
              <w:bottom w:val="single" w:color="auto" w:sz="4" w:space="0"/>
              <w:right w:val="single" w:color="auto" w:sz="4" w:space="0"/>
            </w:tcBorders>
            <w:vAlign w:val="center"/>
          </w:tcPr>
          <w:p w14:paraId="2E6D5002">
            <w:pPr>
              <w:tabs>
                <w:tab w:val="left" w:pos="851"/>
              </w:tabs>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检查情况</w:t>
            </w:r>
          </w:p>
        </w:tc>
        <w:tc>
          <w:tcPr>
            <w:tcW w:w="701" w:type="dxa"/>
            <w:tcBorders>
              <w:top w:val="single" w:color="auto" w:sz="4" w:space="0"/>
              <w:left w:val="single" w:color="auto" w:sz="4" w:space="0"/>
              <w:bottom w:val="single" w:color="auto" w:sz="4" w:space="0"/>
              <w:right w:val="single" w:color="auto" w:sz="4" w:space="0"/>
            </w:tcBorders>
            <w:vAlign w:val="center"/>
          </w:tcPr>
          <w:p w14:paraId="1C3665BA">
            <w:pPr>
              <w:tabs>
                <w:tab w:val="left" w:pos="851"/>
              </w:tabs>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结论</w:t>
            </w:r>
          </w:p>
        </w:tc>
      </w:tr>
      <w:tr w14:paraId="74C6D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0BD4BA0E">
            <w:pPr>
              <w:numPr>
                <w:ilvl w:val="0"/>
                <w:numId w:val="15"/>
              </w:numPr>
              <w:tabs>
                <w:tab w:val="left" w:pos="630"/>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0F8C93D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生产经营单位的主要负责人是本单位安全生产 第一责任人，对本单位的安全生产工作全面负责。其他负责人对职责范围内的安全生产工作负责。</w:t>
            </w:r>
          </w:p>
        </w:tc>
        <w:tc>
          <w:tcPr>
            <w:tcW w:w="1185" w:type="dxa"/>
            <w:tcBorders>
              <w:top w:val="single" w:color="auto" w:sz="4" w:space="0"/>
              <w:left w:val="single" w:color="auto" w:sz="4" w:space="0"/>
              <w:bottom w:val="single" w:color="auto" w:sz="4" w:space="0"/>
              <w:right w:val="single" w:color="auto" w:sz="4" w:space="0"/>
            </w:tcBorders>
            <w:vAlign w:val="center"/>
          </w:tcPr>
          <w:p w14:paraId="1B57F9A0">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w:t>
            </w:r>
          </w:p>
          <w:p w14:paraId="532C7B0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第五条</w:t>
            </w:r>
          </w:p>
        </w:tc>
        <w:tc>
          <w:tcPr>
            <w:tcW w:w="1935" w:type="dxa"/>
            <w:tcBorders>
              <w:top w:val="single" w:color="auto" w:sz="4" w:space="0"/>
              <w:left w:val="single" w:color="auto" w:sz="4" w:space="0"/>
              <w:bottom w:val="single" w:color="auto" w:sz="4" w:space="0"/>
              <w:right w:val="single" w:color="auto" w:sz="4" w:space="0"/>
            </w:tcBorders>
            <w:vAlign w:val="center"/>
          </w:tcPr>
          <w:p w14:paraId="53BFA4F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公司主要负责人对本单位的安全生产工作全面负责。</w:t>
            </w:r>
          </w:p>
        </w:tc>
        <w:tc>
          <w:tcPr>
            <w:tcW w:w="701" w:type="dxa"/>
            <w:tcBorders>
              <w:top w:val="single" w:color="auto" w:sz="4" w:space="0"/>
              <w:left w:val="single" w:color="auto" w:sz="4" w:space="0"/>
              <w:bottom w:val="single" w:color="auto" w:sz="4" w:space="0"/>
              <w:right w:val="single" w:color="auto" w:sz="4" w:space="0"/>
            </w:tcBorders>
            <w:vAlign w:val="center"/>
          </w:tcPr>
          <w:p w14:paraId="6C804CA0">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BECC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44F0A684">
            <w:pPr>
              <w:numPr>
                <w:ilvl w:val="0"/>
                <w:numId w:val="15"/>
              </w:numPr>
              <w:tabs>
                <w:tab w:val="left" w:pos="630"/>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9FC2C3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生产经营单位的主要负责人对本单位安全生产工作负有下列职责：</w:t>
            </w:r>
          </w:p>
          <w:p w14:paraId="0AB7EB54">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（一）建立健全并落实本单位全员安全生产责任制，加强安全生产标准化建设；</w:t>
            </w:r>
          </w:p>
          <w:p w14:paraId="378ED097">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（二）组织制定并实施本单位安全生产规章制度和操作规程；</w:t>
            </w:r>
          </w:p>
          <w:p w14:paraId="0656FF0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（三）组织制定并实施本单位安全生产教育和培训计划；</w:t>
            </w:r>
          </w:p>
          <w:p w14:paraId="7C2761BF">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（四）保证本单位安全生产投入的有效实施；</w:t>
            </w:r>
          </w:p>
          <w:p w14:paraId="1C0B02A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（五）组织建立并落实安全风险分级管控和隐患排查治理双重预防工作机制，督促、检查本单位的安全生产工作，及时消除生产安全事故隐患；</w:t>
            </w:r>
          </w:p>
          <w:p w14:paraId="3D8E5927">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（六）组织制定并实施本单位的生产安全事故应急救援预案；</w:t>
            </w:r>
          </w:p>
          <w:p w14:paraId="693EFC2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（七）及时、如实报告生产安全事故。</w:t>
            </w:r>
          </w:p>
        </w:tc>
        <w:tc>
          <w:tcPr>
            <w:tcW w:w="1185" w:type="dxa"/>
            <w:tcBorders>
              <w:top w:val="single" w:color="auto" w:sz="4" w:space="0"/>
              <w:left w:val="single" w:color="auto" w:sz="4" w:space="0"/>
              <w:bottom w:val="single" w:color="auto" w:sz="4" w:space="0"/>
              <w:right w:val="single" w:color="auto" w:sz="4" w:space="0"/>
            </w:tcBorders>
            <w:vAlign w:val="center"/>
          </w:tcPr>
          <w:p w14:paraId="4DCE37A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w:t>
            </w:r>
          </w:p>
          <w:p w14:paraId="797E136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第二十一条</w:t>
            </w:r>
          </w:p>
        </w:tc>
        <w:tc>
          <w:tcPr>
            <w:tcW w:w="1935" w:type="dxa"/>
            <w:tcBorders>
              <w:top w:val="single" w:color="auto" w:sz="4" w:space="0"/>
              <w:left w:val="single" w:color="auto" w:sz="4" w:space="0"/>
              <w:bottom w:val="single" w:color="auto" w:sz="4" w:space="0"/>
              <w:right w:val="single" w:color="auto" w:sz="4" w:space="0"/>
            </w:tcBorders>
            <w:vAlign w:val="center"/>
          </w:tcPr>
          <w:p w14:paraId="6DE944AB">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公司制定了安全生产规章制度和安全操作规程，成立了</w:t>
            </w:r>
            <w:r>
              <w:rPr>
                <w:rFonts w:hint="eastAsia" w:ascii="宋体" w:hAnsi="宋体" w:eastAsia="宋体" w:cs="宋体"/>
                <w:color w:val="000000" w:themeColor="text1"/>
                <w:kern w:val="0"/>
                <w:sz w:val="21"/>
                <w:szCs w:val="21"/>
                <w14:textFill>
                  <w14:solidFill>
                    <w14:schemeClr w14:val="tx1"/>
                  </w14:solidFill>
                </w14:textFill>
              </w:rPr>
              <w:t>安全生产领导小组</w:t>
            </w:r>
            <w:r>
              <w:rPr>
                <w:rFonts w:hint="eastAsia" w:ascii="宋体" w:hAnsi="宋体" w:eastAsia="宋体" w:cs="宋体"/>
                <w:color w:val="000000" w:themeColor="text1"/>
                <w:sz w:val="21"/>
                <w:szCs w:val="21"/>
                <w14:textFill>
                  <w14:solidFill>
                    <w14:schemeClr w14:val="tx1"/>
                  </w14:solidFill>
                </w14:textFill>
              </w:rPr>
              <w:t>。</w:t>
            </w:r>
          </w:p>
        </w:tc>
        <w:tc>
          <w:tcPr>
            <w:tcW w:w="701" w:type="dxa"/>
            <w:tcBorders>
              <w:top w:val="single" w:color="auto" w:sz="4" w:space="0"/>
              <w:left w:val="single" w:color="auto" w:sz="4" w:space="0"/>
              <w:bottom w:val="single" w:color="auto" w:sz="4" w:space="0"/>
              <w:right w:val="single" w:color="auto" w:sz="4" w:space="0"/>
            </w:tcBorders>
            <w:vAlign w:val="center"/>
          </w:tcPr>
          <w:p w14:paraId="0EDFE247">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A3BC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6F43FA60">
            <w:pPr>
              <w:numPr>
                <w:ilvl w:val="0"/>
                <w:numId w:val="15"/>
              </w:numPr>
              <w:tabs>
                <w:tab w:val="left" w:pos="630"/>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0A7E071D">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生产经营单位的全员安全生产责任制应当明确各岗位的责任人员、责任范围和考核标准等内容。生产经营单位应当建立相应的机制，加强对安全生产责任制落实情况的监督考核，保证安全生产责任制的落实。</w:t>
            </w:r>
          </w:p>
        </w:tc>
        <w:tc>
          <w:tcPr>
            <w:tcW w:w="1185" w:type="dxa"/>
            <w:tcBorders>
              <w:top w:val="single" w:color="auto" w:sz="4" w:space="0"/>
              <w:left w:val="single" w:color="auto" w:sz="4" w:space="0"/>
              <w:bottom w:val="single" w:color="auto" w:sz="4" w:space="0"/>
              <w:right w:val="single" w:color="auto" w:sz="4" w:space="0"/>
            </w:tcBorders>
            <w:vAlign w:val="center"/>
          </w:tcPr>
          <w:p w14:paraId="2CF5B8D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w:t>
            </w:r>
          </w:p>
          <w:p w14:paraId="0AAA2578">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第二十二条</w:t>
            </w:r>
          </w:p>
        </w:tc>
        <w:tc>
          <w:tcPr>
            <w:tcW w:w="1935" w:type="dxa"/>
            <w:tcBorders>
              <w:top w:val="single" w:color="auto" w:sz="4" w:space="0"/>
              <w:left w:val="single" w:color="auto" w:sz="4" w:space="0"/>
              <w:bottom w:val="single" w:color="auto" w:sz="4" w:space="0"/>
              <w:right w:val="single" w:color="auto" w:sz="4" w:space="0"/>
            </w:tcBorders>
            <w:vAlign w:val="center"/>
          </w:tcPr>
          <w:p w14:paraId="055664C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有相关管理制度。</w:t>
            </w:r>
          </w:p>
        </w:tc>
        <w:tc>
          <w:tcPr>
            <w:tcW w:w="701" w:type="dxa"/>
            <w:tcBorders>
              <w:top w:val="single" w:color="auto" w:sz="4" w:space="0"/>
              <w:left w:val="single" w:color="auto" w:sz="4" w:space="0"/>
              <w:bottom w:val="single" w:color="auto" w:sz="4" w:space="0"/>
              <w:right w:val="single" w:color="auto" w:sz="4" w:space="0"/>
            </w:tcBorders>
            <w:vAlign w:val="center"/>
          </w:tcPr>
          <w:p w14:paraId="73168E8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933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40823ED9">
            <w:pPr>
              <w:numPr>
                <w:ilvl w:val="0"/>
                <w:numId w:val="15"/>
              </w:numPr>
              <w:tabs>
                <w:tab w:val="left" w:pos="630"/>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2602C556">
            <w:pPr>
              <w:tabs>
                <w:tab w:val="left" w:pos="851"/>
              </w:tabs>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具备的安全生产条件所必需的资金投入，由生产经营单位的决策机构、主要负责人或者个人经营的投资人予以保证，并对由于安全生产所必需的资金投入不足导致的后果承担责任。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tc>
        <w:tc>
          <w:tcPr>
            <w:tcW w:w="1185" w:type="dxa"/>
            <w:tcBorders>
              <w:top w:val="single" w:color="auto" w:sz="4" w:space="0"/>
              <w:left w:val="single" w:color="auto" w:sz="4" w:space="0"/>
              <w:bottom w:val="single" w:color="auto" w:sz="4" w:space="0"/>
              <w:right w:val="single" w:color="auto" w:sz="4" w:space="0"/>
            </w:tcBorders>
            <w:vAlign w:val="center"/>
          </w:tcPr>
          <w:p w14:paraId="12854E80">
            <w:pPr>
              <w:tabs>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w:t>
            </w:r>
          </w:p>
          <w:p w14:paraId="7FD5C4B5">
            <w:pPr>
              <w:tabs>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第二十三条</w:t>
            </w:r>
          </w:p>
        </w:tc>
        <w:tc>
          <w:tcPr>
            <w:tcW w:w="1935" w:type="dxa"/>
            <w:tcBorders>
              <w:top w:val="single" w:color="auto" w:sz="4" w:space="0"/>
              <w:left w:val="single" w:color="auto" w:sz="4" w:space="0"/>
              <w:bottom w:val="single" w:color="auto" w:sz="4" w:space="0"/>
              <w:right w:val="single" w:color="auto" w:sz="4" w:space="0"/>
            </w:tcBorders>
            <w:vAlign w:val="center"/>
          </w:tcPr>
          <w:p w14:paraId="48964BC4">
            <w:pPr>
              <w:tabs>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按规定提取安全费用并用于改善安全生产条件。</w:t>
            </w:r>
          </w:p>
        </w:tc>
        <w:tc>
          <w:tcPr>
            <w:tcW w:w="701" w:type="dxa"/>
            <w:tcBorders>
              <w:top w:val="single" w:color="auto" w:sz="4" w:space="0"/>
              <w:left w:val="single" w:color="auto" w:sz="4" w:space="0"/>
              <w:bottom w:val="single" w:color="auto" w:sz="4" w:space="0"/>
              <w:right w:val="single" w:color="auto" w:sz="4" w:space="0"/>
            </w:tcBorders>
            <w:vAlign w:val="center"/>
          </w:tcPr>
          <w:p w14:paraId="29870DE9">
            <w:pPr>
              <w:tabs>
                <w:tab w:val="left" w:pos="851"/>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9A9F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752E8423">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763880E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矿山、金属冶炼、建筑施工、运输单位和危险物品的生产、经营、储存、装卸单位，应当设置安全生产管理机构或者配备专职安全生产管理人员。</w:t>
            </w:r>
          </w:p>
          <w:p w14:paraId="795502D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185" w:type="dxa"/>
            <w:tcBorders>
              <w:top w:val="single" w:color="auto" w:sz="4" w:space="0"/>
              <w:left w:val="single" w:color="auto" w:sz="4" w:space="0"/>
              <w:bottom w:val="single" w:color="auto" w:sz="4" w:space="0"/>
              <w:right w:val="single" w:color="auto" w:sz="4" w:space="0"/>
            </w:tcBorders>
            <w:vAlign w:val="center"/>
          </w:tcPr>
          <w:p w14:paraId="7F610C5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4D00C1D0">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二十四条</w:t>
            </w:r>
          </w:p>
        </w:tc>
        <w:tc>
          <w:tcPr>
            <w:tcW w:w="1935" w:type="dxa"/>
            <w:tcBorders>
              <w:top w:val="single" w:color="auto" w:sz="4" w:space="0"/>
              <w:left w:val="single" w:color="auto" w:sz="4" w:space="0"/>
              <w:bottom w:val="single" w:color="auto" w:sz="4" w:space="0"/>
              <w:right w:val="single" w:color="auto" w:sz="4" w:space="0"/>
            </w:tcBorders>
            <w:vAlign w:val="center"/>
          </w:tcPr>
          <w:p w14:paraId="62015083">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公司成立了安全生产领导小组，任命了专职安全员。</w:t>
            </w:r>
          </w:p>
        </w:tc>
        <w:tc>
          <w:tcPr>
            <w:tcW w:w="701" w:type="dxa"/>
            <w:tcBorders>
              <w:top w:val="single" w:color="auto" w:sz="4" w:space="0"/>
              <w:left w:val="single" w:color="auto" w:sz="4" w:space="0"/>
              <w:bottom w:val="single" w:color="auto" w:sz="4" w:space="0"/>
              <w:right w:val="single" w:color="auto" w:sz="4" w:space="0"/>
            </w:tcBorders>
            <w:vAlign w:val="center"/>
          </w:tcPr>
          <w:p w14:paraId="632AAE3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0669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4EB5692C">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CFF8A37">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生产经营单位的主要负责人和安全生产管理人员必须具备与本单位所从事的生产经营活动相应的安全生产知识和管理能力。</w:t>
            </w:r>
          </w:p>
          <w:p w14:paraId="48A16B5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tc>
        <w:tc>
          <w:tcPr>
            <w:tcW w:w="1185" w:type="dxa"/>
            <w:tcBorders>
              <w:top w:val="single" w:color="auto" w:sz="4" w:space="0"/>
              <w:left w:val="single" w:color="auto" w:sz="4" w:space="0"/>
              <w:bottom w:val="single" w:color="auto" w:sz="4" w:space="0"/>
              <w:right w:val="single" w:color="auto" w:sz="4" w:space="0"/>
            </w:tcBorders>
            <w:vAlign w:val="center"/>
          </w:tcPr>
          <w:p w14:paraId="2FEA79F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364AF102">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二十七条</w:t>
            </w:r>
          </w:p>
        </w:tc>
        <w:tc>
          <w:tcPr>
            <w:tcW w:w="1935" w:type="dxa"/>
            <w:tcBorders>
              <w:top w:val="single" w:color="auto" w:sz="4" w:space="0"/>
              <w:left w:val="single" w:color="auto" w:sz="4" w:space="0"/>
              <w:bottom w:val="single" w:color="auto" w:sz="4" w:space="0"/>
              <w:right w:val="single" w:color="auto" w:sz="4" w:space="0"/>
            </w:tcBorders>
            <w:vAlign w:val="center"/>
          </w:tcPr>
          <w:p w14:paraId="0FA509B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主要负责人取得了安全生产知识和管理能力考核合格证，安全管理人（王琪）已通过安全生产知识和管理能力考核，但发证时按主要负责人发证，已重新报名培训。</w:t>
            </w:r>
          </w:p>
          <w:p w14:paraId="57385CB3">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701" w:type="dxa"/>
            <w:tcBorders>
              <w:top w:val="single" w:color="auto" w:sz="4" w:space="0"/>
              <w:left w:val="single" w:color="auto" w:sz="4" w:space="0"/>
              <w:bottom w:val="single" w:color="auto" w:sz="4" w:space="0"/>
              <w:right w:val="single" w:color="auto" w:sz="4" w:space="0"/>
            </w:tcBorders>
            <w:vAlign w:val="center"/>
          </w:tcPr>
          <w:p w14:paraId="06C2968D">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D343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1878290F">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42E961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生产经营单位应当建立健全下列制度：</w:t>
            </w:r>
          </w:p>
          <w:p w14:paraId="445D9A7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1）安全生产责任制度；</w:t>
            </w:r>
          </w:p>
          <w:p w14:paraId="139E0E8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2）安全生产例会制度；</w:t>
            </w:r>
          </w:p>
          <w:p w14:paraId="72E2E4E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3）安全生产奖惩制度；</w:t>
            </w:r>
          </w:p>
          <w:p w14:paraId="47593C2D">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4）安全生产教育培训制度；</w:t>
            </w:r>
          </w:p>
          <w:p w14:paraId="3171010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5）生产经营场所、设备和设施的安全管理制度；</w:t>
            </w:r>
          </w:p>
          <w:p w14:paraId="7DFBD02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6）安全生产检查制度；</w:t>
            </w:r>
          </w:p>
          <w:p w14:paraId="5DAF8D6B">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7）重大危险源监控和事故隐患报告、整改制度；</w:t>
            </w:r>
          </w:p>
          <w:p w14:paraId="7B11A89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8）伤亡事故报告和处理制度；</w:t>
            </w:r>
          </w:p>
          <w:p w14:paraId="7395EC4D">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9）劳动防护用品管理制度；</w:t>
            </w:r>
          </w:p>
          <w:p w14:paraId="4FAC683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10）法律、法规规定应当制定的其他安全生产制度。</w:t>
            </w:r>
          </w:p>
        </w:tc>
        <w:tc>
          <w:tcPr>
            <w:tcW w:w="1185" w:type="dxa"/>
            <w:tcBorders>
              <w:top w:val="single" w:color="auto" w:sz="4" w:space="0"/>
              <w:left w:val="single" w:color="auto" w:sz="4" w:space="0"/>
              <w:bottom w:val="single" w:color="auto" w:sz="4" w:space="0"/>
              <w:right w:val="single" w:color="auto" w:sz="4" w:space="0"/>
            </w:tcBorders>
            <w:vAlign w:val="center"/>
          </w:tcPr>
          <w:p w14:paraId="282F413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《云南省安全生产条例》第</w:t>
            </w:r>
          </w:p>
          <w:p w14:paraId="71ADA153">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十六条</w:t>
            </w:r>
          </w:p>
        </w:tc>
        <w:tc>
          <w:tcPr>
            <w:tcW w:w="1935" w:type="dxa"/>
            <w:tcBorders>
              <w:top w:val="single" w:color="auto" w:sz="4" w:space="0"/>
              <w:left w:val="single" w:color="auto" w:sz="4" w:space="0"/>
              <w:bottom w:val="single" w:color="auto" w:sz="4" w:space="0"/>
              <w:right w:val="single" w:color="auto" w:sz="4" w:space="0"/>
            </w:tcBorders>
            <w:vAlign w:val="center"/>
          </w:tcPr>
          <w:p w14:paraId="4291AEB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建立有相关制度。</w:t>
            </w:r>
          </w:p>
        </w:tc>
        <w:tc>
          <w:tcPr>
            <w:tcW w:w="701" w:type="dxa"/>
            <w:tcBorders>
              <w:top w:val="single" w:color="auto" w:sz="4" w:space="0"/>
              <w:left w:val="single" w:color="auto" w:sz="4" w:space="0"/>
              <w:bottom w:val="single" w:color="auto" w:sz="4" w:space="0"/>
              <w:right w:val="single" w:color="auto" w:sz="4" w:space="0"/>
            </w:tcBorders>
            <w:vAlign w:val="center"/>
          </w:tcPr>
          <w:p w14:paraId="7B6EDC08">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C552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3FDB845A">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0421174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1DE7F5E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07C8123F">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生产经营单位接收中等职业学校、高等学校学生实习的，应当对实习学生进行相应的安全生产教育和培训，提供必要的劳动防护用品。学校应当协助生产经营单位对实习学生进行安全生产教育和培训。</w:t>
            </w:r>
          </w:p>
          <w:p w14:paraId="034587E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生产经营单位应当建立安全生产教育和培训档案，如实记录安全生产教育和培训的时间、内容、参加人员以及考核结果等情况。</w:t>
            </w:r>
          </w:p>
        </w:tc>
        <w:tc>
          <w:tcPr>
            <w:tcW w:w="1185" w:type="dxa"/>
            <w:tcBorders>
              <w:top w:val="single" w:color="auto" w:sz="4" w:space="0"/>
              <w:left w:val="single" w:color="auto" w:sz="4" w:space="0"/>
              <w:bottom w:val="single" w:color="auto" w:sz="4" w:space="0"/>
              <w:right w:val="single" w:color="auto" w:sz="4" w:space="0"/>
            </w:tcBorders>
            <w:vAlign w:val="center"/>
          </w:tcPr>
          <w:p w14:paraId="37A69A91">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2F1281E7">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二十八条</w:t>
            </w:r>
          </w:p>
        </w:tc>
        <w:tc>
          <w:tcPr>
            <w:tcW w:w="1935" w:type="dxa"/>
            <w:tcBorders>
              <w:top w:val="single" w:color="auto" w:sz="4" w:space="0"/>
              <w:left w:val="single" w:color="auto" w:sz="4" w:space="0"/>
              <w:bottom w:val="single" w:color="auto" w:sz="4" w:space="0"/>
              <w:right w:val="single" w:color="auto" w:sz="4" w:space="0"/>
            </w:tcBorders>
            <w:vAlign w:val="center"/>
          </w:tcPr>
          <w:p w14:paraId="432E0418">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签署有安全管理协议，并有相关培训记录和台账。</w:t>
            </w:r>
          </w:p>
        </w:tc>
        <w:tc>
          <w:tcPr>
            <w:tcW w:w="701" w:type="dxa"/>
            <w:tcBorders>
              <w:top w:val="single" w:color="auto" w:sz="4" w:space="0"/>
              <w:left w:val="single" w:color="auto" w:sz="4" w:space="0"/>
              <w:bottom w:val="single" w:color="auto" w:sz="4" w:space="0"/>
              <w:right w:val="single" w:color="auto" w:sz="4" w:space="0"/>
            </w:tcBorders>
            <w:vAlign w:val="center"/>
          </w:tcPr>
          <w:p w14:paraId="3BEB330D">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059C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200E1164">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35D9601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生产经营单位采用新工艺、新技术、新材料或者使用新设备，必须了解、掌握其安全技术特性，采取有效的安全防护措施，并对从业人员进行专门的安全生产教育和培训。</w:t>
            </w:r>
          </w:p>
        </w:tc>
        <w:tc>
          <w:tcPr>
            <w:tcW w:w="1185" w:type="dxa"/>
            <w:tcBorders>
              <w:top w:val="single" w:color="auto" w:sz="4" w:space="0"/>
              <w:left w:val="single" w:color="auto" w:sz="4" w:space="0"/>
              <w:bottom w:val="single" w:color="auto" w:sz="4" w:space="0"/>
              <w:right w:val="single" w:color="auto" w:sz="4" w:space="0"/>
            </w:tcBorders>
            <w:vAlign w:val="center"/>
          </w:tcPr>
          <w:p w14:paraId="7CB0066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1196EFF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二十九条</w:t>
            </w:r>
          </w:p>
        </w:tc>
        <w:tc>
          <w:tcPr>
            <w:tcW w:w="1935" w:type="dxa"/>
            <w:tcBorders>
              <w:top w:val="single" w:color="auto" w:sz="4" w:space="0"/>
              <w:left w:val="single" w:color="auto" w:sz="4" w:space="0"/>
              <w:bottom w:val="single" w:color="auto" w:sz="4" w:space="0"/>
              <w:right w:val="single" w:color="auto" w:sz="4" w:space="0"/>
            </w:tcBorders>
            <w:vAlign w:val="center"/>
          </w:tcPr>
          <w:p w14:paraId="75BCE27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公司对职工进行了针对性安全培训。</w:t>
            </w:r>
          </w:p>
        </w:tc>
        <w:tc>
          <w:tcPr>
            <w:tcW w:w="701" w:type="dxa"/>
            <w:tcBorders>
              <w:top w:val="single" w:color="auto" w:sz="4" w:space="0"/>
              <w:left w:val="single" w:color="auto" w:sz="4" w:space="0"/>
              <w:bottom w:val="single" w:color="auto" w:sz="4" w:space="0"/>
              <w:right w:val="single" w:color="auto" w:sz="4" w:space="0"/>
            </w:tcBorders>
            <w:vAlign w:val="center"/>
          </w:tcPr>
          <w:p w14:paraId="5DB4EF3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300C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7D580F3E">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3CBDD52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生产经营单位的特种作业人员必须按照国家有关规定经专门的安全作业培训，取得相应资格，方可上岗作业。</w:t>
            </w:r>
          </w:p>
          <w:p w14:paraId="0FD3C09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特种作业人员的范围由国务院应急管理部门会同国务院有关部门确定。</w:t>
            </w:r>
          </w:p>
        </w:tc>
        <w:tc>
          <w:tcPr>
            <w:tcW w:w="1185" w:type="dxa"/>
            <w:tcBorders>
              <w:top w:val="single" w:color="auto" w:sz="4" w:space="0"/>
              <w:left w:val="single" w:color="auto" w:sz="4" w:space="0"/>
              <w:bottom w:val="single" w:color="auto" w:sz="4" w:space="0"/>
              <w:right w:val="single" w:color="auto" w:sz="4" w:space="0"/>
            </w:tcBorders>
            <w:vAlign w:val="center"/>
          </w:tcPr>
          <w:p w14:paraId="74436D27">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1CCB41EF">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三十条</w:t>
            </w:r>
          </w:p>
        </w:tc>
        <w:tc>
          <w:tcPr>
            <w:tcW w:w="1935" w:type="dxa"/>
            <w:tcBorders>
              <w:top w:val="single" w:color="auto" w:sz="4" w:space="0"/>
              <w:left w:val="single" w:color="auto" w:sz="4" w:space="0"/>
              <w:bottom w:val="single" w:color="auto" w:sz="4" w:space="0"/>
              <w:right w:val="single" w:color="auto" w:sz="4" w:space="0"/>
            </w:tcBorders>
            <w:vAlign w:val="center"/>
          </w:tcPr>
          <w:p w14:paraId="3A1FC402">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该企业特种作业人员</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电工、焊工、叉车</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取得相应资格，持证上岗。</w:t>
            </w:r>
          </w:p>
        </w:tc>
        <w:tc>
          <w:tcPr>
            <w:tcW w:w="701" w:type="dxa"/>
            <w:tcBorders>
              <w:top w:val="single" w:color="auto" w:sz="4" w:space="0"/>
              <w:left w:val="single" w:color="auto" w:sz="4" w:space="0"/>
              <w:bottom w:val="single" w:color="auto" w:sz="4" w:space="0"/>
              <w:right w:val="single" w:color="auto" w:sz="4" w:space="0"/>
            </w:tcBorders>
            <w:vAlign w:val="center"/>
          </w:tcPr>
          <w:p w14:paraId="41D66A1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66C4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4EA2DBA2">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3D64BCB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生产经营单位应当在有较大危险因素的生产经营场所和有关设施、设备上，设置明显的安全警示标志。</w:t>
            </w:r>
          </w:p>
        </w:tc>
        <w:tc>
          <w:tcPr>
            <w:tcW w:w="1185" w:type="dxa"/>
            <w:tcBorders>
              <w:top w:val="single" w:color="auto" w:sz="4" w:space="0"/>
              <w:left w:val="single" w:color="auto" w:sz="4" w:space="0"/>
              <w:bottom w:val="single" w:color="auto" w:sz="4" w:space="0"/>
              <w:right w:val="single" w:color="auto" w:sz="4" w:space="0"/>
            </w:tcBorders>
            <w:vAlign w:val="center"/>
          </w:tcPr>
          <w:p w14:paraId="5BD88B3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55077E85">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三十五条</w:t>
            </w:r>
          </w:p>
        </w:tc>
        <w:tc>
          <w:tcPr>
            <w:tcW w:w="1935" w:type="dxa"/>
            <w:tcBorders>
              <w:top w:val="single" w:color="auto" w:sz="4" w:space="0"/>
              <w:left w:val="single" w:color="auto" w:sz="4" w:space="0"/>
              <w:bottom w:val="single" w:color="auto" w:sz="4" w:space="0"/>
              <w:right w:val="single" w:color="auto" w:sz="4" w:space="0"/>
            </w:tcBorders>
            <w:vAlign w:val="center"/>
          </w:tcPr>
          <w:p w14:paraId="5B2BA25B">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现场设置明显的安全警示标志。</w:t>
            </w:r>
          </w:p>
        </w:tc>
        <w:tc>
          <w:tcPr>
            <w:tcW w:w="701" w:type="dxa"/>
            <w:tcBorders>
              <w:top w:val="single" w:color="auto" w:sz="4" w:space="0"/>
              <w:left w:val="single" w:color="auto" w:sz="4" w:space="0"/>
              <w:bottom w:val="single" w:color="auto" w:sz="4" w:space="0"/>
              <w:right w:val="single" w:color="auto" w:sz="4" w:space="0"/>
            </w:tcBorders>
            <w:vAlign w:val="center"/>
          </w:tcPr>
          <w:p w14:paraId="187A75F3">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F11F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3D8AD344">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0B349AE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安全设备的设计、制造、安装、使用、检测、维修、改造和报废，应当符合国家标准或者行业标准。</w:t>
            </w:r>
          </w:p>
          <w:p w14:paraId="0BF190D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生产经营单位必须对安全设备进行经常性维护、保养，并定期检测，保证正常运转。维护、保养、检测应当作好记录，并由有关人员签字。</w:t>
            </w:r>
          </w:p>
          <w:p w14:paraId="19C2B4CF">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生产经营单位不得关闭、破坏直接关系生产安全的监控、报警、防护、救生设备、设施，或者篡改、隐瞒、销毁其相关数据、信息。</w:t>
            </w:r>
          </w:p>
          <w:p w14:paraId="2EA9281D">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餐饮等行业的生产经营单位使用燃气的，应当安装可燃气体报警装置，并保障其正常使用。</w:t>
            </w:r>
          </w:p>
        </w:tc>
        <w:tc>
          <w:tcPr>
            <w:tcW w:w="1185" w:type="dxa"/>
            <w:tcBorders>
              <w:top w:val="single" w:color="auto" w:sz="4" w:space="0"/>
              <w:left w:val="single" w:color="auto" w:sz="4" w:space="0"/>
              <w:bottom w:val="single" w:color="auto" w:sz="4" w:space="0"/>
              <w:right w:val="single" w:color="auto" w:sz="4" w:space="0"/>
            </w:tcBorders>
            <w:vAlign w:val="center"/>
          </w:tcPr>
          <w:p w14:paraId="3AE1259F">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173ABBB7">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三十六条</w:t>
            </w:r>
          </w:p>
        </w:tc>
        <w:tc>
          <w:tcPr>
            <w:tcW w:w="1935" w:type="dxa"/>
            <w:tcBorders>
              <w:top w:val="single" w:color="auto" w:sz="4" w:space="0"/>
              <w:left w:val="single" w:color="auto" w:sz="4" w:space="0"/>
              <w:bottom w:val="single" w:color="auto" w:sz="4" w:space="0"/>
              <w:right w:val="single" w:color="auto" w:sz="4" w:space="0"/>
            </w:tcBorders>
            <w:vAlign w:val="center"/>
          </w:tcPr>
          <w:p w14:paraId="5E34C76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能对安全设备进行经常性维护、保养。</w:t>
            </w:r>
          </w:p>
        </w:tc>
        <w:tc>
          <w:tcPr>
            <w:tcW w:w="701" w:type="dxa"/>
            <w:tcBorders>
              <w:top w:val="single" w:color="auto" w:sz="4" w:space="0"/>
              <w:left w:val="single" w:color="auto" w:sz="4" w:space="0"/>
              <w:bottom w:val="single" w:color="auto" w:sz="4" w:space="0"/>
              <w:right w:val="single" w:color="auto" w:sz="4" w:space="0"/>
            </w:tcBorders>
            <w:vAlign w:val="center"/>
          </w:tcPr>
          <w:p w14:paraId="5767409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6F8D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704D6202">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3B2FC90C">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生产经营单位应当建立安全风险分级管控制度，按照安全风险分级采取相应的管控措施。</w:t>
            </w:r>
          </w:p>
          <w:p w14:paraId="0BA8AC27">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tc>
        <w:tc>
          <w:tcPr>
            <w:tcW w:w="1185" w:type="dxa"/>
            <w:tcBorders>
              <w:top w:val="single" w:color="auto" w:sz="4" w:space="0"/>
              <w:left w:val="single" w:color="auto" w:sz="4" w:space="0"/>
              <w:bottom w:val="single" w:color="auto" w:sz="4" w:space="0"/>
              <w:right w:val="single" w:color="auto" w:sz="4" w:space="0"/>
            </w:tcBorders>
            <w:vAlign w:val="center"/>
          </w:tcPr>
          <w:p w14:paraId="129858A1">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40137801">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四十一条</w:t>
            </w:r>
          </w:p>
        </w:tc>
        <w:tc>
          <w:tcPr>
            <w:tcW w:w="1935" w:type="dxa"/>
            <w:tcBorders>
              <w:top w:val="single" w:color="auto" w:sz="4" w:space="0"/>
              <w:left w:val="single" w:color="auto" w:sz="4" w:space="0"/>
              <w:bottom w:val="single" w:color="auto" w:sz="4" w:space="0"/>
              <w:right w:val="single" w:color="auto" w:sz="4" w:space="0"/>
            </w:tcBorders>
            <w:vAlign w:val="center"/>
          </w:tcPr>
          <w:p w14:paraId="7F4C77A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建立有隐患排查的相关管理制度并定期组织排查。</w:t>
            </w:r>
          </w:p>
        </w:tc>
        <w:tc>
          <w:tcPr>
            <w:tcW w:w="701" w:type="dxa"/>
            <w:tcBorders>
              <w:top w:val="single" w:color="auto" w:sz="4" w:space="0"/>
              <w:left w:val="single" w:color="auto" w:sz="4" w:space="0"/>
              <w:bottom w:val="single" w:color="auto" w:sz="4" w:space="0"/>
              <w:right w:val="single" w:color="auto" w:sz="4" w:space="0"/>
            </w:tcBorders>
            <w:vAlign w:val="center"/>
          </w:tcPr>
          <w:p w14:paraId="2A62DAE1">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60A60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11E3616D">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21934AA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生产、经营、储存、使用危险物品的车间、商店、仓库不得与员工宿舍在同一座建筑物内，并应当与员工宿舍保持安全距离。</w:t>
            </w:r>
          </w:p>
          <w:p w14:paraId="66FCF277">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生产经营场所和员工宿舍应当设有符合紧急疏散要求、标志明显、保持畅通的出口、疏散通道。禁止占用、锁闭、封堵生产经营场所或者员工宿舍的出口、疏散通道。</w:t>
            </w:r>
          </w:p>
        </w:tc>
        <w:tc>
          <w:tcPr>
            <w:tcW w:w="1185" w:type="dxa"/>
            <w:tcBorders>
              <w:top w:val="single" w:color="auto" w:sz="4" w:space="0"/>
              <w:left w:val="single" w:color="auto" w:sz="4" w:space="0"/>
              <w:bottom w:val="single" w:color="auto" w:sz="4" w:space="0"/>
              <w:right w:val="single" w:color="auto" w:sz="4" w:space="0"/>
            </w:tcBorders>
            <w:vAlign w:val="center"/>
          </w:tcPr>
          <w:p w14:paraId="4FBCD99F">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3C08E16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四十二条</w:t>
            </w:r>
          </w:p>
        </w:tc>
        <w:tc>
          <w:tcPr>
            <w:tcW w:w="1935" w:type="dxa"/>
            <w:tcBorders>
              <w:top w:val="single" w:color="auto" w:sz="4" w:space="0"/>
              <w:left w:val="single" w:color="auto" w:sz="4" w:space="0"/>
              <w:bottom w:val="single" w:color="auto" w:sz="4" w:space="0"/>
              <w:right w:val="single" w:color="auto" w:sz="4" w:space="0"/>
            </w:tcBorders>
            <w:vAlign w:val="center"/>
          </w:tcPr>
          <w:p w14:paraId="322BF99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生产区域内未设置员工宿舍。</w:t>
            </w:r>
          </w:p>
          <w:p w14:paraId="2A08BF43">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各作业场所安全出口符合要求。</w:t>
            </w:r>
          </w:p>
        </w:tc>
        <w:tc>
          <w:tcPr>
            <w:tcW w:w="701" w:type="dxa"/>
            <w:tcBorders>
              <w:top w:val="single" w:color="auto" w:sz="4" w:space="0"/>
              <w:left w:val="single" w:color="auto" w:sz="4" w:space="0"/>
              <w:bottom w:val="single" w:color="auto" w:sz="4" w:space="0"/>
              <w:right w:val="single" w:color="auto" w:sz="4" w:space="0"/>
            </w:tcBorders>
            <w:vAlign w:val="center"/>
          </w:tcPr>
          <w:p w14:paraId="32F1DD4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CED5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55B19E0D">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8D9951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生产经营单位必须为从业人员提供符合国家标准或者行业标准的劳动防护用品，并监督、教育从业人员按照使用规则佩戴、使用。</w:t>
            </w:r>
          </w:p>
        </w:tc>
        <w:tc>
          <w:tcPr>
            <w:tcW w:w="1185" w:type="dxa"/>
            <w:tcBorders>
              <w:top w:val="single" w:color="auto" w:sz="4" w:space="0"/>
              <w:left w:val="single" w:color="auto" w:sz="4" w:space="0"/>
              <w:bottom w:val="single" w:color="auto" w:sz="4" w:space="0"/>
              <w:right w:val="single" w:color="auto" w:sz="4" w:space="0"/>
            </w:tcBorders>
            <w:vAlign w:val="center"/>
          </w:tcPr>
          <w:p w14:paraId="31591B9C">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0B5818CB">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四十五条</w:t>
            </w:r>
          </w:p>
        </w:tc>
        <w:tc>
          <w:tcPr>
            <w:tcW w:w="1935" w:type="dxa"/>
            <w:tcBorders>
              <w:top w:val="single" w:color="auto" w:sz="4" w:space="0"/>
              <w:left w:val="single" w:color="auto" w:sz="4" w:space="0"/>
              <w:bottom w:val="single" w:color="auto" w:sz="4" w:space="0"/>
              <w:right w:val="single" w:color="auto" w:sz="4" w:space="0"/>
            </w:tcBorders>
            <w:vAlign w:val="center"/>
          </w:tcPr>
          <w:p w14:paraId="7C305BE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定期发放劳保用品，现场查看时工人能正确使用。</w:t>
            </w:r>
          </w:p>
        </w:tc>
        <w:tc>
          <w:tcPr>
            <w:tcW w:w="701" w:type="dxa"/>
            <w:tcBorders>
              <w:top w:val="single" w:color="auto" w:sz="4" w:space="0"/>
              <w:left w:val="single" w:color="auto" w:sz="4" w:space="0"/>
              <w:bottom w:val="single" w:color="auto" w:sz="4" w:space="0"/>
              <w:right w:val="single" w:color="auto" w:sz="4" w:space="0"/>
            </w:tcBorders>
            <w:vAlign w:val="center"/>
          </w:tcPr>
          <w:p w14:paraId="734D1E7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5677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7D32652F">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9018F5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7FC8B1D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1185" w:type="dxa"/>
            <w:tcBorders>
              <w:top w:val="single" w:color="auto" w:sz="4" w:space="0"/>
              <w:left w:val="single" w:color="auto" w:sz="4" w:space="0"/>
              <w:bottom w:val="single" w:color="auto" w:sz="4" w:space="0"/>
              <w:right w:val="single" w:color="auto" w:sz="4" w:space="0"/>
            </w:tcBorders>
            <w:vAlign w:val="center"/>
          </w:tcPr>
          <w:p w14:paraId="5C611EB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186EAC7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四十六条</w:t>
            </w:r>
          </w:p>
        </w:tc>
        <w:tc>
          <w:tcPr>
            <w:tcW w:w="1935" w:type="dxa"/>
            <w:tcBorders>
              <w:top w:val="single" w:color="auto" w:sz="4" w:space="0"/>
              <w:left w:val="single" w:color="auto" w:sz="4" w:space="0"/>
              <w:bottom w:val="single" w:color="auto" w:sz="4" w:space="0"/>
              <w:right w:val="single" w:color="auto" w:sz="4" w:space="0"/>
            </w:tcBorders>
            <w:vAlign w:val="center"/>
          </w:tcPr>
          <w:p w14:paraId="6B6FA38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按制度要求进行各类检查，对发现的问题及时进行整改。</w:t>
            </w:r>
          </w:p>
        </w:tc>
        <w:tc>
          <w:tcPr>
            <w:tcW w:w="701" w:type="dxa"/>
            <w:tcBorders>
              <w:top w:val="single" w:color="auto" w:sz="4" w:space="0"/>
              <w:left w:val="single" w:color="auto" w:sz="4" w:space="0"/>
              <w:bottom w:val="single" w:color="auto" w:sz="4" w:space="0"/>
              <w:right w:val="single" w:color="auto" w:sz="4" w:space="0"/>
            </w:tcBorders>
            <w:vAlign w:val="center"/>
          </w:tcPr>
          <w:p w14:paraId="621B981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6AC62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3F05CFC2">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B908E88">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生产经营单位应当安排用于配备劳动防护用品、进行安全生产培训的经费。</w:t>
            </w:r>
          </w:p>
        </w:tc>
        <w:tc>
          <w:tcPr>
            <w:tcW w:w="1185" w:type="dxa"/>
            <w:tcBorders>
              <w:top w:val="single" w:color="auto" w:sz="4" w:space="0"/>
              <w:left w:val="single" w:color="auto" w:sz="4" w:space="0"/>
              <w:bottom w:val="single" w:color="auto" w:sz="4" w:space="0"/>
              <w:right w:val="single" w:color="auto" w:sz="4" w:space="0"/>
            </w:tcBorders>
            <w:vAlign w:val="center"/>
          </w:tcPr>
          <w:p w14:paraId="5EB15E75">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53A1E2D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四十七条</w:t>
            </w:r>
          </w:p>
        </w:tc>
        <w:tc>
          <w:tcPr>
            <w:tcW w:w="1935" w:type="dxa"/>
            <w:tcBorders>
              <w:top w:val="single" w:color="auto" w:sz="4" w:space="0"/>
              <w:left w:val="single" w:color="auto" w:sz="4" w:space="0"/>
              <w:bottom w:val="single" w:color="auto" w:sz="4" w:space="0"/>
              <w:right w:val="single" w:color="auto" w:sz="4" w:space="0"/>
            </w:tcBorders>
            <w:vAlign w:val="center"/>
          </w:tcPr>
          <w:p w14:paraId="4E426D4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有配备劳动防护用品和安全培训的经费。</w:t>
            </w:r>
          </w:p>
        </w:tc>
        <w:tc>
          <w:tcPr>
            <w:tcW w:w="701" w:type="dxa"/>
            <w:tcBorders>
              <w:top w:val="single" w:color="auto" w:sz="4" w:space="0"/>
              <w:left w:val="single" w:color="auto" w:sz="4" w:space="0"/>
              <w:bottom w:val="single" w:color="auto" w:sz="4" w:space="0"/>
              <w:right w:val="single" w:color="auto" w:sz="4" w:space="0"/>
            </w:tcBorders>
            <w:vAlign w:val="center"/>
          </w:tcPr>
          <w:p w14:paraId="7E9EE175">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F397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02E8E3C3">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2747875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生产经营单位不得将生产经营项目、场所、设备发包或者出租给不具备安全生产条件或者相应资质的单位或者个人。</w:t>
            </w:r>
          </w:p>
          <w:p w14:paraId="4BCA0CEE">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tc>
        <w:tc>
          <w:tcPr>
            <w:tcW w:w="1185" w:type="dxa"/>
            <w:tcBorders>
              <w:top w:val="single" w:color="auto" w:sz="4" w:space="0"/>
              <w:left w:val="single" w:color="auto" w:sz="4" w:space="0"/>
              <w:bottom w:val="single" w:color="auto" w:sz="4" w:space="0"/>
              <w:right w:val="single" w:color="auto" w:sz="4" w:space="0"/>
            </w:tcBorders>
            <w:vAlign w:val="center"/>
          </w:tcPr>
          <w:p w14:paraId="53459D05">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7FA2369D">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四十九条</w:t>
            </w:r>
          </w:p>
        </w:tc>
        <w:tc>
          <w:tcPr>
            <w:tcW w:w="1935" w:type="dxa"/>
            <w:tcBorders>
              <w:top w:val="single" w:color="auto" w:sz="4" w:space="0"/>
              <w:left w:val="single" w:color="auto" w:sz="4" w:space="0"/>
              <w:bottom w:val="single" w:color="auto" w:sz="4" w:space="0"/>
              <w:right w:val="single" w:color="auto" w:sz="4" w:space="0"/>
            </w:tcBorders>
            <w:vAlign w:val="center"/>
          </w:tcPr>
          <w:p w14:paraId="7196ADC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各班组安全生产管理均为企业统一协调、管理。</w:t>
            </w:r>
          </w:p>
        </w:tc>
        <w:tc>
          <w:tcPr>
            <w:tcW w:w="701" w:type="dxa"/>
            <w:tcBorders>
              <w:top w:val="single" w:color="auto" w:sz="4" w:space="0"/>
              <w:left w:val="single" w:color="auto" w:sz="4" w:space="0"/>
              <w:bottom w:val="single" w:color="auto" w:sz="4" w:space="0"/>
              <w:right w:val="single" w:color="auto" w:sz="4" w:space="0"/>
            </w:tcBorders>
            <w:vAlign w:val="center"/>
          </w:tcPr>
          <w:p w14:paraId="57DEA7F1">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138A2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82" w:type="dxa"/>
            <w:tcBorders>
              <w:top w:val="single" w:color="auto" w:sz="4" w:space="0"/>
              <w:left w:val="single" w:color="auto" w:sz="4" w:space="0"/>
              <w:bottom w:val="single" w:color="auto" w:sz="4" w:space="0"/>
              <w:right w:val="single" w:color="auto" w:sz="4" w:space="0"/>
            </w:tcBorders>
            <w:vAlign w:val="center"/>
          </w:tcPr>
          <w:p w14:paraId="23029E81">
            <w:pPr>
              <w:numPr>
                <w:ilvl w:val="0"/>
                <w:numId w:val="15"/>
              </w:numPr>
              <w:tabs>
                <w:tab w:val="left" w:pos="630"/>
              </w:tabs>
              <w:adjustRightInd w:val="0"/>
              <w:snapToGrid w:val="0"/>
              <w:jc w:val="center"/>
              <w:rPr>
                <w:rFonts w:hint="eastAsia" w:ascii="宋体" w:hAnsi="宋体" w:eastAsia="宋体" w:cs="宋体"/>
                <w:color w:val="000000" w:themeColor="text1"/>
                <w:sz w:val="21"/>
                <w:szCs w:val="21"/>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tcPr>
          <w:p w14:paraId="76C82436">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生产经营单位必须依法参加工伤保险，为</w:t>
            </w:r>
          </w:p>
          <w:p w14:paraId="30A10DC5">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从业人员缴纳保险费。</w:t>
            </w:r>
          </w:p>
        </w:tc>
        <w:tc>
          <w:tcPr>
            <w:tcW w:w="1185" w:type="dxa"/>
            <w:tcBorders>
              <w:top w:val="single" w:color="auto" w:sz="4" w:space="0"/>
              <w:left w:val="single" w:color="auto" w:sz="4" w:space="0"/>
              <w:bottom w:val="single" w:color="auto" w:sz="4" w:space="0"/>
              <w:right w:val="single" w:color="auto" w:sz="4" w:space="0"/>
            </w:tcBorders>
          </w:tcPr>
          <w:p w14:paraId="65449FF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《安全生产法》第</w:t>
            </w:r>
          </w:p>
          <w:p w14:paraId="2AF633CC">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五十一条</w:t>
            </w:r>
          </w:p>
        </w:tc>
        <w:tc>
          <w:tcPr>
            <w:tcW w:w="1935" w:type="dxa"/>
            <w:tcBorders>
              <w:top w:val="single" w:color="auto" w:sz="4" w:space="0"/>
              <w:left w:val="single" w:color="auto" w:sz="4" w:space="0"/>
              <w:bottom w:val="single" w:color="auto" w:sz="4" w:space="0"/>
              <w:right w:val="single" w:color="auto" w:sz="4" w:space="0"/>
            </w:tcBorders>
            <w:vAlign w:val="center"/>
          </w:tcPr>
          <w:p w14:paraId="6F9F9379">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已购买工伤保险。</w:t>
            </w:r>
          </w:p>
        </w:tc>
        <w:tc>
          <w:tcPr>
            <w:tcW w:w="701" w:type="dxa"/>
            <w:tcBorders>
              <w:top w:val="single" w:color="auto" w:sz="4" w:space="0"/>
              <w:left w:val="single" w:color="auto" w:sz="4" w:space="0"/>
              <w:bottom w:val="single" w:color="auto" w:sz="4" w:space="0"/>
              <w:right w:val="single" w:color="auto" w:sz="4" w:space="0"/>
            </w:tcBorders>
            <w:vAlign w:val="center"/>
          </w:tcPr>
          <w:p w14:paraId="404F3F6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0D33F39F">
      <w:pPr>
        <w:pStyle w:val="218"/>
        <w:keepNext w:val="0"/>
        <w:keepLines w:val="0"/>
        <w:pageBreakBefore w:val="0"/>
        <w:widowControl w:val="0"/>
        <w:kinsoku/>
        <w:wordWrap/>
        <w:overflowPunct/>
        <w:topLinePunct w:val="0"/>
        <w:autoSpaceDE/>
        <w:autoSpaceDN/>
        <w:bidi w:val="0"/>
        <w:adjustRightInd w:val="0"/>
        <w:snapToGrid w:val="0"/>
        <w:textAlignment w:val="auto"/>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检查评价结果：</w:t>
      </w:r>
    </w:p>
    <w:p w14:paraId="5EED464F">
      <w:pPr>
        <w:pStyle w:val="218"/>
        <w:keepNext w:val="0"/>
        <w:keepLines w:val="0"/>
        <w:pageBreakBefore w:val="0"/>
        <w:widowControl w:val="0"/>
        <w:kinsoku/>
        <w:wordWrap/>
        <w:overflowPunct/>
        <w:topLinePunct w:val="0"/>
        <w:autoSpaceDE/>
        <w:autoSpaceDN/>
        <w:bidi w:val="0"/>
        <w:adjustRightInd w:val="0"/>
        <w:snapToGrid w:val="0"/>
        <w:textAlignment w:val="auto"/>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公司成立了安全生产领导小组，</w:t>
      </w:r>
      <w:r>
        <w:rPr>
          <w:rFonts w:hint="eastAsia" w:asciiTheme="minorEastAsia" w:hAnsiTheme="minorEastAsia" w:eastAsiaTheme="minorEastAsia"/>
          <w:snapToGrid w:val="0"/>
          <w:color w:val="000000" w:themeColor="text1"/>
          <w:lang w:val="en-US" w:eastAsia="zh-CN"/>
          <w14:textFill>
            <w14:solidFill>
              <w14:schemeClr w14:val="tx1"/>
            </w14:solidFill>
          </w14:textFill>
        </w:rPr>
        <w:t>配备</w:t>
      </w:r>
      <w:r>
        <w:rPr>
          <w:rFonts w:hint="eastAsia" w:asciiTheme="minorEastAsia" w:hAnsiTheme="minorEastAsia" w:eastAsiaTheme="minorEastAsia"/>
          <w:snapToGrid w:val="0"/>
          <w:color w:val="000000" w:themeColor="text1"/>
          <w14:textFill>
            <w14:solidFill>
              <w14:schemeClr w14:val="tx1"/>
            </w14:solidFill>
          </w14:textFill>
        </w:rPr>
        <w:t>专职安全</w:t>
      </w:r>
      <w:r>
        <w:rPr>
          <w:rFonts w:hint="eastAsia" w:asciiTheme="minorEastAsia" w:hAnsiTheme="minorEastAsia" w:eastAsiaTheme="minorEastAsia"/>
          <w:snapToGrid w:val="0"/>
          <w:color w:val="000000" w:themeColor="text1"/>
          <w:lang w:val="en-US" w:eastAsia="zh-CN"/>
          <w14:textFill>
            <w14:solidFill>
              <w14:schemeClr w14:val="tx1"/>
            </w14:solidFill>
          </w14:textFill>
        </w:rPr>
        <w:t>管理员</w:t>
      </w:r>
      <w:r>
        <w:rPr>
          <w:rFonts w:hint="eastAsia" w:asciiTheme="minorEastAsia" w:hAnsiTheme="minorEastAsia" w:eastAsiaTheme="minorEastAsia"/>
          <w:snapToGrid w:val="0"/>
          <w:color w:val="000000" w:themeColor="text1"/>
          <w14:textFill>
            <w14:solidFill>
              <w14:schemeClr w14:val="tx1"/>
            </w14:solidFill>
          </w14:textFill>
        </w:rPr>
        <w:t>，制定了相应的安全生产责任制、安全生产管理规章制度和安全操作规程，各类安全检查、安全教育培训均能正常开展。主要负责人、特种作业人员均持证上岗。</w:t>
      </w:r>
    </w:p>
    <w:p w14:paraId="2C06F8A0">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816" w:name="_Toc18546"/>
      <w:bookmarkStart w:id="817" w:name="_Toc16893"/>
      <w:bookmarkStart w:id="818" w:name="_Toc20915"/>
      <w:bookmarkStart w:id="819" w:name="_Toc17251"/>
      <w:bookmarkStart w:id="820" w:name="_Toc465848474"/>
      <w:bookmarkStart w:id="821" w:name="_Toc472000511"/>
      <w:bookmarkStart w:id="822" w:name="_Toc455045022"/>
      <w:r>
        <w:rPr>
          <w:rFonts w:hint="eastAsia" w:ascii="Times New Roman" w:hAnsi="Times New Roman" w:eastAsia="黑体" w:cs="Times New Roman"/>
          <w:color w:val="000000" w:themeColor="text1"/>
          <w:lang w:val="en-US" w:eastAsia="zh-CN"/>
          <w14:textFill>
            <w14:solidFill>
              <w14:schemeClr w14:val="tx1"/>
            </w14:solidFill>
          </w14:textFill>
        </w:rPr>
        <w:t>5.5.2 应急</w:t>
      </w:r>
      <w:bookmarkEnd w:id="816"/>
      <w:bookmarkEnd w:id="817"/>
      <w:r>
        <w:rPr>
          <w:rFonts w:hint="eastAsia" w:ascii="Times New Roman" w:hAnsi="Times New Roman" w:eastAsia="黑体" w:cs="Times New Roman"/>
          <w:color w:val="000000" w:themeColor="text1"/>
          <w:lang w:val="en-US" w:eastAsia="zh-CN"/>
          <w14:textFill>
            <w14:solidFill>
              <w14:schemeClr w14:val="tx1"/>
            </w14:solidFill>
          </w14:textFill>
        </w:rPr>
        <w:t>救援预案</w:t>
      </w:r>
      <w:bookmarkEnd w:id="818"/>
      <w:bookmarkEnd w:id="819"/>
    </w:p>
    <w:bookmarkEnd w:id="820"/>
    <w:bookmarkEnd w:id="821"/>
    <w:bookmarkEnd w:id="822"/>
    <w:p w14:paraId="20F68C0D">
      <w:pPr>
        <w:adjustRightInd w:val="0"/>
        <w:snapToGrid w:val="0"/>
        <w:spacing w:line="480" w:lineRule="exact"/>
        <w:ind w:firstLine="560"/>
        <w:rPr>
          <w:rFonts w:hint="eastAsia" w:cs="宋体" w:asciiTheme="minorEastAsia" w:hAnsiTheme="minorEastAsia" w:eastAsiaTheme="minorEastAsia"/>
          <w:snapToGrid w:val="0"/>
          <w:color w:val="000000" w:themeColor="text1"/>
          <w:kern w:val="2"/>
          <w:sz w:val="28"/>
          <w:szCs w:val="28"/>
          <w:lang w:val="en-US" w:eastAsia="zh-CN" w:bidi="ar-SA"/>
          <w14:textFill>
            <w14:solidFill>
              <w14:schemeClr w14:val="tx1"/>
            </w14:solidFill>
          </w14:textFill>
        </w:rPr>
      </w:pPr>
      <w:r>
        <w:rPr>
          <w:rFonts w:hint="eastAsia" w:cs="宋体" w:asciiTheme="minorEastAsia" w:hAnsiTheme="minorEastAsia" w:eastAsiaTheme="minorEastAsia"/>
          <w:snapToGrid w:val="0"/>
          <w:color w:val="000000" w:themeColor="text1"/>
          <w:kern w:val="2"/>
          <w:sz w:val="28"/>
          <w:szCs w:val="28"/>
          <w:lang w:val="en-US" w:eastAsia="zh-CN" w:bidi="ar-SA"/>
          <w14:textFill>
            <w14:solidFill>
              <w14:schemeClr w14:val="tx1"/>
            </w14:solidFill>
          </w14:textFill>
        </w:rPr>
        <w:t>根据《中华人民共和国安全生产法》（中华人民共和国主席令第七十号，中华人民共和国主席令第八十八号修改）、《生产安全事故应急预案管理办法》（国家安全生产监督管理总局令第88号，根据应急管理部2号令修正）等法律法规的要求，对项目的事故应急救援管理进行分析评价。</w:t>
      </w:r>
    </w:p>
    <w:p w14:paraId="648E0C23">
      <w:pPr>
        <w:adjustRightInd w:val="0"/>
        <w:snapToGrid w:val="0"/>
        <w:spacing w:line="480" w:lineRule="exact"/>
        <w:ind w:firstLine="802" w:firstLineChars="333"/>
        <w:jc w:val="center"/>
        <w:rPr>
          <w:rFonts w:ascii="宋体" w:hAnsi="宋体"/>
          <w:b/>
          <w:bCs/>
          <w:color w:val="000000" w:themeColor="text1"/>
          <w:sz w:val="24"/>
          <w:szCs w:val="24"/>
          <w14:textFill>
            <w14:solidFill>
              <w14:schemeClr w14:val="tx1"/>
            </w14:solidFill>
          </w14:textFill>
        </w:rPr>
      </w:pPr>
      <w:r>
        <w:rPr>
          <w:rFonts w:hint="eastAsia" w:cs="宋体" w:asciiTheme="minorEastAsia" w:hAnsiTheme="minorEastAsia" w:eastAsiaTheme="minorEastAsia"/>
          <w:b/>
          <w:bCs/>
          <w:snapToGrid w:val="0"/>
          <w:color w:val="000000" w:themeColor="text1"/>
          <w:kern w:val="2"/>
          <w:sz w:val="24"/>
          <w:szCs w:val="24"/>
          <w:lang w:val="en-US" w:eastAsia="zh-CN" w:bidi="ar-SA"/>
          <w14:textFill>
            <w14:solidFill>
              <w14:schemeClr w14:val="tx1"/>
            </w14:solidFill>
          </w14:textFill>
        </w:rPr>
        <w:t>表5-10</w:t>
      </w:r>
      <w:r>
        <w:rPr>
          <w:rFonts w:ascii="宋体" w:hAnsi="宋体"/>
          <w:b/>
          <w:bCs/>
          <w:color w:val="000000" w:themeColor="text1"/>
          <w:sz w:val="24"/>
          <w:szCs w:val="24"/>
          <w14:textFill>
            <w14:solidFill>
              <w14:schemeClr w14:val="tx1"/>
            </w14:solidFill>
          </w14:textFill>
        </w:rPr>
        <w:t>事故应急救援预案检查表</w:t>
      </w:r>
    </w:p>
    <w:tbl>
      <w:tblPr>
        <w:tblStyle w:val="52"/>
        <w:tblW w:w="90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2"/>
        <w:gridCol w:w="3438"/>
        <w:gridCol w:w="2127"/>
        <w:gridCol w:w="2126"/>
        <w:gridCol w:w="709"/>
      </w:tblGrid>
      <w:tr w14:paraId="5021B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662" w:type="dxa"/>
            <w:tcBorders>
              <w:top w:val="single" w:color="auto" w:sz="4" w:space="0"/>
              <w:left w:val="single" w:color="auto" w:sz="4" w:space="0"/>
              <w:bottom w:val="single" w:color="auto" w:sz="4" w:space="0"/>
              <w:right w:val="single" w:color="auto" w:sz="4" w:space="0"/>
            </w:tcBorders>
            <w:vAlign w:val="center"/>
          </w:tcPr>
          <w:p w14:paraId="32429D00">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3438" w:type="dxa"/>
            <w:tcBorders>
              <w:top w:val="single" w:color="auto" w:sz="4" w:space="0"/>
              <w:left w:val="single" w:color="auto" w:sz="4" w:space="0"/>
              <w:bottom w:val="single" w:color="auto" w:sz="4" w:space="0"/>
              <w:right w:val="single" w:color="auto" w:sz="4" w:space="0"/>
            </w:tcBorders>
            <w:vAlign w:val="center"/>
          </w:tcPr>
          <w:p w14:paraId="5A67A9C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检查内容</w:t>
            </w:r>
          </w:p>
        </w:tc>
        <w:tc>
          <w:tcPr>
            <w:tcW w:w="2127" w:type="dxa"/>
            <w:tcBorders>
              <w:top w:val="single" w:color="auto" w:sz="4" w:space="0"/>
              <w:left w:val="single" w:color="auto" w:sz="4" w:space="0"/>
              <w:bottom w:val="single" w:color="auto" w:sz="4" w:space="0"/>
              <w:right w:val="single" w:color="auto" w:sz="4" w:space="0"/>
            </w:tcBorders>
            <w:vAlign w:val="center"/>
          </w:tcPr>
          <w:p w14:paraId="6EBBA3C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依据标准</w:t>
            </w:r>
          </w:p>
        </w:tc>
        <w:tc>
          <w:tcPr>
            <w:tcW w:w="2126" w:type="dxa"/>
            <w:tcBorders>
              <w:top w:val="single" w:color="auto" w:sz="4" w:space="0"/>
              <w:left w:val="single" w:color="auto" w:sz="4" w:space="0"/>
              <w:bottom w:val="single" w:color="auto" w:sz="4" w:space="0"/>
              <w:right w:val="single" w:color="auto" w:sz="4" w:space="0"/>
            </w:tcBorders>
            <w:vAlign w:val="center"/>
          </w:tcPr>
          <w:p w14:paraId="2125147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检查情况</w:t>
            </w:r>
          </w:p>
        </w:tc>
        <w:tc>
          <w:tcPr>
            <w:tcW w:w="709" w:type="dxa"/>
            <w:tcBorders>
              <w:top w:val="single" w:color="auto" w:sz="4" w:space="0"/>
              <w:left w:val="single" w:color="auto" w:sz="4" w:space="0"/>
              <w:bottom w:val="single" w:color="auto" w:sz="4" w:space="0"/>
              <w:right w:val="single" w:color="auto" w:sz="4" w:space="0"/>
            </w:tcBorders>
            <w:vAlign w:val="center"/>
          </w:tcPr>
          <w:p w14:paraId="48598DF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结论</w:t>
            </w:r>
          </w:p>
        </w:tc>
      </w:tr>
      <w:tr w14:paraId="19959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81E32B6">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0580749F">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p>
        </w:tc>
        <w:tc>
          <w:tcPr>
            <w:tcW w:w="2127" w:type="dxa"/>
            <w:tcBorders>
              <w:top w:val="single" w:color="auto" w:sz="4" w:space="0"/>
              <w:left w:val="single" w:color="auto" w:sz="4" w:space="0"/>
              <w:bottom w:val="single" w:color="auto" w:sz="4" w:space="0"/>
              <w:right w:val="single" w:color="auto" w:sz="4" w:space="0"/>
            </w:tcBorders>
            <w:vAlign w:val="center"/>
          </w:tcPr>
          <w:p w14:paraId="4D8BBE5F">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《中华人民共和国安全生产法》（中华人民共和国主席令第七十号，中华人民共和国主席令第八十八号修改）</w:t>
            </w:r>
          </w:p>
          <w:p w14:paraId="5E11DEB9">
            <w:pPr>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第七十八条</w:t>
            </w:r>
          </w:p>
        </w:tc>
        <w:tc>
          <w:tcPr>
            <w:tcW w:w="2126" w:type="dxa"/>
            <w:tcBorders>
              <w:top w:val="single" w:color="auto" w:sz="4" w:space="0"/>
              <w:left w:val="single" w:color="auto" w:sz="4" w:space="0"/>
              <w:bottom w:val="single" w:color="auto" w:sz="4" w:space="0"/>
              <w:right w:val="single" w:color="auto" w:sz="4" w:space="0"/>
            </w:tcBorders>
            <w:vAlign w:val="center"/>
          </w:tcPr>
          <w:p w14:paraId="5D101A1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企业制定了生产安全事故应急救援预案</w:t>
            </w:r>
            <w:r>
              <w:rPr>
                <w:color w:val="000000" w:themeColor="text1"/>
                <w:sz w:val="21"/>
                <w:szCs w:val="21"/>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vAlign w:val="center"/>
          </w:tcPr>
          <w:p w14:paraId="65A4334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7EBB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82D002C">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3586FEF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矿山、金属冶炼、建筑施工企业和易燃易爆物品、危险化学品的生产、经营（带储存设施的，下同）、储存企业，以及使用危险化学品达到国家规定数量的化工企业、烟花爆竹生产、批发经营企业和中型规模以上的其他生产经营单位，应当对本单位编制的应急预案进行评审，并形成书面评审纪要。</w:t>
            </w:r>
          </w:p>
          <w:p w14:paraId="528A1DF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前款规定以外的其他生产经营单位应当对本单位编制的应急预案进行论证。</w:t>
            </w:r>
          </w:p>
        </w:tc>
        <w:tc>
          <w:tcPr>
            <w:tcW w:w="2127" w:type="dxa"/>
            <w:tcBorders>
              <w:top w:val="single" w:color="auto" w:sz="4" w:space="0"/>
              <w:left w:val="single" w:color="auto" w:sz="4" w:space="0"/>
              <w:bottom w:val="single" w:color="auto" w:sz="4" w:space="0"/>
              <w:right w:val="single" w:color="auto" w:sz="4" w:space="0"/>
            </w:tcBorders>
            <w:vAlign w:val="center"/>
          </w:tcPr>
          <w:p w14:paraId="35565B2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《生产安全事故应急预案管理办法》</w:t>
            </w:r>
          </w:p>
          <w:p w14:paraId="1F33DB1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（国家安全生产监督管理总局令第88号，根据应急管理部2号令修正）</w:t>
            </w:r>
          </w:p>
          <w:p w14:paraId="7A840A6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第二十一条</w:t>
            </w:r>
          </w:p>
        </w:tc>
        <w:tc>
          <w:tcPr>
            <w:tcW w:w="2126" w:type="dxa"/>
            <w:tcBorders>
              <w:top w:val="single" w:color="auto" w:sz="4" w:space="0"/>
              <w:left w:val="single" w:color="auto" w:sz="4" w:space="0"/>
              <w:bottom w:val="single" w:color="auto" w:sz="4" w:space="0"/>
              <w:right w:val="single" w:color="auto" w:sz="4" w:space="0"/>
            </w:tcBorders>
            <w:vAlign w:val="center"/>
          </w:tcPr>
          <w:p w14:paraId="1490B33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企业制定了生产安全事故应急救援预案，并对应急预案进行评审，形成书面评审纪要</w:t>
            </w:r>
            <w:r>
              <w:rPr>
                <w:color w:val="000000" w:themeColor="text1"/>
                <w:sz w:val="21"/>
                <w:szCs w:val="21"/>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vAlign w:val="center"/>
          </w:tcPr>
          <w:p w14:paraId="768A0AC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2666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5AAFF47F">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585195BB">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tc>
        <w:tc>
          <w:tcPr>
            <w:tcW w:w="2127" w:type="dxa"/>
            <w:tcBorders>
              <w:top w:val="single" w:color="auto" w:sz="4" w:space="0"/>
              <w:left w:val="single" w:color="auto" w:sz="4" w:space="0"/>
              <w:bottom w:val="single" w:color="auto" w:sz="4" w:space="0"/>
              <w:right w:val="single" w:color="auto" w:sz="4" w:space="0"/>
            </w:tcBorders>
            <w:vAlign w:val="center"/>
          </w:tcPr>
          <w:p w14:paraId="4AF5A661">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《生产安全事故应急预案管理办法》</w:t>
            </w:r>
          </w:p>
          <w:p w14:paraId="730F73CE">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（国家安全生产监督管理总局令第88号，根据应急管理部2号令修正）</w:t>
            </w:r>
          </w:p>
          <w:p w14:paraId="593CA87F">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第二十六条</w:t>
            </w:r>
          </w:p>
        </w:tc>
        <w:tc>
          <w:tcPr>
            <w:tcW w:w="2126" w:type="dxa"/>
            <w:tcBorders>
              <w:top w:val="single" w:color="auto" w:sz="4" w:space="0"/>
              <w:left w:val="single" w:color="auto" w:sz="4" w:space="0"/>
              <w:bottom w:val="single" w:color="auto" w:sz="4" w:space="0"/>
              <w:right w:val="single" w:color="auto" w:sz="4" w:space="0"/>
            </w:tcBorders>
            <w:vAlign w:val="center"/>
          </w:tcPr>
          <w:p w14:paraId="3E0D8C8B">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已报送应急管理局备案。</w:t>
            </w:r>
          </w:p>
        </w:tc>
        <w:tc>
          <w:tcPr>
            <w:tcW w:w="709" w:type="dxa"/>
            <w:tcBorders>
              <w:top w:val="single" w:color="auto" w:sz="4" w:space="0"/>
              <w:left w:val="single" w:color="auto" w:sz="4" w:space="0"/>
              <w:bottom w:val="single" w:color="auto" w:sz="4" w:space="0"/>
              <w:right w:val="single" w:color="auto" w:sz="4" w:space="0"/>
            </w:tcBorders>
            <w:vAlign w:val="center"/>
          </w:tcPr>
          <w:p w14:paraId="5C356AA9">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5F8F3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719B8DC">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11091EDF">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各级应急管理部门应当将本部门应急预案的培训纳入安全生产培训工作计划，并组织实施本行政区域内重点生产经营单位的应急预案培训工作。</w:t>
            </w:r>
          </w:p>
          <w:p w14:paraId="36907E1B">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生产经营单位应当组织开展本单位的应急预案、应急知识、自救互救和避险逃生技能的培训活动，使有关人员了解应急预案内容，熟悉应急职责、应急处置程序和措施。</w:t>
            </w:r>
          </w:p>
          <w:p w14:paraId="6F8C04ED">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应急培训的时间、地点、内容、师资、参加人员和考核结果等情况应当如实记入本单位的安全生产教育和培训档案。</w:t>
            </w:r>
          </w:p>
        </w:tc>
        <w:tc>
          <w:tcPr>
            <w:tcW w:w="2127" w:type="dxa"/>
            <w:tcBorders>
              <w:top w:val="single" w:color="auto" w:sz="4" w:space="0"/>
              <w:left w:val="single" w:color="auto" w:sz="4" w:space="0"/>
              <w:bottom w:val="single" w:color="auto" w:sz="4" w:space="0"/>
              <w:right w:val="single" w:color="auto" w:sz="4" w:space="0"/>
            </w:tcBorders>
            <w:vAlign w:val="center"/>
          </w:tcPr>
          <w:p w14:paraId="4D000CAD">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《生产安全事故应急预案管理办法》</w:t>
            </w:r>
          </w:p>
          <w:p w14:paraId="5E1DA3F8">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（国家安全生产监督管理总局令第88号，根据应急管理部2号令修正）</w:t>
            </w:r>
          </w:p>
          <w:p w14:paraId="2D143738">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bookmarkStart w:id="823" w:name="_Toc494296193"/>
            <w:bookmarkStart w:id="824" w:name="_Toc510859842"/>
            <w:bookmarkStart w:id="825" w:name="_Toc523950027"/>
            <w:bookmarkStart w:id="826" w:name="_Toc2253647"/>
            <w:r>
              <w:rPr>
                <w:rFonts w:ascii="Times New Roman" w:hAnsi="Times New Roman" w:eastAsia="宋体" w:cs="Times New Roman"/>
                <w:color w:val="000000" w:themeColor="text1"/>
                <w:sz w:val="21"/>
                <w:szCs w:val="21"/>
                <w14:textFill>
                  <w14:solidFill>
                    <w14:schemeClr w14:val="tx1"/>
                  </w14:solidFill>
                </w14:textFill>
              </w:rPr>
              <w:t>第三十一条</w:t>
            </w:r>
            <w:bookmarkEnd w:id="823"/>
            <w:bookmarkEnd w:id="824"/>
            <w:bookmarkEnd w:id="825"/>
            <w:bookmarkEnd w:id="826"/>
          </w:p>
        </w:tc>
        <w:tc>
          <w:tcPr>
            <w:tcW w:w="2126" w:type="dxa"/>
            <w:tcBorders>
              <w:top w:val="single" w:color="auto" w:sz="4" w:space="0"/>
              <w:left w:val="single" w:color="auto" w:sz="4" w:space="0"/>
              <w:bottom w:val="single" w:color="auto" w:sz="4" w:space="0"/>
              <w:right w:val="single" w:color="auto" w:sz="4" w:space="0"/>
            </w:tcBorders>
            <w:vAlign w:val="center"/>
          </w:tcPr>
          <w:p w14:paraId="4079D43F">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企业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按要求</w:t>
            </w:r>
            <w:r>
              <w:rPr>
                <w:rFonts w:hint="eastAsia" w:ascii="Times New Roman" w:hAnsi="Times New Roman" w:eastAsia="宋体" w:cs="Times New Roman"/>
                <w:color w:val="000000" w:themeColor="text1"/>
                <w:sz w:val="21"/>
                <w:szCs w:val="21"/>
                <w14:textFill>
                  <w14:solidFill>
                    <w14:schemeClr w14:val="tx1"/>
                  </w14:solidFill>
                </w14:textFill>
              </w:rPr>
              <w:t>组织开展应急预案、应急知识、自救互救和避险逃生技能的培训活动</w:t>
            </w:r>
            <w:r>
              <w:rPr>
                <w:rFonts w:ascii="Times New Roman" w:hAnsi="Times New Roman" w:eastAsia="宋体" w:cs="Times New Roman"/>
                <w:color w:val="000000" w:themeColor="text1"/>
                <w:sz w:val="21"/>
                <w:szCs w:val="21"/>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vAlign w:val="center"/>
          </w:tcPr>
          <w:p w14:paraId="1E38CB34">
            <w:pPr>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58F83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3B2CCBB8">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27F7247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生产经营单位应当按照应急预案的规定，落实应急指挥体系、应急救援队伍、应急物资及装备，建立应急物资、装备配备及其使用档案，并对应急物资、装备进行定期检测和维护，使其处于适用状态。</w:t>
            </w:r>
          </w:p>
        </w:tc>
        <w:tc>
          <w:tcPr>
            <w:tcW w:w="2127" w:type="dxa"/>
            <w:tcBorders>
              <w:top w:val="single" w:color="auto" w:sz="4" w:space="0"/>
              <w:left w:val="single" w:color="auto" w:sz="4" w:space="0"/>
              <w:bottom w:val="single" w:color="auto" w:sz="4" w:space="0"/>
              <w:right w:val="single" w:color="auto" w:sz="4" w:space="0"/>
            </w:tcBorders>
            <w:vAlign w:val="center"/>
          </w:tcPr>
          <w:p w14:paraId="7AE1E7C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《生产安全事故应急预案管理办法》</w:t>
            </w:r>
          </w:p>
          <w:p w14:paraId="5A3A1DE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（国家安全生产监督管理总局令第88号，根据应急管理部2号令修正）</w:t>
            </w:r>
          </w:p>
          <w:p w14:paraId="7FA6DB8C">
            <w:pPr>
              <w:spacing w:line="240" w:lineRule="auto"/>
              <w:ind w:firstLine="0" w:firstLineChars="0"/>
              <w:jc w:val="center"/>
              <w:rPr>
                <w:color w:val="000000" w:themeColor="text1"/>
                <w:sz w:val="21"/>
                <w:szCs w:val="21"/>
                <w14:textFill>
                  <w14:solidFill>
                    <w14:schemeClr w14:val="tx1"/>
                  </w14:solidFill>
                </w14:textFill>
              </w:rPr>
            </w:pPr>
            <w:bookmarkStart w:id="827" w:name="_Toc523950029"/>
            <w:bookmarkStart w:id="828" w:name="_Toc510859844"/>
            <w:bookmarkStart w:id="829" w:name="_Toc2253649"/>
            <w:bookmarkStart w:id="830" w:name="_Toc494296195"/>
            <w:r>
              <w:rPr>
                <w:color w:val="000000" w:themeColor="text1"/>
                <w:sz w:val="21"/>
                <w:szCs w:val="21"/>
                <w14:textFill>
                  <w14:solidFill>
                    <w14:schemeClr w14:val="tx1"/>
                  </w14:solidFill>
                </w14:textFill>
              </w:rPr>
              <w:t>第三十八条</w:t>
            </w:r>
            <w:bookmarkEnd w:id="827"/>
            <w:bookmarkEnd w:id="828"/>
            <w:bookmarkEnd w:id="829"/>
            <w:bookmarkEnd w:id="830"/>
          </w:p>
        </w:tc>
        <w:tc>
          <w:tcPr>
            <w:tcW w:w="2126" w:type="dxa"/>
            <w:tcBorders>
              <w:top w:val="single" w:color="auto" w:sz="4" w:space="0"/>
              <w:left w:val="single" w:color="auto" w:sz="4" w:space="0"/>
              <w:bottom w:val="single" w:color="auto" w:sz="4" w:space="0"/>
              <w:right w:val="single" w:color="auto" w:sz="4" w:space="0"/>
            </w:tcBorders>
            <w:vAlign w:val="center"/>
          </w:tcPr>
          <w:p w14:paraId="3A0EA47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企业按照应急预案的规定，落实了应急指挥体系、应急救援队伍、应急物资及装备，应急物资、装备进行处于适用状态。</w:t>
            </w:r>
          </w:p>
        </w:tc>
        <w:tc>
          <w:tcPr>
            <w:tcW w:w="709" w:type="dxa"/>
            <w:tcBorders>
              <w:top w:val="single" w:color="auto" w:sz="4" w:space="0"/>
              <w:left w:val="single" w:color="auto" w:sz="4" w:space="0"/>
              <w:bottom w:val="single" w:color="auto" w:sz="4" w:space="0"/>
              <w:right w:val="single" w:color="auto" w:sz="4" w:space="0"/>
            </w:tcBorders>
            <w:vAlign w:val="center"/>
          </w:tcPr>
          <w:p w14:paraId="20144B3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C37B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7B612B8">
            <w:pPr>
              <w:numPr>
                <w:ilvl w:val="0"/>
                <w:numId w:val="16"/>
              </w:numPr>
              <w:spacing w:line="240" w:lineRule="auto"/>
              <w:ind w:firstLineChars="0"/>
              <w:jc w:val="center"/>
              <w:rPr>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shd w:val="clear" w:color="auto" w:fill="auto"/>
            <w:vAlign w:val="center"/>
          </w:tcPr>
          <w:p w14:paraId="5EDF30A9">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生产经营单位应当制定本单位的应急预案演练计划，根据本单位的事故风险特点，每年至少组织一次综合应急预案演练或者专项应急预案演练，每半年至少组织一次现场处置方案演练。</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31E67CD2">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《生产安全事故应急预案管理办法》第三十三条</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5281C1B">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w:t>
            </w:r>
            <w:r>
              <w:rPr>
                <w:rFonts w:hint="eastAsia" w:hAnsi="宋体" w:cs="宋体"/>
                <w:color w:val="000000" w:themeColor="text1"/>
                <w:sz w:val="21"/>
                <w:szCs w:val="21"/>
                <w:lang w:val="en-US" w:eastAsia="zh-CN"/>
                <w14:textFill>
                  <w14:solidFill>
                    <w14:schemeClr w14:val="tx1"/>
                  </w14:solidFill>
                </w14:textFill>
              </w:rPr>
              <w:t>将于近期</w:t>
            </w:r>
            <w:r>
              <w:rPr>
                <w:rFonts w:hint="eastAsia" w:ascii="宋体" w:hAnsi="宋体" w:eastAsia="宋体" w:cs="宋体"/>
                <w:color w:val="000000" w:themeColor="text1"/>
                <w:sz w:val="21"/>
                <w:szCs w:val="21"/>
                <w14:textFill>
                  <w14:solidFill>
                    <w14:schemeClr w14:val="tx1"/>
                  </w14:solidFill>
                </w14:textFill>
              </w:rPr>
              <w:t>组织演练。</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CBC3986">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7EDA730A">
      <w:pPr>
        <w:pStyle w:val="218"/>
        <w:adjustRightInd w:val="0"/>
        <w:snapToGrid w:val="0"/>
        <w:ind w:left="0" w:leftChars="0" w:firstLine="560" w:firstLineChars="200"/>
        <w:rPr>
          <w:rFonts w:hint="default" w:ascii="宋体" w:hAnsi="宋体" w:eastAsia="宋体"/>
          <w:snapToGrid w:val="0"/>
          <w:color w:val="000000" w:themeColor="text1"/>
          <w:lang w:val="en-US" w:eastAsia="zh-CN"/>
          <w14:textFill>
            <w14:solidFill>
              <w14:schemeClr w14:val="tx1"/>
            </w14:solidFill>
          </w14:textFill>
        </w:rPr>
      </w:pPr>
      <w:r>
        <w:rPr>
          <w:rFonts w:hint="eastAsia" w:hAnsi="宋体"/>
          <w:snapToGrid w:val="0"/>
          <w:color w:val="000000" w:themeColor="text1"/>
          <w:lang w:val="en-US" w:eastAsia="zh-CN"/>
          <w14:textFill>
            <w14:solidFill>
              <w14:schemeClr w14:val="tx1"/>
            </w14:solidFill>
          </w14:textFill>
        </w:rPr>
        <w:t>云南玉溪洁灵娜精细日化有限责任公司</w:t>
      </w:r>
      <w:r>
        <w:rPr>
          <w:rFonts w:hint="eastAsia" w:ascii="宋体" w:hAnsi="宋体"/>
          <w:snapToGrid w:val="0"/>
          <w:color w:val="000000" w:themeColor="text1"/>
          <w14:textFill>
            <w14:solidFill>
              <w14:schemeClr w14:val="tx1"/>
            </w14:solidFill>
          </w14:textFill>
        </w:rPr>
        <w:t>编制了生产安全事故综合应急预案，组织专家对预案进行了评审，颁布实施，已备案</w:t>
      </w:r>
      <w:r>
        <w:rPr>
          <w:rFonts w:hint="eastAsia" w:hAnsi="宋体"/>
          <w:snapToGrid w:val="0"/>
          <w:color w:val="000000" w:themeColor="text1"/>
          <w:lang w:eastAsia="zh-CN"/>
          <w14:textFill>
            <w14:solidFill>
              <w14:schemeClr w14:val="tx1"/>
            </w14:solidFill>
          </w14:textFill>
        </w:rPr>
        <w:t>，</w:t>
      </w:r>
      <w:r>
        <w:rPr>
          <w:rFonts w:hint="eastAsia" w:hAnsi="宋体"/>
          <w:snapToGrid w:val="0"/>
          <w:color w:val="000000" w:themeColor="text1"/>
          <w:lang w:val="en-US" w:eastAsia="zh-CN"/>
          <w14:textFill>
            <w14:solidFill>
              <w14:schemeClr w14:val="tx1"/>
            </w14:solidFill>
          </w14:textFill>
        </w:rPr>
        <w:t>但未定期组织演练。</w:t>
      </w:r>
    </w:p>
    <w:p w14:paraId="2A4B211C">
      <w:pPr>
        <w:pStyle w:val="6"/>
        <w:keepNext/>
        <w:keepLines/>
        <w:pageBreakBefore w:val="0"/>
        <w:widowControl w:val="0"/>
        <w:kinsoku/>
        <w:wordWrap/>
        <w:overflowPunct/>
        <w:topLinePunct w:val="0"/>
        <w:autoSpaceDE/>
        <w:autoSpaceDN/>
        <w:bidi w:val="0"/>
        <w:adjustRightInd/>
        <w:snapToGrid w:val="0"/>
        <w:jc w:val="both"/>
        <w:textAlignment w:val="auto"/>
        <w:rPr>
          <w:rFonts w:hint="eastAsia" w:ascii="Times New Roman" w:hAnsi="Times New Roman" w:eastAsia="黑体" w:cs="Times New Roman"/>
          <w:color w:val="000000" w:themeColor="text1"/>
          <w:lang w:val="en-US" w:eastAsia="zh-CN"/>
          <w14:textFill>
            <w14:solidFill>
              <w14:schemeClr w14:val="tx1"/>
            </w14:solidFill>
          </w14:textFill>
        </w:rPr>
      </w:pPr>
      <w:bookmarkStart w:id="831" w:name="_Toc18420"/>
      <w:bookmarkStart w:id="832" w:name="_Toc8417"/>
      <w:bookmarkStart w:id="833" w:name="_Toc959"/>
      <w:bookmarkStart w:id="834" w:name="_Toc9492"/>
      <w:r>
        <w:rPr>
          <w:rFonts w:hint="eastAsia" w:ascii="Times New Roman" w:hAnsi="Times New Roman" w:eastAsia="黑体" w:cs="Times New Roman"/>
          <w:color w:val="000000" w:themeColor="text1"/>
          <w:lang w:val="en-US" w:eastAsia="zh-CN"/>
          <w14:textFill>
            <w14:solidFill>
              <w14:schemeClr w14:val="tx1"/>
            </w14:solidFill>
          </w14:textFill>
        </w:rPr>
        <w:t>5.5.3 单元小结</w:t>
      </w:r>
      <w:bookmarkEnd w:id="831"/>
      <w:bookmarkEnd w:id="832"/>
      <w:bookmarkEnd w:id="833"/>
      <w:bookmarkEnd w:id="834"/>
    </w:p>
    <w:p w14:paraId="69704B5A">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企业结合自身实际成立了安全</w:t>
      </w:r>
      <w:r>
        <w:rPr>
          <w:rFonts w:hint="eastAsia" w:ascii="宋体" w:hAnsi="宋体" w:eastAsia="宋体" w:cs="宋体"/>
          <w:color w:val="000000" w:themeColor="text1"/>
          <w:sz w:val="28"/>
          <w:szCs w:val="28"/>
          <w:lang w:eastAsia="zh-CN"/>
          <w14:textFill>
            <w14:solidFill>
              <w14:schemeClr w14:val="tx1"/>
            </w14:solidFill>
          </w14:textFill>
        </w:rPr>
        <w:t>生产</w:t>
      </w:r>
      <w:r>
        <w:rPr>
          <w:rFonts w:hint="eastAsia" w:ascii="宋体" w:hAnsi="宋体" w:eastAsia="宋体" w:cs="宋体"/>
          <w:color w:val="000000" w:themeColor="text1"/>
          <w:sz w:val="28"/>
          <w:szCs w:val="28"/>
          <w14:textFill>
            <w14:solidFill>
              <w14:schemeClr w14:val="tx1"/>
            </w14:solidFill>
          </w14:textFill>
        </w:rPr>
        <w:t>领导小组，并任命了专职安全管理人员，建立了全员安全生产责任制、安全管理规章制度、安全操作规程及安全</w:t>
      </w:r>
      <w:r>
        <w:rPr>
          <w:rFonts w:hint="eastAsia" w:ascii="宋体" w:hAnsi="宋体" w:eastAsia="宋体" w:cs="宋体"/>
          <w:color w:val="000000" w:themeColor="text1"/>
          <w:sz w:val="28"/>
          <w:szCs w:val="28"/>
          <w:lang w:eastAsia="zh-CN"/>
          <w14:textFill>
            <w14:solidFill>
              <w14:schemeClr w14:val="tx1"/>
            </w14:solidFill>
          </w14:textFill>
        </w:rPr>
        <w:t>管理台账</w:t>
      </w:r>
      <w:r>
        <w:rPr>
          <w:rFonts w:hint="eastAsia" w:ascii="宋体" w:hAnsi="宋体" w:eastAsia="宋体" w:cs="宋体"/>
          <w:color w:val="000000" w:themeColor="text1"/>
          <w:sz w:val="28"/>
          <w:szCs w:val="28"/>
          <w14:textFill>
            <w14:solidFill>
              <w14:schemeClr w14:val="tx1"/>
            </w14:solidFill>
          </w14:textFill>
        </w:rPr>
        <w:t>，为企业职工配发了劳动防护用品。</w:t>
      </w:r>
    </w:p>
    <w:p w14:paraId="18B3AF1D">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企业按照应急预案的规定，</w:t>
      </w:r>
      <w:r>
        <w:rPr>
          <w:rFonts w:hint="eastAsia" w:ascii="宋体" w:hAnsi="宋体" w:eastAsia="宋体" w:cs="宋体"/>
          <w:color w:val="000000" w:themeColor="text1"/>
          <w:sz w:val="28"/>
          <w:szCs w:val="28"/>
          <w:lang w:val="en-US" w:eastAsia="zh-CN"/>
          <w14:textFill>
            <w14:solidFill>
              <w14:schemeClr w14:val="tx1"/>
            </w14:solidFill>
          </w14:textFill>
        </w:rPr>
        <w:t>编制了应急预案，</w:t>
      </w:r>
      <w:r>
        <w:rPr>
          <w:rFonts w:hint="eastAsia" w:ascii="宋体" w:hAnsi="宋体" w:eastAsia="宋体" w:cs="宋体"/>
          <w:color w:val="000000" w:themeColor="text1"/>
          <w:sz w:val="28"/>
          <w:szCs w:val="28"/>
          <w14:textFill>
            <w14:solidFill>
              <w14:schemeClr w14:val="tx1"/>
            </w14:solidFill>
          </w14:textFill>
        </w:rPr>
        <w:t>落实了应急指挥体系、应急救援队伍、应急物资及装备，应急物资、装备进行处于适用状态。</w:t>
      </w:r>
      <w:r>
        <w:rPr>
          <w:rFonts w:hint="eastAsia" w:ascii="宋体" w:hAnsi="宋体" w:eastAsia="宋体" w:cs="宋体"/>
          <w:color w:val="000000" w:themeColor="text1"/>
          <w:sz w:val="28"/>
          <w:szCs w:val="28"/>
          <w:lang w:val="en-US" w:eastAsia="zh-CN"/>
          <w14:textFill>
            <w14:solidFill>
              <w14:schemeClr w14:val="tx1"/>
            </w14:solidFill>
          </w14:textFill>
        </w:rPr>
        <w:t>企业预案已按要求到</w:t>
      </w:r>
      <w:r>
        <w:rPr>
          <w:rFonts w:hint="eastAsia" w:hAnsi="宋体" w:cs="宋体"/>
          <w:color w:val="000000" w:themeColor="text1"/>
          <w:sz w:val="28"/>
          <w:szCs w:val="28"/>
          <w:lang w:val="en-US" w:eastAsia="zh-CN"/>
          <w14:textFill>
            <w14:solidFill>
              <w14:schemeClr w14:val="tx1"/>
            </w14:solidFill>
          </w14:textFill>
        </w:rPr>
        <w:t>玉溪市红塔区</w:t>
      </w:r>
      <w:r>
        <w:rPr>
          <w:rFonts w:hint="eastAsia" w:ascii="宋体" w:hAnsi="宋体" w:eastAsia="宋体" w:cs="宋体"/>
          <w:color w:val="000000" w:themeColor="text1"/>
          <w:sz w:val="28"/>
          <w:szCs w:val="28"/>
          <w:lang w:val="en-US" w:eastAsia="zh-CN"/>
          <w14:textFill>
            <w14:solidFill>
              <w14:schemeClr w14:val="tx1"/>
            </w14:solidFill>
          </w14:textFill>
        </w:rPr>
        <w:t>应急管理局进行了备案。</w:t>
      </w:r>
    </w:p>
    <w:p w14:paraId="0D0896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根据评价分析，安全管理评价单元</w:t>
      </w:r>
      <w:r>
        <w:rPr>
          <w:rFonts w:hint="eastAsia" w:ascii="宋体" w:hAnsi="宋体" w:eastAsia="宋体" w:cs="宋体"/>
          <w:color w:val="000000" w:themeColor="text1"/>
          <w:sz w:val="28"/>
          <w:szCs w:val="28"/>
          <w14:textFill>
            <w14:solidFill>
              <w14:schemeClr w14:val="tx1"/>
            </w14:solidFill>
          </w14:textFill>
        </w:rPr>
        <w:t>符合</w:t>
      </w:r>
      <w:r>
        <w:rPr>
          <w:rFonts w:hint="eastAsia" w:ascii="宋体" w:hAnsi="宋体" w:eastAsia="宋体" w:cs="宋体"/>
          <w:color w:val="000000" w:themeColor="text1"/>
          <w:sz w:val="28"/>
          <w:szCs w:val="28"/>
          <w:lang w:val="en-US" w:eastAsia="zh-CN"/>
          <w14:textFill>
            <w14:solidFill>
              <w14:schemeClr w14:val="tx1"/>
            </w14:solidFill>
          </w14:textFill>
        </w:rPr>
        <w:t>相关法律规范的</w:t>
      </w:r>
      <w:r>
        <w:rPr>
          <w:rFonts w:hint="eastAsia" w:ascii="宋体" w:hAnsi="宋体" w:eastAsia="宋体" w:cs="宋体"/>
          <w:color w:val="000000" w:themeColor="text1"/>
          <w:sz w:val="28"/>
          <w:szCs w:val="28"/>
          <w14:textFill>
            <w14:solidFill>
              <w14:schemeClr w14:val="tx1"/>
            </w14:solidFill>
          </w14:textFill>
        </w:rPr>
        <w:t>要求。</w:t>
      </w:r>
    </w:p>
    <w:p w14:paraId="3D43C400">
      <w:pPr>
        <w:keepNext w:val="0"/>
        <w:keepLines w:val="0"/>
        <w:pageBreakBefore w:val="0"/>
        <w:widowControl w:val="0"/>
        <w:kinsoku/>
        <w:wordWrap/>
        <w:overflowPunct/>
        <w:topLinePunct w:val="0"/>
        <w:autoSpaceDE/>
        <w:autoSpaceDN/>
        <w:bidi w:val="0"/>
        <w:adjustRightInd/>
        <w:snapToGrid/>
        <w:spacing w:line="500" w:lineRule="exact"/>
        <w:ind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但存在以下问题：1.未组织应急演练活动。</w:t>
      </w:r>
    </w:p>
    <w:p w14:paraId="5CAC408E">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35" w:name="_Toc28589"/>
      <w:bookmarkStart w:id="836" w:name="_Toc8927"/>
      <w:r>
        <w:rPr>
          <w:rFonts w:hint="default" w:ascii="Times New Roman" w:hAnsi="Times New Roman" w:eastAsia="楷体" w:cs="Times New Roman"/>
          <w:color w:val="000000" w:themeColor="text1"/>
          <w14:textFill>
            <w14:solidFill>
              <w14:schemeClr w14:val="tx1"/>
            </w14:solidFill>
          </w14:textFill>
        </w:rPr>
        <w:t>5.6 重大事故隐患</w:t>
      </w:r>
      <w:r>
        <w:rPr>
          <w:rFonts w:hint="default" w:ascii="Times New Roman" w:hAnsi="Times New Roman" w:eastAsia="楷体" w:cs="Times New Roman"/>
          <w:color w:val="000000" w:themeColor="text1"/>
          <w:lang w:val="en-US" w:eastAsia="zh-CN"/>
          <w14:textFill>
            <w14:solidFill>
              <w14:schemeClr w14:val="tx1"/>
            </w14:solidFill>
          </w14:textFill>
        </w:rPr>
        <w:t>评价</w:t>
      </w:r>
      <w:r>
        <w:rPr>
          <w:rFonts w:hint="default" w:ascii="Times New Roman" w:hAnsi="Times New Roman" w:eastAsia="楷体" w:cs="Times New Roman"/>
          <w:color w:val="000000" w:themeColor="text1"/>
          <w14:textFill>
            <w14:solidFill>
              <w14:schemeClr w14:val="tx1"/>
            </w14:solidFill>
          </w14:textFill>
        </w:rPr>
        <w:t>单元</w:t>
      </w:r>
      <w:bookmarkEnd w:id="835"/>
      <w:bookmarkEnd w:id="836"/>
    </w:p>
    <w:p w14:paraId="0D8689E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cs="Times New Roman"/>
          <w:color w:val="000000" w:themeColor="text1"/>
          <w:sz w:val="28"/>
          <w:szCs w:val="28"/>
          <w:lang w:val="en-US" w:eastAsia="zh-CN"/>
          <w14:textFill>
            <w14:solidFill>
              <w14:schemeClr w14:val="tx1"/>
            </w14:solidFill>
          </w14:textFill>
        </w:rPr>
        <w:t>根据</w:t>
      </w:r>
      <w:r>
        <w:rPr>
          <w:rFonts w:hint="default" w:ascii="Times New Roman" w:hAnsi="Times New Roman" w:cs="Times New Roman"/>
          <w:color w:val="000000" w:themeColor="text1"/>
          <w:sz w:val="28"/>
          <w:szCs w:val="28"/>
          <w14:textFill>
            <w14:solidFill>
              <w14:schemeClr w14:val="tx1"/>
            </w14:solidFill>
          </w14:textFill>
        </w:rPr>
        <w:t>《工贸企业重大事故隐患判定标准》（中华人民共和国应急管理部令</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2023</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第10号）的内容，对该项目在生产过程中，可能存在的重大生产安全事故隐患进行检查。具体检查情况如下： </w:t>
      </w:r>
    </w:p>
    <w:p w14:paraId="1E2A0BA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表5-1</w:t>
      </w:r>
      <w:r>
        <w:rPr>
          <w:rFonts w:hint="eastAsia"/>
          <w:b/>
          <w:bCs/>
          <w:color w:val="000000" w:themeColor="text1"/>
          <w:szCs w:val="21"/>
          <w:lang w:val="en-US" w:eastAsia="zh-CN"/>
          <w14:textFill>
            <w14:solidFill>
              <w14:schemeClr w14:val="tx1"/>
            </w14:solidFill>
          </w14:textFill>
        </w:rPr>
        <w:t>1</w:t>
      </w:r>
      <w:r>
        <w:rPr>
          <w:b/>
          <w:bCs/>
          <w:color w:val="000000" w:themeColor="text1"/>
          <w:szCs w:val="21"/>
          <w14:textFill>
            <w14:solidFill>
              <w14:schemeClr w14:val="tx1"/>
            </w14:solidFill>
          </w14:textFill>
        </w:rPr>
        <w:t>重大生产安全事故隐患检查表</w:t>
      </w:r>
    </w:p>
    <w:tbl>
      <w:tblPr>
        <w:tblStyle w:val="52"/>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995"/>
        <w:gridCol w:w="1789"/>
        <w:gridCol w:w="1950"/>
        <w:gridCol w:w="1150"/>
      </w:tblGrid>
      <w:tr w14:paraId="43B4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42" w:type="dxa"/>
            <w:vAlign w:val="center"/>
          </w:tcPr>
          <w:p w14:paraId="04A29F3A">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995" w:type="dxa"/>
            <w:vAlign w:val="center"/>
          </w:tcPr>
          <w:p w14:paraId="71462DF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条款内容</w:t>
            </w:r>
          </w:p>
        </w:tc>
        <w:tc>
          <w:tcPr>
            <w:tcW w:w="1789" w:type="dxa"/>
            <w:vAlign w:val="center"/>
          </w:tcPr>
          <w:p w14:paraId="78B6AE90">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检查依据</w:t>
            </w:r>
          </w:p>
        </w:tc>
        <w:tc>
          <w:tcPr>
            <w:tcW w:w="1950" w:type="dxa"/>
            <w:vAlign w:val="center"/>
          </w:tcPr>
          <w:p w14:paraId="074C3EB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1150" w:type="dxa"/>
            <w:vAlign w:val="center"/>
          </w:tcPr>
          <w:p w14:paraId="33430B8D">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是否构成重大隐患</w:t>
            </w:r>
          </w:p>
        </w:tc>
      </w:tr>
      <w:tr w14:paraId="2BC2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0671B58C">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95" w:type="dxa"/>
            <w:vAlign w:val="center"/>
          </w:tcPr>
          <w:p w14:paraId="533920F8">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（一）未对承包单位、承租单位的安全生产工作统一协调、管理，或者未定期进行安全检查的；</w:t>
            </w:r>
          </w:p>
        </w:tc>
        <w:tc>
          <w:tcPr>
            <w:tcW w:w="1789" w:type="dxa"/>
            <w:vMerge w:val="restart"/>
            <w:vAlign w:val="center"/>
          </w:tcPr>
          <w:p w14:paraId="2F35D794">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《工贸企业重大事故隐患判定标准》（中华人民共和国应急管理部令第10号）第三条</w:t>
            </w:r>
          </w:p>
        </w:tc>
        <w:tc>
          <w:tcPr>
            <w:tcW w:w="1950" w:type="dxa"/>
            <w:vAlign w:val="center"/>
          </w:tcPr>
          <w:p w14:paraId="692BB8BE">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对外委检维修的安全生产工作统一协调、管理。</w:t>
            </w:r>
          </w:p>
        </w:tc>
        <w:tc>
          <w:tcPr>
            <w:tcW w:w="1150" w:type="dxa"/>
            <w:vAlign w:val="center"/>
          </w:tcPr>
          <w:p w14:paraId="7B9DE1A2">
            <w:pPr>
              <w:pStyle w:val="356"/>
              <w:overflowPunct w:val="0"/>
              <w:snapToGrid w:val="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否</w:t>
            </w:r>
          </w:p>
        </w:tc>
      </w:tr>
      <w:tr w14:paraId="4014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CCF36F9">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995" w:type="dxa"/>
            <w:vAlign w:val="center"/>
          </w:tcPr>
          <w:p w14:paraId="60DC2A97">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（二）特种作业人员未按照规定经专门的安全作业培训并取得相应资格，上岗作业的；</w:t>
            </w:r>
          </w:p>
        </w:tc>
        <w:tc>
          <w:tcPr>
            <w:tcW w:w="1789" w:type="dxa"/>
            <w:vMerge w:val="continue"/>
            <w:vAlign w:val="center"/>
          </w:tcPr>
          <w:p w14:paraId="6D047C9F">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0A33FC86">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该项目未涉及</w:t>
            </w:r>
            <w:r>
              <w:rPr>
                <w:rFonts w:hint="eastAsia" w:ascii="宋体" w:hAnsi="宋体" w:eastAsia="宋体" w:cs="宋体"/>
                <w:color w:val="000000" w:themeColor="text1"/>
                <w:sz w:val="21"/>
                <w:szCs w:val="21"/>
                <w14:textFill>
                  <w14:solidFill>
                    <w14:schemeClr w14:val="tx1"/>
                  </w14:solidFill>
                </w14:textFill>
              </w:rPr>
              <w:t>特种作业人员</w:t>
            </w:r>
            <w:r>
              <w:rPr>
                <w:rFonts w:hint="eastAsia" w:hAnsi="宋体" w:cs="宋体"/>
                <w:color w:val="000000" w:themeColor="text1"/>
                <w:sz w:val="21"/>
                <w:szCs w:val="21"/>
                <w:lang w:eastAsia="zh-CN"/>
                <w14:textFill>
                  <w14:solidFill>
                    <w14:schemeClr w14:val="tx1"/>
                  </w14:solidFill>
                </w14:textFill>
              </w:rPr>
              <w:t>。</w:t>
            </w:r>
          </w:p>
        </w:tc>
        <w:tc>
          <w:tcPr>
            <w:tcW w:w="1150" w:type="dxa"/>
            <w:vAlign w:val="center"/>
          </w:tcPr>
          <w:p w14:paraId="594E42C4">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否</w:t>
            </w:r>
          </w:p>
        </w:tc>
      </w:tr>
      <w:tr w14:paraId="40A5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24716CBD">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995" w:type="dxa"/>
            <w:vAlign w:val="center"/>
          </w:tcPr>
          <w:p w14:paraId="5C0987A2">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（三）金属冶炼企业主要负责人、安全生产管理人员未按照规定经考核合格的。</w:t>
            </w:r>
          </w:p>
        </w:tc>
        <w:tc>
          <w:tcPr>
            <w:tcW w:w="1789" w:type="dxa"/>
            <w:vMerge w:val="continue"/>
            <w:vAlign w:val="center"/>
          </w:tcPr>
          <w:p w14:paraId="10E81DB1">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7048007D">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该公司不属于金属冶炼企业</w:t>
            </w:r>
          </w:p>
        </w:tc>
        <w:tc>
          <w:tcPr>
            <w:tcW w:w="1150" w:type="dxa"/>
            <w:vAlign w:val="center"/>
          </w:tcPr>
          <w:p w14:paraId="1D575963">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否</w:t>
            </w:r>
          </w:p>
        </w:tc>
      </w:tr>
      <w:tr w14:paraId="678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3729EE6">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3995" w:type="dxa"/>
            <w:vAlign w:val="center"/>
          </w:tcPr>
          <w:p w14:paraId="2FE5520E">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（一）食品制造企业烘制、油炸设备未设置防过热自动切断装置的；</w:t>
            </w:r>
          </w:p>
        </w:tc>
        <w:tc>
          <w:tcPr>
            <w:tcW w:w="1789" w:type="dxa"/>
            <w:vMerge w:val="restart"/>
            <w:vAlign w:val="center"/>
          </w:tcPr>
          <w:p w14:paraId="19D08E84">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w:t>
            </w:r>
            <w:r>
              <w:rPr>
                <w:rFonts w:hint="eastAsia" w:ascii="宋体" w:hAnsi="宋体" w:eastAsia="宋体" w:cs="宋体"/>
                <w:color w:val="000000" w:themeColor="text1"/>
                <w:sz w:val="21"/>
                <w:szCs w:val="21"/>
                <w:lang w:val="en-US" w:eastAsia="zh-CN"/>
                <w14:textFill>
                  <w14:solidFill>
                    <w14:schemeClr w14:val="tx1"/>
                  </w14:solidFill>
                </w14:textFill>
              </w:rPr>
              <w:t>八</w:t>
            </w:r>
            <w:r>
              <w:rPr>
                <w:rFonts w:hint="eastAsia" w:ascii="宋体" w:hAnsi="宋体" w:eastAsia="宋体" w:cs="宋体"/>
                <w:color w:val="000000" w:themeColor="text1"/>
                <w:sz w:val="21"/>
                <w:szCs w:val="21"/>
                <w14:textFill>
                  <w14:solidFill>
                    <w14:schemeClr w14:val="tx1"/>
                  </w14:solidFill>
                </w14:textFill>
              </w:rPr>
              <w:t>条</w:t>
            </w:r>
          </w:p>
        </w:tc>
        <w:tc>
          <w:tcPr>
            <w:tcW w:w="1950" w:type="dxa"/>
            <w:vAlign w:val="center"/>
          </w:tcPr>
          <w:p w14:paraId="70F82C66">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7BCC4C12">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4A6B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01A40B91">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3995" w:type="dxa"/>
            <w:vAlign w:val="center"/>
          </w:tcPr>
          <w:p w14:paraId="2CE176AA">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（二）白酒勾兑、灌装场所和酒库未设置固定式乙醇蒸气浓度监测报警装置，或者监测报警装置未与通风设施联锁的；</w:t>
            </w:r>
          </w:p>
        </w:tc>
        <w:tc>
          <w:tcPr>
            <w:tcW w:w="1789" w:type="dxa"/>
            <w:vMerge w:val="continue"/>
            <w:vAlign w:val="center"/>
          </w:tcPr>
          <w:p w14:paraId="2B420075">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1E185E09">
            <w:pPr>
              <w:pStyle w:val="356"/>
              <w:overflowPunct w:val="0"/>
              <w:snapToGrid w:val="0"/>
              <w:ind w:firstLine="630" w:firstLineChars="30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1150" w:type="dxa"/>
            <w:vAlign w:val="center"/>
          </w:tcPr>
          <w:p w14:paraId="27DC5314">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5165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2A5FE3A9">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3995" w:type="dxa"/>
            <w:vAlign w:val="center"/>
          </w:tcPr>
          <w:p w14:paraId="28438240">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（三）纸浆制造、造纸企业使用蒸气、明火直接加热钢瓶汽化液氯的；</w:t>
            </w:r>
          </w:p>
        </w:tc>
        <w:tc>
          <w:tcPr>
            <w:tcW w:w="1789" w:type="dxa"/>
            <w:vMerge w:val="continue"/>
            <w:vAlign w:val="center"/>
          </w:tcPr>
          <w:p w14:paraId="0F01094B">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35CE2EE8">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41EA37A6">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2D59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42" w:type="dxa"/>
            <w:vAlign w:val="center"/>
          </w:tcPr>
          <w:p w14:paraId="44874DC3">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3995" w:type="dxa"/>
            <w:vAlign w:val="center"/>
          </w:tcPr>
          <w:p w14:paraId="110CC54E">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（四）日用玻璃、陶瓷制造企业采用预混燃烧方式的燃气窑炉（热发生炉煤气窑炉除外）的燃气总管未设置管道压力监测报警装置，或者监测报警装置未与紧急自动切断装置联锁的；</w:t>
            </w:r>
          </w:p>
        </w:tc>
        <w:tc>
          <w:tcPr>
            <w:tcW w:w="1789" w:type="dxa"/>
            <w:vMerge w:val="continue"/>
            <w:vAlign w:val="center"/>
          </w:tcPr>
          <w:p w14:paraId="5D1BC4C9">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0D594943">
            <w:pPr>
              <w:pStyle w:val="356"/>
              <w:overflowPunct w:val="0"/>
              <w:snapToGrid w:val="0"/>
              <w:ind w:firstLine="630" w:firstLineChars="3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1150" w:type="dxa"/>
            <w:vAlign w:val="center"/>
          </w:tcPr>
          <w:p w14:paraId="355C3495">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r>
      <w:tr w14:paraId="659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F45B8BE">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3995" w:type="dxa"/>
            <w:vAlign w:val="center"/>
          </w:tcPr>
          <w:p w14:paraId="015CBB79">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（五）日用玻璃制造企业玻璃窑炉的冷却保护系统未设置监测报警装置的；</w:t>
            </w:r>
          </w:p>
        </w:tc>
        <w:tc>
          <w:tcPr>
            <w:tcW w:w="1789" w:type="dxa"/>
            <w:vMerge w:val="continue"/>
            <w:vAlign w:val="center"/>
          </w:tcPr>
          <w:p w14:paraId="3EC91A5E">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44056403">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1DDA9518">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7422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7694304">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3995" w:type="dxa"/>
            <w:shd w:val="clear" w:color="auto" w:fill="auto"/>
            <w:vAlign w:val="center"/>
          </w:tcPr>
          <w:p w14:paraId="58CBF9F4">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（六）使用非水性漆的调漆间、喷漆室未设置固定式可燃气体浓度监测报警装置或者通风设施的；</w:t>
            </w:r>
          </w:p>
        </w:tc>
        <w:tc>
          <w:tcPr>
            <w:tcW w:w="1789" w:type="dxa"/>
            <w:vMerge w:val="continue"/>
            <w:shd w:val="clear" w:color="auto" w:fill="auto"/>
            <w:vAlign w:val="center"/>
          </w:tcPr>
          <w:p w14:paraId="440C86B4">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2F986E33">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shd w:val="clear" w:color="auto" w:fill="auto"/>
            <w:vAlign w:val="center"/>
          </w:tcPr>
          <w:p w14:paraId="05C866F5">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00E2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B07463F">
            <w:pPr>
              <w:pStyle w:val="356"/>
              <w:overflowPunct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3995" w:type="dxa"/>
            <w:shd w:val="clear" w:color="auto" w:fill="auto"/>
            <w:vAlign w:val="center"/>
          </w:tcPr>
          <w:p w14:paraId="05F26C1F">
            <w:pPr>
              <w:pStyle w:val="35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（七）锂离子电池储存仓库未对故障电池采取有效物理隔离措施的。</w:t>
            </w:r>
          </w:p>
        </w:tc>
        <w:tc>
          <w:tcPr>
            <w:tcW w:w="1789" w:type="dxa"/>
            <w:vMerge w:val="continue"/>
            <w:shd w:val="clear" w:color="auto" w:fill="auto"/>
            <w:vAlign w:val="center"/>
          </w:tcPr>
          <w:p w14:paraId="681C4A34">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2057A36E">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shd w:val="clear" w:color="auto" w:fill="auto"/>
            <w:vAlign w:val="center"/>
          </w:tcPr>
          <w:p w14:paraId="5D257412">
            <w:pPr>
              <w:pStyle w:val="356"/>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6473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F0B77E5">
            <w:pPr>
              <w:pStyle w:val="356"/>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3995" w:type="dxa"/>
            <w:shd w:val="clear" w:color="auto" w:fill="auto"/>
            <w:vAlign w:val="center"/>
          </w:tcPr>
          <w:p w14:paraId="7EF189BE">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本标准所列情形中直接关系生产安全的监控、报警、防护等设施、设备、装置，应当保证正常运行、使用，失效或者无效均判定为重大事故隐患。</w:t>
            </w:r>
          </w:p>
        </w:tc>
        <w:tc>
          <w:tcPr>
            <w:tcW w:w="1789" w:type="dxa"/>
            <w:shd w:val="clear" w:color="auto" w:fill="auto"/>
            <w:vAlign w:val="center"/>
          </w:tcPr>
          <w:p w14:paraId="3221582E">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《工贸企业重大事故隐患判定标准》（中华人民共和国应急管理部令第10号）第十四条</w:t>
            </w:r>
          </w:p>
        </w:tc>
        <w:tc>
          <w:tcPr>
            <w:tcW w:w="1950" w:type="dxa"/>
            <w:shd w:val="clear" w:color="auto" w:fill="auto"/>
            <w:vAlign w:val="center"/>
          </w:tcPr>
          <w:p w14:paraId="6E96B640">
            <w:pPr>
              <w:pStyle w:val="356"/>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根据现场勘查，该公司防护等设施、设备、装置均能正常运行、使用。</w:t>
            </w:r>
          </w:p>
        </w:tc>
        <w:tc>
          <w:tcPr>
            <w:tcW w:w="1150" w:type="dxa"/>
            <w:shd w:val="clear" w:color="auto" w:fill="auto"/>
            <w:vAlign w:val="center"/>
          </w:tcPr>
          <w:p w14:paraId="769074F1">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否</w:t>
            </w:r>
          </w:p>
        </w:tc>
      </w:tr>
    </w:tbl>
    <w:p w14:paraId="122F8CB9">
      <w:pPr>
        <w:pStyle w:val="50"/>
        <w:spacing w:after="0" w:line="500" w:lineRule="exact"/>
        <w:ind w:firstLine="560" w:firstLineChars="200"/>
        <w:rPr>
          <w:rFonts w:hint="eastAsia"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根据《工贸企业重大事故隐患判定标准》（中华人民共和国应急管理部令第10号）判定，</w:t>
      </w:r>
      <w:r>
        <w:rPr>
          <w:rFonts w:hint="eastAsia" w:hAnsi="宋体" w:cs="宋体"/>
          <w:color w:val="000000" w:themeColor="text1"/>
          <w:sz w:val="28"/>
          <w:szCs w:val="28"/>
          <w:lang w:val="en-US" w:eastAsia="zh-CN" w:bidi="ar-SA"/>
          <w14:textFill>
            <w14:solidFill>
              <w14:schemeClr w14:val="tx1"/>
            </w14:solidFill>
          </w14:textFill>
        </w:rPr>
        <w:t>云南玉溪洁灵娜精细日化有限责任公司年产3万吨洗涤用品项目</w:t>
      </w:r>
      <w:r>
        <w:rPr>
          <w:rFonts w:hint="eastAsia" w:ascii="宋体" w:hAnsi="宋体" w:eastAsia="宋体" w:cs="宋体"/>
          <w:color w:val="000000" w:themeColor="text1"/>
          <w:sz w:val="28"/>
          <w:szCs w:val="28"/>
          <w:lang w:val="en-US" w:eastAsia="zh-CN" w:bidi="ar-SA"/>
          <w14:textFill>
            <w14:solidFill>
              <w14:schemeClr w14:val="tx1"/>
            </w14:solidFill>
          </w14:textFill>
        </w:rPr>
        <w:t>未构成重大事故隐患。</w:t>
      </w:r>
    </w:p>
    <w:p w14:paraId="502FB573">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2FAE9E0C">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28662014">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258E750E">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7E739169">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0209DDCC">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715025E9">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1D560614">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7F466A47">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60427EAF">
      <w:pPr>
        <w:rPr>
          <w:rFonts w:hint="eastAsia" w:ascii="宋体" w:hAnsi="宋体" w:eastAsia="宋体" w:cs="宋体"/>
          <w:color w:val="000000" w:themeColor="text1"/>
          <w:sz w:val="28"/>
          <w:szCs w:val="28"/>
          <w:lang w:val="en-US" w:eastAsia="zh-CN" w:bidi="ar-SA"/>
          <w14:textFill>
            <w14:solidFill>
              <w14:schemeClr w14:val="tx1"/>
            </w14:solidFill>
          </w14:textFill>
        </w:rPr>
      </w:pPr>
    </w:p>
    <w:p w14:paraId="30A525C0">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837" w:name="_Toc24295"/>
      <w:bookmarkStart w:id="838" w:name="_Toc26584"/>
      <w:r>
        <w:rPr>
          <w:rFonts w:hint="default" w:ascii="Times New Roman" w:hAnsi="Times New Roman" w:eastAsia="黑体" w:cs="Times New Roman"/>
          <w:color w:val="000000" w:themeColor="text1"/>
          <w14:textFill>
            <w14:solidFill>
              <w14:schemeClr w14:val="tx1"/>
            </w14:solidFill>
          </w14:textFill>
        </w:rPr>
        <w:t>第6章</w:t>
      </w:r>
      <w:bookmarkEnd w:id="657"/>
      <w:bookmarkEnd w:id="658"/>
      <w:r>
        <w:rPr>
          <w:rFonts w:hint="default" w:ascii="Times New Roman" w:hAnsi="Times New Roman" w:eastAsia="黑体" w:cs="Times New Roman"/>
          <w:color w:val="000000" w:themeColor="text1"/>
          <w14:textFill>
            <w14:solidFill>
              <w14:schemeClr w14:val="tx1"/>
            </w14:solidFill>
          </w14:textFill>
        </w:rPr>
        <w:t xml:space="preserve">  主要存在问题</w:t>
      </w:r>
      <w:bookmarkEnd w:id="659"/>
      <w:r>
        <w:rPr>
          <w:rFonts w:hint="default" w:ascii="Times New Roman" w:hAnsi="Times New Roman" w:eastAsia="黑体" w:cs="Times New Roman"/>
          <w:color w:val="000000" w:themeColor="text1"/>
          <w14:textFill>
            <w14:solidFill>
              <w14:schemeClr w14:val="tx1"/>
            </w14:solidFill>
          </w14:textFill>
        </w:rPr>
        <w:t>及安全对策措施建议</w:t>
      </w:r>
      <w:bookmarkEnd w:id="660"/>
      <w:bookmarkEnd w:id="661"/>
      <w:bookmarkEnd w:id="662"/>
      <w:bookmarkEnd w:id="663"/>
      <w:bookmarkEnd w:id="837"/>
      <w:bookmarkEnd w:id="838"/>
    </w:p>
    <w:p w14:paraId="3EFA4C39">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39" w:name="_Toc191729816"/>
      <w:bookmarkStart w:id="840" w:name="_Toc208674453"/>
      <w:bookmarkStart w:id="841" w:name="_Toc191730100"/>
      <w:bookmarkStart w:id="842" w:name="_Toc208675041"/>
      <w:bookmarkStart w:id="843" w:name="_Toc3640"/>
      <w:bookmarkStart w:id="844" w:name="_Toc4885"/>
      <w:bookmarkStart w:id="845" w:name="_Toc335926317"/>
      <w:bookmarkStart w:id="846" w:name="_Toc28519"/>
      <w:bookmarkStart w:id="847" w:name="_Toc23454"/>
      <w:bookmarkStart w:id="848" w:name="_Toc86464484"/>
      <w:bookmarkStart w:id="849" w:name="_Toc191728256"/>
      <w:bookmarkStart w:id="850" w:name="_Toc313453628"/>
      <w:bookmarkStart w:id="851" w:name="_Toc10515"/>
      <w:bookmarkStart w:id="852" w:name="_Toc191375166"/>
      <w:r>
        <w:rPr>
          <w:rFonts w:hint="default" w:ascii="Times New Roman" w:hAnsi="Times New Roman" w:eastAsia="楷体" w:cs="Times New Roman"/>
          <w:color w:val="000000" w:themeColor="text1"/>
          <w14:textFill>
            <w14:solidFill>
              <w14:schemeClr w14:val="tx1"/>
            </w14:solidFill>
          </w14:textFill>
        </w:rPr>
        <w:t>6.1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主要存在问题</w:t>
      </w:r>
      <w:bookmarkEnd w:id="839"/>
      <w:bookmarkEnd w:id="840"/>
      <w:bookmarkEnd w:id="841"/>
      <w:bookmarkEnd w:id="842"/>
      <w:bookmarkEnd w:id="843"/>
      <w:bookmarkEnd w:id="844"/>
      <w:bookmarkEnd w:id="845"/>
      <w:bookmarkEnd w:id="846"/>
      <w:bookmarkEnd w:id="847"/>
      <w:bookmarkEnd w:id="848"/>
      <w:bookmarkEnd w:id="849"/>
      <w:bookmarkEnd w:id="850"/>
      <w:bookmarkEnd w:id="851"/>
    </w:p>
    <w:p w14:paraId="72844D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我公司受</w:t>
      </w:r>
      <w:r>
        <w:rPr>
          <w:rFonts w:hint="eastAsia" w:hAnsi="宋体" w:cs="宋体"/>
          <w:color w:val="000000" w:themeColor="text1"/>
          <w:sz w:val="28"/>
          <w:szCs w:val="28"/>
          <w:lang w:val="en-US" w:eastAsia="zh-CN"/>
          <w14:textFill>
            <w14:solidFill>
              <w14:schemeClr w14:val="tx1"/>
            </w14:solidFill>
          </w14:textFill>
        </w:rPr>
        <w:t>云南玉溪洁灵娜精细日化有限责任公司</w:t>
      </w:r>
      <w:r>
        <w:rPr>
          <w:rFonts w:hint="eastAsia" w:ascii="宋体" w:hAnsi="宋体" w:eastAsia="宋体" w:cs="宋体"/>
          <w:color w:val="000000" w:themeColor="text1"/>
          <w:sz w:val="28"/>
          <w:szCs w:val="28"/>
          <w14:textFill>
            <w14:solidFill>
              <w14:schemeClr w14:val="tx1"/>
            </w14:solidFill>
          </w14:textFill>
        </w:rPr>
        <w:t>安全现状评价的委托，</w:t>
      </w:r>
      <w:r>
        <w:rPr>
          <w:rFonts w:hint="eastAsia" w:ascii="宋体" w:hAnsi="宋体" w:eastAsia="宋体" w:cs="宋体"/>
          <w:color w:val="000000" w:themeColor="text1"/>
          <w:sz w:val="28"/>
          <w:szCs w:val="28"/>
          <w:highlight w:val="none"/>
          <w14:textFill>
            <w14:solidFill>
              <w14:schemeClr w14:val="tx1"/>
            </w14:solidFill>
          </w14:textFill>
        </w:rPr>
        <w:t>于202</w:t>
      </w: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hAnsi="宋体" w:cs="宋体"/>
          <w:color w:val="000000" w:themeColor="text1"/>
          <w:sz w:val="28"/>
          <w:szCs w:val="28"/>
          <w:highlight w:val="none"/>
          <w:lang w:val="en-US" w:eastAsia="zh-CN"/>
          <w14:textFill>
            <w14:solidFill>
              <w14:schemeClr w14:val="tx1"/>
            </w14:solidFill>
          </w14:textFill>
        </w:rPr>
        <w:t>09</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hAnsi="宋体" w:cs="宋体"/>
          <w:color w:val="000000" w:themeColor="text1"/>
          <w:sz w:val="28"/>
          <w:szCs w:val="28"/>
          <w:highlight w:val="none"/>
          <w:lang w:val="en-US" w:eastAsia="zh-CN"/>
          <w14:textFill>
            <w14:solidFill>
              <w14:schemeClr w14:val="tx1"/>
            </w14:solidFill>
          </w14:textFill>
        </w:rPr>
        <w:t>05</w:t>
      </w:r>
      <w:r>
        <w:rPr>
          <w:rFonts w:hint="eastAsia" w:ascii="宋体" w:hAnsi="宋体" w:eastAsia="宋体" w:cs="宋体"/>
          <w:color w:val="000000" w:themeColor="text1"/>
          <w:sz w:val="28"/>
          <w:szCs w:val="28"/>
          <w:highlight w:val="none"/>
          <w14:textFill>
            <w14:solidFill>
              <w14:schemeClr w14:val="tx1"/>
            </w14:solidFill>
          </w14:textFill>
        </w:rPr>
        <w:t>日</w:t>
      </w:r>
      <w:r>
        <w:rPr>
          <w:rFonts w:hint="eastAsia" w:ascii="宋体" w:hAnsi="宋体" w:eastAsia="宋体" w:cs="宋体"/>
          <w:color w:val="000000" w:themeColor="text1"/>
          <w:sz w:val="28"/>
          <w:szCs w:val="28"/>
          <w14:textFill>
            <w14:solidFill>
              <w14:schemeClr w14:val="tx1"/>
            </w14:solidFill>
          </w14:textFill>
        </w:rPr>
        <w:t>，组织安全评价人员，对现场进行实地勘察</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通过现场勘查，</w:t>
      </w:r>
      <w:r>
        <w:rPr>
          <w:rFonts w:hint="eastAsia" w:ascii="宋体" w:hAnsi="宋体" w:eastAsia="宋体" w:cs="宋体"/>
          <w:color w:val="000000" w:themeColor="text1"/>
          <w:sz w:val="28"/>
          <w:szCs w:val="28"/>
          <w14:textFill>
            <w14:solidFill>
              <w14:schemeClr w14:val="tx1"/>
            </w14:solidFill>
          </w14:textFill>
        </w:rPr>
        <w:t>梳理出</w:t>
      </w:r>
      <w:r>
        <w:rPr>
          <w:rFonts w:hint="eastAsia" w:hAnsi="宋体" w:cs="宋体"/>
          <w:color w:val="000000" w:themeColor="text1"/>
          <w:sz w:val="28"/>
          <w:szCs w:val="28"/>
          <w:lang w:eastAsia="zh-CN"/>
          <w14:textFill>
            <w14:solidFill>
              <w14:schemeClr w14:val="tx1"/>
            </w14:solidFill>
          </w14:textFill>
        </w:rPr>
        <w:t>云南玉溪洁灵娜精细日化有限责任公司年产3万吨洗涤用品项目</w:t>
      </w:r>
      <w:r>
        <w:rPr>
          <w:rFonts w:hint="eastAsia" w:ascii="宋体" w:hAnsi="宋体" w:eastAsia="宋体" w:cs="宋体"/>
          <w:color w:val="000000" w:themeColor="text1"/>
          <w:sz w:val="28"/>
          <w:szCs w:val="28"/>
          <w14:textFill>
            <w14:solidFill>
              <w14:schemeClr w14:val="tx1"/>
            </w14:solidFill>
          </w14:textFill>
        </w:rPr>
        <w:t>主要存在以下问题：</w:t>
      </w:r>
    </w:p>
    <w:p w14:paraId="4E27497B">
      <w:pPr>
        <w:pStyle w:val="10"/>
        <w:bidi w:val="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整改报告见附件</w:t>
      </w:r>
      <w:r>
        <w:rPr>
          <w:rFonts w:hint="eastAsia"/>
          <w:color w:val="000000" w:themeColor="text1"/>
          <w:sz w:val="28"/>
          <w:szCs w:val="28"/>
          <w:lang w:val="en-US" w:eastAsia="zh-CN"/>
          <w14:textFill>
            <w14:solidFill>
              <w14:schemeClr w14:val="tx1"/>
            </w14:solidFill>
          </w14:textFill>
        </w:rPr>
        <w:t>11</w:t>
      </w:r>
      <w:r>
        <w:rPr>
          <w:rFonts w:hint="eastAsia"/>
          <w:color w:val="000000" w:themeColor="text1"/>
          <w:sz w:val="28"/>
          <w:szCs w:val="28"/>
          <w14:textFill>
            <w14:solidFill>
              <w14:schemeClr w14:val="tx1"/>
            </w14:solidFill>
          </w14:textFill>
        </w:rPr>
        <w:t>。</w:t>
      </w:r>
    </w:p>
    <w:p w14:paraId="46CAF83D">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szCs w:val="24"/>
          <w14:textFill>
            <w14:solidFill>
              <w14:schemeClr w14:val="tx1"/>
            </w14:solidFill>
          </w14:textFill>
        </w:rPr>
        <w:t>表 6-1 安全评价提出的企业存在问题一览表</w:t>
      </w:r>
    </w:p>
    <w:tbl>
      <w:tblPr>
        <w:tblStyle w:val="53"/>
        <w:tblW w:w="51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4140"/>
        <w:gridCol w:w="4104"/>
      </w:tblGrid>
      <w:tr w14:paraId="11FA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07" w:type="pct"/>
            <w:vAlign w:val="center"/>
          </w:tcPr>
          <w:p w14:paraId="6963C219">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bookmarkStart w:id="853" w:name="_Toc313453631"/>
            <w:bookmarkStart w:id="854" w:name="_Toc9985"/>
            <w:bookmarkStart w:id="855" w:name="_Toc335926318"/>
            <w:bookmarkStart w:id="856" w:name="_Toc31614"/>
            <w:bookmarkStart w:id="857" w:name="_Toc23738"/>
            <w:bookmarkStart w:id="858" w:name="_Toc14350"/>
            <w:r>
              <w:rPr>
                <w:rFonts w:hint="eastAsia" w:ascii="宋体" w:hAnsi="宋体" w:eastAsia="宋体" w:cs="宋体"/>
                <w:b/>
                <w:bCs/>
                <w:color w:val="000000" w:themeColor="text1"/>
                <w:sz w:val="21"/>
                <w:szCs w:val="21"/>
                <w14:textFill>
                  <w14:solidFill>
                    <w14:schemeClr w14:val="tx1"/>
                  </w14:solidFill>
                </w14:textFill>
              </w:rPr>
              <w:t>序号</w:t>
            </w:r>
          </w:p>
        </w:tc>
        <w:tc>
          <w:tcPr>
            <w:tcW w:w="2306" w:type="pct"/>
            <w:vAlign w:val="center"/>
          </w:tcPr>
          <w:p w14:paraId="12C14A99">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存在的问题</w:t>
            </w:r>
          </w:p>
        </w:tc>
        <w:tc>
          <w:tcPr>
            <w:tcW w:w="2286" w:type="pct"/>
            <w:vAlign w:val="center"/>
          </w:tcPr>
          <w:p w14:paraId="4EFB31B9">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整改建议</w:t>
            </w:r>
          </w:p>
        </w:tc>
      </w:tr>
      <w:tr w14:paraId="4DCC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585C195D">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w:t>
            </w:r>
          </w:p>
        </w:tc>
        <w:tc>
          <w:tcPr>
            <w:tcW w:w="2306" w:type="pct"/>
            <w:vAlign w:val="center"/>
          </w:tcPr>
          <w:p w14:paraId="7119160A">
            <w:pPr>
              <w:pStyle w:val="71"/>
              <w:keepNext w:val="0"/>
              <w:keepLines w:val="0"/>
              <w:pageBreakBefore w:val="0"/>
              <w:widowControl w:val="0"/>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停用设备未悬挂“设备已停用”安全警示标牌。</w:t>
            </w:r>
          </w:p>
        </w:tc>
        <w:tc>
          <w:tcPr>
            <w:tcW w:w="2286" w:type="pct"/>
            <w:vAlign w:val="center"/>
          </w:tcPr>
          <w:p w14:paraId="5DDA065D">
            <w:pPr>
              <w:pStyle w:val="71"/>
              <w:keepNext w:val="0"/>
              <w:keepLines w:val="0"/>
              <w:pageBreakBefore w:val="0"/>
              <w:widowControl w:val="0"/>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停用设备</w:t>
            </w:r>
            <w:r>
              <w:rPr>
                <w:rFonts w:hint="eastAsia" w:ascii="宋体" w:hAnsi="宋体" w:eastAsia="宋体" w:cs="宋体"/>
                <w:b w:val="0"/>
                <w:bCs w:val="0"/>
                <w:color w:val="000000" w:themeColor="text1"/>
                <w:sz w:val="21"/>
                <w:szCs w:val="21"/>
                <w:lang w:val="en-US" w:eastAsia="zh-CN"/>
                <w14:textFill>
                  <w14:solidFill>
                    <w14:schemeClr w14:val="tx1"/>
                  </w14:solidFill>
                </w14:textFill>
              </w:rPr>
              <w:t>应</w:t>
            </w:r>
            <w:r>
              <w:rPr>
                <w:rFonts w:hint="eastAsia" w:ascii="宋体" w:hAnsi="宋体" w:eastAsia="宋体" w:cs="宋体"/>
                <w:b w:val="0"/>
                <w:bCs w:val="0"/>
                <w:color w:val="000000" w:themeColor="text1"/>
                <w:sz w:val="21"/>
                <w:szCs w:val="21"/>
                <w14:textFill>
                  <w14:solidFill>
                    <w14:schemeClr w14:val="tx1"/>
                  </w14:solidFill>
                </w14:textFill>
              </w:rPr>
              <w:t>悬挂“设备已停用”安全警示标牌。</w:t>
            </w:r>
          </w:p>
        </w:tc>
      </w:tr>
      <w:tr w14:paraId="6EB9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07" w:type="pct"/>
            <w:vAlign w:val="center"/>
          </w:tcPr>
          <w:p w14:paraId="1DFB3BF1">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p>
        </w:tc>
        <w:tc>
          <w:tcPr>
            <w:tcW w:w="2306" w:type="pct"/>
            <w:vAlign w:val="center"/>
          </w:tcPr>
          <w:p w14:paraId="0C7ED8F6">
            <w:pPr>
              <w:keepNext w:val="0"/>
              <w:keepLines w:val="0"/>
              <w:pageBreakBefore w:val="0"/>
              <w:widowControl w:val="0"/>
              <w:kinsoku/>
              <w:wordWrap/>
              <w:overflowPunct/>
              <w:topLinePunct w:val="0"/>
              <w:bidi w:val="0"/>
              <w:snapToGrid/>
              <w:spacing w:line="240" w:lineRule="auto"/>
              <w:jc w:val="both"/>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车间内安全出口、疏散通道未设疏散指示标志。</w:t>
            </w:r>
          </w:p>
        </w:tc>
        <w:tc>
          <w:tcPr>
            <w:tcW w:w="2286" w:type="pct"/>
            <w:vAlign w:val="center"/>
          </w:tcPr>
          <w:p w14:paraId="00599587">
            <w:pPr>
              <w:keepNext w:val="0"/>
              <w:keepLines w:val="0"/>
              <w:pageBreakBefore w:val="0"/>
              <w:widowControl w:val="0"/>
              <w:kinsoku/>
              <w:wordWrap/>
              <w:overflowPunct/>
              <w:topLinePunct w:val="0"/>
              <w:bidi w:val="0"/>
              <w:snapToGrid/>
              <w:spacing w:line="240" w:lineRule="auto"/>
              <w:jc w:val="both"/>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车间内安全出口、疏散通道按要求增设疏散指示标志。</w:t>
            </w:r>
          </w:p>
        </w:tc>
      </w:tr>
      <w:tr w14:paraId="0296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06F20916">
            <w:pPr>
              <w:pStyle w:val="71"/>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w:t>
            </w:r>
          </w:p>
        </w:tc>
        <w:tc>
          <w:tcPr>
            <w:tcW w:w="2306" w:type="pct"/>
            <w:vAlign w:val="center"/>
          </w:tcPr>
          <w:p w14:paraId="025C1A73">
            <w:pPr>
              <w:pStyle w:val="71"/>
              <w:keepNext w:val="0"/>
              <w:keepLines w:val="0"/>
              <w:pageBreakBefore w:val="0"/>
              <w:widowControl w:val="0"/>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kern w:val="2"/>
                <w:sz w:val="21"/>
                <w:szCs w:val="21"/>
                <w:lang w:val="en-US" w:eastAsia="zh-CN" w:bidi="ar-SA"/>
                <w14:textFill>
                  <w14:solidFill>
                    <w14:schemeClr w14:val="tx1"/>
                  </w14:solidFill>
                </w14:textFill>
              </w:rPr>
              <w:t>氢氧化钠</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NaOH使用与储存场所未设洗眼喷淋设施；</w:t>
            </w:r>
          </w:p>
        </w:tc>
        <w:tc>
          <w:tcPr>
            <w:tcW w:w="2286" w:type="pct"/>
            <w:vAlign w:val="center"/>
          </w:tcPr>
          <w:p w14:paraId="5D4E0030">
            <w:pPr>
              <w:keepNext w:val="0"/>
              <w:keepLines w:val="0"/>
              <w:pageBreakBefore w:val="0"/>
              <w:widowControl w:val="0"/>
              <w:kinsoku/>
              <w:wordWrap/>
              <w:overflowPunct/>
              <w:topLinePunct w:val="0"/>
              <w:bidi w:val="0"/>
              <w:snapToGrid/>
              <w:spacing w:line="240" w:lineRule="auto"/>
              <w:jc w:val="both"/>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hAnsi="宋体" w:cs="宋体"/>
                <w:b w:val="0"/>
                <w:bCs w:val="0"/>
                <w:color w:val="000000" w:themeColor="text1"/>
                <w:sz w:val="21"/>
                <w:szCs w:val="21"/>
                <w:lang w:val="en-US" w:eastAsia="zh-CN"/>
                <w14:textFill>
                  <w14:solidFill>
                    <w14:schemeClr w14:val="tx1"/>
                  </w14:solidFill>
                </w14:textFill>
              </w:rPr>
              <w:t>增设洗眼喷淋设施。</w:t>
            </w:r>
          </w:p>
        </w:tc>
      </w:tr>
      <w:tr w14:paraId="2B2E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06C72391">
            <w:pPr>
              <w:pStyle w:val="71"/>
              <w:keepNext w:val="0"/>
              <w:keepLines w:val="0"/>
              <w:pageBreakBefore w:val="0"/>
              <w:widowControl w:val="0"/>
              <w:kinsoku/>
              <w:wordWrap/>
              <w:overflowPunct/>
              <w:topLinePunct w:val="0"/>
              <w:bidi w:val="0"/>
              <w:snapToGrid/>
              <w:spacing w:line="400" w:lineRule="exact"/>
              <w:jc w:val="center"/>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4</w:t>
            </w:r>
          </w:p>
        </w:tc>
        <w:tc>
          <w:tcPr>
            <w:tcW w:w="2306" w:type="pct"/>
            <w:vAlign w:val="center"/>
          </w:tcPr>
          <w:p w14:paraId="3FBE5D5F">
            <w:pPr>
              <w:widowControl/>
              <w:numPr>
                <w:ilvl w:val="0"/>
                <w:numId w:val="0"/>
              </w:numPr>
              <w:spacing w:line="240" w:lineRule="auto"/>
              <w:ind w:leftChars="0"/>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车间内未按各场所危险特性设置相关安全警示标志。</w:t>
            </w:r>
          </w:p>
        </w:tc>
        <w:tc>
          <w:tcPr>
            <w:tcW w:w="2286" w:type="pct"/>
            <w:vAlign w:val="center"/>
          </w:tcPr>
          <w:p w14:paraId="638374BF">
            <w:pPr>
              <w:widowControl/>
              <w:numPr>
                <w:ilvl w:val="0"/>
                <w:numId w:val="0"/>
              </w:numPr>
              <w:spacing w:line="240" w:lineRule="auto"/>
              <w:ind w:leftChars="0"/>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车间内应根据各场所危险特性增设相关安全警示标志，并加强日常临边区域作业时的安全管理。</w:t>
            </w:r>
          </w:p>
        </w:tc>
      </w:tr>
      <w:tr w14:paraId="32EE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07" w:type="pct"/>
            <w:vAlign w:val="center"/>
          </w:tcPr>
          <w:p w14:paraId="7D7A50BE">
            <w:pPr>
              <w:pStyle w:val="71"/>
              <w:keepNext w:val="0"/>
              <w:keepLines w:val="0"/>
              <w:pageBreakBefore w:val="0"/>
              <w:widowControl w:val="0"/>
              <w:kinsoku/>
              <w:wordWrap/>
              <w:overflowPunct/>
              <w:topLinePunct w:val="0"/>
              <w:bidi w:val="0"/>
              <w:snapToGrid/>
              <w:spacing w:line="400" w:lineRule="exact"/>
              <w:jc w:val="center"/>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5</w:t>
            </w:r>
          </w:p>
        </w:tc>
        <w:tc>
          <w:tcPr>
            <w:tcW w:w="2306" w:type="pct"/>
            <w:vAlign w:val="center"/>
          </w:tcPr>
          <w:p w14:paraId="2B3E19AC">
            <w:pPr>
              <w:widowControl/>
              <w:numPr>
                <w:ilvl w:val="0"/>
                <w:numId w:val="0"/>
              </w:numPr>
              <w:spacing w:line="240" w:lineRule="auto"/>
              <w:ind w:leftChars="0"/>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车间内灭火器较少，且存在失效、超过维修年限的情况</w:t>
            </w:r>
            <w:r>
              <w:rPr>
                <w:rFonts w:hint="eastAsia" w:hAnsi="宋体" w:cs="宋体"/>
                <w:b w:val="0"/>
                <w:bCs w:val="0"/>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灭火器无巡检记录</w:t>
            </w:r>
            <w:r>
              <w:rPr>
                <w:rFonts w:hint="eastAsia" w:hAnsi="宋体" w:cs="宋体"/>
                <w:b w:val="0"/>
                <w:bCs w:val="0"/>
                <w:color w:val="000000" w:themeColor="text1"/>
                <w:sz w:val="21"/>
                <w:szCs w:val="21"/>
                <w:lang w:val="en-US" w:eastAsia="zh-CN"/>
                <w14:textFill>
                  <w14:solidFill>
                    <w14:schemeClr w14:val="tx1"/>
                  </w14:solidFill>
                </w14:textFill>
              </w:rPr>
              <w:t>。</w:t>
            </w:r>
          </w:p>
        </w:tc>
        <w:tc>
          <w:tcPr>
            <w:tcW w:w="2286" w:type="pct"/>
            <w:vAlign w:val="center"/>
          </w:tcPr>
          <w:p w14:paraId="2D6AC25E">
            <w:pPr>
              <w:widowControl/>
              <w:numPr>
                <w:ilvl w:val="0"/>
                <w:numId w:val="0"/>
              </w:numPr>
              <w:spacing w:line="240" w:lineRule="auto"/>
              <w:ind w:leftChars="0"/>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车间内按要求增设灭火器材，并加强灭火器材的检查维护，及时更换失效，送修到维修年限的灭火器。对全厂灭火器定期组织检查、维护并做好记录，确保完好有效。灭火器应</w:t>
            </w:r>
            <w:r>
              <w:rPr>
                <w:rFonts w:hint="eastAsia" w:hAnsi="宋体" w:cs="宋体"/>
                <w:b w:val="0"/>
                <w:bCs w:val="0"/>
                <w:color w:val="000000" w:themeColor="text1"/>
                <w:kern w:val="2"/>
                <w:sz w:val="21"/>
                <w:szCs w:val="21"/>
                <w:lang w:val="en-US" w:eastAsia="zh-CN" w:bidi="ar-SA"/>
                <w14:textFill>
                  <w14:solidFill>
                    <w14:schemeClr w14:val="tx1"/>
                  </w14:solidFill>
                </w14:textFill>
              </w:rPr>
              <w:t>粘贴</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日常检查记录表（</w:t>
            </w:r>
            <w:r>
              <w:rPr>
                <w:rFonts w:hint="eastAsia" w:hAnsi="宋体" w:cs="宋体"/>
                <w:b w:val="0"/>
                <w:bCs w:val="0"/>
                <w:color w:val="000000" w:themeColor="text1"/>
                <w:kern w:val="2"/>
                <w:sz w:val="21"/>
                <w:szCs w:val="21"/>
                <w:lang w:val="en-US" w:eastAsia="zh-CN" w:bidi="ar-SA"/>
                <w14:textFill>
                  <w14:solidFill>
                    <w14:schemeClr w14:val="tx1"/>
                  </w14:solidFill>
                </w14:textFill>
              </w:rPr>
              <w:t>定期检查</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w:t>
            </w:r>
          </w:p>
        </w:tc>
      </w:tr>
      <w:tr w14:paraId="1777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6B1129D2">
            <w:pPr>
              <w:pStyle w:val="71"/>
              <w:keepNext w:val="0"/>
              <w:keepLines w:val="0"/>
              <w:pageBreakBefore w:val="0"/>
              <w:widowControl w:val="0"/>
              <w:kinsoku/>
              <w:wordWrap/>
              <w:overflowPunct/>
              <w:topLinePunct w:val="0"/>
              <w:bidi w:val="0"/>
              <w:snapToGrid/>
              <w:spacing w:line="400" w:lineRule="exact"/>
              <w:jc w:val="center"/>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6</w:t>
            </w:r>
          </w:p>
        </w:tc>
        <w:tc>
          <w:tcPr>
            <w:tcW w:w="2306" w:type="pct"/>
            <w:vAlign w:val="center"/>
          </w:tcPr>
          <w:p w14:paraId="2435AD5A">
            <w:pPr>
              <w:pStyle w:val="330"/>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未提供主要负责人、安全生产管理人员证书</w:t>
            </w:r>
          </w:p>
        </w:tc>
        <w:tc>
          <w:tcPr>
            <w:tcW w:w="2286" w:type="pct"/>
            <w:vAlign w:val="center"/>
          </w:tcPr>
          <w:p w14:paraId="7AF280BF">
            <w:pPr>
              <w:pStyle w:val="71"/>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按要求参加培训取证</w:t>
            </w:r>
          </w:p>
        </w:tc>
      </w:tr>
      <w:tr w14:paraId="5575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13EE2C06">
            <w:pPr>
              <w:pStyle w:val="71"/>
              <w:keepNext w:val="0"/>
              <w:keepLines w:val="0"/>
              <w:pageBreakBefore w:val="0"/>
              <w:widowControl w:val="0"/>
              <w:kinsoku/>
              <w:wordWrap/>
              <w:overflowPunct/>
              <w:topLinePunct w:val="0"/>
              <w:bidi w:val="0"/>
              <w:snapToGrid/>
              <w:spacing w:line="400" w:lineRule="exact"/>
              <w:jc w:val="center"/>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7</w:t>
            </w:r>
          </w:p>
        </w:tc>
        <w:tc>
          <w:tcPr>
            <w:tcW w:w="2306" w:type="pct"/>
            <w:vAlign w:val="center"/>
          </w:tcPr>
          <w:p w14:paraId="6436C0F1">
            <w:pPr>
              <w:pStyle w:val="330"/>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无防雷检测报告</w:t>
            </w:r>
          </w:p>
        </w:tc>
        <w:tc>
          <w:tcPr>
            <w:tcW w:w="2286" w:type="pct"/>
            <w:vAlign w:val="center"/>
          </w:tcPr>
          <w:p w14:paraId="6817C8AC">
            <w:pPr>
              <w:keepNext w:val="0"/>
              <w:keepLines w:val="0"/>
              <w:widowControl/>
              <w:suppressLineNumbers w:val="0"/>
              <w:jc w:val="left"/>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hAnsi="宋体" w:cs="宋体"/>
                <w:b w:val="0"/>
                <w:bCs w:val="0"/>
                <w:color w:val="000000" w:themeColor="text1"/>
                <w:sz w:val="21"/>
                <w:szCs w:val="21"/>
                <w:lang w:val="en-US" w:eastAsia="zh-CN"/>
                <w14:textFill>
                  <w14:solidFill>
                    <w14:schemeClr w14:val="tx1"/>
                  </w14:solidFill>
                </w14:textFill>
              </w:rPr>
              <w:t>委托有资质企业进行防雷检测并出具报告</w:t>
            </w:r>
          </w:p>
        </w:tc>
      </w:tr>
    </w:tbl>
    <w:p w14:paraId="6F1F65B4">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59" w:name="_Toc4963"/>
      <w:r>
        <w:rPr>
          <w:rFonts w:hint="default" w:ascii="Times New Roman" w:hAnsi="Times New Roman" w:eastAsia="楷体" w:cs="Times New Roman"/>
          <w:color w:val="000000" w:themeColor="text1"/>
          <w14:textFill>
            <w14:solidFill>
              <w14:schemeClr w14:val="tx1"/>
            </w14:solidFill>
          </w14:textFill>
        </w:rPr>
        <w:t>6.2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安全技术对策措施</w:t>
      </w:r>
      <w:bookmarkEnd w:id="853"/>
      <w:r>
        <w:rPr>
          <w:rFonts w:hint="default" w:ascii="Times New Roman" w:hAnsi="Times New Roman" w:eastAsia="楷体" w:cs="Times New Roman"/>
          <w:color w:val="000000" w:themeColor="text1"/>
          <w14:textFill>
            <w14:solidFill>
              <w14:schemeClr w14:val="tx1"/>
            </w14:solidFill>
          </w14:textFill>
        </w:rPr>
        <w:t>建议</w:t>
      </w:r>
      <w:bookmarkEnd w:id="854"/>
      <w:bookmarkEnd w:id="855"/>
      <w:bookmarkEnd w:id="856"/>
      <w:bookmarkEnd w:id="857"/>
      <w:bookmarkEnd w:id="858"/>
      <w:bookmarkEnd w:id="859"/>
    </w:p>
    <w:p w14:paraId="4C3122BD">
      <w:pPr>
        <w:keepNext w:val="0"/>
        <w:keepLines w:val="0"/>
        <w:pageBreakBefore w:val="0"/>
        <w:widowControl w:val="0"/>
        <w:numPr>
          <w:ilvl w:val="0"/>
          <w:numId w:val="0"/>
        </w:numPr>
        <w:tabs>
          <w:tab w:val="left" w:pos="420"/>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1．</w:t>
      </w:r>
      <w:r>
        <w:rPr>
          <w:rFonts w:hint="default" w:ascii="Times New Roman" w:hAnsi="Times New Roman" w:cs="Times New Roman"/>
          <w:color w:val="000000" w:themeColor="text1"/>
          <w:sz w:val="28"/>
          <w:szCs w:val="28"/>
          <w14:textFill>
            <w14:solidFill>
              <w14:schemeClr w14:val="tx1"/>
            </w14:solidFill>
          </w14:textFill>
        </w:rPr>
        <w:t>应根据各作业岗位的危险性配置完善相应的应急器材、药品和个人防护用品。</w:t>
      </w:r>
    </w:p>
    <w:p w14:paraId="01C6EAED">
      <w:pPr>
        <w:keepNext w:val="0"/>
        <w:keepLines w:val="0"/>
        <w:pageBreakBefore w:val="0"/>
        <w:widowControl w:val="0"/>
        <w:numPr>
          <w:ilvl w:val="0"/>
          <w:numId w:val="0"/>
        </w:numPr>
        <w:tabs>
          <w:tab w:val="left" w:pos="420"/>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2．</w:t>
      </w:r>
      <w:r>
        <w:rPr>
          <w:rFonts w:hint="default" w:ascii="Times New Roman" w:hAnsi="Times New Roman" w:cs="Times New Roman"/>
          <w:color w:val="000000" w:themeColor="text1"/>
          <w:sz w:val="28"/>
          <w:szCs w:val="28"/>
          <w14:textFill>
            <w14:solidFill>
              <w14:schemeClr w14:val="tx1"/>
            </w14:solidFill>
          </w14:textFill>
        </w:rPr>
        <w:t>企业应根据国家相关法规、规范要求并结合自身实际情况制定完善安全生产责任制（应包括各部门和各级人员）；制定完善安全管理制度（安全奖惩考核制度、检维修制度等）及</w:t>
      </w:r>
      <w:r>
        <w:rPr>
          <w:rFonts w:hint="default" w:ascii="Times New Roman" w:hAnsi="Times New Roman" w:cs="Times New Roman"/>
          <w:color w:val="000000" w:themeColor="text1"/>
          <w:sz w:val="28"/>
          <w:szCs w:val="28"/>
          <w:lang w:eastAsia="zh-CN"/>
          <w14:textFill>
            <w14:solidFill>
              <w14:schemeClr w14:val="tx1"/>
            </w14:solidFill>
          </w14:textFill>
        </w:rPr>
        <w:t>台账</w:t>
      </w:r>
      <w:r>
        <w:rPr>
          <w:rFonts w:hint="default" w:ascii="Times New Roman" w:hAnsi="Times New Roman" w:cs="Times New Roman"/>
          <w:color w:val="000000" w:themeColor="text1"/>
          <w:sz w:val="28"/>
          <w:szCs w:val="28"/>
          <w14:textFill>
            <w14:solidFill>
              <w14:schemeClr w14:val="tx1"/>
            </w14:solidFill>
          </w14:textFill>
        </w:rPr>
        <w:t>记录。</w:t>
      </w:r>
    </w:p>
    <w:p w14:paraId="412CCC86">
      <w:pPr>
        <w:keepNext w:val="0"/>
        <w:keepLines w:val="0"/>
        <w:pageBreakBefore w:val="0"/>
        <w:widowControl w:val="0"/>
        <w:numPr>
          <w:ilvl w:val="0"/>
          <w:numId w:val="0"/>
        </w:numPr>
        <w:tabs>
          <w:tab w:val="left" w:pos="420"/>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3．</w:t>
      </w:r>
      <w:r>
        <w:rPr>
          <w:rFonts w:hint="default" w:ascii="Times New Roman" w:hAnsi="Times New Roman" w:cs="Times New Roman"/>
          <w:color w:val="000000" w:themeColor="text1"/>
          <w:sz w:val="28"/>
          <w:szCs w:val="28"/>
          <w14:textFill>
            <w14:solidFill>
              <w14:schemeClr w14:val="tx1"/>
            </w14:solidFill>
          </w14:textFill>
        </w:rPr>
        <w:t>企业应根据《生产经营单位生产安全事故应急预案编制导则》（GB/T29639-2020）</w:t>
      </w:r>
      <w:r>
        <w:rPr>
          <w:rFonts w:hint="default"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《生产安全事故应急预案管理办法》（国家安全生产监督管理总局令第88号，应急管理部第2号修改，2019年9月1日起实施）的要求，定期组织企业相关人员进行应急演练，对演练</w:t>
      </w:r>
      <w:r>
        <w:rPr>
          <w:rFonts w:hint="default" w:ascii="Times New Roman" w:hAnsi="Times New Roman" w:cs="Times New Roman"/>
          <w:color w:val="000000" w:themeColor="text1"/>
          <w:sz w:val="28"/>
          <w:szCs w:val="28"/>
          <w:lang w:eastAsia="zh-CN"/>
          <w14:textFill>
            <w14:solidFill>
              <w14:schemeClr w14:val="tx1"/>
            </w14:solidFill>
          </w14:textFill>
        </w:rPr>
        <w:t>效</w:t>
      </w:r>
      <w:r>
        <w:rPr>
          <w:rFonts w:hint="default" w:ascii="Times New Roman" w:hAnsi="Times New Roman" w:cs="Times New Roman"/>
          <w:color w:val="000000" w:themeColor="text1"/>
          <w:sz w:val="28"/>
          <w:szCs w:val="28"/>
          <w14:textFill>
            <w14:solidFill>
              <w14:schemeClr w14:val="tx1"/>
            </w14:solidFill>
          </w14:textFill>
        </w:rPr>
        <w:t>果进行评估，对评估存在的问题及时修订。</w:t>
      </w:r>
    </w:p>
    <w:p w14:paraId="4B42240B">
      <w:pPr>
        <w:keepNext w:val="0"/>
        <w:keepLines w:val="0"/>
        <w:pageBreakBefore w:val="0"/>
        <w:widowControl w:val="0"/>
        <w:numPr>
          <w:ilvl w:val="0"/>
          <w:numId w:val="0"/>
        </w:numPr>
        <w:tabs>
          <w:tab w:val="left" w:pos="420"/>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4．</w:t>
      </w:r>
      <w:r>
        <w:rPr>
          <w:rFonts w:hint="default" w:ascii="Times New Roman" w:hAnsi="Times New Roman" w:cs="Times New Roman"/>
          <w:color w:val="000000" w:themeColor="text1"/>
          <w:sz w:val="28"/>
          <w:szCs w:val="28"/>
          <w14:textFill>
            <w14:solidFill>
              <w14:schemeClr w14:val="tx1"/>
            </w14:solidFill>
          </w14:textFill>
        </w:rPr>
        <w:t>制定、完善和严格执行设备检修管理制度、供配电管理制度、各岗位安全操作规程，严防检修过程安全生产事故发生。</w:t>
      </w:r>
    </w:p>
    <w:p w14:paraId="6F7C3F29">
      <w:pPr>
        <w:keepNext w:val="0"/>
        <w:keepLines w:val="0"/>
        <w:pageBreakBefore w:val="0"/>
        <w:widowControl w:val="0"/>
        <w:numPr>
          <w:ilvl w:val="0"/>
          <w:numId w:val="0"/>
        </w:numPr>
        <w:tabs>
          <w:tab w:val="left" w:pos="420"/>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5．</w:t>
      </w:r>
      <w:r>
        <w:rPr>
          <w:rFonts w:hint="default" w:ascii="Times New Roman" w:hAnsi="Times New Roman" w:cs="Times New Roman"/>
          <w:color w:val="000000" w:themeColor="text1"/>
          <w:sz w:val="28"/>
          <w:szCs w:val="28"/>
          <w14:textFill>
            <w14:solidFill>
              <w14:schemeClr w14:val="tx1"/>
            </w14:solidFill>
          </w14:textFill>
        </w:rPr>
        <w:t>加强设备管理和维护检修工作，消除设备缺陷和隐患，对设备隐患一定要及时处理，提出相应的整改措施，并监督落实，认真进行设备检修及事故隐患整改记录，杜绝设备的带病运转现象，为安全生产提供坚实的物质保障。</w:t>
      </w:r>
    </w:p>
    <w:p w14:paraId="0F42E42B">
      <w:pPr>
        <w:keepNext w:val="0"/>
        <w:keepLines w:val="0"/>
        <w:pageBreakBefore w:val="0"/>
        <w:widowControl w:val="0"/>
        <w:tabs>
          <w:tab w:val="left" w:pos="993"/>
        </w:tabs>
        <w:kinsoku/>
        <w:wordWrap/>
        <w:overflowPunct/>
        <w:topLinePunct w:val="0"/>
        <w:autoSpaceDE/>
        <w:autoSpaceDN/>
        <w:bidi w:val="0"/>
        <w:adjustRightInd/>
        <w:snapToGrid/>
        <w:spacing w:line="520" w:lineRule="exact"/>
        <w:ind w:left="120" w:leftChars="5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（1）根据设备检修项目要求，在检修前制定设备检修方案，落实检修人员、检修组织、安全措施；</w:t>
      </w:r>
    </w:p>
    <w:p w14:paraId="183AD1D8">
      <w:pPr>
        <w:keepNext w:val="0"/>
        <w:keepLines w:val="0"/>
        <w:pageBreakBefore w:val="0"/>
        <w:widowControl w:val="0"/>
        <w:tabs>
          <w:tab w:val="left" w:pos="630"/>
          <w:tab w:val="left" w:pos="993"/>
        </w:tabs>
        <w:kinsoku/>
        <w:wordWrap/>
        <w:overflowPunct/>
        <w:topLinePunct w:val="0"/>
        <w:autoSpaceDE/>
        <w:autoSpaceDN/>
        <w:bidi w:val="0"/>
        <w:adjustRightInd/>
        <w:snapToGrid/>
        <w:spacing w:line="520" w:lineRule="exact"/>
        <w:ind w:left="120" w:leftChars="5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（2）设备检修如须高处作业、动火、动土、断路、吊装、进入设备内作业等应严格执行国家相关规范及厂内相关规定；</w:t>
      </w:r>
    </w:p>
    <w:p w14:paraId="5FBF2511">
      <w:pPr>
        <w:keepNext w:val="0"/>
        <w:keepLines w:val="0"/>
        <w:pageBreakBefore w:val="0"/>
        <w:widowControl w:val="0"/>
        <w:tabs>
          <w:tab w:val="left" w:pos="630"/>
          <w:tab w:val="left" w:pos="993"/>
        </w:tabs>
        <w:kinsoku/>
        <w:wordWrap/>
        <w:overflowPunct/>
        <w:topLinePunct w:val="0"/>
        <w:autoSpaceDE/>
        <w:autoSpaceDN/>
        <w:bidi w:val="0"/>
        <w:adjustRightInd/>
        <w:snapToGrid/>
        <w:spacing w:line="520" w:lineRule="exact"/>
        <w:ind w:left="120" w:leftChars="5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eastAsia="zh-CN"/>
          <w14:textFill>
            <w14:solidFill>
              <w14:schemeClr w14:val="tx1"/>
            </w14:solidFill>
          </w14:textFill>
        </w:rPr>
        <w:t>3</w:t>
      </w:r>
      <w:r>
        <w:rPr>
          <w:rFonts w:hint="default" w:ascii="Times New Roman" w:hAnsi="Times New Roman" w:cs="Times New Roman"/>
          <w:color w:val="000000" w:themeColor="text1"/>
          <w:sz w:val="28"/>
          <w:szCs w:val="28"/>
          <w14:textFill>
            <w14:solidFill>
              <w14:schemeClr w14:val="tx1"/>
            </w14:solidFill>
          </w14:textFill>
        </w:rPr>
        <w:t>）电气设备检修作业须遵守电气安全工作规定，由具有相关电工作业资质人员担任；</w:t>
      </w:r>
    </w:p>
    <w:p w14:paraId="7F88C411">
      <w:pPr>
        <w:keepNext w:val="0"/>
        <w:keepLines w:val="0"/>
        <w:pageBreakBefore w:val="0"/>
        <w:widowControl w:val="0"/>
        <w:tabs>
          <w:tab w:val="left" w:pos="630"/>
          <w:tab w:val="left" w:pos="993"/>
        </w:tabs>
        <w:kinsoku/>
        <w:wordWrap/>
        <w:overflowPunct/>
        <w:topLinePunct w:val="0"/>
        <w:autoSpaceDE/>
        <w:autoSpaceDN/>
        <w:bidi w:val="0"/>
        <w:adjustRightInd/>
        <w:snapToGrid/>
        <w:spacing w:line="520" w:lineRule="exact"/>
        <w:ind w:left="120" w:leftChars="5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eastAsia="zh-CN"/>
          <w14:textFill>
            <w14:solidFill>
              <w14:schemeClr w14:val="tx1"/>
            </w14:solidFill>
          </w14:textFill>
        </w:rPr>
        <w:t>4</w:t>
      </w:r>
      <w:r>
        <w:rPr>
          <w:rFonts w:hint="default" w:ascii="Times New Roman" w:hAnsi="Times New Roman" w:cs="Times New Roman"/>
          <w:color w:val="000000" w:themeColor="text1"/>
          <w:sz w:val="28"/>
          <w:szCs w:val="28"/>
          <w14:textFill>
            <w14:solidFill>
              <w14:schemeClr w14:val="tx1"/>
            </w14:solidFill>
          </w14:textFill>
        </w:rPr>
        <w:t>）检修完成应将检修需要而拆移的盖板、篦子板、扶手、栏杆、防护罩等安全设施要恢复正常；</w:t>
      </w:r>
    </w:p>
    <w:p w14:paraId="380020AE">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6．</w:t>
      </w:r>
      <w:r>
        <w:rPr>
          <w:rFonts w:hint="default" w:ascii="Times New Roman" w:hAnsi="Times New Roman" w:cs="Times New Roman"/>
          <w:color w:val="000000" w:themeColor="text1"/>
          <w:sz w:val="28"/>
          <w:szCs w:val="28"/>
          <w14:textFill>
            <w14:solidFill>
              <w14:schemeClr w14:val="tx1"/>
            </w14:solidFill>
          </w14:textFill>
        </w:rPr>
        <w:t>企业应按规范要求完善消防设施的配置，指定专人负责消防器材的定期检查保养工作，确保消防器材处于完好有效的状态；</w:t>
      </w:r>
    </w:p>
    <w:p w14:paraId="53414F59">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7．</w:t>
      </w:r>
      <w:r>
        <w:rPr>
          <w:rFonts w:hint="default" w:ascii="Times New Roman" w:hAnsi="Times New Roman" w:cs="Times New Roman"/>
          <w:color w:val="000000" w:themeColor="text1"/>
          <w:sz w:val="28"/>
          <w:szCs w:val="28"/>
          <w14:textFill>
            <w14:solidFill>
              <w14:schemeClr w14:val="tx1"/>
            </w14:solidFill>
          </w14:textFill>
        </w:rPr>
        <w:t>消防器材应当设置在明显和便于取用的地方，任何人不得随便移动，不得上锁，不得受阳光</w:t>
      </w:r>
      <w:r>
        <w:rPr>
          <w:rFonts w:hint="default" w:ascii="Times New Roman" w:hAnsi="Times New Roman" w:cs="Times New Roman"/>
          <w:color w:val="000000" w:themeColor="text1"/>
          <w:sz w:val="28"/>
          <w:szCs w:val="28"/>
          <w:lang w:eastAsia="zh-CN"/>
          <w14:textFill>
            <w14:solidFill>
              <w14:schemeClr w14:val="tx1"/>
            </w14:solidFill>
          </w14:textFill>
        </w:rPr>
        <w:t>暴晒</w:t>
      </w:r>
      <w:r>
        <w:rPr>
          <w:rFonts w:hint="default" w:ascii="Times New Roman" w:hAnsi="Times New Roman" w:cs="Times New Roman"/>
          <w:color w:val="000000" w:themeColor="text1"/>
          <w:sz w:val="28"/>
          <w:szCs w:val="28"/>
          <w14:textFill>
            <w14:solidFill>
              <w14:schemeClr w14:val="tx1"/>
            </w14:solidFill>
          </w14:textFill>
        </w:rPr>
        <w:t>、火烤、雨淋，一经使用，应立即更换，不得空置或随意丢弃；</w:t>
      </w:r>
    </w:p>
    <w:p w14:paraId="759A4553">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eastAsia="宋体" w:cs="Times New Roman"/>
          <w:color w:val="000000" w:themeColor="text1"/>
          <w:sz w:val="28"/>
          <w:lang w:val="en-US" w:eastAsia="zh-CN" w:bidi="ar-SA"/>
          <w14:textFill>
            <w14:solidFill>
              <w14:schemeClr w14:val="tx1"/>
            </w14:solidFill>
          </w14:textFill>
        </w:rPr>
        <w:t>8．</w:t>
      </w:r>
      <w:r>
        <w:rPr>
          <w:rFonts w:hint="default" w:ascii="Times New Roman" w:hAnsi="Times New Roman" w:cs="Times New Roman"/>
          <w:color w:val="000000" w:themeColor="text1"/>
          <w:sz w:val="28"/>
          <w14:textFill>
            <w14:solidFill>
              <w14:schemeClr w14:val="tx1"/>
            </w14:solidFill>
          </w14:textFill>
        </w:rPr>
        <w:t>电气设备可能被人触及的裸露带电部分，必须设置保护罩或遮栏及警示标志。</w:t>
      </w:r>
    </w:p>
    <w:p w14:paraId="01853802">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bidi="ar-SA"/>
          <w14:textFill>
            <w14:solidFill>
              <w14:schemeClr w14:val="tx1"/>
            </w14:solidFill>
          </w14:textFill>
        </w:rPr>
        <w:t>9．</w:t>
      </w:r>
      <w:r>
        <w:rPr>
          <w:rFonts w:hint="default" w:ascii="Times New Roman" w:hAnsi="Times New Roman" w:cs="Times New Roman"/>
          <w:color w:val="000000" w:themeColor="text1"/>
          <w:sz w:val="28"/>
          <w14:textFill>
            <w14:solidFill>
              <w14:schemeClr w14:val="tx1"/>
            </w14:solidFill>
          </w14:textFill>
        </w:rPr>
        <w:t>电气设备和装置的金属框架或外壳等，应按有关规定进行保护接地，在电机配出回路中设漏电保护装置。</w:t>
      </w:r>
    </w:p>
    <w:p w14:paraId="3889E282">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20" w:lineRule="exact"/>
        <w:ind w:left="0" w:leftChars="0" w:firstLine="560" w:firstLineChars="200"/>
        <w:textAlignment w:val="auto"/>
        <w:rPr>
          <w:rFonts w:hint="eastAsia" w:ascii="Times New Roman" w:cs="Times New Roman"/>
          <w:color w:val="000000" w:themeColor="text1"/>
          <w:sz w:val="28"/>
          <w:lang w:val="en-US" w:eastAsia="zh-CN"/>
          <w14:textFill>
            <w14:solidFill>
              <w14:schemeClr w14:val="tx1"/>
            </w14:solidFill>
          </w14:textFill>
        </w:rPr>
      </w:pPr>
      <w:r>
        <w:rPr>
          <w:rFonts w:hint="eastAsia" w:ascii="Times New Roman" w:cs="Times New Roman"/>
          <w:color w:val="000000" w:themeColor="text1"/>
          <w:sz w:val="28"/>
          <w:lang w:val="en-US" w:eastAsia="zh-CN"/>
          <w14:textFill>
            <w14:solidFill>
              <w14:schemeClr w14:val="tx1"/>
            </w14:solidFill>
          </w14:textFill>
        </w:rPr>
        <w:t>10.特种设备、绝缘器具、压力容器及其安全附件，应定期检定。</w:t>
      </w:r>
    </w:p>
    <w:p w14:paraId="5D81D69B">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60" w:name="_Toc313453634"/>
      <w:bookmarkStart w:id="861" w:name="_Toc6881"/>
      <w:bookmarkStart w:id="862" w:name="_Toc29652"/>
      <w:bookmarkStart w:id="863" w:name="_Toc8580"/>
      <w:bookmarkStart w:id="864" w:name="_Toc10362"/>
      <w:bookmarkStart w:id="865" w:name="_Toc335926319"/>
      <w:bookmarkStart w:id="866" w:name="_Toc28444"/>
      <w:r>
        <w:rPr>
          <w:rFonts w:hint="default" w:ascii="Times New Roman" w:hAnsi="Times New Roman" w:eastAsia="楷体" w:cs="Times New Roman"/>
          <w:color w:val="000000" w:themeColor="text1"/>
          <w14:textFill>
            <w14:solidFill>
              <w14:schemeClr w14:val="tx1"/>
            </w14:solidFill>
          </w14:textFill>
        </w:rPr>
        <w:t>6.3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安全生产管理</w:t>
      </w:r>
      <w:bookmarkEnd w:id="860"/>
      <w:r>
        <w:rPr>
          <w:rFonts w:hint="default" w:ascii="Times New Roman" w:hAnsi="Times New Roman" w:eastAsia="楷体" w:cs="Times New Roman"/>
          <w:color w:val="000000" w:themeColor="text1"/>
          <w14:textFill>
            <w14:solidFill>
              <w14:schemeClr w14:val="tx1"/>
            </w14:solidFill>
          </w14:textFill>
        </w:rPr>
        <w:t>建议</w:t>
      </w:r>
      <w:bookmarkEnd w:id="861"/>
      <w:bookmarkEnd w:id="862"/>
      <w:bookmarkEnd w:id="863"/>
      <w:bookmarkEnd w:id="864"/>
      <w:bookmarkEnd w:id="865"/>
      <w:bookmarkEnd w:id="866"/>
    </w:p>
    <w:p w14:paraId="6DFFFAAD">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color w:val="000000" w:themeColor="text1"/>
          <w:sz w:val="28"/>
          <w:szCs w:val="22"/>
          <w14:textFill>
            <w14:solidFill>
              <w14:schemeClr w14:val="tx1"/>
            </w14:solidFill>
          </w14:textFill>
        </w:rPr>
      </w:pPr>
      <w:r>
        <w:rPr>
          <w:rFonts w:hint="default" w:ascii="Times New Roman" w:hAnsi="Times New Roman" w:eastAsia="宋体" w:cs="Times New Roman"/>
          <w:color w:val="000000" w:themeColor="text1"/>
          <w:sz w:val="28"/>
          <w:szCs w:val="22"/>
          <w:lang w:val="en-US" w:eastAsia="zh-CN" w:bidi="ar-SA"/>
          <w14:textFill>
            <w14:solidFill>
              <w14:schemeClr w14:val="tx1"/>
            </w14:solidFill>
          </w14:textFill>
        </w:rPr>
        <w:t>1．</w:t>
      </w:r>
      <w:r>
        <w:rPr>
          <w:rFonts w:hint="default" w:ascii="Times New Roman" w:hAnsi="Times New Roman" w:cs="Times New Roman"/>
          <w:color w:val="000000" w:themeColor="text1"/>
          <w:sz w:val="28"/>
          <w:szCs w:val="22"/>
          <w14:textFill>
            <w14:solidFill>
              <w14:schemeClr w14:val="tx1"/>
            </w14:solidFill>
          </w14:textFill>
        </w:rPr>
        <w:t>应根据《国务院关于进一步加强企业安全生产工作的通知》（国发〔2010〕23号）的要求，全面加强企业安全管理，健全规章制度，完善安全标准，提高企业技术水平，夯实安全生产基础；坚持依法依规进行生产。注意做到以下几点：</w:t>
      </w:r>
    </w:p>
    <w:p w14:paraId="0AD16A85">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（1）进一步规范企业生产经营行为。企业要健全完善严格的安全生产规章制度，坚持不安全不生产。加强对生产现场监督检查，严格查处违章指挥、违规作业、违反劳动纪律的“三违”行为。</w:t>
      </w:r>
    </w:p>
    <w:p w14:paraId="290F1688">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及时排查治理安全隐患。企业要经常性开展安全隐患排查，并切实做到整改措施、责任、资金、时限和预案“五到位”。建立以安全生产专业人员为主导的隐患整改效果评价制度，确保整改到位。对隐患整改不力造成事故的，要依法追究企业和企业相关负责人的责任。对停产整改逾期未完成的不得复产。</w:t>
      </w:r>
    </w:p>
    <w:p w14:paraId="4ECBE53E">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（3）强化职工安全培训。企业主要负责人和安全生产管理人员、特</w:t>
      </w:r>
      <w:r>
        <w:rPr>
          <w:rFonts w:hint="eastAsia" w:ascii="Times New Roman" w:cs="Times New Roman"/>
          <w:color w:val="000000" w:themeColor="text1"/>
          <w:sz w:val="28"/>
          <w:szCs w:val="28"/>
          <w:lang w:val="en-US" w:eastAsia="zh-CN"/>
          <w14:textFill>
            <w14:solidFill>
              <w14:schemeClr w14:val="tx1"/>
            </w14:solidFill>
          </w14:textFill>
        </w:rPr>
        <w:t>种作业人员</w:t>
      </w:r>
      <w:r>
        <w:rPr>
          <w:rFonts w:hint="default" w:ascii="Times New Roman" w:hAnsi="Times New Roman" w:cs="Times New Roman"/>
          <w:color w:val="000000" w:themeColor="text1"/>
          <w:sz w:val="28"/>
          <w:szCs w:val="28"/>
          <w14:textFill>
            <w14:solidFill>
              <w14:schemeClr w14:val="tx1"/>
            </w14:solidFill>
          </w14:textFill>
        </w:rPr>
        <w:t>一律严格考核，按国家有关规定持职业资格证书上岗；职工必须全部经过培训合格后上岗。企业用工要严格依照劳动合同法与职工签订劳动合同。</w:t>
      </w:r>
    </w:p>
    <w:p w14:paraId="4C6CDAC0">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（4）加强企业生产技术管理。强化企业技术管理机构的安全职能，按规定配备安全技术人员，切实落实企业负责人安全生产技术管理负责制，强化企业主要技术负责人技术决策和指挥权。</w:t>
      </w:r>
    </w:p>
    <w:p w14:paraId="5FAC1E23">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（5）强制推行先进适用的技术装备，积极推进信息化建设，努力提高企业安全防护水平。</w:t>
      </w:r>
    </w:p>
    <w:p w14:paraId="6B2AF953">
      <w:pPr>
        <w:keepNext w:val="0"/>
        <w:keepLines w:val="0"/>
        <w:pageBreakBefore w:val="0"/>
        <w:widowControl w:val="0"/>
        <w:kinsoku/>
        <w:wordWrap/>
        <w:overflowPunct/>
        <w:topLinePunct w:val="0"/>
        <w:autoSpaceDE/>
        <w:autoSpaceDN/>
        <w:bidi w:val="0"/>
        <w:spacing w:line="520" w:lineRule="exact"/>
        <w:ind w:left="0"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（6）加快安全生产技术研发。企业在年度财务预算中必须确定必要的安全投入。</w:t>
      </w:r>
    </w:p>
    <w:p w14:paraId="03979794">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sz w:val="28"/>
          <w:szCs w:val="22"/>
          <w14:textFill>
            <w14:solidFill>
              <w14:schemeClr w14:val="tx1"/>
            </w14:solidFill>
          </w14:textFill>
        </w:rPr>
        <w:t>公司领导及安全管理人员应不断提高自身的综合安全管理水平，并应取得相应的安全资格证书；加强对在职职工及新进人员的安全教育工作，进行风险预警和告知，教育员工树立“安全第一，预防为主，综合治理”的思想，提高全体员工的安全意识和自我保护能力；并做好日常的安全教育培训记录；严禁违章作业、违章指挥；安全管理人员及特种设备作业人员应全员参加培训，经考核合格后，持证上岗。</w:t>
      </w:r>
    </w:p>
    <w:p w14:paraId="684F54D7">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sz w:val="28"/>
          <w:szCs w:val="22"/>
          <w14:textFill>
            <w14:solidFill>
              <w14:schemeClr w14:val="tx1"/>
            </w14:solidFill>
          </w14:textFill>
        </w:rPr>
        <w:t>加强操作人员的职业技能培训，提高人员的安全操作技能；加强生产过程中的各个环节的安全管理，操作人员要严格按照操作规程进行操作，严禁违规操作。</w:t>
      </w:r>
    </w:p>
    <w:p w14:paraId="1D0642D0">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sz w:val="28"/>
          <w:szCs w:val="22"/>
          <w14:textFill>
            <w14:solidFill>
              <w14:schemeClr w14:val="tx1"/>
            </w14:solidFill>
          </w14:textFill>
        </w:rPr>
        <w:t>根据生产的实际情况，不断完善安全生产管理规章制度；完善生产、检修等作业的安全操作规程；做好安全</w:t>
      </w:r>
      <w:r>
        <w:rPr>
          <w:rFonts w:hint="default" w:ascii="Times New Roman" w:hAnsi="Times New Roman" w:cs="Times New Roman" w:eastAsiaTheme="minorEastAsia"/>
          <w:color w:val="000000" w:themeColor="text1"/>
          <w:sz w:val="28"/>
          <w:szCs w:val="22"/>
          <w:lang w:eastAsia="zh-CN"/>
          <w14:textFill>
            <w14:solidFill>
              <w14:schemeClr w14:val="tx1"/>
            </w14:solidFill>
          </w14:textFill>
        </w:rPr>
        <w:t>管理台账</w:t>
      </w:r>
      <w:r>
        <w:rPr>
          <w:rFonts w:hint="default" w:ascii="Times New Roman" w:hAnsi="Times New Roman" w:cs="Times New Roman" w:eastAsiaTheme="minorEastAsia"/>
          <w:color w:val="000000" w:themeColor="text1"/>
          <w:sz w:val="28"/>
          <w:szCs w:val="22"/>
          <w14:textFill>
            <w14:solidFill>
              <w14:schemeClr w14:val="tx1"/>
            </w14:solidFill>
          </w14:textFill>
        </w:rPr>
        <w:t>的记录。</w:t>
      </w:r>
    </w:p>
    <w:p w14:paraId="2C98AB70">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sz w:val="28"/>
          <w:szCs w:val="22"/>
          <w14:textFill>
            <w14:solidFill>
              <w14:schemeClr w14:val="tx1"/>
            </w14:solidFill>
          </w14:textFill>
        </w:rPr>
        <w:t>针对厂内检修过程可能出现的事故特点，制定并不断完善设备检修管理制度，并严格监督执行。</w:t>
      </w:r>
    </w:p>
    <w:p w14:paraId="6E5CBF4B">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lang w:val="en-US" w:eastAsia="zh-CN" w:bidi="ar-SA"/>
          <w14:textFill>
            <w14:solidFill>
              <w14:schemeClr w14:val="tx1"/>
            </w14:solidFill>
          </w14:textFill>
        </w:rPr>
        <w:t>6．</w:t>
      </w:r>
      <w:r>
        <w:rPr>
          <w:rFonts w:hint="eastAsia" w:ascii="宋体" w:hAnsi="宋体" w:eastAsia="宋体" w:cs="宋体"/>
          <w:color w:val="000000" w:themeColor="text1"/>
          <w:sz w:val="28"/>
          <w:szCs w:val="22"/>
          <w14:textFill>
            <w14:solidFill>
              <w14:schemeClr w14:val="tx1"/>
            </w14:solidFill>
          </w14:textFill>
        </w:rPr>
        <w:t>每天定人定时对各生产区域进行安全检查（特别是危险场所），加强对工艺设备、输送管道的管理，及时维修、更换受损、老化的设备及管线；定期检查安全设施设备的有效性。</w:t>
      </w:r>
    </w:p>
    <w:p w14:paraId="004983EA">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lang w:eastAsia="zh-CN"/>
          <w14:textFill>
            <w14:solidFill>
              <w14:schemeClr w14:val="tx1"/>
            </w14:solidFill>
          </w14:textFill>
        </w:rPr>
      </w:pPr>
      <w:r>
        <w:rPr>
          <w:rFonts w:hint="eastAsia" w:ascii="宋体" w:hAnsi="宋体" w:eastAsia="宋体" w:cs="宋体"/>
          <w:color w:val="000000" w:themeColor="text1"/>
          <w:sz w:val="28"/>
          <w:szCs w:val="22"/>
          <w:lang w:val="en-US" w:eastAsia="zh-CN" w:bidi="ar-SA"/>
          <w14:textFill>
            <w14:solidFill>
              <w14:schemeClr w14:val="tx1"/>
            </w14:solidFill>
          </w14:textFill>
        </w:rPr>
        <w:t>7．</w:t>
      </w:r>
      <w:r>
        <w:rPr>
          <w:rFonts w:hint="eastAsia" w:ascii="宋体" w:hAnsi="宋体" w:eastAsia="宋体" w:cs="宋体"/>
          <w:color w:val="000000" w:themeColor="text1"/>
          <w:sz w:val="28"/>
          <w:szCs w:val="22"/>
          <w14:textFill>
            <w14:solidFill>
              <w14:schemeClr w14:val="tx1"/>
            </w14:solidFill>
          </w14:textFill>
        </w:rPr>
        <w:t>企业保证每年安全生产所需要的资金投入，使公司具备安全生产条件，安全设施投资应当纳入建设项目概算。安全资金主要用在以下方面</w:t>
      </w:r>
      <w:r>
        <w:rPr>
          <w:rFonts w:hint="eastAsia" w:ascii="宋体" w:hAnsi="宋体" w:eastAsia="宋体" w:cs="宋体"/>
          <w:color w:val="000000" w:themeColor="text1"/>
          <w:sz w:val="28"/>
          <w:szCs w:val="22"/>
          <w:lang w:eastAsia="zh-CN"/>
          <w14:textFill>
            <w14:solidFill>
              <w14:schemeClr w14:val="tx1"/>
            </w14:solidFill>
          </w14:textFill>
        </w:rPr>
        <w:t>：</w:t>
      </w:r>
    </w:p>
    <w:p w14:paraId="68A94918">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lang w:eastAsia="zh-CN"/>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1</w:t>
      </w:r>
      <w:r>
        <w:rPr>
          <w:rFonts w:hint="eastAsia" w:ascii="宋体" w:hAnsi="宋体" w:eastAsia="宋体" w:cs="宋体"/>
          <w:color w:val="000000" w:themeColor="text1"/>
          <w:sz w:val="28"/>
          <w:szCs w:val="22"/>
          <w:lang w:eastAsia="zh-CN"/>
          <w14:textFill>
            <w14:solidFill>
              <w14:schemeClr w14:val="tx1"/>
            </w14:solidFill>
          </w14:textFill>
        </w:rPr>
        <w:t>）</w:t>
      </w:r>
      <w:r>
        <w:rPr>
          <w:rFonts w:hint="eastAsia" w:ascii="宋体" w:hAnsi="宋体" w:eastAsia="宋体" w:cs="宋体"/>
          <w:color w:val="000000" w:themeColor="text1"/>
          <w:sz w:val="28"/>
          <w:szCs w:val="22"/>
          <w14:textFill>
            <w14:solidFill>
              <w14:schemeClr w14:val="tx1"/>
            </w14:solidFill>
          </w14:textFill>
        </w:rPr>
        <w:t>购置购建、更新改造、检测检验、检定校准、运行维护安全防护和紧急避险设施、设备支出[不含按照“建设项目安全设施必须与主体工程同时设计、同时施工、同时投入生产和使用”（以下简称“三同时”）规定投入的安全设施、设备]；</w:t>
      </w:r>
    </w:p>
    <w:p w14:paraId="4165FD41">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2</w:t>
      </w:r>
      <w:r>
        <w:rPr>
          <w:rFonts w:hint="eastAsia" w:ascii="宋体" w:hAnsi="宋体" w:eastAsia="宋体" w:cs="宋体"/>
          <w:color w:val="000000" w:themeColor="text1"/>
          <w:sz w:val="28"/>
          <w:szCs w:val="22"/>
          <w14:textFill>
            <w14:solidFill>
              <w14:schemeClr w14:val="tx1"/>
            </w14:solidFill>
          </w14:textFill>
        </w:rPr>
        <w:t>）购置、开发、推广应用、更新升级、运行维护安全生产信息系统、软件、网络安全、技术支出；</w:t>
      </w:r>
    </w:p>
    <w:p w14:paraId="00B170CC">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3</w:t>
      </w:r>
      <w:r>
        <w:rPr>
          <w:rFonts w:hint="eastAsia" w:ascii="宋体" w:hAnsi="宋体" w:eastAsia="宋体" w:cs="宋体"/>
          <w:color w:val="000000" w:themeColor="text1"/>
          <w:sz w:val="28"/>
          <w:szCs w:val="22"/>
          <w14:textFill>
            <w14:solidFill>
              <w14:schemeClr w14:val="tx1"/>
            </w14:solidFill>
          </w14:textFill>
        </w:rPr>
        <w:t>）配备、更新、维护、保养安全防护用品和应急救援器材、设备支出；</w:t>
      </w:r>
    </w:p>
    <w:p w14:paraId="3240EED8">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4</w:t>
      </w:r>
      <w:r>
        <w:rPr>
          <w:rFonts w:hint="eastAsia" w:ascii="宋体" w:hAnsi="宋体" w:eastAsia="宋体" w:cs="宋体"/>
          <w:color w:val="000000" w:themeColor="text1"/>
          <w:sz w:val="28"/>
          <w:szCs w:val="22"/>
          <w14:textFill>
            <w14:solidFill>
              <w14:schemeClr w14:val="tx1"/>
            </w14:solidFill>
          </w14:textFill>
        </w:rPr>
        <w:t>）企业应急救援队伍建设（含建设应急救援队伍所需应急救援物资储备、人员培训等方面）、安全生产宣传教育培训、从业人员发现报告事故隐患的奖励支出；</w:t>
      </w:r>
    </w:p>
    <w:p w14:paraId="001798CF">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5</w:t>
      </w:r>
      <w:r>
        <w:rPr>
          <w:rFonts w:hint="eastAsia" w:ascii="宋体" w:hAnsi="宋体" w:eastAsia="宋体" w:cs="宋体"/>
          <w:color w:val="000000" w:themeColor="text1"/>
          <w:sz w:val="28"/>
          <w:szCs w:val="22"/>
          <w14:textFill>
            <w14:solidFill>
              <w14:schemeClr w14:val="tx1"/>
            </w14:solidFill>
          </w14:textFill>
        </w:rPr>
        <w:t>）安全生产责任保险、承运人责任险等与安全生产直接相关的法定保险支出；</w:t>
      </w:r>
    </w:p>
    <w:p w14:paraId="244DEEFE">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themeColor="text1"/>
          <w:sz w:val="28"/>
          <w:szCs w:val="22"/>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6</w:t>
      </w:r>
      <w:r>
        <w:rPr>
          <w:rFonts w:hint="eastAsia" w:ascii="宋体" w:hAnsi="宋体" w:eastAsia="宋体" w:cs="宋体"/>
          <w:color w:val="000000" w:themeColor="text1"/>
          <w:sz w:val="28"/>
          <w:szCs w:val="22"/>
          <w14:textFill>
            <w14:solidFill>
              <w14:schemeClr w14:val="tx1"/>
            </w14:solidFill>
          </w14:textFill>
        </w:rPr>
        <w:t>）安全生产检查检测、评估评价（不含新建、改建、扩建项目安全评价）、评审、咨询、标准化建设、应急预案制修订、应急演练支出；</w:t>
      </w:r>
    </w:p>
    <w:p w14:paraId="21871981">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snapToGrid w:val="0"/>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2"/>
          <w:lang w:val="en-US" w:eastAsia="zh-CN"/>
          <w14:textFill>
            <w14:solidFill>
              <w14:schemeClr w14:val="tx1"/>
            </w14:solidFill>
          </w14:textFill>
        </w:rPr>
        <w:t>7</w:t>
      </w:r>
      <w:r>
        <w:rPr>
          <w:rFonts w:hint="eastAsia" w:ascii="宋体" w:hAnsi="宋体" w:eastAsia="宋体" w:cs="宋体"/>
          <w:color w:val="000000" w:themeColor="text1"/>
          <w:sz w:val="28"/>
          <w:szCs w:val="22"/>
          <w14:textFill>
            <w14:solidFill>
              <w14:schemeClr w14:val="tx1"/>
            </w14:solidFill>
          </w14:textFill>
        </w:rPr>
        <w:t>）与安全生产直接相关的其他支出。</w:t>
      </w:r>
    </w:p>
    <w:p w14:paraId="7815CF0B">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8．</w:t>
      </w:r>
      <w:r>
        <w:rPr>
          <w:rFonts w:hint="default" w:ascii="Times New Roman" w:hAnsi="Times New Roman" w:cs="Times New Roman" w:eastAsiaTheme="minorEastAsia"/>
          <w:color w:val="000000" w:themeColor="text1"/>
          <w:sz w:val="28"/>
          <w:szCs w:val="22"/>
          <w14:textFill>
            <w14:solidFill>
              <w14:schemeClr w14:val="tx1"/>
            </w14:solidFill>
          </w14:textFill>
        </w:rPr>
        <w:t>定期为作业人员配发合格的劳动防护用品（</w:t>
      </w:r>
      <w:r>
        <w:rPr>
          <w:rFonts w:hint="eastAsia" w:ascii="Times New Roman" w:cs="Times New Roman" w:eastAsiaTheme="minorEastAsia"/>
          <w:color w:val="000000" w:themeColor="text1"/>
          <w:sz w:val="28"/>
          <w:szCs w:val="22"/>
          <w:lang w:val="en-US" w:eastAsia="zh-CN"/>
          <w14:textFill>
            <w14:solidFill>
              <w14:schemeClr w14:val="tx1"/>
            </w14:solidFill>
          </w14:textFill>
        </w:rPr>
        <w:t>乳胶手套</w:t>
      </w:r>
      <w:r>
        <w:rPr>
          <w:rFonts w:hint="default" w:ascii="Times New Roman" w:hAnsi="Times New Roman" w:cs="Times New Roman" w:eastAsiaTheme="minorEastAsia"/>
          <w:color w:val="000000" w:themeColor="text1"/>
          <w:sz w:val="28"/>
          <w:szCs w:val="22"/>
          <w14:textFill>
            <w14:solidFill>
              <w14:schemeClr w14:val="tx1"/>
            </w14:solidFill>
          </w14:textFill>
        </w:rPr>
        <w:t>、防尘口罩等），并严格监督作业人员的</w:t>
      </w:r>
      <w:r>
        <w:rPr>
          <w:rFonts w:hint="eastAsia" w:ascii="Times New Roman" w:cs="Times New Roman" w:eastAsiaTheme="minorEastAsia"/>
          <w:color w:val="000000" w:themeColor="text1"/>
          <w:sz w:val="28"/>
          <w:szCs w:val="22"/>
          <w:lang w:val="en-US" w:eastAsia="zh-CN"/>
          <w14:textFill>
            <w14:solidFill>
              <w14:schemeClr w14:val="tx1"/>
            </w14:solidFill>
          </w14:textFill>
        </w:rPr>
        <w:t>正确佩戴</w:t>
      </w:r>
      <w:r>
        <w:rPr>
          <w:rFonts w:hint="default" w:ascii="Times New Roman" w:hAnsi="Times New Roman" w:cs="Times New Roman" w:eastAsiaTheme="minorEastAsia"/>
          <w:color w:val="000000" w:themeColor="text1"/>
          <w:sz w:val="28"/>
          <w:szCs w:val="22"/>
          <w14:textFill>
            <w14:solidFill>
              <w14:schemeClr w14:val="tx1"/>
            </w14:solidFill>
          </w14:textFill>
        </w:rPr>
        <w:t>，及时更换失效的劳动防护用品；由于其生产过程中会产生大量的粉尘，因此应保证作业人员的防尘装备有效，并定期对作业人员进行体检。</w:t>
      </w:r>
    </w:p>
    <w:p w14:paraId="7F446D21">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9．</w:t>
      </w:r>
      <w:r>
        <w:rPr>
          <w:rFonts w:hint="default" w:ascii="Times New Roman" w:hAnsi="Times New Roman" w:cs="Times New Roman" w:eastAsiaTheme="minorEastAsia"/>
          <w:color w:val="000000" w:themeColor="text1"/>
          <w:sz w:val="28"/>
          <w:szCs w:val="22"/>
          <w14:textFill>
            <w14:solidFill>
              <w14:schemeClr w14:val="tx1"/>
            </w14:solidFill>
          </w14:textFill>
        </w:rPr>
        <w:t>在各作业岗位将相关的安全岗位职责、安全管理制度及安全操作规程上墙；加强现场安全管理，配置现场安全监督检查人员。</w:t>
      </w:r>
    </w:p>
    <w:p w14:paraId="13FF2775">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10．</w:t>
      </w:r>
      <w:r>
        <w:rPr>
          <w:rFonts w:hint="default" w:ascii="Times New Roman" w:hAnsi="Times New Roman" w:cs="Times New Roman" w:eastAsiaTheme="minorEastAsia"/>
          <w:color w:val="000000" w:themeColor="text1"/>
          <w:sz w:val="28"/>
          <w:szCs w:val="22"/>
          <w14:textFill>
            <w14:solidFill>
              <w14:schemeClr w14:val="tx1"/>
            </w14:solidFill>
          </w14:textFill>
        </w:rPr>
        <w:t>根据厂区各危险场所的职业危害因素情况，定期对各危险场所的职业危害因素进行检测并配备相应的防护设施。</w:t>
      </w:r>
    </w:p>
    <w:p w14:paraId="6766434C">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11．</w:t>
      </w:r>
      <w:r>
        <w:rPr>
          <w:rFonts w:hint="default" w:ascii="Times New Roman" w:hAnsi="Times New Roman" w:cs="Times New Roman" w:eastAsiaTheme="minorEastAsia"/>
          <w:color w:val="000000" w:themeColor="text1"/>
          <w:sz w:val="28"/>
          <w:szCs w:val="22"/>
          <w14:textFill>
            <w14:solidFill>
              <w14:schemeClr w14:val="tx1"/>
            </w14:solidFill>
          </w14:textFill>
        </w:rPr>
        <w:t>各电气室应备有按规定经定期检查试验合格的电工器具和电工防护用品。</w:t>
      </w:r>
    </w:p>
    <w:p w14:paraId="2985E082">
      <w:pPr>
        <w:keepNext w:val="0"/>
        <w:keepLines w:val="0"/>
        <w:pageBreakBefore w:val="0"/>
        <w:widowControl w:val="0"/>
        <w:numPr>
          <w:ilvl w:val="0"/>
          <w:numId w:val="0"/>
        </w:numPr>
        <w:tabs>
          <w:tab w:val="left" w:pos="630"/>
          <w:tab w:val="left" w:pos="993"/>
        </w:tabs>
        <w:kinsoku/>
        <w:wordWrap/>
        <w:overflowPunct/>
        <w:topLinePunct w:val="0"/>
        <w:autoSpaceDE/>
        <w:autoSpaceDN/>
        <w:bidi w:val="0"/>
        <w:spacing w:line="520" w:lineRule="exact"/>
        <w:ind w:left="0" w:leftChars="0" w:firstLine="560" w:firstLineChars="200"/>
        <w:textAlignment w:val="auto"/>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lang w:val="en-US" w:eastAsia="zh-CN" w:bidi="ar-SA"/>
          <w14:textFill>
            <w14:solidFill>
              <w14:schemeClr w14:val="tx1"/>
            </w14:solidFill>
          </w14:textFill>
        </w:rPr>
        <w:t>12．</w:t>
      </w:r>
      <w:r>
        <w:rPr>
          <w:rFonts w:hint="default" w:ascii="Times New Roman" w:hAnsi="Times New Roman" w:cs="Times New Roman" w:eastAsiaTheme="minorEastAsia"/>
          <w:color w:val="000000" w:themeColor="text1"/>
          <w:sz w:val="28"/>
          <w:szCs w:val="22"/>
          <w14:textFill>
            <w14:solidFill>
              <w14:schemeClr w14:val="tx1"/>
            </w14:solidFill>
          </w14:textFill>
        </w:rPr>
        <w:t>企业应当制定本单位的应急预案演练计划，根据本单位的事故风险特点，每年至少组织一次综合应急预案演练或者专项应急预案演练，每半年至少组织一次现场处置方案演练。</w:t>
      </w:r>
    </w:p>
    <w:p w14:paraId="1BE1B1CC">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2"/>
          <w:lang w:val="en-US" w:eastAsia="zh-CN" w:bidi="ar-SA"/>
          <w14:textFill>
            <w14:solidFill>
              <w14:schemeClr w14:val="tx1"/>
            </w14:solidFill>
          </w14:textFill>
        </w:rPr>
      </w:pPr>
      <w:bookmarkStart w:id="867" w:name="_Toc32066"/>
      <w:bookmarkStart w:id="868" w:name="_Toc61474493"/>
      <w:bookmarkStart w:id="869" w:name="_Toc17208"/>
      <w:bookmarkStart w:id="870" w:name="_Toc322356093"/>
      <w:bookmarkStart w:id="871" w:name="_Toc30001470"/>
      <w:bookmarkStart w:id="872" w:name="_Toc19790"/>
      <w:bookmarkStart w:id="873" w:name="_Toc10099"/>
      <w:r>
        <w:rPr>
          <w:rFonts w:hint="eastAsia" w:ascii="宋体" w:hAnsi="宋体" w:eastAsia="宋体" w:cs="宋体"/>
          <w:color w:val="000000" w:themeColor="text1"/>
          <w:sz w:val="28"/>
          <w:szCs w:val="22"/>
          <w:lang w:val="en-US" w:eastAsia="zh-CN" w:bidi="ar-SA"/>
          <w14:textFill>
            <w14:solidFill>
              <w14:schemeClr w14:val="tx1"/>
            </w14:solidFill>
          </w14:textFill>
        </w:rPr>
        <w:t>1</w:t>
      </w:r>
      <w:r>
        <w:rPr>
          <w:rFonts w:hint="eastAsia" w:hAnsi="宋体" w:cs="宋体"/>
          <w:color w:val="000000" w:themeColor="text1"/>
          <w:sz w:val="28"/>
          <w:szCs w:val="22"/>
          <w:lang w:val="en-US" w:eastAsia="zh-CN" w:bidi="ar-SA"/>
          <w14:textFill>
            <w14:solidFill>
              <w14:schemeClr w14:val="tx1"/>
            </w14:solidFill>
          </w14:textFill>
        </w:rPr>
        <w:t>3</w:t>
      </w:r>
      <w:r>
        <w:rPr>
          <w:rFonts w:hint="eastAsia" w:ascii="宋体" w:hAnsi="宋体" w:eastAsia="宋体" w:cs="宋体"/>
          <w:color w:val="000000" w:themeColor="text1"/>
          <w:sz w:val="28"/>
          <w:szCs w:val="22"/>
          <w:lang w:val="en-US" w:eastAsia="zh-CN" w:bidi="ar-SA"/>
          <w14:textFill>
            <w14:solidFill>
              <w14:schemeClr w14:val="tx1"/>
            </w14:solidFill>
          </w14:textFill>
        </w:rPr>
        <w:t>.安全生产标准化</w:t>
      </w:r>
      <w:bookmarkEnd w:id="867"/>
      <w:bookmarkEnd w:id="868"/>
      <w:bookmarkEnd w:id="869"/>
      <w:bookmarkEnd w:id="870"/>
      <w:bookmarkEnd w:id="871"/>
      <w:bookmarkEnd w:id="872"/>
      <w:bookmarkEnd w:id="873"/>
    </w:p>
    <w:p w14:paraId="524900F7">
      <w:pPr>
        <w:keepNext w:val="0"/>
        <w:keepLines w:val="0"/>
        <w:pageBreakBefore w:val="0"/>
        <w:widowControl w:val="0"/>
        <w:kinsoku/>
        <w:wordWrap/>
        <w:overflowPunct w:val="0"/>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企业应贯彻和落实《国务院关于进一步加强企业安全生产工作的通知》（国发〔2010〕23号）和《企业安全生产标准化建设定级办法》（应急(2021)83号）全面推进本企业安全生产标准化建设，进一步规范企业安全生产行为，改善安全生产条件，强化安全基础管理，有效防范和坚决遏制重特大事故发生。企业安全生产标准化工作应采用“策划、实施、检查、改进”动态循环的模式，依据本标准的要求，结合自身特点，</w:t>
      </w:r>
      <w:r>
        <w:rPr>
          <w:rFonts w:hint="eastAsia" w:ascii="宋体" w:hAnsi="宋体" w:eastAsia="宋体" w:cs="宋体"/>
          <w:color w:val="000000" w:themeColor="text1"/>
          <w:sz w:val="28"/>
          <w:szCs w:val="28"/>
          <w:highlight w:val="none"/>
          <w:lang w:val="zh-CN"/>
          <w14:textFill>
            <w14:solidFill>
              <w14:schemeClr w14:val="tx1"/>
            </w14:solidFill>
          </w14:textFill>
        </w:rPr>
        <w:t>建立并</w:t>
      </w:r>
      <w:r>
        <w:rPr>
          <w:rFonts w:hint="eastAsia" w:hAnsi="宋体" w:cs="宋体"/>
          <w:color w:val="000000" w:themeColor="text1"/>
          <w:sz w:val="28"/>
          <w:szCs w:val="28"/>
          <w:highlight w:val="none"/>
          <w:lang w:val="en-US" w:eastAsia="zh-CN"/>
          <w14:textFill>
            <w14:solidFill>
              <w14:schemeClr w14:val="tx1"/>
            </w14:solidFill>
          </w14:textFill>
        </w:rPr>
        <w:t>准备开展</w:t>
      </w:r>
      <w:r>
        <w:rPr>
          <w:rFonts w:hint="eastAsia" w:ascii="宋体" w:hAnsi="宋体" w:eastAsia="宋体" w:cs="宋体"/>
          <w:color w:val="000000" w:themeColor="text1"/>
          <w:sz w:val="28"/>
          <w:szCs w:val="28"/>
          <w:highlight w:val="none"/>
          <w:lang w:val="zh-CN"/>
          <w14:textFill>
            <w14:solidFill>
              <w14:schemeClr w14:val="tx1"/>
            </w14:solidFill>
          </w14:textFill>
        </w:rPr>
        <w:t>安全生产标准化系统</w:t>
      </w:r>
      <w:r>
        <w:rPr>
          <w:rFonts w:hint="eastAsia" w:ascii="宋体" w:hAnsi="宋体" w:eastAsia="宋体" w:cs="宋体"/>
          <w:color w:val="000000" w:themeColor="text1"/>
          <w:sz w:val="28"/>
          <w:szCs w:val="28"/>
          <w:lang w:val="zh-CN"/>
          <w14:textFill>
            <w14:solidFill>
              <w14:schemeClr w14:val="tx1"/>
            </w14:solidFill>
          </w14:textFill>
        </w:rPr>
        <w:t>；通过自我检查、自我纠正和自我完善，建立安全绩效持续改进的安全生产长效机制。</w:t>
      </w:r>
    </w:p>
    <w:p w14:paraId="59F063AB">
      <w:pPr>
        <w:keepNext w:val="0"/>
        <w:keepLines w:val="0"/>
        <w:pageBreakBefore w:val="0"/>
        <w:widowControl w:val="0"/>
        <w:numPr>
          <w:ilvl w:val="0"/>
          <w:numId w:val="0"/>
        </w:numPr>
        <w:tabs>
          <w:tab w:val="left" w:pos="630"/>
          <w:tab w:val="left" w:pos="993"/>
        </w:tabs>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2"/>
          <w:lang w:val="zh-CN" w:eastAsia="zh-CN" w:bidi="ar-SA"/>
          <w14:textFill>
            <w14:solidFill>
              <w14:schemeClr w14:val="tx1"/>
            </w14:solidFill>
          </w14:textFill>
        </w:rPr>
      </w:pPr>
      <w:bookmarkStart w:id="874" w:name="_Toc3105"/>
      <w:bookmarkStart w:id="875" w:name="_Toc16565"/>
      <w:bookmarkStart w:id="876" w:name="_Toc363"/>
      <w:bookmarkStart w:id="877" w:name="_Toc31886"/>
      <w:r>
        <w:rPr>
          <w:rFonts w:hint="eastAsia" w:ascii="宋体" w:hAnsi="宋体" w:eastAsia="宋体" w:cs="宋体"/>
          <w:color w:val="000000" w:themeColor="text1"/>
          <w:sz w:val="28"/>
          <w:szCs w:val="22"/>
          <w:lang w:val="en-US" w:eastAsia="zh-CN" w:bidi="ar-SA"/>
          <w14:textFill>
            <w14:solidFill>
              <w14:schemeClr w14:val="tx1"/>
            </w14:solidFill>
          </w14:textFill>
        </w:rPr>
        <w:t>1</w:t>
      </w:r>
      <w:r>
        <w:rPr>
          <w:rFonts w:hint="eastAsia" w:hAnsi="宋体" w:cs="宋体"/>
          <w:color w:val="000000" w:themeColor="text1"/>
          <w:sz w:val="28"/>
          <w:szCs w:val="22"/>
          <w:lang w:val="en-US" w:eastAsia="zh-CN" w:bidi="ar-SA"/>
          <w14:textFill>
            <w14:solidFill>
              <w14:schemeClr w14:val="tx1"/>
            </w14:solidFill>
          </w14:textFill>
        </w:rPr>
        <w:t>4</w:t>
      </w:r>
      <w:r>
        <w:rPr>
          <w:rFonts w:hint="eastAsia" w:ascii="宋体" w:hAnsi="宋体" w:eastAsia="宋体" w:cs="宋体"/>
          <w:color w:val="000000" w:themeColor="text1"/>
          <w:sz w:val="28"/>
          <w:szCs w:val="22"/>
          <w:lang w:val="en-US" w:eastAsia="zh-CN" w:bidi="ar-SA"/>
          <w14:textFill>
            <w14:solidFill>
              <w14:schemeClr w14:val="tx1"/>
            </w14:solidFill>
          </w14:textFill>
        </w:rPr>
        <w:t>.</w:t>
      </w:r>
      <w:r>
        <w:rPr>
          <w:rFonts w:hint="eastAsia" w:ascii="宋体" w:hAnsi="宋体" w:eastAsia="宋体" w:cs="宋体"/>
          <w:color w:val="000000" w:themeColor="text1"/>
          <w:sz w:val="28"/>
          <w:szCs w:val="22"/>
          <w:lang w:val="zh-CN" w:eastAsia="zh-CN" w:bidi="ar-SA"/>
          <w14:textFill>
            <w14:solidFill>
              <w14:schemeClr w14:val="tx1"/>
            </w14:solidFill>
          </w14:textFill>
        </w:rPr>
        <w:t>双重预防机制建立</w:t>
      </w:r>
      <w:bookmarkEnd w:id="874"/>
      <w:bookmarkEnd w:id="875"/>
      <w:bookmarkEnd w:id="876"/>
      <w:bookmarkEnd w:id="877"/>
    </w:p>
    <w:p w14:paraId="151A0107">
      <w:pPr>
        <w:adjustRightInd w:val="0"/>
        <w:snapToGrid w:val="0"/>
        <w:spacing w:line="500" w:lineRule="exact"/>
        <w:ind w:firstLine="635" w:firstLineChars="227"/>
        <w:rPr>
          <w:rFonts w:hint="eastAsia"/>
          <w:color w:val="000000" w:themeColor="text1"/>
          <w14:textFill>
            <w14:solidFill>
              <w14:schemeClr w14:val="tx1"/>
            </w14:solidFill>
          </w14:textFill>
        </w:rPr>
      </w:pPr>
      <w:r>
        <w:rPr>
          <w:rFonts w:hint="eastAsia" w:ascii="宋体" w:hAnsi="宋体" w:eastAsia="宋体" w:cs="宋体"/>
          <w:b w:val="0"/>
          <w:bCs w:val="0"/>
          <w:snapToGrid/>
          <w:color w:val="000000" w:themeColor="text1"/>
          <w:sz w:val="28"/>
          <w:szCs w:val="28"/>
          <w:lang w:val="zh-CN" w:eastAsia="zh-CN" w:bidi="ar-SA"/>
          <w14:textFill>
            <w14:solidFill>
              <w14:schemeClr w14:val="tx1"/>
            </w14:solidFill>
          </w14:textFill>
        </w:rPr>
        <w:t>企业应根据《中华人民共和国安全生产法》、《企业安全生产双重预防机制建设规范》（T/CSPSTC17-2018）、《云南省安全生产条例》等规范要求构建安全风险分级管控和隐患排查治理双重预防机制。</w:t>
      </w:r>
    </w:p>
    <w:p w14:paraId="4EA1A8B6">
      <w:pPr>
        <w:tabs>
          <w:tab w:val="left" w:pos="630"/>
          <w:tab w:val="left" w:pos="993"/>
        </w:tabs>
        <w:spacing w:line="500" w:lineRule="exact"/>
        <w:rPr>
          <w:rFonts w:ascii="Times New Roman"/>
          <w:color w:val="000000" w:themeColor="text1"/>
          <w:sz w:val="28"/>
          <w:szCs w:val="22"/>
          <w14:textFill>
            <w14:solidFill>
              <w14:schemeClr w14:val="tx1"/>
            </w14:solidFill>
          </w14:textFill>
        </w:rPr>
        <w:sectPr>
          <w:pgSz w:w="11906" w:h="16838"/>
          <w:pgMar w:top="1587" w:right="1701" w:bottom="1701" w:left="1701" w:header="851" w:footer="992" w:gutter="0"/>
          <w:pgBorders>
            <w:top w:val="none" w:sz="0" w:space="0"/>
            <w:left w:val="none" w:sz="0" w:space="0"/>
            <w:bottom w:val="none" w:sz="0" w:space="0"/>
            <w:right w:val="none" w:sz="0" w:space="0"/>
          </w:pgBorders>
          <w:pgNumType w:fmt="decimal"/>
          <w:cols w:space="720" w:num="1"/>
          <w:docGrid w:type="lines" w:linePitch="330" w:charSpace="0"/>
        </w:sectPr>
      </w:pPr>
    </w:p>
    <w:bookmarkEnd w:id="852"/>
    <w:p w14:paraId="34DEF5C2">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878" w:name="_Toc12583"/>
      <w:bookmarkStart w:id="879" w:name="_Toc313453636"/>
      <w:bookmarkStart w:id="880" w:name="_Toc19231"/>
      <w:bookmarkStart w:id="881" w:name="_Toc3353"/>
      <w:bookmarkStart w:id="882" w:name="_Toc335926320"/>
      <w:bookmarkStart w:id="883" w:name="_Toc10960"/>
      <w:bookmarkStart w:id="884" w:name="_Toc24030"/>
      <w:r>
        <w:rPr>
          <w:rFonts w:hint="default" w:ascii="Times New Roman" w:hAnsi="Times New Roman" w:eastAsia="黑体" w:cs="Times New Roman"/>
          <w:color w:val="000000" w:themeColor="text1"/>
          <w14:textFill>
            <w14:solidFill>
              <w14:schemeClr w14:val="tx1"/>
            </w14:solidFill>
          </w14:textFill>
        </w:rPr>
        <w:t>第7章  安全现状评价结论</w:t>
      </w:r>
      <w:bookmarkEnd w:id="878"/>
      <w:bookmarkEnd w:id="879"/>
      <w:bookmarkEnd w:id="880"/>
      <w:bookmarkEnd w:id="881"/>
      <w:bookmarkEnd w:id="882"/>
      <w:bookmarkEnd w:id="883"/>
      <w:bookmarkEnd w:id="884"/>
    </w:p>
    <w:p w14:paraId="49A4672A">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885" w:name="_Toc115119270"/>
      <w:bookmarkStart w:id="886" w:name="_Toc115119082"/>
      <w:bookmarkStart w:id="887" w:name="_Toc23397"/>
      <w:bookmarkStart w:id="888" w:name="_Toc23553"/>
      <w:bookmarkStart w:id="889" w:name="_Toc2283"/>
      <w:bookmarkStart w:id="890" w:name="_Toc22019"/>
      <w:bookmarkStart w:id="891" w:name="_Toc115119086"/>
      <w:bookmarkStart w:id="892" w:name="_Toc115119274"/>
      <w:bookmarkStart w:id="893" w:name="_Toc115120696"/>
      <w:bookmarkStart w:id="894" w:name="_Toc115120302"/>
      <w:r>
        <w:rPr>
          <w:rFonts w:hint="default" w:ascii="Times New Roman" w:hAnsi="Times New Roman" w:eastAsia="楷体" w:cs="Times New Roman"/>
          <w:color w:val="000000" w:themeColor="text1"/>
          <w14:textFill>
            <w14:solidFill>
              <w14:schemeClr w14:val="tx1"/>
            </w14:solidFill>
          </w14:textFill>
        </w:rPr>
        <w:t>7.1</w:t>
      </w:r>
      <w:bookmarkEnd w:id="885"/>
      <w:bookmarkEnd w:id="886"/>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主要危险、有害因素评价结果</w:t>
      </w:r>
      <w:bookmarkEnd w:id="887"/>
      <w:bookmarkEnd w:id="888"/>
      <w:bookmarkEnd w:id="889"/>
      <w:bookmarkEnd w:id="890"/>
    </w:p>
    <w:p w14:paraId="20BAC6FA">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895" w:name="_Toc14247"/>
      <w:bookmarkStart w:id="896" w:name="_Toc31829"/>
      <w:bookmarkStart w:id="897" w:name="_Toc455"/>
      <w:r>
        <w:rPr>
          <w:rFonts w:hint="default" w:ascii="Times New Roman" w:hAnsi="Times New Roman" w:eastAsia="黑体" w:cs="Times New Roman"/>
          <w:color w:val="000000" w:themeColor="text1"/>
          <w:lang w:val="en-US" w:eastAsia="zh-CN"/>
          <w14:textFill>
            <w14:solidFill>
              <w14:schemeClr w14:val="tx1"/>
            </w14:solidFill>
          </w14:textFill>
        </w:rPr>
        <w:t>7.1.1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主要危险、有害因素</w:t>
      </w:r>
      <w:bookmarkEnd w:id="895"/>
      <w:bookmarkEnd w:id="896"/>
      <w:bookmarkEnd w:id="897"/>
    </w:p>
    <w:p w14:paraId="1B9FC0C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本项目存在的主要危险、有害因素有：火灾、高处坠落、机械伤害、触电、车辆伤害、物体打击、</w:t>
      </w:r>
      <w:r>
        <w:rPr>
          <w:rFonts w:hint="eastAsia" w:ascii="Times New Roman"/>
          <w:color w:val="000000" w:themeColor="text1"/>
          <w:sz w:val="28"/>
          <w:szCs w:val="28"/>
          <w14:textFill>
            <w14:solidFill>
              <w14:schemeClr w14:val="tx1"/>
            </w14:solidFill>
          </w14:textFill>
        </w:rPr>
        <w:t>容器爆炸</w:t>
      </w:r>
      <w:r>
        <w:rPr>
          <w:rFonts w:ascii="Times New Roman"/>
          <w:color w:val="000000" w:themeColor="text1"/>
          <w:sz w:val="28"/>
          <w:szCs w:val="28"/>
          <w14:textFill>
            <w14:solidFill>
              <w14:schemeClr w14:val="tx1"/>
            </w14:solidFill>
          </w14:textFill>
        </w:rPr>
        <w:t>、坍塌</w:t>
      </w:r>
      <w:r>
        <w:rPr>
          <w:rFonts w:hint="eastAsia" w:ascii="Times New Roman"/>
          <w:color w:val="000000" w:themeColor="text1"/>
          <w:sz w:val="28"/>
          <w:szCs w:val="28"/>
          <w14:textFill>
            <w14:solidFill>
              <w14:schemeClr w14:val="tx1"/>
            </w14:solidFill>
          </w14:textFill>
        </w:rPr>
        <w:t>、灼烫、</w:t>
      </w:r>
      <w:r>
        <w:rPr>
          <w:rFonts w:hint="eastAsia" w:ascii="Times New Roman"/>
          <w:color w:val="000000" w:themeColor="text1"/>
          <w:sz w:val="28"/>
          <w:szCs w:val="28"/>
          <w:lang w:val="en-US" w:eastAsia="zh-CN"/>
          <w14:textFill>
            <w14:solidFill>
              <w14:schemeClr w14:val="tx1"/>
            </w14:solidFill>
          </w14:textFill>
        </w:rPr>
        <w:t>淹溺</w:t>
      </w:r>
      <w:r>
        <w:rPr>
          <w:rFonts w:ascii="Times New Roman"/>
          <w:color w:val="000000" w:themeColor="text1"/>
          <w:sz w:val="28"/>
          <w:szCs w:val="28"/>
          <w14:textFill>
            <w14:solidFill>
              <w14:schemeClr w14:val="tx1"/>
            </w14:solidFill>
          </w14:textFill>
        </w:rPr>
        <w:t>及其它危害等。</w:t>
      </w:r>
    </w:p>
    <w:p w14:paraId="4DE8AACC">
      <w:pPr>
        <w:pStyle w:val="6"/>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bookmarkStart w:id="898" w:name="_Toc4759"/>
      <w:bookmarkStart w:id="899" w:name="_Toc7839"/>
      <w:bookmarkStart w:id="900" w:name="_Toc23955"/>
      <w:r>
        <w:rPr>
          <w:rFonts w:hint="default" w:ascii="Times New Roman" w:hAnsi="Times New Roman" w:eastAsia="黑体" w:cs="Times New Roman"/>
          <w:color w:val="000000" w:themeColor="text1"/>
          <w:lang w:val="en-US" w:eastAsia="zh-CN"/>
          <w14:textFill>
            <w14:solidFill>
              <w14:schemeClr w14:val="tx1"/>
            </w14:solidFill>
          </w14:textFill>
        </w:rPr>
        <w:t>7.1.2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黑体" w:cs="Times New Roman"/>
          <w:color w:val="000000" w:themeColor="text1"/>
          <w:lang w:val="en-US" w:eastAsia="zh-CN"/>
          <w14:textFill>
            <w14:solidFill>
              <w14:schemeClr w14:val="tx1"/>
            </w14:solidFill>
          </w14:textFill>
        </w:rPr>
        <w:t>本项目存在的主要危险、有害因素及存在部位</w:t>
      </w:r>
      <w:bookmarkEnd w:id="898"/>
      <w:bookmarkEnd w:id="899"/>
      <w:bookmarkEnd w:id="900"/>
    </w:p>
    <w:p w14:paraId="268CAC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表7-1  项目危险、有害因素汇总表</w:t>
      </w:r>
    </w:p>
    <w:tbl>
      <w:tblPr>
        <w:tblStyle w:val="52"/>
        <w:tblW w:w="88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4"/>
        <w:gridCol w:w="2915"/>
        <w:gridCol w:w="2740"/>
        <w:gridCol w:w="2006"/>
      </w:tblGrid>
      <w:tr w14:paraId="418591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tblHeader/>
          <w:jc w:val="center"/>
        </w:trPr>
        <w:tc>
          <w:tcPr>
            <w:tcW w:w="688" w:type="dxa"/>
            <w:tcBorders>
              <w:left w:val="single" w:color="auto" w:sz="4" w:space="0"/>
            </w:tcBorders>
            <w:noWrap/>
            <w:vAlign w:val="center"/>
          </w:tcPr>
          <w:p w14:paraId="06B13691">
            <w:pPr>
              <w:spacing w:line="32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514" w:type="dxa"/>
            <w:noWrap/>
            <w:vAlign w:val="center"/>
          </w:tcPr>
          <w:p w14:paraId="0E9D2FC8">
            <w:pPr>
              <w:spacing w:line="32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915" w:type="dxa"/>
            <w:noWrap/>
            <w:vAlign w:val="center"/>
          </w:tcPr>
          <w:p w14:paraId="4EDF52DB">
            <w:pPr>
              <w:spacing w:line="32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危险因素分类</w:t>
            </w:r>
          </w:p>
        </w:tc>
        <w:tc>
          <w:tcPr>
            <w:tcW w:w="2740" w:type="dxa"/>
            <w:noWrap/>
            <w:vAlign w:val="center"/>
          </w:tcPr>
          <w:p w14:paraId="53F0938A">
            <w:pPr>
              <w:spacing w:line="32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可能存在部位</w:t>
            </w:r>
          </w:p>
        </w:tc>
        <w:tc>
          <w:tcPr>
            <w:tcW w:w="2006" w:type="dxa"/>
            <w:tcBorders>
              <w:right w:val="single" w:color="auto" w:sz="4" w:space="0"/>
            </w:tcBorders>
            <w:noWrap/>
            <w:vAlign w:val="center"/>
          </w:tcPr>
          <w:p w14:paraId="6F463BDF">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可能造成的后果</w:t>
            </w:r>
          </w:p>
        </w:tc>
      </w:tr>
      <w:tr w14:paraId="12919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restart"/>
            <w:tcBorders>
              <w:left w:val="single" w:color="auto" w:sz="4" w:space="0"/>
            </w:tcBorders>
            <w:noWrap/>
            <w:vAlign w:val="center"/>
          </w:tcPr>
          <w:p w14:paraId="458E706E">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危险因素</w:t>
            </w:r>
          </w:p>
        </w:tc>
        <w:tc>
          <w:tcPr>
            <w:tcW w:w="514" w:type="dxa"/>
            <w:noWrap/>
            <w:vAlign w:val="center"/>
          </w:tcPr>
          <w:p w14:paraId="733F4A11">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15" w:type="dxa"/>
            <w:noWrap/>
            <w:vAlign w:val="center"/>
          </w:tcPr>
          <w:p w14:paraId="303F1D21">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火灾</w:t>
            </w:r>
          </w:p>
        </w:tc>
        <w:tc>
          <w:tcPr>
            <w:tcW w:w="2740" w:type="dxa"/>
            <w:noWrap/>
            <w:vAlign w:val="center"/>
          </w:tcPr>
          <w:p w14:paraId="27DAB8CE">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配电</w:t>
            </w:r>
            <w:r>
              <w:rPr>
                <w:rFonts w:hint="eastAsia" w:ascii="Times New Roman" w:cs="Times New Roman"/>
                <w:color w:val="000000" w:themeColor="text1"/>
                <w:sz w:val="21"/>
                <w:szCs w:val="21"/>
                <w:lang w:val="en-US" w:eastAsia="zh-CN"/>
                <w14:textFill>
                  <w14:solidFill>
                    <w14:schemeClr w14:val="tx1"/>
                  </w14:solidFill>
                </w14:textFill>
              </w:rPr>
              <w:t>柜</w:t>
            </w:r>
            <w:r>
              <w:rPr>
                <w:rFonts w:hint="default" w:ascii="Times New Roman" w:hAnsi="Times New Roman" w:cs="Times New Roman"/>
                <w:color w:val="000000" w:themeColor="text1"/>
                <w:sz w:val="21"/>
                <w:szCs w:val="21"/>
                <w14:textFill>
                  <w14:solidFill>
                    <w14:schemeClr w14:val="tx1"/>
                  </w14:solidFill>
                </w14:textFill>
              </w:rPr>
              <w:t>及电气设备、供电线路及焊接作业场所。</w:t>
            </w:r>
          </w:p>
        </w:tc>
        <w:tc>
          <w:tcPr>
            <w:tcW w:w="2006" w:type="dxa"/>
            <w:tcBorders>
              <w:right w:val="single" w:color="auto" w:sz="4" w:space="0"/>
            </w:tcBorders>
            <w:noWrap/>
            <w:vAlign w:val="center"/>
          </w:tcPr>
          <w:p w14:paraId="4123D0B1">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人员伤亡、财产损失</w:t>
            </w:r>
          </w:p>
        </w:tc>
      </w:tr>
      <w:tr w14:paraId="7D9481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66FC1406">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449E6139">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915" w:type="dxa"/>
            <w:noWrap/>
            <w:vAlign w:val="center"/>
          </w:tcPr>
          <w:p w14:paraId="729FCFC3">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高处坠落</w:t>
            </w:r>
          </w:p>
        </w:tc>
        <w:tc>
          <w:tcPr>
            <w:tcW w:w="2740" w:type="dxa"/>
            <w:noWrap/>
            <w:vAlign w:val="center"/>
          </w:tcPr>
          <w:p w14:paraId="26D4680D">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爬梯、平台、高处作业等场所。</w:t>
            </w:r>
          </w:p>
        </w:tc>
        <w:tc>
          <w:tcPr>
            <w:tcW w:w="2006" w:type="dxa"/>
            <w:tcBorders>
              <w:right w:val="single" w:color="auto" w:sz="4" w:space="0"/>
            </w:tcBorders>
            <w:noWrap/>
            <w:vAlign w:val="center"/>
          </w:tcPr>
          <w:p w14:paraId="2013860A">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6436CB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086A7AAF">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3D2F46B3">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915" w:type="dxa"/>
            <w:noWrap/>
            <w:vAlign w:val="center"/>
          </w:tcPr>
          <w:p w14:paraId="01A29166">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机械伤害</w:t>
            </w:r>
          </w:p>
        </w:tc>
        <w:tc>
          <w:tcPr>
            <w:tcW w:w="2740" w:type="dxa"/>
            <w:noWrap/>
            <w:vAlign w:val="center"/>
          </w:tcPr>
          <w:p w14:paraId="012B3BFC">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生产车间</w:t>
            </w:r>
            <w:r>
              <w:rPr>
                <w:rFonts w:hint="default" w:ascii="Times New Roman" w:hAnsi="Times New Roman" w:cs="Times New Roman"/>
                <w:color w:val="000000" w:themeColor="text1"/>
                <w:sz w:val="21"/>
                <w:szCs w:val="21"/>
                <w14:textFill>
                  <w14:solidFill>
                    <w14:schemeClr w14:val="tx1"/>
                  </w14:solidFill>
                </w14:textFill>
              </w:rPr>
              <w:t>及机器运转部位。</w:t>
            </w:r>
          </w:p>
        </w:tc>
        <w:tc>
          <w:tcPr>
            <w:tcW w:w="2006" w:type="dxa"/>
            <w:tcBorders>
              <w:right w:val="single" w:color="auto" w:sz="4" w:space="0"/>
            </w:tcBorders>
            <w:noWrap/>
            <w:vAlign w:val="center"/>
          </w:tcPr>
          <w:p w14:paraId="043EF273">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03CCD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75EBA32C">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7219230C">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915" w:type="dxa"/>
            <w:noWrap/>
            <w:vAlign w:val="center"/>
          </w:tcPr>
          <w:p w14:paraId="4A44B728">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触电</w:t>
            </w:r>
          </w:p>
        </w:tc>
        <w:tc>
          <w:tcPr>
            <w:tcW w:w="2740" w:type="dxa"/>
            <w:noWrap/>
            <w:vAlign w:val="center"/>
          </w:tcPr>
          <w:p w14:paraId="2B3D1548">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bCs/>
                <w:color w:val="000000" w:themeColor="text1"/>
                <w:sz w:val="21"/>
                <w:szCs w:val="21"/>
                <w:lang w:val="en-US" w:eastAsia="zh-CN"/>
                <w14:textFill>
                  <w14:solidFill>
                    <w14:schemeClr w14:val="tx1"/>
                  </w14:solidFill>
                </w14:textFill>
              </w:rPr>
              <w:t>变压器、</w:t>
            </w:r>
            <w:r>
              <w:rPr>
                <w:rFonts w:hint="default" w:ascii="Times New Roman" w:hAnsi="Times New Roman" w:cs="Times New Roman"/>
                <w:bCs/>
                <w:color w:val="000000" w:themeColor="text1"/>
                <w:sz w:val="21"/>
                <w:szCs w:val="21"/>
                <w14:textFill>
                  <w14:solidFill>
                    <w14:schemeClr w14:val="tx1"/>
                  </w14:solidFill>
                </w14:textFill>
              </w:rPr>
              <w:t>电气设备、裸露线路等。</w:t>
            </w:r>
          </w:p>
        </w:tc>
        <w:tc>
          <w:tcPr>
            <w:tcW w:w="2006" w:type="dxa"/>
            <w:tcBorders>
              <w:right w:val="single" w:color="auto" w:sz="4" w:space="0"/>
            </w:tcBorders>
            <w:noWrap/>
            <w:vAlign w:val="center"/>
          </w:tcPr>
          <w:p w14:paraId="2590E1F6">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0198A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6BC0CD9D">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02969178">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2915" w:type="dxa"/>
            <w:noWrap/>
            <w:vAlign w:val="center"/>
          </w:tcPr>
          <w:p w14:paraId="48DAC072">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车辆伤害</w:t>
            </w:r>
          </w:p>
        </w:tc>
        <w:tc>
          <w:tcPr>
            <w:tcW w:w="2740" w:type="dxa"/>
            <w:noWrap/>
            <w:vAlign w:val="center"/>
          </w:tcPr>
          <w:p w14:paraId="5A027B3B">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厂区、道路等场所。</w:t>
            </w:r>
          </w:p>
        </w:tc>
        <w:tc>
          <w:tcPr>
            <w:tcW w:w="2006" w:type="dxa"/>
            <w:tcBorders>
              <w:right w:val="single" w:color="auto" w:sz="4" w:space="0"/>
            </w:tcBorders>
            <w:noWrap/>
            <w:vAlign w:val="center"/>
          </w:tcPr>
          <w:p w14:paraId="59A9E43B">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45F7AB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2232184C">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7C736D32">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2915" w:type="dxa"/>
            <w:noWrap/>
            <w:vAlign w:val="center"/>
          </w:tcPr>
          <w:p w14:paraId="35286669">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物体打击</w:t>
            </w:r>
          </w:p>
        </w:tc>
        <w:tc>
          <w:tcPr>
            <w:tcW w:w="2740" w:type="dxa"/>
            <w:noWrap/>
            <w:vAlign w:val="center"/>
          </w:tcPr>
          <w:p w14:paraId="59A4E571">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原料区</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成品区</w:t>
            </w:r>
            <w:r>
              <w:rPr>
                <w:rFonts w:hint="default" w:ascii="Times New Roman" w:hAnsi="Times New Roman" w:cs="Times New Roman"/>
                <w:color w:val="000000" w:themeColor="text1"/>
                <w:sz w:val="21"/>
                <w:szCs w:val="21"/>
                <w14:textFill>
                  <w14:solidFill>
                    <w14:schemeClr w14:val="tx1"/>
                  </w14:solidFill>
                </w14:textFill>
              </w:rPr>
              <w:t>装卸等场所。</w:t>
            </w:r>
          </w:p>
        </w:tc>
        <w:tc>
          <w:tcPr>
            <w:tcW w:w="2006" w:type="dxa"/>
            <w:tcBorders>
              <w:right w:val="single" w:color="auto" w:sz="4" w:space="0"/>
            </w:tcBorders>
            <w:noWrap/>
            <w:vAlign w:val="center"/>
          </w:tcPr>
          <w:p w14:paraId="1D039688">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2C6BE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3EE59AFF">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23E5BF31">
            <w:pPr>
              <w:spacing w:line="32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7</w:t>
            </w:r>
          </w:p>
        </w:tc>
        <w:tc>
          <w:tcPr>
            <w:tcW w:w="2915" w:type="dxa"/>
            <w:noWrap/>
            <w:vAlign w:val="center"/>
          </w:tcPr>
          <w:p w14:paraId="3FD42C16">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容器爆炸</w:t>
            </w:r>
          </w:p>
        </w:tc>
        <w:tc>
          <w:tcPr>
            <w:tcW w:w="2740" w:type="dxa"/>
            <w:noWrap/>
            <w:vAlign w:val="center"/>
          </w:tcPr>
          <w:p w14:paraId="02EBADCC">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储气罐及其附近</w:t>
            </w:r>
            <w:r>
              <w:rPr>
                <w:rFonts w:hint="default" w:ascii="Times New Roman" w:hAnsi="Times New Roman" w:cs="Times New Roman"/>
                <w:color w:val="000000" w:themeColor="text1"/>
                <w:sz w:val="21"/>
                <w:szCs w:val="21"/>
                <w14:textFill>
                  <w14:solidFill>
                    <w14:schemeClr w14:val="tx1"/>
                  </w14:solidFill>
                </w14:textFill>
              </w:rPr>
              <w:t>场所。</w:t>
            </w:r>
          </w:p>
        </w:tc>
        <w:tc>
          <w:tcPr>
            <w:tcW w:w="2006" w:type="dxa"/>
            <w:tcBorders>
              <w:right w:val="single" w:color="auto" w:sz="4" w:space="0"/>
            </w:tcBorders>
            <w:noWrap/>
            <w:vAlign w:val="center"/>
          </w:tcPr>
          <w:p w14:paraId="210BBAAF">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人员伤亡、财产损失</w:t>
            </w:r>
          </w:p>
        </w:tc>
      </w:tr>
      <w:tr w14:paraId="69261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6060B5B2">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78D6F700">
            <w:pPr>
              <w:spacing w:line="32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8</w:t>
            </w:r>
          </w:p>
        </w:tc>
        <w:tc>
          <w:tcPr>
            <w:tcW w:w="2915" w:type="dxa"/>
            <w:noWrap/>
            <w:vAlign w:val="center"/>
          </w:tcPr>
          <w:p w14:paraId="5EC344D5">
            <w:pPr>
              <w:spacing w:line="32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坍塌</w:t>
            </w:r>
          </w:p>
        </w:tc>
        <w:tc>
          <w:tcPr>
            <w:tcW w:w="2740" w:type="dxa"/>
            <w:noWrap/>
            <w:vAlign w:val="center"/>
          </w:tcPr>
          <w:p w14:paraId="007FD9C3">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原料堆场、</w:t>
            </w:r>
            <w:r>
              <w:rPr>
                <w:rFonts w:hint="eastAsia" w:ascii="Times New Roman" w:cs="Times New Roman"/>
                <w:color w:val="000000" w:themeColor="text1"/>
                <w:sz w:val="21"/>
                <w:szCs w:val="21"/>
                <w:lang w:val="en-US" w:eastAsia="zh-CN"/>
                <w14:textFill>
                  <w14:solidFill>
                    <w14:schemeClr w14:val="tx1"/>
                  </w14:solidFill>
                </w14:textFill>
              </w:rPr>
              <w:t>成品区</w:t>
            </w:r>
            <w:r>
              <w:rPr>
                <w:rFonts w:hint="eastAsia" w:ascii="Times New Roman" w:cs="Times New Roman"/>
                <w:color w:val="000000" w:themeColor="text1"/>
                <w:sz w:val="21"/>
                <w:szCs w:val="21"/>
                <w:lang w:eastAsia="zh-CN"/>
                <w14:textFill>
                  <w14:solidFill>
                    <w14:schemeClr w14:val="tx1"/>
                  </w14:solidFill>
                </w14:textFill>
              </w:rPr>
              <w:t>等场所。</w:t>
            </w:r>
          </w:p>
        </w:tc>
        <w:tc>
          <w:tcPr>
            <w:tcW w:w="2006" w:type="dxa"/>
            <w:tcBorders>
              <w:right w:val="single" w:color="auto" w:sz="4" w:space="0"/>
            </w:tcBorders>
            <w:noWrap/>
            <w:vAlign w:val="center"/>
          </w:tcPr>
          <w:p w14:paraId="498C4807">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人员伤亡、财产损失</w:t>
            </w:r>
          </w:p>
        </w:tc>
      </w:tr>
      <w:tr w14:paraId="77FC5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3E0FE96C">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1D736628">
            <w:pPr>
              <w:spacing w:line="32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9</w:t>
            </w:r>
          </w:p>
        </w:tc>
        <w:tc>
          <w:tcPr>
            <w:tcW w:w="2915" w:type="dxa"/>
            <w:noWrap/>
            <w:vAlign w:val="center"/>
          </w:tcPr>
          <w:p w14:paraId="3EFDC09D">
            <w:pPr>
              <w:spacing w:line="32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灼烫</w:t>
            </w:r>
          </w:p>
        </w:tc>
        <w:tc>
          <w:tcPr>
            <w:tcW w:w="2740" w:type="dxa"/>
            <w:noWrap/>
            <w:vAlign w:val="center"/>
          </w:tcPr>
          <w:p w14:paraId="5743A8C0">
            <w:pPr>
              <w:spacing w:line="320" w:lineRule="exac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原料仓库、配料间</w:t>
            </w:r>
            <w:r>
              <w:rPr>
                <w:rFonts w:hint="eastAsia" w:ascii="Times New Roman" w:cs="Times New Roman"/>
                <w:color w:val="000000" w:themeColor="text1"/>
                <w:sz w:val="21"/>
                <w:szCs w:val="21"/>
                <w:lang w:eastAsia="zh-CN"/>
                <w14:textFill>
                  <w14:solidFill>
                    <w14:schemeClr w14:val="tx1"/>
                  </w14:solidFill>
                </w14:textFill>
              </w:rPr>
              <w:t>等</w:t>
            </w:r>
          </w:p>
        </w:tc>
        <w:tc>
          <w:tcPr>
            <w:tcW w:w="2006" w:type="dxa"/>
            <w:tcBorders>
              <w:right w:val="single" w:color="auto" w:sz="4" w:space="0"/>
            </w:tcBorders>
            <w:noWrap/>
            <w:vAlign w:val="center"/>
          </w:tcPr>
          <w:p w14:paraId="3C70AD34">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22D376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6D7BC71C">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428AD9C8">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10</w:t>
            </w:r>
          </w:p>
        </w:tc>
        <w:tc>
          <w:tcPr>
            <w:tcW w:w="2915" w:type="dxa"/>
            <w:noWrap/>
            <w:vAlign w:val="center"/>
          </w:tcPr>
          <w:p w14:paraId="15D742E5">
            <w:pPr>
              <w:spacing w:line="32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淹溺</w:t>
            </w:r>
          </w:p>
        </w:tc>
        <w:tc>
          <w:tcPr>
            <w:tcW w:w="2740" w:type="dxa"/>
            <w:noWrap/>
            <w:vAlign w:val="center"/>
          </w:tcPr>
          <w:p w14:paraId="705F5A1E">
            <w:pPr>
              <w:spacing w:line="32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事故池、污水处理</w:t>
            </w:r>
            <w:r>
              <w:rPr>
                <w:rFonts w:hint="eastAsia" w:ascii="Times New Roman" w:cs="Times New Roman"/>
                <w:color w:val="000000" w:themeColor="text1"/>
                <w:sz w:val="21"/>
                <w:szCs w:val="21"/>
                <w:lang w:eastAsia="zh-CN"/>
                <w14:textFill>
                  <w14:solidFill>
                    <w14:schemeClr w14:val="tx1"/>
                  </w14:solidFill>
                </w14:textFill>
              </w:rPr>
              <w:t>池</w:t>
            </w:r>
          </w:p>
        </w:tc>
        <w:tc>
          <w:tcPr>
            <w:tcW w:w="2006" w:type="dxa"/>
            <w:tcBorders>
              <w:right w:val="single" w:color="auto" w:sz="4" w:space="0"/>
            </w:tcBorders>
            <w:noWrap/>
            <w:vAlign w:val="center"/>
          </w:tcPr>
          <w:p w14:paraId="2547E9BE">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01A62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tcBorders>
              <w:left w:val="single" w:color="auto" w:sz="4" w:space="0"/>
            </w:tcBorders>
            <w:noWrap/>
            <w:vAlign w:val="center"/>
          </w:tcPr>
          <w:p w14:paraId="12F11517">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有害因素</w:t>
            </w:r>
          </w:p>
        </w:tc>
        <w:tc>
          <w:tcPr>
            <w:tcW w:w="514" w:type="dxa"/>
            <w:noWrap/>
            <w:vAlign w:val="center"/>
          </w:tcPr>
          <w:p w14:paraId="4D76D0F8">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15" w:type="dxa"/>
            <w:noWrap/>
            <w:vAlign w:val="center"/>
          </w:tcPr>
          <w:p w14:paraId="4F9DD183">
            <w:pPr>
              <w:spacing w:line="320" w:lineRule="exact"/>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噪声</w:t>
            </w:r>
          </w:p>
        </w:tc>
        <w:tc>
          <w:tcPr>
            <w:tcW w:w="2740" w:type="dxa"/>
            <w:noWrap/>
            <w:vAlign w:val="center"/>
          </w:tcPr>
          <w:p w14:paraId="63A63FF5">
            <w:pPr>
              <w:spacing w:line="320" w:lineRule="exact"/>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cs="Times New Roman"/>
                <w:bCs/>
                <w:color w:val="000000" w:themeColor="text1"/>
                <w:sz w:val="21"/>
                <w:szCs w:val="21"/>
                <w:lang w:val="en-US" w:eastAsia="zh-CN"/>
                <w14:textFill>
                  <w14:solidFill>
                    <w14:schemeClr w14:val="tx1"/>
                  </w14:solidFill>
                </w14:textFill>
              </w:rPr>
              <w:t>生产车间</w:t>
            </w:r>
          </w:p>
        </w:tc>
        <w:tc>
          <w:tcPr>
            <w:tcW w:w="2006" w:type="dxa"/>
            <w:tcBorders>
              <w:right w:val="single" w:color="auto" w:sz="4" w:space="0"/>
            </w:tcBorders>
            <w:noWrap/>
            <w:vAlign w:val="center"/>
          </w:tcPr>
          <w:p w14:paraId="2D225BDE">
            <w:pPr>
              <w:spacing w:line="32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噪声性耳聋</w:t>
            </w:r>
          </w:p>
        </w:tc>
      </w:tr>
      <w:tr w14:paraId="4D3CE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restart"/>
            <w:tcBorders>
              <w:left w:val="single" w:color="auto" w:sz="4" w:space="0"/>
            </w:tcBorders>
            <w:noWrap/>
            <w:vAlign w:val="center"/>
          </w:tcPr>
          <w:p w14:paraId="65D56A1E">
            <w:pPr>
              <w:adjustRightInd w:val="0"/>
              <w:snapToGrid w:val="0"/>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管理因素</w:t>
            </w:r>
          </w:p>
        </w:tc>
        <w:tc>
          <w:tcPr>
            <w:tcW w:w="514" w:type="dxa"/>
            <w:noWrap/>
            <w:vAlign w:val="center"/>
          </w:tcPr>
          <w:p w14:paraId="544FD6C4">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15" w:type="dxa"/>
            <w:noWrap/>
            <w:vAlign w:val="center"/>
          </w:tcPr>
          <w:p w14:paraId="21636DD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未建立安全生产管理机构或安全生产监督检查不到位</w:t>
            </w:r>
          </w:p>
        </w:tc>
        <w:tc>
          <w:tcPr>
            <w:tcW w:w="2740" w:type="dxa"/>
            <w:vMerge w:val="restart"/>
            <w:noWrap/>
            <w:vAlign w:val="center"/>
          </w:tcPr>
          <w:p w14:paraId="2E40E1DC">
            <w:pPr>
              <w:adjustRightInd w:val="0"/>
              <w:snapToGrid w:val="0"/>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安全管理过程中，安全生产命令执行过程中</w:t>
            </w:r>
          </w:p>
        </w:tc>
        <w:tc>
          <w:tcPr>
            <w:tcW w:w="2006" w:type="dxa"/>
            <w:vMerge w:val="restart"/>
            <w:tcBorders>
              <w:right w:val="single" w:color="auto" w:sz="4" w:space="0"/>
            </w:tcBorders>
            <w:noWrap/>
            <w:vAlign w:val="center"/>
          </w:tcPr>
          <w:p w14:paraId="52D18AB9">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人员伤亡</w:t>
            </w:r>
          </w:p>
        </w:tc>
      </w:tr>
      <w:tr w14:paraId="13ADA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8" w:type="dxa"/>
            <w:vMerge w:val="continue"/>
            <w:tcBorders>
              <w:left w:val="single" w:color="auto" w:sz="4" w:space="0"/>
            </w:tcBorders>
            <w:noWrap/>
            <w:vAlign w:val="center"/>
          </w:tcPr>
          <w:p w14:paraId="07683E84">
            <w:pPr>
              <w:adjustRightInd w:val="0"/>
              <w:snapToGrid w:val="0"/>
              <w:spacing w:line="36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6801CEA8">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915" w:type="dxa"/>
            <w:noWrap/>
            <w:vAlign w:val="center"/>
          </w:tcPr>
          <w:p w14:paraId="693D9F2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未建立安全生产责任制、安全管理制度及操作规程，或者不健全</w:t>
            </w:r>
          </w:p>
        </w:tc>
        <w:tc>
          <w:tcPr>
            <w:tcW w:w="2740" w:type="dxa"/>
            <w:vMerge w:val="continue"/>
            <w:noWrap/>
            <w:vAlign w:val="center"/>
          </w:tcPr>
          <w:p w14:paraId="51AA547D">
            <w:pPr>
              <w:adjustRightInd w:val="0"/>
              <w:snapToGrid w:val="0"/>
              <w:spacing w:line="360" w:lineRule="exact"/>
              <w:rPr>
                <w:rFonts w:hint="default" w:ascii="Times New Roman" w:hAnsi="Times New Roman" w:cs="Times New Roman"/>
                <w:color w:val="000000" w:themeColor="text1"/>
                <w:sz w:val="21"/>
                <w:szCs w:val="21"/>
                <w14:textFill>
                  <w14:solidFill>
                    <w14:schemeClr w14:val="tx1"/>
                  </w14:solidFill>
                </w14:textFill>
              </w:rPr>
            </w:pPr>
          </w:p>
        </w:tc>
        <w:tc>
          <w:tcPr>
            <w:tcW w:w="2006" w:type="dxa"/>
            <w:vMerge w:val="continue"/>
            <w:tcBorders>
              <w:right w:val="single" w:color="auto" w:sz="4" w:space="0"/>
            </w:tcBorders>
            <w:noWrap/>
            <w:vAlign w:val="center"/>
          </w:tcPr>
          <w:p w14:paraId="72B05A1F">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r>
      <w:tr w14:paraId="54813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88" w:type="dxa"/>
            <w:vMerge w:val="continue"/>
            <w:tcBorders>
              <w:left w:val="single" w:color="auto" w:sz="4" w:space="0"/>
            </w:tcBorders>
            <w:noWrap/>
            <w:vAlign w:val="center"/>
          </w:tcPr>
          <w:p w14:paraId="6CC4C1E3">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514" w:type="dxa"/>
            <w:noWrap/>
            <w:vAlign w:val="center"/>
          </w:tcPr>
          <w:p w14:paraId="4B85A214">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w:t>
            </w:r>
          </w:p>
        </w:tc>
        <w:tc>
          <w:tcPr>
            <w:tcW w:w="2915" w:type="dxa"/>
            <w:noWrap/>
            <w:vAlign w:val="center"/>
          </w:tcPr>
          <w:p w14:paraId="51AC0F47">
            <w:pPr>
              <w:spacing w:line="320" w:lineRule="exact"/>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违章指挥、违章操作</w:t>
            </w:r>
          </w:p>
        </w:tc>
        <w:tc>
          <w:tcPr>
            <w:tcW w:w="2740" w:type="dxa"/>
            <w:vMerge w:val="continue"/>
            <w:noWrap/>
            <w:vAlign w:val="center"/>
          </w:tcPr>
          <w:p w14:paraId="6A6540B7">
            <w:pPr>
              <w:spacing w:line="320" w:lineRule="exact"/>
              <w:rPr>
                <w:rFonts w:hint="default" w:ascii="Times New Roman" w:hAnsi="Times New Roman" w:cs="Times New Roman"/>
                <w:color w:val="000000" w:themeColor="text1"/>
                <w:sz w:val="21"/>
                <w:szCs w:val="21"/>
                <w14:textFill>
                  <w14:solidFill>
                    <w14:schemeClr w14:val="tx1"/>
                  </w14:solidFill>
                </w14:textFill>
              </w:rPr>
            </w:pPr>
          </w:p>
        </w:tc>
        <w:tc>
          <w:tcPr>
            <w:tcW w:w="2006" w:type="dxa"/>
            <w:vMerge w:val="continue"/>
            <w:tcBorders>
              <w:right w:val="single" w:color="auto" w:sz="4" w:space="0"/>
            </w:tcBorders>
            <w:noWrap/>
            <w:vAlign w:val="center"/>
          </w:tcPr>
          <w:p w14:paraId="6F299994">
            <w:pPr>
              <w:spacing w:line="260" w:lineRule="exact"/>
              <w:rPr>
                <w:rFonts w:hint="default" w:ascii="Times New Roman" w:hAnsi="Times New Roman" w:cs="Times New Roman"/>
                <w:color w:val="000000" w:themeColor="text1"/>
                <w:sz w:val="21"/>
                <w:szCs w:val="21"/>
                <w14:textFill>
                  <w14:solidFill>
                    <w14:schemeClr w14:val="tx1"/>
                  </w14:solidFill>
                </w14:textFill>
              </w:rPr>
            </w:pPr>
          </w:p>
        </w:tc>
      </w:tr>
    </w:tbl>
    <w:p w14:paraId="58288544">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901" w:name="_Toc4435"/>
      <w:bookmarkStart w:id="902" w:name="_Toc28992"/>
      <w:bookmarkStart w:id="903" w:name="_Toc4206"/>
      <w:bookmarkStart w:id="904" w:name="_Toc6619"/>
      <w:r>
        <w:rPr>
          <w:rFonts w:hint="default" w:ascii="Times New Roman" w:hAnsi="Times New Roman" w:eastAsia="楷体" w:cs="Times New Roman"/>
          <w:color w:val="000000" w:themeColor="text1"/>
          <w14:textFill>
            <w14:solidFill>
              <w14:schemeClr w14:val="tx1"/>
            </w14:solidFill>
          </w14:textFill>
        </w:rPr>
        <w:t>7.2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需要重点防范和控制的危险、有害因素</w:t>
      </w:r>
      <w:bookmarkEnd w:id="901"/>
      <w:bookmarkEnd w:id="902"/>
      <w:bookmarkEnd w:id="903"/>
      <w:bookmarkEnd w:id="904"/>
    </w:p>
    <w:bookmarkEnd w:id="891"/>
    <w:bookmarkEnd w:id="892"/>
    <w:bookmarkEnd w:id="893"/>
    <w:bookmarkEnd w:id="894"/>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545"/>
        <w:gridCol w:w="850"/>
        <w:gridCol w:w="3510"/>
      </w:tblGrid>
      <w:tr w14:paraId="37D6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67" w:type="pct"/>
            <w:vAlign w:val="center"/>
          </w:tcPr>
          <w:p w14:paraId="5D99777D">
            <w:pPr>
              <w:jc w:val="center"/>
              <w:rPr>
                <w:rFonts w:hint="default" w:ascii="Times New Roman" w:hAnsi="Times New Roman" w:cs="Times New Roman"/>
                <w:b/>
                <w:color w:val="000000" w:themeColor="text1"/>
                <w:sz w:val="21"/>
                <w:szCs w:val="21"/>
                <w14:textFill>
                  <w14:solidFill>
                    <w14:schemeClr w14:val="tx1"/>
                  </w14:solidFill>
                </w14:textFill>
              </w:rPr>
            </w:pPr>
            <w:bookmarkStart w:id="905" w:name="_Toc22567"/>
            <w:bookmarkStart w:id="906" w:name="_Toc14604"/>
            <w:bookmarkStart w:id="907" w:name="_Toc29866"/>
            <w:r>
              <w:rPr>
                <w:rFonts w:hint="default" w:ascii="Times New Roman" w:hAnsi="Times New Roman" w:cs="Times New Roman"/>
                <w:b/>
                <w:color w:val="000000" w:themeColor="text1"/>
                <w:sz w:val="21"/>
                <w:szCs w:val="21"/>
                <w14:textFill>
                  <w14:solidFill>
                    <w14:schemeClr w14:val="tx1"/>
                  </w14:solidFill>
                </w14:textFill>
              </w:rPr>
              <w:t>序号</w:t>
            </w:r>
          </w:p>
        </w:tc>
        <w:tc>
          <w:tcPr>
            <w:tcW w:w="2032" w:type="pct"/>
            <w:vAlign w:val="center"/>
          </w:tcPr>
          <w:p w14:paraId="5F12F417">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危险、有害因素</w:t>
            </w:r>
          </w:p>
        </w:tc>
        <w:tc>
          <w:tcPr>
            <w:tcW w:w="487" w:type="pct"/>
            <w:vAlign w:val="center"/>
          </w:tcPr>
          <w:p w14:paraId="48113025">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2012" w:type="pct"/>
            <w:vAlign w:val="center"/>
          </w:tcPr>
          <w:p w14:paraId="1E5E8D1C">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危险、有害因素</w:t>
            </w:r>
          </w:p>
        </w:tc>
      </w:tr>
      <w:tr w14:paraId="69D1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67" w:type="pct"/>
            <w:vAlign w:val="center"/>
          </w:tcPr>
          <w:p w14:paraId="160CD4C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032" w:type="pct"/>
            <w:vAlign w:val="center"/>
          </w:tcPr>
          <w:p w14:paraId="5EBAD6A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火灾</w:t>
            </w:r>
          </w:p>
        </w:tc>
        <w:tc>
          <w:tcPr>
            <w:tcW w:w="487" w:type="pct"/>
            <w:vAlign w:val="center"/>
          </w:tcPr>
          <w:p w14:paraId="33D5FB4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w:t>
            </w:r>
          </w:p>
        </w:tc>
        <w:tc>
          <w:tcPr>
            <w:tcW w:w="2012" w:type="pct"/>
            <w:vAlign w:val="center"/>
          </w:tcPr>
          <w:p w14:paraId="704DA22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机械伤害</w:t>
            </w:r>
          </w:p>
        </w:tc>
      </w:tr>
      <w:tr w14:paraId="2BF3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67" w:type="pct"/>
            <w:vAlign w:val="center"/>
          </w:tcPr>
          <w:p w14:paraId="40B9C4C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032" w:type="pct"/>
            <w:vAlign w:val="center"/>
          </w:tcPr>
          <w:p w14:paraId="38D1B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触电</w:t>
            </w:r>
          </w:p>
        </w:tc>
        <w:tc>
          <w:tcPr>
            <w:tcW w:w="487" w:type="pct"/>
            <w:vAlign w:val="center"/>
          </w:tcPr>
          <w:p w14:paraId="6EABB59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6</w:t>
            </w:r>
          </w:p>
        </w:tc>
        <w:tc>
          <w:tcPr>
            <w:tcW w:w="2012" w:type="pct"/>
            <w:vAlign w:val="center"/>
          </w:tcPr>
          <w:p w14:paraId="44CC175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灼烫</w:t>
            </w:r>
          </w:p>
        </w:tc>
      </w:tr>
      <w:tr w14:paraId="3786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67" w:type="pct"/>
            <w:vAlign w:val="center"/>
          </w:tcPr>
          <w:p w14:paraId="18E9559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w:t>
            </w:r>
          </w:p>
        </w:tc>
        <w:tc>
          <w:tcPr>
            <w:tcW w:w="2032" w:type="pct"/>
            <w:vAlign w:val="center"/>
          </w:tcPr>
          <w:p w14:paraId="63FBE6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车辆伤害</w:t>
            </w:r>
          </w:p>
        </w:tc>
        <w:tc>
          <w:tcPr>
            <w:tcW w:w="487" w:type="pct"/>
            <w:vAlign w:val="center"/>
          </w:tcPr>
          <w:p w14:paraId="4F44860A">
            <w:pPr>
              <w:jc w:val="center"/>
              <w:rPr>
                <w:rFonts w:hint="default" w:asci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7</w:t>
            </w:r>
          </w:p>
        </w:tc>
        <w:tc>
          <w:tcPr>
            <w:tcW w:w="2012" w:type="pct"/>
            <w:vAlign w:val="center"/>
          </w:tcPr>
          <w:p w14:paraId="351278B9">
            <w:pPr>
              <w:jc w:val="center"/>
              <w:rPr>
                <w:rFonts w:hint="default" w:asci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容器爆炸</w:t>
            </w:r>
          </w:p>
        </w:tc>
      </w:tr>
      <w:tr w14:paraId="413E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67" w:type="pct"/>
            <w:vAlign w:val="center"/>
          </w:tcPr>
          <w:p w14:paraId="23FD50D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4</w:t>
            </w:r>
          </w:p>
        </w:tc>
        <w:tc>
          <w:tcPr>
            <w:tcW w:w="2032" w:type="pct"/>
            <w:vAlign w:val="center"/>
          </w:tcPr>
          <w:p w14:paraId="4FAF33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高处坠落</w:t>
            </w:r>
          </w:p>
        </w:tc>
        <w:tc>
          <w:tcPr>
            <w:tcW w:w="487" w:type="pct"/>
            <w:vAlign w:val="center"/>
          </w:tcPr>
          <w:p w14:paraId="51DC6C33">
            <w:pPr>
              <w:jc w:val="center"/>
              <w:rPr>
                <w:rFonts w:hint="default" w:asci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8</w:t>
            </w:r>
          </w:p>
        </w:tc>
        <w:tc>
          <w:tcPr>
            <w:tcW w:w="2012" w:type="pct"/>
            <w:vAlign w:val="center"/>
          </w:tcPr>
          <w:p w14:paraId="72BF4711">
            <w:pPr>
              <w:jc w:val="center"/>
              <w:rPr>
                <w:rFonts w:hint="default" w:asci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物体打击</w:t>
            </w:r>
          </w:p>
        </w:tc>
      </w:tr>
    </w:tbl>
    <w:p w14:paraId="17D534B7">
      <w:pPr>
        <w:pStyle w:val="5"/>
        <w:keepNext/>
        <w:keepLines/>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楷体" w:cs="Times New Roman"/>
          <w:color w:val="000000" w:themeColor="text1"/>
          <w14:textFill>
            <w14:solidFill>
              <w14:schemeClr w14:val="tx1"/>
            </w14:solidFill>
          </w14:textFill>
        </w:rPr>
      </w:pPr>
      <w:bookmarkStart w:id="908" w:name="_Toc28460"/>
      <w:r>
        <w:rPr>
          <w:rFonts w:hint="default" w:ascii="Times New Roman" w:hAnsi="Times New Roman" w:eastAsia="楷体" w:cs="Times New Roman"/>
          <w:color w:val="000000" w:themeColor="text1"/>
          <w14:textFill>
            <w14:solidFill>
              <w14:schemeClr w14:val="tx1"/>
            </w14:solidFill>
          </w14:textFill>
        </w:rPr>
        <w:t>7.3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楷体" w:cs="Times New Roman"/>
          <w:color w:val="000000" w:themeColor="text1"/>
          <w14:textFill>
            <w14:solidFill>
              <w14:schemeClr w14:val="tx1"/>
            </w14:solidFill>
          </w14:textFill>
        </w:rPr>
        <w:t>安全评价结论</w:t>
      </w:r>
      <w:bookmarkEnd w:id="905"/>
      <w:bookmarkEnd w:id="906"/>
      <w:bookmarkEnd w:id="907"/>
      <w:bookmarkEnd w:id="908"/>
    </w:p>
    <w:p w14:paraId="124E386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昭通市鼎安科技有限公司依据安全评价相关法规，对该项目严格按照安全评价过程控制程序，依据各单元主要危险、有害因素辨识、定性定量分析结果、得出如下安全现状评价综合结论：</w:t>
      </w:r>
    </w:p>
    <w:bookmarkEnd w:id="276"/>
    <w:bookmarkEnd w:id="277"/>
    <w:bookmarkEnd w:id="278"/>
    <w:p w14:paraId="6841BB3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项目平面布置</w:t>
      </w:r>
      <w:r>
        <w:rPr>
          <w:rFonts w:hint="eastAsia" w:ascii="宋体" w:hAnsi="宋体" w:eastAsia="宋体" w:cs="宋体"/>
          <w:color w:val="000000" w:themeColor="text1"/>
          <w:sz w:val="28"/>
          <w:szCs w:val="28"/>
          <w:lang w:val="en-US" w:eastAsia="zh-CN"/>
          <w14:textFill>
            <w14:solidFill>
              <w14:schemeClr w14:val="tx1"/>
            </w14:solidFill>
          </w14:textFill>
        </w:rPr>
        <w:t>符合</w:t>
      </w:r>
      <w:r>
        <w:rPr>
          <w:rFonts w:hint="eastAsia" w:ascii="宋体" w:hAnsi="宋体" w:eastAsia="宋体" w:cs="宋体"/>
          <w:color w:val="000000" w:themeColor="text1"/>
          <w:sz w:val="28"/>
          <w:szCs w:val="28"/>
          <w14:textFill>
            <w14:solidFill>
              <w14:schemeClr w14:val="tx1"/>
            </w14:solidFill>
          </w14:textFill>
        </w:rPr>
        <w:t>《工业企业总平面设计规范》（</w:t>
      </w:r>
      <w:r>
        <w:rPr>
          <w:rFonts w:hint="eastAsia" w:ascii="宋体" w:hAnsi="宋体" w:eastAsia="宋体" w:cs="宋体"/>
          <w:color w:val="000000" w:themeColor="text1"/>
          <w:sz w:val="28"/>
          <w:szCs w:val="28"/>
          <w:lang w:val="zh-CN"/>
          <w14:textFill>
            <w14:solidFill>
              <w14:schemeClr w14:val="tx1"/>
            </w14:solidFill>
          </w14:textFill>
        </w:rPr>
        <w:t>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50187-2012）、《工业企业厂内铁路、道路运输安全规程》（GB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4387-2008）</w:t>
      </w:r>
      <w:r>
        <w:rPr>
          <w:rFonts w:hint="eastAsia" w:ascii="宋体" w:hAnsi="宋体" w:eastAsia="宋体" w:cs="宋体"/>
          <w:color w:val="000000" w:themeColor="text1"/>
          <w:sz w:val="28"/>
          <w:szCs w:val="28"/>
          <w14:textFill>
            <w14:solidFill>
              <w14:schemeClr w14:val="tx1"/>
            </w14:solidFill>
          </w14:textFill>
        </w:rPr>
        <w:t>和《建筑设计防火规范〔2018</w:t>
      </w:r>
      <w:r>
        <w:rPr>
          <w:rFonts w:hint="eastAsia" w:hAnsi="宋体" w:cs="宋体"/>
          <w:color w:val="000000" w:themeColor="text1"/>
          <w:sz w:val="28"/>
          <w:szCs w:val="28"/>
          <w:lang w:val="en-US" w:eastAsia="zh-CN"/>
          <w14:textFill>
            <w14:solidFill>
              <w14:schemeClr w14:val="tx1"/>
            </w14:solidFill>
          </w14:textFill>
        </w:rPr>
        <w:t>年</w:t>
      </w:r>
      <w:r>
        <w:rPr>
          <w:rFonts w:hint="eastAsia" w:ascii="宋体" w:hAnsi="宋体" w:eastAsia="宋体" w:cs="宋体"/>
          <w:color w:val="000000" w:themeColor="text1"/>
          <w:sz w:val="28"/>
          <w:szCs w:val="28"/>
          <w14:textFill>
            <w14:solidFill>
              <w14:schemeClr w14:val="tx1"/>
            </w14:solidFill>
          </w14:textFill>
        </w:rPr>
        <w:t>版〕》（GB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50016-2014）中的</w:t>
      </w:r>
      <w:r>
        <w:rPr>
          <w:rFonts w:hint="eastAsia" w:ascii="宋体" w:hAnsi="宋体" w:eastAsia="宋体" w:cs="宋体"/>
          <w:color w:val="000000" w:themeColor="text1"/>
          <w:sz w:val="28"/>
          <w:szCs w:val="28"/>
          <w:lang w:val="en-US" w:eastAsia="zh-CN"/>
          <w14:textFill>
            <w14:solidFill>
              <w14:schemeClr w14:val="tx1"/>
            </w14:solidFill>
          </w14:textFill>
        </w:rPr>
        <w:t>规范要求</w:t>
      </w:r>
      <w:r>
        <w:rPr>
          <w:rFonts w:hint="eastAsia" w:ascii="宋体" w:hAnsi="宋体" w:eastAsia="宋体" w:cs="宋体"/>
          <w:color w:val="000000" w:themeColor="text1"/>
          <w:sz w:val="28"/>
          <w:szCs w:val="28"/>
          <w14:textFill>
            <w14:solidFill>
              <w14:schemeClr w14:val="tx1"/>
            </w14:solidFill>
          </w14:textFill>
        </w:rPr>
        <w:t>。</w:t>
      </w:r>
    </w:p>
    <w:p w14:paraId="1711742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该项目的生产工艺设备设施符合《生产设备安全卫生设计总则》（GB5083-</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）、《生产过程安全卫生要求总则》（GB/T 12801-2008）、《中华人民共和国安全生产法》（中华人民共和国主席令第88号，2021年修订）、</w:t>
      </w:r>
      <w:r>
        <w:rPr>
          <w:rFonts w:hint="eastAsia" w:ascii="宋体" w:hAnsi="宋体" w:eastAsia="宋体" w:cs="宋体"/>
          <w:color w:val="000000" w:themeColor="text1"/>
          <w:kern w:val="0"/>
          <w:sz w:val="28"/>
          <w:szCs w:val="28"/>
          <w14:textFill>
            <w14:solidFill>
              <w14:schemeClr w14:val="tx1"/>
            </w14:solidFill>
          </w14:textFill>
        </w:rPr>
        <w:t>《压力容器定期检验规则》（TSG R7001-2013）</w:t>
      </w:r>
      <w:r>
        <w:rPr>
          <w:rFonts w:hint="eastAsia" w:ascii="宋体" w:hAnsi="宋体" w:eastAsia="宋体" w:cs="宋体"/>
          <w:color w:val="000000" w:themeColor="text1"/>
          <w:sz w:val="28"/>
          <w:szCs w:val="28"/>
          <w14:textFill>
            <w14:solidFill>
              <w14:schemeClr w14:val="tx1"/>
            </w14:solidFill>
          </w14:textFill>
        </w:rPr>
        <w:t>等相关规范的要求。</w:t>
      </w:r>
    </w:p>
    <w:p w14:paraId="17D85E6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该项目的安全防护设施符合《安全色》（GB2893-2008）、《安全标志及其使用导则》（GB2894-2008）、《机械安全防护装置固定式和活动式防护装置的设计与制造一般要求》（GB/T8196-2018）、《机械工业职业安全卫生设计规范》（JBJ18-2000）等国家相关标准、规范的规定和要求。</w:t>
      </w:r>
    </w:p>
    <w:p w14:paraId="48DAED2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该项目的供配电系统、给排水、消防设施等公辅设施能够满足生产的需要。</w:t>
      </w:r>
    </w:p>
    <w:p w14:paraId="62B45AA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．该公司任命了专职安全员对生产安全进行管理。主要负责人、特种作业人员均取得了安全培训合格证。</w:t>
      </w:r>
    </w:p>
    <w:p w14:paraId="0D0826D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．该公司证照齐全有效，各级人员安全职责明确，安全生产责任制、管理制度、操作规程、生产安全事故应急预案基本健全、可行，并能切实得到落实。</w:t>
      </w:r>
    </w:p>
    <w:p w14:paraId="1FBD44F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．该公司为员工购买了工伤保险，从业人员配发了相应的劳动防护用品，并对日常的佩戴使用情况进行检查。</w:t>
      </w:r>
    </w:p>
    <w:p w14:paraId="1A18378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.根据《工贸企业重大事故隐患判定标准》（应急管理部令〔</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〕第10号），该厂无重大事故隐患</w:t>
      </w:r>
      <w:r>
        <w:rPr>
          <w:rFonts w:hint="eastAsia" w:ascii="宋体" w:hAnsi="宋体" w:eastAsia="宋体" w:cs="宋体"/>
          <w:color w:val="000000" w:themeColor="text1"/>
          <w:sz w:val="28"/>
          <w:szCs w:val="28"/>
          <w:lang w:eastAsia="zh-CN"/>
          <w14:textFill>
            <w14:solidFill>
              <w14:schemeClr w14:val="tx1"/>
            </w14:solidFill>
          </w14:textFill>
        </w:rPr>
        <w:t>。</w:t>
      </w:r>
    </w:p>
    <w:p w14:paraId="0F4CADAE">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eastAsia="宋体" w:cs="宋体"/>
          <w:b/>
          <w:color w:val="000000" w:themeColor="text1"/>
          <w:kern w:val="0"/>
          <w:sz w:val="28"/>
          <w:szCs w:val="28"/>
          <w:lang w:eastAsia="zh-TW"/>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综上所述，评价组认为：</w:t>
      </w:r>
      <w:r>
        <w:rPr>
          <w:rFonts w:hint="eastAsia" w:hAnsi="宋体" w:cs="宋体"/>
          <w:b/>
          <w:bCs/>
          <w:color w:val="000000" w:themeColor="text1"/>
          <w:sz w:val="28"/>
          <w:szCs w:val="28"/>
          <w:lang w:eastAsia="zh-CN"/>
          <w14:textFill>
            <w14:solidFill>
              <w14:schemeClr w14:val="tx1"/>
            </w14:solidFill>
          </w14:textFill>
        </w:rPr>
        <w:t>云南玉溪洁灵娜精细日化有限责任公司年产3万吨洗涤用品项目</w:t>
      </w:r>
      <w:r>
        <w:rPr>
          <w:rFonts w:hint="eastAsia" w:ascii="宋体" w:hAnsi="宋体" w:eastAsia="宋体" w:cs="宋体"/>
          <w:b/>
          <w:bCs/>
          <w:color w:val="000000" w:themeColor="text1"/>
          <w:sz w:val="28"/>
          <w:szCs w:val="28"/>
          <w:lang w:eastAsia="zh-CN"/>
          <w14:textFill>
            <w14:solidFill>
              <w14:schemeClr w14:val="tx1"/>
            </w14:solidFill>
          </w14:textFill>
        </w:rPr>
        <w:t>从安全生产角度分析评价符合国家有关法律、法规、标准、规范的相关要求，</w:t>
      </w:r>
      <w:r>
        <w:rPr>
          <w:rFonts w:hint="eastAsia" w:ascii="宋体" w:hAnsi="宋体" w:eastAsia="宋体" w:cs="宋体"/>
          <w:b/>
          <w:color w:val="000000" w:themeColor="text1"/>
          <w:kern w:val="0"/>
          <w:sz w:val="28"/>
          <w:szCs w:val="28"/>
          <w14:textFill>
            <w14:solidFill>
              <w14:schemeClr w14:val="tx1"/>
            </w14:solidFill>
          </w14:textFill>
        </w:rPr>
        <w:t>其现状具备安全生产条件</w:t>
      </w:r>
      <w:r>
        <w:rPr>
          <w:rFonts w:hint="eastAsia" w:ascii="宋体" w:hAnsi="宋体" w:eastAsia="宋体" w:cs="宋体"/>
          <w:b/>
          <w:snapToGrid w:val="0"/>
          <w:color w:val="000000" w:themeColor="text1"/>
          <w:kern w:val="0"/>
          <w:sz w:val="28"/>
          <w:szCs w:val="21"/>
          <w14:textFill>
            <w14:solidFill>
              <w14:schemeClr w14:val="tx1"/>
            </w14:solidFill>
          </w14:textFill>
        </w:rPr>
        <w:t>。</w:t>
      </w:r>
    </w:p>
    <w:p w14:paraId="1BDF66E7">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napToGrid w:val="0"/>
          <w:color w:val="000000" w:themeColor="text1"/>
          <w:kern w:val="0"/>
          <w:sz w:val="28"/>
          <w:szCs w:val="21"/>
          <w14:textFill>
            <w14:solidFill>
              <w14:schemeClr w14:val="tx1"/>
            </w14:solidFill>
          </w14:textFill>
        </w:rPr>
      </w:pPr>
      <w:r>
        <w:rPr>
          <w:rFonts w:hint="eastAsia" w:ascii="宋体" w:hAnsi="宋体" w:eastAsia="宋体" w:cs="宋体"/>
          <w:snapToGrid w:val="0"/>
          <w:color w:val="000000" w:themeColor="text1"/>
          <w:kern w:val="0"/>
          <w:sz w:val="28"/>
          <w:szCs w:val="21"/>
          <w14:textFill>
            <w14:solidFill>
              <w14:schemeClr w14:val="tx1"/>
            </w14:solidFill>
          </w14:textFill>
        </w:rPr>
        <w:t>总之，企业生产是一个动态的过程，企业在今后的生产过程中，应根据生产条件的变化，把安全管理工作贯穿于生产的全过程，不断完善企业安全管理，依靠科技进步提升安全技术水平，防止安全事故的发生，实现本质化安全，切实保障人民生命和财产的安全。</w:t>
      </w:r>
      <w:bookmarkStart w:id="909" w:name="_Toc403746198"/>
      <w:bookmarkStart w:id="910" w:name="_Toc365119562"/>
    </w:p>
    <w:bookmarkEnd w:id="909"/>
    <w:bookmarkEnd w:id="910"/>
    <w:p w14:paraId="0BF44F79">
      <w:pPr>
        <w:spacing w:line="500" w:lineRule="exact"/>
        <w:ind w:firstLine="560" w:firstLineChars="200"/>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br w:type="page"/>
      </w:r>
    </w:p>
    <w:p w14:paraId="372498FF">
      <w:pPr>
        <w:pStyle w:val="4"/>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default" w:ascii="Times New Roman" w:hAnsi="Times New Roman" w:eastAsia="黑体" w:cs="Times New Roman"/>
          <w:color w:val="000000" w:themeColor="text1"/>
          <w14:textFill>
            <w14:solidFill>
              <w14:schemeClr w14:val="tx1"/>
            </w14:solidFill>
          </w14:textFill>
        </w:rPr>
      </w:pPr>
      <w:bookmarkStart w:id="911" w:name="_Toc11905"/>
      <w:bookmarkStart w:id="912" w:name="_Toc9514"/>
      <w:r>
        <w:rPr>
          <w:rFonts w:hint="default" w:ascii="Times New Roman" w:hAnsi="Times New Roman" w:eastAsia="黑体" w:cs="Times New Roman"/>
          <w:color w:val="000000" w:themeColor="text1"/>
          <w14:textFill>
            <w14:solidFill>
              <w14:schemeClr w14:val="tx1"/>
            </w14:solidFill>
          </w14:textFill>
        </w:rPr>
        <w:t>第8章  与企业交换的意见</w:t>
      </w:r>
      <w:bookmarkEnd w:id="911"/>
      <w:bookmarkEnd w:id="912"/>
    </w:p>
    <w:p w14:paraId="4287F00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cs="Times New Roman" w:asciiTheme="minorEastAsia" w:hAnsiTheme="minorEastAsia" w:eastAsiaTheme="minorEastAsia"/>
          <w:color w:val="000000" w:themeColor="text1"/>
          <w:sz w:val="28"/>
          <w:szCs w:val="28"/>
          <w:lang w:val="en-US" w:eastAsia="zh-CN" w:bidi="ar-SA"/>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评价组通过对项目的现场实地调查和评价，在现场向企业负责人指出不符合项目，建议企业今后进行完善，企业已根据评价组出具的意见完成了整改，出具了整改报告</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hint="eastAsia" w:cs="Times New Roman" w:asciiTheme="minorEastAsia" w:hAnsiTheme="minorEastAsia" w:eastAsiaTheme="minorEastAsia"/>
          <w:color w:val="000000" w:themeColor="text1"/>
          <w:sz w:val="28"/>
          <w:szCs w:val="28"/>
          <w:lang w:val="en-US" w:eastAsia="zh-CN" w:bidi="ar-SA"/>
          <w14:textFill>
            <w14:solidFill>
              <w14:schemeClr w14:val="tx1"/>
            </w14:solidFill>
          </w14:textFill>
        </w:rPr>
        <w:t>企业应加强《中华人民共和国安全生产法》及其他有关安全生产的法律、法规的学习，加强安全管理，定期组织应急演练，完善演练记录，加强员工的安全教育培训，完善培训记录。尽快创建安全生产标准化和安全风险分级管控和隐患排查治理双重预防机制，健全风险防范化解机制，提高安全生产水平，确保安全生产。</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企业</w:t>
      </w:r>
      <w:r>
        <w:rPr>
          <w:rFonts w:hint="eastAsia" w:asciiTheme="minorEastAsia" w:hAnsiTheme="minorEastAsia" w:eastAsiaTheme="minorEastAsia"/>
          <w:color w:val="000000" w:themeColor="text1"/>
          <w:sz w:val="28"/>
          <w:szCs w:val="28"/>
          <w14:textFill>
            <w14:solidFill>
              <w14:schemeClr w14:val="tx1"/>
            </w14:solidFill>
          </w14:textFill>
        </w:rPr>
        <w:t>负责人表示会</w:t>
      </w:r>
      <w:r>
        <w:rPr>
          <w:rFonts w:hint="eastAsia" w:asciiTheme="minorEastAsia" w:hAnsiTheme="minorEastAsia" w:eastAsiaTheme="minorEastAsia"/>
          <w:color w:val="000000" w:themeColor="text1"/>
          <w:sz w:val="28"/>
          <w:szCs w:val="28"/>
          <w:lang w:eastAsia="zh-CN"/>
          <w14:textFill>
            <w14:solidFill>
              <w14:schemeClr w14:val="tx1"/>
            </w14:solidFill>
          </w14:textFill>
        </w:rPr>
        <w:t>加强有关安全生产的法律、法规的学习，依法办事，加强安全管理，</w:t>
      </w:r>
      <w:r>
        <w:rPr>
          <w:rFonts w:hint="eastAsia" w:asciiTheme="minorEastAsia" w:hAnsiTheme="minorEastAsia" w:eastAsiaTheme="minorEastAsia"/>
          <w:color w:val="000000" w:themeColor="text1"/>
          <w:sz w:val="28"/>
          <w:szCs w:val="28"/>
          <w14:textFill>
            <w14:solidFill>
              <w14:schemeClr w14:val="tx1"/>
            </w14:solidFill>
          </w14:textFill>
        </w:rPr>
        <w:t>进一步完善应急演练、</w:t>
      </w:r>
      <w:r>
        <w:rPr>
          <w:rFonts w:hint="eastAsia" w:asciiTheme="minorEastAsia" w:hAnsiTheme="minorEastAsia" w:eastAsiaTheme="minorEastAsia"/>
          <w:color w:val="000000" w:themeColor="text1"/>
          <w:sz w:val="28"/>
          <w:szCs w:val="28"/>
          <w:lang w:eastAsia="zh-CN"/>
          <w14:textFill>
            <w14:solidFill>
              <w14:schemeClr w14:val="tx1"/>
            </w14:solidFill>
          </w14:textFill>
        </w:rPr>
        <w:t>安全教育培训、</w:t>
      </w:r>
      <w:r>
        <w:rPr>
          <w:rFonts w:hint="eastAsia" w:asciiTheme="minorEastAsia" w:hAnsiTheme="minorEastAsia" w:eastAsiaTheme="minorEastAsia"/>
          <w:color w:val="000000" w:themeColor="text1"/>
          <w:sz w:val="28"/>
          <w:szCs w:val="28"/>
          <w14:textFill>
            <w14:solidFill>
              <w14:schemeClr w14:val="tx1"/>
            </w14:solidFill>
          </w14:textFill>
        </w:rPr>
        <w:t>安全管理制度</w:t>
      </w:r>
      <w:r>
        <w:rPr>
          <w:rFonts w:hint="eastAsia" w:asciiTheme="minorEastAsia" w:hAnsiTheme="minorEastAsia" w:eastAsiaTheme="minorEastAsia"/>
          <w:color w:val="000000" w:themeColor="text1"/>
          <w:sz w:val="28"/>
          <w:szCs w:val="28"/>
          <w:lang w:eastAsia="zh-CN"/>
          <w14:textFill>
            <w14:solidFill>
              <w14:schemeClr w14:val="tx1"/>
            </w14:solidFill>
          </w14:textFill>
        </w:rPr>
        <w:t>建设</w:t>
      </w:r>
      <w:r>
        <w:rPr>
          <w:rFonts w:hint="eastAsia" w:asciiTheme="minorEastAsia" w:hAnsiTheme="minorEastAsia" w:eastAsiaTheme="minorEastAsia"/>
          <w:color w:val="000000" w:themeColor="text1"/>
          <w:sz w:val="28"/>
          <w:szCs w:val="28"/>
          <w14:textFill>
            <w14:solidFill>
              <w14:schemeClr w14:val="tx1"/>
            </w14:solidFill>
          </w14:textFill>
        </w:rPr>
        <w:t>等管理内容，</w:t>
      </w:r>
      <w:r>
        <w:rPr>
          <w:rFonts w:hint="eastAsia" w:asciiTheme="minorEastAsia" w:hAnsiTheme="minorEastAsia" w:eastAsiaTheme="minorEastAsia"/>
          <w:color w:val="000000" w:themeColor="text1"/>
          <w:sz w:val="28"/>
          <w:szCs w:val="28"/>
          <w:lang w:eastAsia="zh-CN"/>
          <w14:textFill>
            <w14:solidFill>
              <w14:schemeClr w14:val="tx1"/>
            </w14:solidFill>
          </w14:textFill>
        </w:rPr>
        <w:t>进一步抓好现场管理，完善各类安全管理台账资料，</w:t>
      </w:r>
      <w:r>
        <w:rPr>
          <w:rFonts w:hint="eastAsia" w:asciiTheme="minorEastAsia" w:hAnsiTheme="minorEastAsia" w:eastAsiaTheme="minorEastAsia"/>
          <w:color w:val="000000" w:themeColor="text1"/>
          <w:sz w:val="28"/>
          <w:szCs w:val="28"/>
          <w14:textFill>
            <w14:solidFill>
              <w14:schemeClr w14:val="tx1"/>
            </w14:solidFill>
          </w14:textFill>
        </w:rPr>
        <w:t>进一步提高安全生产水平。</w:t>
      </w:r>
    </w:p>
    <w:p w14:paraId="0D86CC87">
      <w:pPr>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br w:type="page"/>
      </w:r>
    </w:p>
    <w:p w14:paraId="70E42919">
      <w:pPr>
        <w:pStyle w:val="5"/>
        <w:keepNext/>
        <w:keepLines/>
        <w:pageBreakBefore w:val="0"/>
        <w:widowControl w:val="0"/>
        <w:kinsoku/>
        <w:wordWrap/>
        <w:overflowPunct/>
        <w:topLinePunct w:val="0"/>
        <w:autoSpaceDE/>
        <w:autoSpaceDN/>
        <w:bidi w:val="0"/>
        <w:adjustRightInd/>
        <w:snapToGrid w:val="0"/>
        <w:spacing w:beforeLines="50" w:afterLines="50" w:line="520" w:lineRule="exact"/>
        <w:jc w:val="both"/>
        <w:textAlignment w:val="auto"/>
        <w:rPr>
          <w:rFonts w:ascii="宋体" w:hAnsi="宋体" w:eastAsia="宋体" w:cs="宋体"/>
          <w:color w:val="000000" w:themeColor="text1"/>
          <w:sz w:val="28"/>
          <w:szCs w:val="28"/>
          <w14:textFill>
            <w14:solidFill>
              <w14:schemeClr w14:val="tx1"/>
            </w14:solidFill>
          </w14:textFill>
        </w:rPr>
      </w:pPr>
      <w:bookmarkStart w:id="913" w:name="_Toc24852"/>
      <w:bookmarkStart w:id="914" w:name="_Toc1001"/>
      <w:bookmarkStart w:id="915" w:name="_Toc314238312"/>
      <w:bookmarkStart w:id="916" w:name="_Toc9230"/>
      <w:bookmarkStart w:id="917" w:name="_Toc9127"/>
      <w:r>
        <w:rPr>
          <w:rFonts w:hint="eastAsia" w:ascii="宋体" w:hAnsi="宋体" w:eastAsia="宋体" w:cs="宋体"/>
          <w:color w:val="000000" w:themeColor="text1"/>
          <w:sz w:val="28"/>
          <w:szCs w:val="28"/>
          <w14:textFill>
            <w14:solidFill>
              <w14:schemeClr w14:val="tx1"/>
            </w14:solidFill>
          </w14:textFill>
        </w:rPr>
        <w:t>附件</w:t>
      </w:r>
      <w:bookmarkEnd w:id="913"/>
      <w:bookmarkEnd w:id="914"/>
      <w:bookmarkEnd w:id="915"/>
      <w:bookmarkEnd w:id="916"/>
    </w:p>
    <w:p w14:paraId="0BD84323">
      <w:pPr>
        <w:pStyle w:val="7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bidi="ar-SA"/>
          <w14:textFill>
            <w14:solidFill>
              <w14:schemeClr w14:val="tx1"/>
            </w14:solidFill>
          </w14:textFill>
        </w:rPr>
        <w:t>1.</w:t>
      </w:r>
      <w:r>
        <w:rPr>
          <w:rFonts w:hint="eastAsia" w:ascii="宋体" w:hAnsi="宋体" w:eastAsia="宋体" w:cs="宋体"/>
          <w:b w:val="0"/>
          <w:bCs/>
          <w:color w:val="000000" w:themeColor="text1"/>
          <w:sz w:val="28"/>
          <w:szCs w:val="28"/>
          <w14:textFill>
            <w14:solidFill>
              <w14:schemeClr w14:val="tx1"/>
            </w14:solidFill>
          </w14:textFill>
        </w:rPr>
        <w:t>委托书</w:t>
      </w:r>
      <w:r>
        <w:rPr>
          <w:rFonts w:hint="eastAsia" w:ascii="宋体" w:hAnsi="宋体" w:cs="宋体"/>
          <w:b w:val="0"/>
          <w:bCs/>
          <w:color w:val="000000" w:themeColor="text1"/>
          <w:sz w:val="28"/>
          <w:szCs w:val="28"/>
          <w:lang w:eastAsia="zh-CN"/>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承诺书</w:t>
      </w:r>
    </w:p>
    <w:p w14:paraId="137DEFED">
      <w:pPr>
        <w:pStyle w:val="7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val="en-US" w:eastAsia="zh-CN" w:bidi="ar-SA"/>
          <w14:textFill>
            <w14:solidFill>
              <w14:schemeClr w14:val="tx1"/>
            </w14:solidFill>
          </w14:textFill>
        </w:rPr>
        <w:t>2.</w:t>
      </w:r>
      <w:r>
        <w:rPr>
          <w:rFonts w:hint="eastAsia" w:ascii="宋体" w:hAnsi="宋体" w:cs="宋体"/>
          <w:b w:val="0"/>
          <w:bCs/>
          <w:color w:val="000000" w:themeColor="text1"/>
          <w:sz w:val="28"/>
          <w:szCs w:val="28"/>
          <w:lang w:val="en-US" w:eastAsia="zh-CN" w:bidi="ar-SA"/>
          <w14:textFill>
            <w14:solidFill>
              <w14:schemeClr w14:val="tx1"/>
            </w14:solidFill>
          </w14:textFill>
        </w:rPr>
        <w:t>营业执照</w:t>
      </w:r>
    </w:p>
    <w:p w14:paraId="3FF3D2AC">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3</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土地使用证明</w:t>
      </w:r>
    </w:p>
    <w:p w14:paraId="03893982">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4</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安全领导小组、安全员任命文件</w:t>
      </w:r>
    </w:p>
    <w:p w14:paraId="23B3ACE7">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t>主要负责人</w:t>
      </w:r>
      <w:r>
        <w:rPr>
          <w:rFonts w:hint="eastAsia" w:ascii="宋体" w:hAnsi="宋体" w:cs="宋体"/>
          <w:b w:val="0"/>
          <w:bCs/>
          <w:color w:val="000000" w:themeColor="text1"/>
          <w:sz w:val="28"/>
          <w:szCs w:val="28"/>
          <w:lang w:val="en-US" w:eastAsia="zh-CN"/>
          <w14:textFill>
            <w14:solidFill>
              <w14:schemeClr w14:val="tx1"/>
            </w14:solidFill>
          </w14:textFill>
        </w:rPr>
        <w:t>、安全生产管理人员证书</w:t>
      </w:r>
    </w:p>
    <w:p w14:paraId="4FDE9418">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6</w:t>
      </w:r>
      <w:r>
        <w:rPr>
          <w:rFonts w:hint="eastAsia" w:ascii="宋体" w:hAnsi="宋体" w:eastAsia="宋体" w:cs="宋体"/>
          <w:b w:val="0"/>
          <w:bCs/>
          <w:color w:val="000000" w:themeColor="text1"/>
          <w:sz w:val="28"/>
          <w:szCs w:val="28"/>
          <w:lang w:val="en-US" w:eastAsia="zh-CN"/>
          <w14:textFill>
            <w14:solidFill>
              <w14:schemeClr w14:val="tx1"/>
            </w14:solidFill>
          </w14:textFill>
        </w:rPr>
        <w:t>.工伤</w:t>
      </w:r>
      <w:r>
        <w:rPr>
          <w:rFonts w:hint="eastAsia" w:ascii="宋体" w:hAnsi="宋体" w:eastAsia="宋体" w:cs="宋体"/>
          <w:b w:val="0"/>
          <w:bCs/>
          <w:color w:val="000000" w:themeColor="text1"/>
          <w:sz w:val="28"/>
          <w:szCs w:val="28"/>
          <w14:textFill>
            <w14:solidFill>
              <w14:schemeClr w14:val="tx1"/>
            </w14:solidFill>
          </w14:textFill>
        </w:rPr>
        <w:t>保险凭证</w:t>
      </w:r>
    </w:p>
    <w:p w14:paraId="106D9E87">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lang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7</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eastAsia="宋体" w:cs="宋体"/>
          <w:b w:val="0"/>
          <w:bCs/>
          <w:color w:val="000000" w:themeColor="text1"/>
          <w:sz w:val="28"/>
          <w:szCs w:val="28"/>
          <w14:textFill>
            <w14:solidFill>
              <w14:schemeClr w14:val="tx1"/>
            </w14:solidFill>
          </w14:textFill>
        </w:rPr>
        <w:t>安全管理制度、安全生产责任制、操作规程目录</w:t>
      </w:r>
    </w:p>
    <w:p w14:paraId="714BCF9F">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8</w:t>
      </w:r>
      <w:r>
        <w:rPr>
          <w:rFonts w:hint="eastAsia" w:ascii="宋体" w:hAnsi="宋体" w:eastAsia="宋体" w:cs="宋体"/>
          <w:b w:val="0"/>
          <w:bCs/>
          <w:color w:val="000000" w:themeColor="text1"/>
          <w:sz w:val="28"/>
          <w:szCs w:val="28"/>
          <w:lang w:val="en-US" w:eastAsia="zh-CN"/>
          <w14:textFill>
            <w14:solidFill>
              <w14:schemeClr w14:val="tx1"/>
            </w14:solidFill>
          </w14:textFill>
        </w:rPr>
        <w:t xml:space="preserve">.安全教育培训记录 </w:t>
      </w:r>
    </w:p>
    <w:p w14:paraId="460F36C7">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9</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eastAsia="宋体" w:cs="宋体"/>
          <w:b w:val="0"/>
          <w:bCs/>
          <w:color w:val="000000" w:themeColor="text1"/>
          <w:sz w:val="28"/>
          <w:szCs w:val="28"/>
          <w14:textFill>
            <w14:solidFill>
              <w14:schemeClr w14:val="tx1"/>
            </w14:solidFill>
          </w14:textFill>
        </w:rPr>
        <w:t>劳保用品发放记录</w:t>
      </w:r>
    </w:p>
    <w:p w14:paraId="1D2EFCB7">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0</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隐患整改报告</w:t>
      </w:r>
    </w:p>
    <w:p w14:paraId="185DE209">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1</w:t>
      </w:r>
      <w:r>
        <w:rPr>
          <w:rFonts w:hint="eastAsia" w:ascii="宋体" w:hAnsi="宋体" w:eastAsia="宋体" w:cs="宋体"/>
          <w:b w:val="0"/>
          <w:bCs/>
          <w:color w:val="000000" w:themeColor="text1"/>
          <w:sz w:val="28"/>
          <w:szCs w:val="28"/>
          <w14:textFill>
            <w14:solidFill>
              <w14:schemeClr w14:val="tx1"/>
            </w14:solidFill>
          </w14:textFill>
        </w:rPr>
        <w:t>.应急预案备案登记表</w:t>
      </w:r>
    </w:p>
    <w:p w14:paraId="5D731042">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2</w:t>
      </w:r>
      <w:r>
        <w:rPr>
          <w:rFonts w:hint="eastAsia" w:ascii="宋体" w:hAnsi="宋体" w:eastAsia="宋体" w:cs="宋体"/>
          <w:b w:val="0"/>
          <w:bCs/>
          <w:color w:val="000000" w:themeColor="text1"/>
          <w:sz w:val="28"/>
          <w:szCs w:val="28"/>
          <w:lang w:val="en-US" w:eastAsia="zh-CN"/>
          <w14:textFill>
            <w14:solidFill>
              <w14:schemeClr w14:val="tx1"/>
            </w14:solidFill>
          </w14:textFill>
        </w:rPr>
        <w:t>.应急</w:t>
      </w:r>
      <w:r>
        <w:rPr>
          <w:rFonts w:hint="eastAsia" w:ascii="宋体" w:hAnsi="宋体" w:cs="宋体"/>
          <w:b w:val="0"/>
          <w:bCs/>
          <w:color w:val="000000" w:themeColor="text1"/>
          <w:sz w:val="28"/>
          <w:szCs w:val="28"/>
          <w:lang w:val="en-US" w:eastAsia="zh-CN"/>
          <w14:textFill>
            <w14:solidFill>
              <w14:schemeClr w14:val="tx1"/>
            </w14:solidFill>
          </w14:textFill>
        </w:rPr>
        <w:t>预案</w:t>
      </w:r>
      <w:r>
        <w:rPr>
          <w:rFonts w:hint="eastAsia" w:ascii="宋体" w:hAnsi="宋体" w:eastAsia="宋体" w:cs="宋体"/>
          <w:b w:val="0"/>
          <w:bCs/>
          <w:color w:val="000000" w:themeColor="text1"/>
          <w:sz w:val="28"/>
          <w:szCs w:val="28"/>
          <w:lang w:val="en-US" w:eastAsia="zh-CN"/>
          <w14:textFill>
            <w14:solidFill>
              <w14:schemeClr w14:val="tx1"/>
            </w14:solidFill>
          </w14:textFill>
        </w:rPr>
        <w:t>演练记录</w:t>
      </w:r>
    </w:p>
    <w:p w14:paraId="28445A7B">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3</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消防验收报告</w:t>
      </w:r>
    </w:p>
    <w:p w14:paraId="405F3EC2">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4</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防雷检测报告</w:t>
      </w:r>
    </w:p>
    <w:p w14:paraId="7C20EAAE">
      <w:pPr>
        <w:pStyle w:val="5"/>
        <w:keepNext/>
        <w:keepLines/>
        <w:pageBreakBefore w:val="0"/>
        <w:widowControl w:val="0"/>
        <w:kinsoku/>
        <w:wordWrap/>
        <w:overflowPunct/>
        <w:topLinePunct w:val="0"/>
        <w:autoSpaceDE/>
        <w:autoSpaceDN/>
        <w:bidi w:val="0"/>
        <w:adjustRightInd/>
        <w:snapToGrid w:val="0"/>
        <w:spacing w:beforeLines="50" w:afterLines="50" w:line="520" w:lineRule="exact"/>
        <w:jc w:val="both"/>
        <w:textAlignment w:val="auto"/>
        <w:rPr>
          <w:rFonts w:hint="eastAsia" w:ascii="宋体" w:hAnsi="宋体" w:eastAsia="宋体" w:cs="宋体"/>
          <w:color w:val="000000" w:themeColor="text1"/>
          <w:sz w:val="28"/>
          <w:szCs w:val="28"/>
          <w14:textFill>
            <w14:solidFill>
              <w14:schemeClr w14:val="tx1"/>
            </w14:solidFill>
          </w14:textFill>
        </w:rPr>
      </w:pPr>
      <w:bookmarkStart w:id="918" w:name="_Toc5960"/>
      <w:bookmarkStart w:id="919" w:name="_Toc15546"/>
      <w:r>
        <w:rPr>
          <w:rFonts w:hint="eastAsia" w:ascii="宋体" w:hAnsi="宋体" w:eastAsia="宋体" w:cs="宋体"/>
          <w:color w:val="000000" w:themeColor="text1"/>
          <w:sz w:val="28"/>
          <w:szCs w:val="28"/>
          <w14:textFill>
            <w14:solidFill>
              <w14:schemeClr w14:val="tx1"/>
            </w14:solidFill>
          </w14:textFill>
        </w:rPr>
        <w:t>附图</w:t>
      </w:r>
      <w:bookmarkEnd w:id="917"/>
      <w:bookmarkEnd w:id="918"/>
      <w:bookmarkEnd w:id="919"/>
      <w:bookmarkStart w:id="920" w:name="_Toc15683"/>
    </w:p>
    <w:p w14:paraId="5D0D943A">
      <w:pPr>
        <w:pStyle w:val="71"/>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jc w:val="both"/>
        <w:textAlignment w:val="auto"/>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1.总</w:t>
      </w:r>
      <w:r>
        <w:rPr>
          <w:rFonts w:hint="default" w:ascii="宋体" w:hAnsi="宋体" w:eastAsia="宋体" w:cs="宋体"/>
          <w:b w:val="0"/>
          <w:bCs/>
          <w:color w:val="000000" w:themeColor="text1"/>
          <w:sz w:val="28"/>
          <w:szCs w:val="28"/>
          <w:lang w:val="en-US" w:eastAsia="zh-CN"/>
          <w14:textFill>
            <w14:solidFill>
              <w14:schemeClr w14:val="tx1"/>
            </w14:solidFill>
          </w14:textFill>
        </w:rPr>
        <w:t>平面布置</w:t>
      </w:r>
      <w:bookmarkEnd w:id="920"/>
      <w:r>
        <w:rPr>
          <w:rFonts w:hint="eastAsia" w:ascii="宋体" w:hAnsi="宋体" w:eastAsia="宋体" w:cs="宋体"/>
          <w:b w:val="0"/>
          <w:bCs/>
          <w:color w:val="000000" w:themeColor="text1"/>
          <w:sz w:val="28"/>
          <w:szCs w:val="28"/>
          <w:lang w:val="en-US" w:eastAsia="zh-CN"/>
          <w14:textFill>
            <w14:solidFill>
              <w14:schemeClr w14:val="tx1"/>
            </w14:solidFill>
          </w14:textFill>
        </w:rPr>
        <w:t>图</w:t>
      </w:r>
    </w:p>
    <w:sectPr>
      <w:footerReference r:id="rId8" w:type="default"/>
      <w:pgSz w:w="11906" w:h="16838"/>
      <w:pgMar w:top="1587" w:right="1701" w:bottom="1701" w:left="1701" w:header="851" w:footer="992" w:gutter="0"/>
      <w:pgBorders>
        <w:top w:val="none" w:sz="0" w:space="0"/>
        <w:left w:val="none" w:sz="0" w:space="0"/>
        <w:bottom w:val="none" w:sz="0" w:space="0"/>
        <w:right w:val="none" w:sz="0" w:space="0"/>
      </w:pgBorders>
      <w:pgNumType w:fmt="decimal"/>
      <w:cols w:space="720" w:num="1"/>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rebuchet MS">
    <w:panose1 w:val="020B0603020202020204"/>
    <w:charset w:val="00"/>
    <w:family w:val="swiss"/>
    <w:pitch w:val="default"/>
    <w:sig w:usb0="000006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ngsana New">
    <w:altName w:val="Times New Roman"/>
    <w:panose1 w:val="02020603050405020304"/>
    <w:charset w:val="00"/>
    <w:family w:val="roman"/>
    <w:pitch w:val="default"/>
    <w:sig w:usb0="00000000" w:usb1="00000000" w:usb2="00000000" w:usb3="00000000" w:csb0="00010001" w:csb1="00000000"/>
  </w:font>
  <w:font w:name="隶书">
    <w:panose1 w:val="02010509060101010101"/>
    <w:charset w:val="86"/>
    <w:family w:val="modern"/>
    <w:pitch w:val="default"/>
    <w:sig w:usb0="00000001" w:usb1="080E0000" w:usb2="00000000" w:usb3="00000000" w:csb0="00040000" w:csb1="00000000"/>
  </w:font>
  <w:font w:name="..ì.">
    <w:altName w:val="宋体"/>
    <w:panose1 w:val="00000000000000000000"/>
    <w:charset w:val="86"/>
    <w:family w:val="swiss"/>
    <w:pitch w:val="default"/>
    <w:sig w:usb0="00000000" w:usb1="00000000" w:usb2="00000000" w:usb3="00000000" w:csb0="00040000" w:csb1="00000000"/>
  </w:font>
  <w:font w:name="瀹嬩綋">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A5871">
    <w:pPr>
      <w:pStyle w:val="34"/>
      <w:tabs>
        <w:tab w:val="center" w:pos="4252"/>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0AF5F">
                          <w:pPr>
                            <w:pStyle w:val="3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DA0AF5F">
                    <w:pPr>
                      <w:pStyle w:val="34"/>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rPr>
      <w:t>昭通市鼎安科技有限公司</w: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B2D7">
    <w:pPr>
      <w:pStyle w:val="3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5E6C1">
                          <w:pPr>
                            <w:pStyle w:val="3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F65E6C1">
                    <w:pPr>
                      <w:pStyle w:val="34"/>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rPr>
      <w:t>昭通市鼎安</w:t>
    </w:r>
    <w:r>
      <w:rPr>
        <w:rFonts w:hint="eastAsia" w:hAnsi="宋体"/>
      </w:rPr>
      <w:t>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FFB7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57EE1F5">
                          <w:pPr>
                            <w:snapToGrid w:val="0"/>
                            <w:rPr>
                              <w:sz w:val="18"/>
                            </w:rPr>
                          </w:pPr>
                          <w:r>
                            <w:rPr>
                              <w:sz w:val="18"/>
                            </w:rPr>
                            <w:fldChar w:fldCharType="begin"/>
                          </w:r>
                          <w:r>
                            <w:rPr>
                              <w:sz w:val="18"/>
                            </w:rPr>
                            <w:instrText xml:space="preserve"> PAGE  \* MERGEFORMAT </w:instrText>
                          </w:r>
                          <w:r>
                            <w:rPr>
                              <w:sz w:val="18"/>
                            </w:rPr>
                            <w:fldChar w:fldCharType="separate"/>
                          </w:r>
                          <w:r>
                            <w:rPr>
                              <w:sz w:val="18"/>
                            </w:rPr>
                            <w:t>99</w:t>
                          </w:r>
                          <w:r>
                            <w:rPr>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&#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hdkjPTAQAApQMAAA4AAAAAAAAAAQAgAAAA&#10;IgEAAGRycy9lMm9Eb2MueG1sUEsFBgAAAAAGAAYAWQEAAGcFAAAAAA==&#10;">
              <v:fill on="f" focussize="0,0"/>
              <v:stroke on="f" weight="1.25pt"/>
              <v:imagedata o:title=""/>
              <o:lock v:ext="edit" aspectratio="f"/>
              <v:textbox inset="0mm,0mm,0mm,0mm" style="mso-fit-shape-to-text:t;">
                <w:txbxContent>
                  <w:p w14:paraId="357EE1F5">
                    <w:pPr>
                      <w:snapToGrid w:val="0"/>
                      <w:rPr>
                        <w:sz w:val="18"/>
                      </w:rPr>
                    </w:pPr>
                    <w:r>
                      <w:rPr>
                        <w:sz w:val="18"/>
                      </w:rPr>
                      <w:fldChar w:fldCharType="begin"/>
                    </w:r>
                    <w:r>
                      <w:rPr>
                        <w:sz w:val="18"/>
                      </w:rPr>
                      <w:instrText xml:space="preserve"> PAGE  \* MERGEFORMAT </w:instrText>
                    </w:r>
                    <w:r>
                      <w:rPr>
                        <w:sz w:val="18"/>
                      </w:rPr>
                      <w:fldChar w:fldCharType="separate"/>
                    </w:r>
                    <w:r>
                      <w:rPr>
                        <w:sz w:val="18"/>
                      </w:rPr>
                      <w:t>99</w:t>
                    </w:r>
                    <w:r>
                      <w:rPr>
                        <w:sz w:val="18"/>
                      </w:rPr>
                      <w:fldChar w:fldCharType="end"/>
                    </w:r>
                  </w:p>
                </w:txbxContent>
              </v:textbox>
            </v:shape>
          </w:pict>
        </mc:Fallback>
      </mc:AlternateContent>
    </w:r>
    <w:r>
      <w:rPr>
        <w:rFonts w:hint="eastAsia"/>
      </w:rPr>
      <w:t>昭通市鼎安</w:t>
    </w:r>
    <w:r>
      <w:rPr>
        <w:rFonts w:hint="eastAsia" w:hAnsi="宋体"/>
      </w:rPr>
      <w:t>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2549A">
    <w:pPr>
      <w:widowControl w:val="0"/>
      <w:tabs>
        <w:tab w:val="center" w:pos="4153"/>
      </w:tabs>
      <w:snapToGrid w:val="0"/>
      <w:spacing w:line="240" w:lineRule="auto"/>
      <w:ind w:firstLine="0" w:firstLineChars="0"/>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posOffset>2291080</wp:posOffset>
              </wp:positionH>
              <wp:positionV relativeFrom="paragraph">
                <wp:posOffset>-151130</wp:posOffset>
              </wp:positionV>
              <wp:extent cx="692150" cy="4762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692150"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B36C9">
                          <w:pPr>
                            <w:pStyle w:val="34"/>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0.4pt;margin-top:-11.9pt;height:37.5pt;width:54.5pt;mso-position-horizontal-relative:margin;z-index:251665408;mso-width-relative:page;mso-height-relative:page;" filled="f" stroked="f" coordsize="21600,21600" o:gfxdata="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7Sv2QAAAAoBAAAPAAAAAAAAAAEAIAAAACIAAABkcnMvZG93bnJl&#10;di54bWxQSwECFAAUAAAACACHTuJAzxjsMzUCAABjBAAADgAAAAAAAAABACAAAAAoAQAAZHJzL2Uy&#10;b0RvYy54bWxQSwUGAAAAAAYABgBZAQAAzwUAAAAA&#10;">
              <v:fill on="f" focussize="0,0"/>
              <v:stroke on="f" weight="0.5pt"/>
              <v:imagedata o:title=""/>
              <o:lock v:ext="edit" aspectratio="f"/>
              <v:textbox inset="0mm,0mm,0mm,0mm">
                <w:txbxContent>
                  <w:p w14:paraId="3A4B36C9">
                    <w:pPr>
                      <w:pStyle w:val="34"/>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r>
      <w:rPr>
        <w:sz w:val="21"/>
        <w:szCs w:val="21"/>
      </w:rPr>
      <w:t>昭通市鼎安科技有限公司</w:t>
    </w:r>
    <w:r>
      <w:rPr>
        <w:rFonts w:ascii="宋体" w:hAnsi="宋体"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5946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59460" cy="1828800"/>
                      </a:xfrm>
                      <a:prstGeom prst="rect">
                        <a:avLst/>
                      </a:prstGeom>
                      <a:noFill/>
                      <a:ln>
                        <a:noFill/>
                      </a:ln>
                    </wps:spPr>
                    <wps:txbx>
                      <w:txbxContent>
                        <w:p w14:paraId="106EBD75">
                          <w:pPr>
                            <w:widowControl w:val="0"/>
                            <w:snapToGrid w:val="0"/>
                            <w:spacing w:line="360" w:lineRule="auto"/>
                            <w:ind w:firstLine="360" w:firstLineChars="200"/>
                            <w:jc w:val="left"/>
                            <w:rPr>
                              <w:rFonts w:hint="eastAsia" w:ascii="Times New Roman" w:hAnsi="Times New Roman" w:eastAsia="宋体" w:cs="Times New Roman"/>
                              <w:kern w:val="2"/>
                              <w:sz w:val="18"/>
                              <w:szCs w:val="18"/>
                              <w:lang w:val="en-US" w:eastAsia="zh-CN" w:bidi="ar-SA"/>
                            </w:rPr>
                          </w:pP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9.8pt;mso-position-horizontal:center;mso-position-horizontal-relative:margin;z-index:251664384;mso-width-relative:page;mso-height-relative:page;" filled="f" stroked="f" coordsize="21600,21600" o:gfxdata="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nED4DTAAAABQEAAA8AAAAAAAAAAQAgAAAAIgAAAGRy&#10;cy9kb3ducmV2LnhtbFBLAQIUABQAAAAIAIdO4kBj0myy0QEAAJwDAAAOAAAAAAAAAAEAIAAAACIB&#10;AABkcnMvZTJvRG9jLnhtbFBLBQYAAAAABgAGAFkBAABlBQAAAAA=&#10;">
              <v:fill on="f" focussize="0,0"/>
              <v:stroke on="f"/>
              <v:imagedata o:title=""/>
              <o:lock v:ext="edit" aspectratio="f"/>
              <v:textbox inset="0mm,0mm,0mm,0mm" style="mso-fit-shape-to-text:t;">
                <w:txbxContent>
                  <w:p w14:paraId="106EBD75">
                    <w:pPr>
                      <w:widowControl w:val="0"/>
                      <w:snapToGrid w:val="0"/>
                      <w:spacing w:line="360" w:lineRule="auto"/>
                      <w:ind w:firstLine="360" w:firstLineChars="200"/>
                      <w:jc w:val="left"/>
                      <w:rPr>
                        <w:rFonts w:hint="eastAsia" w:ascii="Times New Roman" w:hAnsi="Times New Roman" w:eastAsia="宋体" w:cs="Times New Roman"/>
                        <w:kern w:val="2"/>
                        <w:sz w:val="18"/>
                        <w:szCs w:val="18"/>
                        <w:lang w:val="en-US" w:eastAsia="zh-CN" w:bidi="ar-S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71DF">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46BEF7">
                          <w:pPr>
                            <w:snapToGrid w:val="0"/>
                            <w:rPr>
                              <w:sz w:val="18"/>
                            </w:rPr>
                          </w:pPr>
                          <w:r>
                            <w:rPr>
                              <w:sz w:val="18"/>
                            </w:rPr>
                            <w:fldChar w:fldCharType="begin"/>
                          </w:r>
                          <w:r>
                            <w:rPr>
                              <w:sz w:val="18"/>
                            </w:rPr>
                            <w:instrText xml:space="preserve"> PAGE  \* MERGEFORMAT </w:instrText>
                          </w:r>
                          <w:r>
                            <w:rPr>
                              <w:sz w:val="18"/>
                            </w:rPr>
                            <w:fldChar w:fldCharType="separate"/>
                          </w:r>
                          <w:r>
                            <w:rPr>
                              <w:sz w:val="18"/>
                            </w:rPr>
                            <w:t>105</w:t>
                          </w:r>
                          <w:r>
                            <w:rPr>
                              <w:sz w:val="18"/>
                            </w:rP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&#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1eXNytIBAACkAwAADgAAAAAAAAABACAAAAAi&#10;AQAAZHJzL2Uyb0RvYy54bWxQSwUGAAAAAAYABgBZAQAAZgUAAAAA&#10;">
              <v:fill on="f" focussize="0,0"/>
              <v:stroke on="f" weight="1.25pt"/>
              <v:imagedata o:title=""/>
              <o:lock v:ext="edit" aspectratio="f"/>
              <v:textbox inset="0mm,0mm,0mm,0mm" style="mso-fit-shape-to-text:t;">
                <w:txbxContent>
                  <w:p w14:paraId="3146BEF7">
                    <w:pPr>
                      <w:snapToGrid w:val="0"/>
                      <w:rPr>
                        <w:sz w:val="18"/>
                      </w:rPr>
                    </w:pPr>
                    <w:r>
                      <w:rPr>
                        <w:sz w:val="18"/>
                      </w:rPr>
                      <w:fldChar w:fldCharType="begin"/>
                    </w:r>
                    <w:r>
                      <w:rPr>
                        <w:sz w:val="18"/>
                      </w:rPr>
                      <w:instrText xml:space="preserve"> PAGE  \* MERGEFORMAT </w:instrText>
                    </w:r>
                    <w:r>
                      <w:rPr>
                        <w:sz w:val="18"/>
                      </w:rPr>
                      <w:fldChar w:fldCharType="separate"/>
                    </w:r>
                    <w:r>
                      <w:rPr>
                        <w:sz w:val="18"/>
                      </w:rPr>
                      <w:t>105</w:t>
                    </w:r>
                    <w:r>
                      <w:rPr>
                        <w:sz w:val="18"/>
                      </w:rPr>
                      <w:fldChar w:fldCharType="end"/>
                    </w:r>
                  </w:p>
                </w:txbxContent>
              </v:textbox>
            </v:shape>
          </w:pict>
        </mc:Fallback>
      </mc:AlternateContent>
    </w:r>
    <w:r>
      <w:rPr>
        <w:rFonts w:hint="eastAsia"/>
      </w:rPr>
      <w:t>昭通市鼎安科技有限公司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B61F5">
    <w:pPr>
      <w:pStyle w:val="2"/>
      <w:rPr>
        <w:rFonts w:hint="eastAsia"/>
        <w:sz w:val="21"/>
        <w:szCs w:val="21"/>
      </w:rPr>
    </w:pPr>
    <w:r>
      <w:rPr>
        <w:rFonts w:hint="eastAsia"/>
        <w:sz w:val="21"/>
        <w:szCs w:val="21"/>
        <w:lang w:val="en-US" w:eastAsia="zh-CN"/>
      </w:rPr>
      <w:t>云南玉溪洁灵娜精细日化有限责任公司</w:t>
    </w:r>
    <w:r>
      <w:rPr>
        <w:rFonts w:hint="eastAsia"/>
        <w:sz w:val="21"/>
        <w:szCs w:val="21"/>
      </w:rPr>
      <w:t>安全现状评价报告</w:t>
    </w:r>
  </w:p>
  <w:p w14:paraId="2D1B4A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78B95"/>
    <w:multiLevelType w:val="singleLevel"/>
    <w:tmpl w:val="AA978B95"/>
    <w:lvl w:ilvl="0" w:tentative="0">
      <w:start w:val="1"/>
      <w:numFmt w:val="decimal"/>
      <w:suff w:val="nothing"/>
      <w:lvlText w:val="%1、"/>
      <w:lvlJc w:val="left"/>
    </w:lvl>
  </w:abstractNum>
  <w:abstractNum w:abstractNumId="1">
    <w:nsid w:val="AFA6CE7F"/>
    <w:multiLevelType w:val="singleLevel"/>
    <w:tmpl w:val="AFA6CE7F"/>
    <w:lvl w:ilvl="0" w:tentative="0">
      <w:start w:val="1"/>
      <w:numFmt w:val="decimal"/>
      <w:suff w:val="nothing"/>
      <w:lvlText w:val="%1．"/>
      <w:lvlJc w:val="left"/>
      <w:pPr>
        <w:ind w:left="0" w:firstLine="400"/>
      </w:pPr>
      <w:rPr>
        <w:rFonts w:hint="default"/>
      </w:rPr>
    </w:lvl>
  </w:abstractNum>
  <w:abstractNum w:abstractNumId="2">
    <w:nsid w:val="C6C0DB08"/>
    <w:multiLevelType w:val="singleLevel"/>
    <w:tmpl w:val="C6C0DB08"/>
    <w:lvl w:ilvl="0" w:tentative="0">
      <w:start w:val="1"/>
      <w:numFmt w:val="decimal"/>
      <w:suff w:val="nothing"/>
      <w:lvlText w:val="%1．"/>
      <w:lvlJc w:val="left"/>
      <w:pPr>
        <w:ind w:left="0" w:firstLine="400"/>
      </w:pPr>
      <w:rPr>
        <w:rFonts w:hint="default"/>
      </w:rPr>
    </w:lvl>
  </w:abstractNum>
  <w:abstractNum w:abstractNumId="3">
    <w:nsid w:val="C804AFA8"/>
    <w:multiLevelType w:val="singleLevel"/>
    <w:tmpl w:val="C804AFA8"/>
    <w:lvl w:ilvl="0" w:tentative="0">
      <w:start w:val="1"/>
      <w:numFmt w:val="decimal"/>
      <w:suff w:val="nothing"/>
      <w:lvlText w:val="%1．"/>
      <w:lvlJc w:val="left"/>
      <w:pPr>
        <w:ind w:left="0" w:firstLine="400"/>
      </w:pPr>
      <w:rPr>
        <w:rFonts w:hint="default"/>
      </w:rPr>
    </w:lvl>
  </w:abstractNum>
  <w:abstractNum w:abstractNumId="4">
    <w:nsid w:val="DE7DA408"/>
    <w:multiLevelType w:val="multilevel"/>
    <w:tmpl w:val="DE7DA408"/>
    <w:lvl w:ilvl="0" w:tentative="0">
      <w:start w:val="1"/>
      <w:numFmt w:val="decimal"/>
      <w:suff w:val="nothing"/>
      <w:lvlText w:val="%1"/>
      <w:lvlJc w:val="left"/>
      <w:pPr>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3"/>
    <w:multiLevelType w:val="singleLevel"/>
    <w:tmpl w:val="00000003"/>
    <w:lvl w:ilvl="0" w:tentative="0">
      <w:start w:val="1"/>
      <w:numFmt w:val="decimal"/>
      <w:suff w:val="nothing"/>
      <w:lvlText w:val="%1．"/>
      <w:lvlJc w:val="left"/>
      <w:rPr>
        <w:rFonts w:ascii="宋体" w:hAnsi="宋体" w:eastAsia="宋体"/>
      </w:rPr>
    </w:lvl>
  </w:abstractNum>
  <w:abstractNum w:abstractNumId="6">
    <w:nsid w:val="0000000B"/>
    <w:multiLevelType w:val="singleLevel"/>
    <w:tmpl w:val="0000000B"/>
    <w:lvl w:ilvl="0" w:tentative="0">
      <w:start w:val="1"/>
      <w:numFmt w:val="decimal"/>
      <w:suff w:val="nothing"/>
      <w:lvlText w:val="%1"/>
      <w:lvlJc w:val="left"/>
      <w:pPr>
        <w:ind w:left="425" w:hanging="425"/>
      </w:pPr>
      <w:rPr>
        <w:rFonts w:hint="default"/>
      </w:rPr>
    </w:lvl>
  </w:abstractNum>
  <w:abstractNum w:abstractNumId="7">
    <w:nsid w:val="00000020"/>
    <w:multiLevelType w:val="multilevel"/>
    <w:tmpl w:val="00000020"/>
    <w:lvl w:ilvl="0" w:tentative="0">
      <w:start w:val="1"/>
      <w:numFmt w:val="decimal"/>
      <w:pStyle w:val="246"/>
      <w:lvlText w:val="%1）"/>
      <w:lvlJc w:val="left"/>
      <w:pPr>
        <w:tabs>
          <w:tab w:val="left" w:pos="0"/>
        </w:tabs>
        <w:ind w:left="0" w:firstLine="420"/>
      </w:pPr>
      <w:rPr>
        <w:rFonts w:hint="default" w:ascii="Times New Roman" w:hAnsi="Times New Roman" w:eastAsia="仿宋_GB2312"/>
        <w:b w:val="0"/>
        <w:i w:val="0"/>
        <w:color w:val="auto"/>
        <w:sz w:val="28"/>
        <w:szCs w:val="28"/>
      </w:rPr>
    </w:lvl>
    <w:lvl w:ilvl="1" w:tentative="0">
      <w:start w:val="1"/>
      <w:numFmt w:val="decimal"/>
      <w:lvlText w:val="（%2）"/>
      <w:lvlJc w:val="left"/>
      <w:pPr>
        <w:tabs>
          <w:tab w:val="left" w:pos="1980"/>
        </w:tabs>
        <w:ind w:left="198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1"/>
    <w:multiLevelType w:val="multilevel"/>
    <w:tmpl w:val="00000021"/>
    <w:lvl w:ilvl="0" w:tentative="0">
      <w:start w:val="1"/>
      <w:numFmt w:val="decimal"/>
      <w:suff w:val="nothing"/>
      <w:lvlText w:val="%1"/>
      <w:lvlJc w:val="left"/>
      <w:pPr>
        <w:ind w:left="846" w:hanging="420"/>
      </w:pPr>
      <w:rPr>
        <w:rFonts w:hint="eastAsia"/>
      </w:rPr>
    </w:lvl>
    <w:lvl w:ilvl="1" w:tentative="0">
      <w:start w:val="1"/>
      <w:numFmt w:val="lowerLetter"/>
      <w:lvlText w:val="%2)"/>
      <w:lvlJc w:val="left"/>
      <w:pPr>
        <w:tabs>
          <w:tab w:val="left" w:pos="937"/>
        </w:tabs>
        <w:ind w:left="937" w:hanging="420"/>
      </w:pPr>
      <w:rPr>
        <w:rFonts w:hint="eastAsia"/>
      </w:rPr>
    </w:lvl>
    <w:lvl w:ilvl="2" w:tentative="0">
      <w:start w:val="1"/>
      <w:numFmt w:val="lowerRoman"/>
      <w:lvlText w:val="%3."/>
      <w:lvlJc w:val="right"/>
      <w:pPr>
        <w:tabs>
          <w:tab w:val="left" w:pos="1357"/>
        </w:tabs>
        <w:ind w:left="1357" w:hanging="420"/>
      </w:pPr>
      <w:rPr>
        <w:rFonts w:hint="eastAsia"/>
      </w:rPr>
    </w:lvl>
    <w:lvl w:ilvl="3" w:tentative="0">
      <w:start w:val="1"/>
      <w:numFmt w:val="decimal"/>
      <w:lvlText w:val="%4."/>
      <w:lvlJc w:val="left"/>
      <w:pPr>
        <w:tabs>
          <w:tab w:val="left" w:pos="1777"/>
        </w:tabs>
        <w:ind w:left="1777" w:hanging="420"/>
      </w:pPr>
      <w:rPr>
        <w:rFonts w:hint="eastAsia"/>
      </w:rPr>
    </w:lvl>
    <w:lvl w:ilvl="4" w:tentative="0">
      <w:start w:val="1"/>
      <w:numFmt w:val="lowerLetter"/>
      <w:lvlText w:val="%5)"/>
      <w:lvlJc w:val="left"/>
      <w:pPr>
        <w:tabs>
          <w:tab w:val="left" w:pos="2197"/>
        </w:tabs>
        <w:ind w:left="2197" w:hanging="420"/>
      </w:pPr>
      <w:rPr>
        <w:rFonts w:hint="eastAsia"/>
      </w:rPr>
    </w:lvl>
    <w:lvl w:ilvl="5" w:tentative="0">
      <w:start w:val="1"/>
      <w:numFmt w:val="lowerRoman"/>
      <w:lvlText w:val="%6."/>
      <w:lvlJc w:val="right"/>
      <w:pPr>
        <w:tabs>
          <w:tab w:val="left" w:pos="2617"/>
        </w:tabs>
        <w:ind w:left="2617" w:hanging="420"/>
      </w:pPr>
      <w:rPr>
        <w:rFonts w:hint="eastAsia"/>
      </w:rPr>
    </w:lvl>
    <w:lvl w:ilvl="6" w:tentative="0">
      <w:start w:val="1"/>
      <w:numFmt w:val="decimal"/>
      <w:lvlText w:val="%7."/>
      <w:lvlJc w:val="left"/>
      <w:pPr>
        <w:tabs>
          <w:tab w:val="left" w:pos="3037"/>
        </w:tabs>
        <w:ind w:left="3037" w:hanging="420"/>
      </w:pPr>
      <w:rPr>
        <w:rFonts w:hint="eastAsia"/>
      </w:rPr>
    </w:lvl>
    <w:lvl w:ilvl="7" w:tentative="0">
      <w:start w:val="1"/>
      <w:numFmt w:val="lowerLetter"/>
      <w:lvlText w:val="%8)"/>
      <w:lvlJc w:val="left"/>
      <w:pPr>
        <w:tabs>
          <w:tab w:val="left" w:pos="3457"/>
        </w:tabs>
        <w:ind w:left="3457" w:hanging="420"/>
      </w:pPr>
      <w:rPr>
        <w:rFonts w:hint="eastAsia"/>
      </w:rPr>
    </w:lvl>
    <w:lvl w:ilvl="8" w:tentative="0">
      <w:start w:val="1"/>
      <w:numFmt w:val="lowerRoman"/>
      <w:lvlText w:val="%9."/>
      <w:lvlJc w:val="right"/>
      <w:pPr>
        <w:tabs>
          <w:tab w:val="left" w:pos="3877"/>
        </w:tabs>
        <w:ind w:left="3877" w:hanging="420"/>
      </w:pPr>
      <w:rPr>
        <w:rFonts w:hint="eastAsia"/>
      </w:rPr>
    </w:lvl>
  </w:abstractNum>
  <w:abstractNum w:abstractNumId="9">
    <w:nsid w:val="0CA2892E"/>
    <w:multiLevelType w:val="singleLevel"/>
    <w:tmpl w:val="0CA2892E"/>
    <w:lvl w:ilvl="0" w:tentative="0">
      <w:start w:val="1"/>
      <w:numFmt w:val="decimal"/>
      <w:suff w:val="nothing"/>
      <w:lvlText w:val="%1．"/>
      <w:lvlJc w:val="left"/>
      <w:pPr>
        <w:ind w:left="0" w:firstLine="400"/>
      </w:pPr>
      <w:rPr>
        <w:rFonts w:hint="default"/>
      </w:rPr>
    </w:lvl>
  </w:abstractNum>
  <w:abstractNum w:abstractNumId="10">
    <w:nsid w:val="140B64ED"/>
    <w:multiLevelType w:val="singleLevel"/>
    <w:tmpl w:val="140B64ED"/>
    <w:lvl w:ilvl="0" w:tentative="0">
      <w:start w:val="1"/>
      <w:numFmt w:val="decimal"/>
      <w:suff w:val="nothing"/>
      <w:lvlText w:val="%1．"/>
      <w:lvlJc w:val="left"/>
      <w:pPr>
        <w:ind w:left="0" w:firstLine="400"/>
      </w:pPr>
      <w:rPr>
        <w:rFonts w:hint="default"/>
      </w:rPr>
    </w:lvl>
  </w:abstractNum>
  <w:abstractNum w:abstractNumId="11">
    <w:nsid w:val="168DFD9A"/>
    <w:multiLevelType w:val="singleLevel"/>
    <w:tmpl w:val="168DFD9A"/>
    <w:lvl w:ilvl="0" w:tentative="0">
      <w:start w:val="1"/>
      <w:numFmt w:val="decimal"/>
      <w:suff w:val="nothing"/>
      <w:lvlText w:val="%1．"/>
      <w:lvlJc w:val="left"/>
      <w:pPr>
        <w:ind w:left="0" w:firstLine="400"/>
      </w:pPr>
      <w:rPr>
        <w:rFonts w:hint="default"/>
      </w:rPr>
    </w:lvl>
  </w:abstractNum>
  <w:abstractNum w:abstractNumId="12">
    <w:nsid w:val="23913B55"/>
    <w:multiLevelType w:val="multilevel"/>
    <w:tmpl w:val="23913B55"/>
    <w:lvl w:ilvl="0" w:tentative="0">
      <w:start w:val="1"/>
      <w:numFmt w:val="decimal"/>
      <w:suff w:val="nothing"/>
      <w:lvlText w:val="%1"/>
      <w:lvlJc w:val="center"/>
      <w:pPr>
        <w:ind w:left="180" w:firstLine="0"/>
      </w:pPr>
      <w:rPr>
        <w:rFonts w:hint="eastAsia"/>
      </w:rPr>
    </w:lvl>
    <w:lvl w:ilvl="1" w:tentative="0">
      <w:start w:val="1"/>
      <w:numFmt w:val="lowerLetter"/>
      <w:lvlText w:val="%2)"/>
      <w:lvlJc w:val="left"/>
      <w:pPr>
        <w:tabs>
          <w:tab w:val="left" w:pos="1020"/>
        </w:tabs>
        <w:ind w:left="1020" w:hanging="420"/>
      </w:pPr>
      <w:rPr>
        <w:rFonts w:hint="eastAsia"/>
      </w:rPr>
    </w:lvl>
    <w:lvl w:ilvl="2" w:tentative="0">
      <w:start w:val="1"/>
      <w:numFmt w:val="lowerRoman"/>
      <w:lvlText w:val="%3."/>
      <w:lvlJc w:val="right"/>
      <w:pPr>
        <w:tabs>
          <w:tab w:val="left" w:pos="1440"/>
        </w:tabs>
        <w:ind w:left="1440" w:hanging="420"/>
      </w:pPr>
      <w:rPr>
        <w:rFonts w:hint="eastAsia"/>
      </w:rPr>
    </w:lvl>
    <w:lvl w:ilvl="3" w:tentative="0">
      <w:start w:val="1"/>
      <w:numFmt w:val="decimal"/>
      <w:lvlText w:val="%4."/>
      <w:lvlJc w:val="left"/>
      <w:pPr>
        <w:tabs>
          <w:tab w:val="left" w:pos="1860"/>
        </w:tabs>
        <w:ind w:left="1860" w:hanging="420"/>
      </w:pPr>
      <w:rPr>
        <w:rFonts w:hint="eastAsia"/>
      </w:rPr>
    </w:lvl>
    <w:lvl w:ilvl="4" w:tentative="0">
      <w:start w:val="1"/>
      <w:numFmt w:val="lowerLetter"/>
      <w:lvlText w:val="%5)"/>
      <w:lvlJc w:val="left"/>
      <w:pPr>
        <w:tabs>
          <w:tab w:val="left" w:pos="2280"/>
        </w:tabs>
        <w:ind w:left="2280" w:hanging="420"/>
      </w:pPr>
      <w:rPr>
        <w:rFonts w:hint="eastAsia"/>
      </w:rPr>
    </w:lvl>
    <w:lvl w:ilvl="5" w:tentative="0">
      <w:start w:val="1"/>
      <w:numFmt w:val="lowerRoman"/>
      <w:lvlText w:val="%6."/>
      <w:lvlJc w:val="right"/>
      <w:pPr>
        <w:tabs>
          <w:tab w:val="left" w:pos="2700"/>
        </w:tabs>
        <w:ind w:left="2700" w:hanging="420"/>
      </w:pPr>
      <w:rPr>
        <w:rFonts w:hint="eastAsia"/>
      </w:rPr>
    </w:lvl>
    <w:lvl w:ilvl="6" w:tentative="0">
      <w:start w:val="1"/>
      <w:numFmt w:val="decimal"/>
      <w:lvlText w:val="%7."/>
      <w:lvlJc w:val="left"/>
      <w:pPr>
        <w:tabs>
          <w:tab w:val="left" w:pos="3120"/>
        </w:tabs>
        <w:ind w:left="3120" w:hanging="420"/>
      </w:pPr>
      <w:rPr>
        <w:rFonts w:hint="eastAsia"/>
      </w:rPr>
    </w:lvl>
    <w:lvl w:ilvl="7" w:tentative="0">
      <w:start w:val="1"/>
      <w:numFmt w:val="lowerLetter"/>
      <w:lvlText w:val="%8)"/>
      <w:lvlJc w:val="left"/>
      <w:pPr>
        <w:tabs>
          <w:tab w:val="left" w:pos="3540"/>
        </w:tabs>
        <w:ind w:left="3540" w:hanging="420"/>
      </w:pPr>
      <w:rPr>
        <w:rFonts w:hint="eastAsia"/>
      </w:rPr>
    </w:lvl>
    <w:lvl w:ilvl="8" w:tentative="0">
      <w:start w:val="1"/>
      <w:numFmt w:val="lowerRoman"/>
      <w:lvlText w:val="%9."/>
      <w:lvlJc w:val="right"/>
      <w:pPr>
        <w:tabs>
          <w:tab w:val="left" w:pos="3960"/>
        </w:tabs>
        <w:ind w:left="3960" w:hanging="420"/>
      </w:pPr>
      <w:rPr>
        <w:rFonts w:hint="eastAsia"/>
      </w:rPr>
    </w:lvl>
  </w:abstractNum>
  <w:abstractNum w:abstractNumId="13">
    <w:nsid w:val="3DB984ED"/>
    <w:multiLevelType w:val="singleLevel"/>
    <w:tmpl w:val="3DB984ED"/>
    <w:lvl w:ilvl="0" w:tentative="0">
      <w:start w:val="1"/>
      <w:numFmt w:val="decimal"/>
      <w:suff w:val="nothing"/>
      <w:lvlText w:val="%1．"/>
      <w:lvlJc w:val="left"/>
      <w:pPr>
        <w:ind w:left="168" w:firstLine="400"/>
      </w:pPr>
      <w:rPr>
        <w:rFonts w:hint="default"/>
      </w:rPr>
    </w:lvl>
  </w:abstractNum>
  <w:abstractNum w:abstractNumId="14">
    <w:nsid w:val="5DD447EA"/>
    <w:multiLevelType w:val="multilevel"/>
    <w:tmpl w:val="5DD447EA"/>
    <w:lvl w:ilvl="0" w:tentative="0">
      <w:start w:val="1"/>
      <w:numFmt w:val="decimal"/>
      <w:lvlText w:val="%1."/>
      <w:lvlJc w:val="left"/>
      <w:pPr>
        <w:tabs>
          <w:tab w:val="left" w:pos="420"/>
        </w:tabs>
        <w:ind w:left="420" w:hanging="420"/>
      </w:pPr>
      <w:rPr>
        <w:rFonts w:hint="default" w:ascii="Times New Roman" w:hAnsi="Times New Roman" w:cs="Times New Roman"/>
        <w:sz w:val="28"/>
        <w:szCs w:val="28"/>
      </w:rPr>
    </w:lvl>
    <w:lvl w:ilvl="1" w:tentative="0">
      <w:start w:val="1"/>
      <w:numFmt w:val="decimal"/>
      <w:lvlText w:val="%2．"/>
      <w:lvlJc w:val="left"/>
      <w:pPr>
        <w:tabs>
          <w:tab w:val="left" w:pos="780"/>
        </w:tabs>
        <w:ind w:left="780" w:hanging="360"/>
      </w:pPr>
      <w:rPr>
        <w:rFonts w:hint="default"/>
      </w:rPr>
    </w:lvl>
    <w:lvl w:ilvl="2" w:tentative="0">
      <w:start w:val="1"/>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64293BCC"/>
    <w:multiLevelType w:val="multilevel"/>
    <w:tmpl w:val="64293BCC"/>
    <w:lvl w:ilvl="0" w:tentative="0">
      <w:start w:val="1"/>
      <w:numFmt w:val="decimal"/>
      <w:suff w:val="nothing"/>
      <w:lvlText w:val="%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6BE6238A"/>
    <w:multiLevelType w:val="multilevel"/>
    <w:tmpl w:val="6BE6238A"/>
    <w:lvl w:ilvl="0" w:tentative="0">
      <w:start w:val="1"/>
      <w:numFmt w:val="decimal"/>
      <w:suff w:val="nothing"/>
      <w:lvlText w:val="%1"/>
      <w:lvlJc w:val="left"/>
      <w:pPr>
        <w:ind w:left="0" w:firstLine="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1"/>
  </w:num>
  <w:num w:numId="3">
    <w:abstractNumId w:val="13"/>
  </w:num>
  <w:num w:numId="4">
    <w:abstractNumId w:val="11"/>
  </w:num>
  <w:num w:numId="5">
    <w:abstractNumId w:val="10"/>
  </w:num>
  <w:num w:numId="6">
    <w:abstractNumId w:val="3"/>
  </w:num>
  <w:num w:numId="7">
    <w:abstractNumId w:val="9"/>
  </w:num>
  <w:num w:numId="8">
    <w:abstractNumId w:val="12"/>
  </w:num>
  <w:num w:numId="9">
    <w:abstractNumId w:val="14"/>
  </w:num>
  <w:num w:numId="10">
    <w:abstractNumId w:val="0"/>
  </w:num>
  <w:num w:numId="11">
    <w:abstractNumId w:val="8"/>
  </w:num>
  <w:num w:numId="12">
    <w:abstractNumId w:val="6"/>
  </w:num>
  <w:num w:numId="13">
    <w:abstractNumId w:val="16"/>
  </w:num>
  <w:num w:numId="14">
    <w:abstractNumId w:val="4"/>
  </w:num>
  <w:num w:numId="15">
    <w:abstractNumId w:val="5"/>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40"/>
  <w:drawingGridVerticalSpacing w:val="165"/>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172A27"/>
    <w:rsid w:val="00006998"/>
    <w:rsid w:val="00011BEB"/>
    <w:rsid w:val="00013230"/>
    <w:rsid w:val="000143CE"/>
    <w:rsid w:val="00015AA4"/>
    <w:rsid w:val="0002183E"/>
    <w:rsid w:val="000271E2"/>
    <w:rsid w:val="00033D39"/>
    <w:rsid w:val="00034598"/>
    <w:rsid w:val="00035388"/>
    <w:rsid w:val="00036EEE"/>
    <w:rsid w:val="00037F16"/>
    <w:rsid w:val="0004299A"/>
    <w:rsid w:val="00051A59"/>
    <w:rsid w:val="000571C7"/>
    <w:rsid w:val="000610B4"/>
    <w:rsid w:val="0006434A"/>
    <w:rsid w:val="00064C81"/>
    <w:rsid w:val="00067D90"/>
    <w:rsid w:val="00072B27"/>
    <w:rsid w:val="0008014A"/>
    <w:rsid w:val="0008228B"/>
    <w:rsid w:val="0009074E"/>
    <w:rsid w:val="000954E0"/>
    <w:rsid w:val="000A2387"/>
    <w:rsid w:val="000A520F"/>
    <w:rsid w:val="000A7803"/>
    <w:rsid w:val="000B23A6"/>
    <w:rsid w:val="000B7E09"/>
    <w:rsid w:val="000D23AB"/>
    <w:rsid w:val="000D5390"/>
    <w:rsid w:val="000E1AE4"/>
    <w:rsid w:val="000E345A"/>
    <w:rsid w:val="000E5020"/>
    <w:rsid w:val="000E5C5F"/>
    <w:rsid w:val="001015B6"/>
    <w:rsid w:val="0011146C"/>
    <w:rsid w:val="00145AF4"/>
    <w:rsid w:val="00160700"/>
    <w:rsid w:val="00172A27"/>
    <w:rsid w:val="001755BE"/>
    <w:rsid w:val="0018057B"/>
    <w:rsid w:val="001944A8"/>
    <w:rsid w:val="00196E91"/>
    <w:rsid w:val="00197933"/>
    <w:rsid w:val="001A2703"/>
    <w:rsid w:val="001B3083"/>
    <w:rsid w:val="001C0913"/>
    <w:rsid w:val="001C2ED8"/>
    <w:rsid w:val="001D5B4F"/>
    <w:rsid w:val="001E4069"/>
    <w:rsid w:val="001F09DF"/>
    <w:rsid w:val="001F5D69"/>
    <w:rsid w:val="001F6F48"/>
    <w:rsid w:val="00204047"/>
    <w:rsid w:val="00214E72"/>
    <w:rsid w:val="00217987"/>
    <w:rsid w:val="00246C63"/>
    <w:rsid w:val="00260F08"/>
    <w:rsid w:val="00265537"/>
    <w:rsid w:val="002661BB"/>
    <w:rsid w:val="00270D65"/>
    <w:rsid w:val="00284A57"/>
    <w:rsid w:val="00297846"/>
    <w:rsid w:val="002A7D93"/>
    <w:rsid w:val="002B64D3"/>
    <w:rsid w:val="002B7B97"/>
    <w:rsid w:val="002C09B5"/>
    <w:rsid w:val="002D2180"/>
    <w:rsid w:val="002D51A5"/>
    <w:rsid w:val="002E7238"/>
    <w:rsid w:val="002F09D4"/>
    <w:rsid w:val="002F401D"/>
    <w:rsid w:val="003044F6"/>
    <w:rsid w:val="00305CE7"/>
    <w:rsid w:val="0032329B"/>
    <w:rsid w:val="00323885"/>
    <w:rsid w:val="00325284"/>
    <w:rsid w:val="00327FEC"/>
    <w:rsid w:val="003371AB"/>
    <w:rsid w:val="00342953"/>
    <w:rsid w:val="00350136"/>
    <w:rsid w:val="00353D5B"/>
    <w:rsid w:val="003640A7"/>
    <w:rsid w:val="003706BC"/>
    <w:rsid w:val="00373F18"/>
    <w:rsid w:val="00397087"/>
    <w:rsid w:val="003A1F96"/>
    <w:rsid w:val="003D0C2A"/>
    <w:rsid w:val="003E17E6"/>
    <w:rsid w:val="003F4328"/>
    <w:rsid w:val="003F7E18"/>
    <w:rsid w:val="004051C2"/>
    <w:rsid w:val="00407006"/>
    <w:rsid w:val="00412B02"/>
    <w:rsid w:val="00434F01"/>
    <w:rsid w:val="00436850"/>
    <w:rsid w:val="004378CB"/>
    <w:rsid w:val="004404CC"/>
    <w:rsid w:val="00443CC1"/>
    <w:rsid w:val="00443E56"/>
    <w:rsid w:val="0044573C"/>
    <w:rsid w:val="0045018E"/>
    <w:rsid w:val="00451609"/>
    <w:rsid w:val="004545C5"/>
    <w:rsid w:val="00456F03"/>
    <w:rsid w:val="00460F0D"/>
    <w:rsid w:val="00471044"/>
    <w:rsid w:val="004757D3"/>
    <w:rsid w:val="00477680"/>
    <w:rsid w:val="0048051F"/>
    <w:rsid w:val="00482685"/>
    <w:rsid w:val="00483D92"/>
    <w:rsid w:val="0048477C"/>
    <w:rsid w:val="004904B4"/>
    <w:rsid w:val="004968C7"/>
    <w:rsid w:val="004A2A83"/>
    <w:rsid w:val="004B1119"/>
    <w:rsid w:val="004B2B21"/>
    <w:rsid w:val="004C32B0"/>
    <w:rsid w:val="004D0AD8"/>
    <w:rsid w:val="004D583E"/>
    <w:rsid w:val="004E21E3"/>
    <w:rsid w:val="004F4166"/>
    <w:rsid w:val="004F5A97"/>
    <w:rsid w:val="0050230D"/>
    <w:rsid w:val="005065AA"/>
    <w:rsid w:val="00515485"/>
    <w:rsid w:val="0051778E"/>
    <w:rsid w:val="005238D7"/>
    <w:rsid w:val="00526491"/>
    <w:rsid w:val="005411F7"/>
    <w:rsid w:val="00553419"/>
    <w:rsid w:val="0056508E"/>
    <w:rsid w:val="00570C7A"/>
    <w:rsid w:val="0057294C"/>
    <w:rsid w:val="005763F8"/>
    <w:rsid w:val="00581B39"/>
    <w:rsid w:val="00591CB0"/>
    <w:rsid w:val="005A0120"/>
    <w:rsid w:val="005A3222"/>
    <w:rsid w:val="005A5ED0"/>
    <w:rsid w:val="005E1F9C"/>
    <w:rsid w:val="005F01F2"/>
    <w:rsid w:val="005F03D0"/>
    <w:rsid w:val="005F3A4B"/>
    <w:rsid w:val="005F6771"/>
    <w:rsid w:val="0060058A"/>
    <w:rsid w:val="006025E5"/>
    <w:rsid w:val="00605436"/>
    <w:rsid w:val="00607C2B"/>
    <w:rsid w:val="00614EB6"/>
    <w:rsid w:val="00617F47"/>
    <w:rsid w:val="0062600C"/>
    <w:rsid w:val="00637724"/>
    <w:rsid w:val="00642A43"/>
    <w:rsid w:val="006474E3"/>
    <w:rsid w:val="00650B22"/>
    <w:rsid w:val="00655FD9"/>
    <w:rsid w:val="00662EA8"/>
    <w:rsid w:val="00666A5B"/>
    <w:rsid w:val="0067327A"/>
    <w:rsid w:val="00674498"/>
    <w:rsid w:val="006772E7"/>
    <w:rsid w:val="00683C0A"/>
    <w:rsid w:val="00691B1D"/>
    <w:rsid w:val="006932DB"/>
    <w:rsid w:val="006A2346"/>
    <w:rsid w:val="006A49D1"/>
    <w:rsid w:val="006A728F"/>
    <w:rsid w:val="006E3D40"/>
    <w:rsid w:val="006E5045"/>
    <w:rsid w:val="006F6192"/>
    <w:rsid w:val="00702BEA"/>
    <w:rsid w:val="00703D35"/>
    <w:rsid w:val="007110CE"/>
    <w:rsid w:val="00713E40"/>
    <w:rsid w:val="00730FE3"/>
    <w:rsid w:val="007321D3"/>
    <w:rsid w:val="007327FA"/>
    <w:rsid w:val="00745521"/>
    <w:rsid w:val="00746EC0"/>
    <w:rsid w:val="007479A6"/>
    <w:rsid w:val="00753252"/>
    <w:rsid w:val="00755EF4"/>
    <w:rsid w:val="00756378"/>
    <w:rsid w:val="00761457"/>
    <w:rsid w:val="0076215F"/>
    <w:rsid w:val="00766723"/>
    <w:rsid w:val="0078195B"/>
    <w:rsid w:val="00782F11"/>
    <w:rsid w:val="007862F5"/>
    <w:rsid w:val="00787931"/>
    <w:rsid w:val="0079072F"/>
    <w:rsid w:val="007A44B3"/>
    <w:rsid w:val="007B7D90"/>
    <w:rsid w:val="007B7F98"/>
    <w:rsid w:val="007C34A9"/>
    <w:rsid w:val="007D1143"/>
    <w:rsid w:val="007E7F6F"/>
    <w:rsid w:val="007F2206"/>
    <w:rsid w:val="007F2C90"/>
    <w:rsid w:val="00800E57"/>
    <w:rsid w:val="00805446"/>
    <w:rsid w:val="00810BA7"/>
    <w:rsid w:val="00812882"/>
    <w:rsid w:val="00842672"/>
    <w:rsid w:val="00842840"/>
    <w:rsid w:val="00853783"/>
    <w:rsid w:val="00853F61"/>
    <w:rsid w:val="008548B1"/>
    <w:rsid w:val="00855449"/>
    <w:rsid w:val="00856F20"/>
    <w:rsid w:val="0087242D"/>
    <w:rsid w:val="0088517F"/>
    <w:rsid w:val="00895439"/>
    <w:rsid w:val="008A75C1"/>
    <w:rsid w:val="008B6AA8"/>
    <w:rsid w:val="008B6D0D"/>
    <w:rsid w:val="008B6D57"/>
    <w:rsid w:val="008C3E45"/>
    <w:rsid w:val="008D2021"/>
    <w:rsid w:val="008D468B"/>
    <w:rsid w:val="008F050D"/>
    <w:rsid w:val="009222AF"/>
    <w:rsid w:val="0092399B"/>
    <w:rsid w:val="00940599"/>
    <w:rsid w:val="00942F19"/>
    <w:rsid w:val="00951FD5"/>
    <w:rsid w:val="00955B61"/>
    <w:rsid w:val="00956514"/>
    <w:rsid w:val="00961FC7"/>
    <w:rsid w:val="009650E6"/>
    <w:rsid w:val="00965890"/>
    <w:rsid w:val="00970A06"/>
    <w:rsid w:val="00972065"/>
    <w:rsid w:val="00976C49"/>
    <w:rsid w:val="00977D0B"/>
    <w:rsid w:val="00980477"/>
    <w:rsid w:val="0098155F"/>
    <w:rsid w:val="009831A8"/>
    <w:rsid w:val="009834EF"/>
    <w:rsid w:val="00987505"/>
    <w:rsid w:val="009B24BA"/>
    <w:rsid w:val="009B64CB"/>
    <w:rsid w:val="009D1CE6"/>
    <w:rsid w:val="009D20D4"/>
    <w:rsid w:val="009D7320"/>
    <w:rsid w:val="009D7483"/>
    <w:rsid w:val="009E4433"/>
    <w:rsid w:val="009E6509"/>
    <w:rsid w:val="009F4461"/>
    <w:rsid w:val="00A02BF1"/>
    <w:rsid w:val="00A031C2"/>
    <w:rsid w:val="00A0425E"/>
    <w:rsid w:val="00A0742B"/>
    <w:rsid w:val="00A13FEF"/>
    <w:rsid w:val="00A1626A"/>
    <w:rsid w:val="00A20146"/>
    <w:rsid w:val="00A23BB5"/>
    <w:rsid w:val="00A25E0B"/>
    <w:rsid w:val="00A35E77"/>
    <w:rsid w:val="00A36296"/>
    <w:rsid w:val="00A376CD"/>
    <w:rsid w:val="00A37C12"/>
    <w:rsid w:val="00A43301"/>
    <w:rsid w:val="00A465FF"/>
    <w:rsid w:val="00A529A5"/>
    <w:rsid w:val="00A530DF"/>
    <w:rsid w:val="00A544FE"/>
    <w:rsid w:val="00A577CA"/>
    <w:rsid w:val="00A57A90"/>
    <w:rsid w:val="00A62827"/>
    <w:rsid w:val="00A65EA8"/>
    <w:rsid w:val="00A66388"/>
    <w:rsid w:val="00A66CBF"/>
    <w:rsid w:val="00A673D9"/>
    <w:rsid w:val="00A941FA"/>
    <w:rsid w:val="00A9636D"/>
    <w:rsid w:val="00A97D66"/>
    <w:rsid w:val="00AA0E7A"/>
    <w:rsid w:val="00AB0905"/>
    <w:rsid w:val="00AB40CF"/>
    <w:rsid w:val="00AC0E0D"/>
    <w:rsid w:val="00AC3843"/>
    <w:rsid w:val="00AD09AD"/>
    <w:rsid w:val="00AD16FB"/>
    <w:rsid w:val="00AD31D3"/>
    <w:rsid w:val="00AD3809"/>
    <w:rsid w:val="00AD4A2D"/>
    <w:rsid w:val="00AE0893"/>
    <w:rsid w:val="00AE0B3A"/>
    <w:rsid w:val="00AE44C0"/>
    <w:rsid w:val="00AE57E4"/>
    <w:rsid w:val="00AF4C1A"/>
    <w:rsid w:val="00B141ED"/>
    <w:rsid w:val="00B14B11"/>
    <w:rsid w:val="00B14B66"/>
    <w:rsid w:val="00B21671"/>
    <w:rsid w:val="00B24E07"/>
    <w:rsid w:val="00B25EB4"/>
    <w:rsid w:val="00B3251C"/>
    <w:rsid w:val="00B32A57"/>
    <w:rsid w:val="00B35E9D"/>
    <w:rsid w:val="00B42914"/>
    <w:rsid w:val="00B50860"/>
    <w:rsid w:val="00B508CA"/>
    <w:rsid w:val="00B60C1C"/>
    <w:rsid w:val="00B6332F"/>
    <w:rsid w:val="00B646D6"/>
    <w:rsid w:val="00B74116"/>
    <w:rsid w:val="00B7472D"/>
    <w:rsid w:val="00B76CB2"/>
    <w:rsid w:val="00B8198E"/>
    <w:rsid w:val="00B922D8"/>
    <w:rsid w:val="00B9523B"/>
    <w:rsid w:val="00B96869"/>
    <w:rsid w:val="00B968F1"/>
    <w:rsid w:val="00BA09EA"/>
    <w:rsid w:val="00BA21EA"/>
    <w:rsid w:val="00BA45E8"/>
    <w:rsid w:val="00BA6489"/>
    <w:rsid w:val="00BB2ED8"/>
    <w:rsid w:val="00BB5868"/>
    <w:rsid w:val="00BC1DA7"/>
    <w:rsid w:val="00BE1BB5"/>
    <w:rsid w:val="00C0077A"/>
    <w:rsid w:val="00C00999"/>
    <w:rsid w:val="00C1110A"/>
    <w:rsid w:val="00C16E32"/>
    <w:rsid w:val="00C17651"/>
    <w:rsid w:val="00C24145"/>
    <w:rsid w:val="00C277D1"/>
    <w:rsid w:val="00C27FDE"/>
    <w:rsid w:val="00C33C6A"/>
    <w:rsid w:val="00C54DF0"/>
    <w:rsid w:val="00C617ED"/>
    <w:rsid w:val="00C623D7"/>
    <w:rsid w:val="00C62B76"/>
    <w:rsid w:val="00C701FC"/>
    <w:rsid w:val="00C805FE"/>
    <w:rsid w:val="00C82F33"/>
    <w:rsid w:val="00C84F39"/>
    <w:rsid w:val="00C85CFB"/>
    <w:rsid w:val="00CB2669"/>
    <w:rsid w:val="00CB2BFB"/>
    <w:rsid w:val="00CB3A3A"/>
    <w:rsid w:val="00CD5491"/>
    <w:rsid w:val="00CD6AE7"/>
    <w:rsid w:val="00CD781F"/>
    <w:rsid w:val="00CE463D"/>
    <w:rsid w:val="00CE615B"/>
    <w:rsid w:val="00D0399F"/>
    <w:rsid w:val="00D07600"/>
    <w:rsid w:val="00D20610"/>
    <w:rsid w:val="00D22434"/>
    <w:rsid w:val="00D36569"/>
    <w:rsid w:val="00D4269E"/>
    <w:rsid w:val="00D54656"/>
    <w:rsid w:val="00D551EA"/>
    <w:rsid w:val="00D77120"/>
    <w:rsid w:val="00D7762F"/>
    <w:rsid w:val="00D87881"/>
    <w:rsid w:val="00D91D05"/>
    <w:rsid w:val="00D95CCA"/>
    <w:rsid w:val="00DA5875"/>
    <w:rsid w:val="00DB1868"/>
    <w:rsid w:val="00DC572B"/>
    <w:rsid w:val="00DC69A9"/>
    <w:rsid w:val="00DC7109"/>
    <w:rsid w:val="00DD7C38"/>
    <w:rsid w:val="00DD7FEB"/>
    <w:rsid w:val="00DF0390"/>
    <w:rsid w:val="00DF57F2"/>
    <w:rsid w:val="00E01A7E"/>
    <w:rsid w:val="00E057F4"/>
    <w:rsid w:val="00E05B51"/>
    <w:rsid w:val="00E06887"/>
    <w:rsid w:val="00E11DB5"/>
    <w:rsid w:val="00E1404C"/>
    <w:rsid w:val="00E20978"/>
    <w:rsid w:val="00E55A55"/>
    <w:rsid w:val="00E860B8"/>
    <w:rsid w:val="00EA0BD2"/>
    <w:rsid w:val="00EA2DC4"/>
    <w:rsid w:val="00EA514F"/>
    <w:rsid w:val="00EA6C70"/>
    <w:rsid w:val="00EB5C4E"/>
    <w:rsid w:val="00EB7535"/>
    <w:rsid w:val="00EE3F8A"/>
    <w:rsid w:val="00EE5DF9"/>
    <w:rsid w:val="00F005B8"/>
    <w:rsid w:val="00F062A9"/>
    <w:rsid w:val="00F11034"/>
    <w:rsid w:val="00F260C8"/>
    <w:rsid w:val="00F3393C"/>
    <w:rsid w:val="00F34369"/>
    <w:rsid w:val="00F37B20"/>
    <w:rsid w:val="00F576E6"/>
    <w:rsid w:val="00F57B5F"/>
    <w:rsid w:val="00F61EDD"/>
    <w:rsid w:val="00F65CE2"/>
    <w:rsid w:val="00F67AA2"/>
    <w:rsid w:val="00F70E24"/>
    <w:rsid w:val="00F714BA"/>
    <w:rsid w:val="00F91962"/>
    <w:rsid w:val="00F94CA3"/>
    <w:rsid w:val="00F97B1F"/>
    <w:rsid w:val="00FC2249"/>
    <w:rsid w:val="00FC446B"/>
    <w:rsid w:val="00FC53AF"/>
    <w:rsid w:val="00FD245D"/>
    <w:rsid w:val="00FD46A2"/>
    <w:rsid w:val="00FD5E43"/>
    <w:rsid w:val="00FE385A"/>
    <w:rsid w:val="00FE4B7D"/>
    <w:rsid w:val="01041A68"/>
    <w:rsid w:val="01100787"/>
    <w:rsid w:val="011C36BF"/>
    <w:rsid w:val="0127533C"/>
    <w:rsid w:val="014D13B1"/>
    <w:rsid w:val="015A56E8"/>
    <w:rsid w:val="01686513"/>
    <w:rsid w:val="017E1140"/>
    <w:rsid w:val="01830099"/>
    <w:rsid w:val="01885910"/>
    <w:rsid w:val="01896662"/>
    <w:rsid w:val="018D75B8"/>
    <w:rsid w:val="018F0C57"/>
    <w:rsid w:val="019C4253"/>
    <w:rsid w:val="01A55EC7"/>
    <w:rsid w:val="01A957BF"/>
    <w:rsid w:val="01AB7E6D"/>
    <w:rsid w:val="01DC5DF9"/>
    <w:rsid w:val="01EF3980"/>
    <w:rsid w:val="01F07E3D"/>
    <w:rsid w:val="01FA686D"/>
    <w:rsid w:val="02021E22"/>
    <w:rsid w:val="02321934"/>
    <w:rsid w:val="025857DA"/>
    <w:rsid w:val="027613FB"/>
    <w:rsid w:val="02802564"/>
    <w:rsid w:val="02804562"/>
    <w:rsid w:val="0282713E"/>
    <w:rsid w:val="028C4DC0"/>
    <w:rsid w:val="02906A49"/>
    <w:rsid w:val="02AB7693"/>
    <w:rsid w:val="02B24606"/>
    <w:rsid w:val="02B52903"/>
    <w:rsid w:val="02C06253"/>
    <w:rsid w:val="02C65EE3"/>
    <w:rsid w:val="0329473F"/>
    <w:rsid w:val="032E25F6"/>
    <w:rsid w:val="032F6FE9"/>
    <w:rsid w:val="034C7CAB"/>
    <w:rsid w:val="0351020E"/>
    <w:rsid w:val="03830AE2"/>
    <w:rsid w:val="03885E0E"/>
    <w:rsid w:val="03A75C2B"/>
    <w:rsid w:val="03AE2AAF"/>
    <w:rsid w:val="03B17B02"/>
    <w:rsid w:val="03B21148"/>
    <w:rsid w:val="03B253BC"/>
    <w:rsid w:val="03C06FDE"/>
    <w:rsid w:val="03C16E53"/>
    <w:rsid w:val="03C317DD"/>
    <w:rsid w:val="03D12E12"/>
    <w:rsid w:val="03DA6992"/>
    <w:rsid w:val="03DB4B0F"/>
    <w:rsid w:val="03F26A7A"/>
    <w:rsid w:val="04155891"/>
    <w:rsid w:val="04165713"/>
    <w:rsid w:val="042F3B61"/>
    <w:rsid w:val="0447116D"/>
    <w:rsid w:val="04480A30"/>
    <w:rsid w:val="044B757D"/>
    <w:rsid w:val="04810847"/>
    <w:rsid w:val="048232F5"/>
    <w:rsid w:val="04833026"/>
    <w:rsid w:val="0489209E"/>
    <w:rsid w:val="048D037C"/>
    <w:rsid w:val="048F0B6B"/>
    <w:rsid w:val="04955AAA"/>
    <w:rsid w:val="049D46DD"/>
    <w:rsid w:val="04AA214F"/>
    <w:rsid w:val="04AE46C9"/>
    <w:rsid w:val="04B30C95"/>
    <w:rsid w:val="04BD2FC6"/>
    <w:rsid w:val="04BF17A7"/>
    <w:rsid w:val="04C960AD"/>
    <w:rsid w:val="04CC794F"/>
    <w:rsid w:val="04D02DDE"/>
    <w:rsid w:val="04D07A99"/>
    <w:rsid w:val="04EC69E9"/>
    <w:rsid w:val="04F35B9A"/>
    <w:rsid w:val="05013149"/>
    <w:rsid w:val="050E47A2"/>
    <w:rsid w:val="05182F14"/>
    <w:rsid w:val="051B5A9C"/>
    <w:rsid w:val="053D3D9A"/>
    <w:rsid w:val="05922F3D"/>
    <w:rsid w:val="059670A5"/>
    <w:rsid w:val="05AE2600"/>
    <w:rsid w:val="05D01805"/>
    <w:rsid w:val="05D97C3E"/>
    <w:rsid w:val="05DA4531"/>
    <w:rsid w:val="05DD7851"/>
    <w:rsid w:val="05F63529"/>
    <w:rsid w:val="05FB0B46"/>
    <w:rsid w:val="060C7532"/>
    <w:rsid w:val="06191969"/>
    <w:rsid w:val="0625765B"/>
    <w:rsid w:val="06464D53"/>
    <w:rsid w:val="065B15E4"/>
    <w:rsid w:val="0668359C"/>
    <w:rsid w:val="067542EB"/>
    <w:rsid w:val="067A3519"/>
    <w:rsid w:val="068E11E5"/>
    <w:rsid w:val="06936FD0"/>
    <w:rsid w:val="069A2C83"/>
    <w:rsid w:val="06BE295F"/>
    <w:rsid w:val="06C62B81"/>
    <w:rsid w:val="06E73EB9"/>
    <w:rsid w:val="06F4797F"/>
    <w:rsid w:val="06F506AF"/>
    <w:rsid w:val="06FC1BD6"/>
    <w:rsid w:val="070954E4"/>
    <w:rsid w:val="070B34B2"/>
    <w:rsid w:val="070E7A21"/>
    <w:rsid w:val="071E5D66"/>
    <w:rsid w:val="071E7015"/>
    <w:rsid w:val="075D08C1"/>
    <w:rsid w:val="0767791B"/>
    <w:rsid w:val="077030DF"/>
    <w:rsid w:val="0778601E"/>
    <w:rsid w:val="07903D90"/>
    <w:rsid w:val="07906FC5"/>
    <w:rsid w:val="07A1335C"/>
    <w:rsid w:val="07B34AE8"/>
    <w:rsid w:val="07B62903"/>
    <w:rsid w:val="07CD2295"/>
    <w:rsid w:val="07D52EB7"/>
    <w:rsid w:val="07D77390"/>
    <w:rsid w:val="07E972C4"/>
    <w:rsid w:val="08180BAF"/>
    <w:rsid w:val="082B1E7E"/>
    <w:rsid w:val="083263AF"/>
    <w:rsid w:val="08337DCE"/>
    <w:rsid w:val="08361D57"/>
    <w:rsid w:val="0847795F"/>
    <w:rsid w:val="08530016"/>
    <w:rsid w:val="08674270"/>
    <w:rsid w:val="08733284"/>
    <w:rsid w:val="0874169B"/>
    <w:rsid w:val="087C0779"/>
    <w:rsid w:val="08935065"/>
    <w:rsid w:val="08A31D37"/>
    <w:rsid w:val="08B35707"/>
    <w:rsid w:val="08C13EFA"/>
    <w:rsid w:val="08D97AD7"/>
    <w:rsid w:val="08DF5426"/>
    <w:rsid w:val="08ED7E01"/>
    <w:rsid w:val="08EE00FB"/>
    <w:rsid w:val="08F94C8B"/>
    <w:rsid w:val="09093D4F"/>
    <w:rsid w:val="091142A9"/>
    <w:rsid w:val="091E15AE"/>
    <w:rsid w:val="09307100"/>
    <w:rsid w:val="09336C5F"/>
    <w:rsid w:val="09360A67"/>
    <w:rsid w:val="094E64AB"/>
    <w:rsid w:val="09554A11"/>
    <w:rsid w:val="095E599C"/>
    <w:rsid w:val="09672D58"/>
    <w:rsid w:val="098D423D"/>
    <w:rsid w:val="09920739"/>
    <w:rsid w:val="09A47E25"/>
    <w:rsid w:val="09A54EB9"/>
    <w:rsid w:val="09A70C86"/>
    <w:rsid w:val="09AA4255"/>
    <w:rsid w:val="09AC7F46"/>
    <w:rsid w:val="09B06439"/>
    <w:rsid w:val="09B32C89"/>
    <w:rsid w:val="09BE593A"/>
    <w:rsid w:val="09C856D0"/>
    <w:rsid w:val="09D44961"/>
    <w:rsid w:val="09EF5D47"/>
    <w:rsid w:val="09FF0D49"/>
    <w:rsid w:val="0A043A3E"/>
    <w:rsid w:val="0A39196E"/>
    <w:rsid w:val="0A592D89"/>
    <w:rsid w:val="0A5D606F"/>
    <w:rsid w:val="0A6D371E"/>
    <w:rsid w:val="0A6E1B6F"/>
    <w:rsid w:val="0A7D1A76"/>
    <w:rsid w:val="0A832D96"/>
    <w:rsid w:val="0A9676C0"/>
    <w:rsid w:val="0A9A32E0"/>
    <w:rsid w:val="0A9D6014"/>
    <w:rsid w:val="0AA402D4"/>
    <w:rsid w:val="0ABE32B8"/>
    <w:rsid w:val="0AC44A4A"/>
    <w:rsid w:val="0ACE6829"/>
    <w:rsid w:val="0AE603C2"/>
    <w:rsid w:val="0AEA04A1"/>
    <w:rsid w:val="0AF30D0D"/>
    <w:rsid w:val="0AFB1189"/>
    <w:rsid w:val="0AFF6F61"/>
    <w:rsid w:val="0B0D235D"/>
    <w:rsid w:val="0B0D7E01"/>
    <w:rsid w:val="0B2A136B"/>
    <w:rsid w:val="0B2D7303"/>
    <w:rsid w:val="0B304DD2"/>
    <w:rsid w:val="0B3E2BB6"/>
    <w:rsid w:val="0B505F47"/>
    <w:rsid w:val="0B686454"/>
    <w:rsid w:val="0B7050C6"/>
    <w:rsid w:val="0B823419"/>
    <w:rsid w:val="0B867CC0"/>
    <w:rsid w:val="0BA20AD4"/>
    <w:rsid w:val="0BB365DB"/>
    <w:rsid w:val="0BC01E71"/>
    <w:rsid w:val="0BDE26C0"/>
    <w:rsid w:val="0BE06161"/>
    <w:rsid w:val="0BE27F74"/>
    <w:rsid w:val="0BF746B9"/>
    <w:rsid w:val="0BFE0645"/>
    <w:rsid w:val="0C0872B2"/>
    <w:rsid w:val="0C267C04"/>
    <w:rsid w:val="0C310F3E"/>
    <w:rsid w:val="0C6145FF"/>
    <w:rsid w:val="0C61547A"/>
    <w:rsid w:val="0C78475F"/>
    <w:rsid w:val="0C8A6ACC"/>
    <w:rsid w:val="0C9364E7"/>
    <w:rsid w:val="0CA92EAB"/>
    <w:rsid w:val="0CAF3A93"/>
    <w:rsid w:val="0CB932A9"/>
    <w:rsid w:val="0CC72065"/>
    <w:rsid w:val="0CEA78E1"/>
    <w:rsid w:val="0CFF0F1B"/>
    <w:rsid w:val="0D015CB4"/>
    <w:rsid w:val="0D157F61"/>
    <w:rsid w:val="0D2D7395"/>
    <w:rsid w:val="0D3F3B82"/>
    <w:rsid w:val="0D454F61"/>
    <w:rsid w:val="0D484685"/>
    <w:rsid w:val="0D596071"/>
    <w:rsid w:val="0D6813B0"/>
    <w:rsid w:val="0D730691"/>
    <w:rsid w:val="0D735CCB"/>
    <w:rsid w:val="0D863EA9"/>
    <w:rsid w:val="0D877299"/>
    <w:rsid w:val="0D892919"/>
    <w:rsid w:val="0DA466A2"/>
    <w:rsid w:val="0DB040A8"/>
    <w:rsid w:val="0DB431F0"/>
    <w:rsid w:val="0DB77A48"/>
    <w:rsid w:val="0DDB0CD3"/>
    <w:rsid w:val="0DE03350"/>
    <w:rsid w:val="0DE70DEB"/>
    <w:rsid w:val="0DF418E9"/>
    <w:rsid w:val="0DF465A6"/>
    <w:rsid w:val="0E0228E0"/>
    <w:rsid w:val="0E067E80"/>
    <w:rsid w:val="0E0D1A36"/>
    <w:rsid w:val="0E12718F"/>
    <w:rsid w:val="0E35158B"/>
    <w:rsid w:val="0E3F1FBF"/>
    <w:rsid w:val="0E4017C4"/>
    <w:rsid w:val="0E527220"/>
    <w:rsid w:val="0E560419"/>
    <w:rsid w:val="0E682E12"/>
    <w:rsid w:val="0E6A4F53"/>
    <w:rsid w:val="0E6C2D30"/>
    <w:rsid w:val="0E6D2116"/>
    <w:rsid w:val="0E72386F"/>
    <w:rsid w:val="0E741495"/>
    <w:rsid w:val="0E8004E8"/>
    <w:rsid w:val="0E960849"/>
    <w:rsid w:val="0E9733D5"/>
    <w:rsid w:val="0EB866F3"/>
    <w:rsid w:val="0EC55945"/>
    <w:rsid w:val="0ED2525D"/>
    <w:rsid w:val="0ED47586"/>
    <w:rsid w:val="0EE554BE"/>
    <w:rsid w:val="0EE814A1"/>
    <w:rsid w:val="0EF347E6"/>
    <w:rsid w:val="0EF55889"/>
    <w:rsid w:val="0F0859E8"/>
    <w:rsid w:val="0F1017DE"/>
    <w:rsid w:val="0F1D4EE8"/>
    <w:rsid w:val="0F343970"/>
    <w:rsid w:val="0F3D1C63"/>
    <w:rsid w:val="0F455F66"/>
    <w:rsid w:val="0F57773D"/>
    <w:rsid w:val="0F62376E"/>
    <w:rsid w:val="0F6D23BD"/>
    <w:rsid w:val="0F7932EA"/>
    <w:rsid w:val="0F7D36DD"/>
    <w:rsid w:val="0F8170C3"/>
    <w:rsid w:val="0F863EB5"/>
    <w:rsid w:val="0F9E009D"/>
    <w:rsid w:val="0FA5649A"/>
    <w:rsid w:val="0FAA2FD3"/>
    <w:rsid w:val="0FBA0DE9"/>
    <w:rsid w:val="0FBE5741"/>
    <w:rsid w:val="0FC2663E"/>
    <w:rsid w:val="0FC921E2"/>
    <w:rsid w:val="0FDB4006"/>
    <w:rsid w:val="0FDF3A23"/>
    <w:rsid w:val="0FED099E"/>
    <w:rsid w:val="10022C46"/>
    <w:rsid w:val="10044A9B"/>
    <w:rsid w:val="10136DA5"/>
    <w:rsid w:val="1015087A"/>
    <w:rsid w:val="10231906"/>
    <w:rsid w:val="102A32DC"/>
    <w:rsid w:val="10384DFD"/>
    <w:rsid w:val="10400162"/>
    <w:rsid w:val="105837BE"/>
    <w:rsid w:val="10595CA8"/>
    <w:rsid w:val="105B0C88"/>
    <w:rsid w:val="10616BA3"/>
    <w:rsid w:val="106328A6"/>
    <w:rsid w:val="106B01AD"/>
    <w:rsid w:val="10853A22"/>
    <w:rsid w:val="10876A93"/>
    <w:rsid w:val="108B4417"/>
    <w:rsid w:val="10A90F7C"/>
    <w:rsid w:val="10C25EDE"/>
    <w:rsid w:val="10D74091"/>
    <w:rsid w:val="10DC1AB7"/>
    <w:rsid w:val="10E020F3"/>
    <w:rsid w:val="10F1473B"/>
    <w:rsid w:val="111C219A"/>
    <w:rsid w:val="111C5747"/>
    <w:rsid w:val="112B17C4"/>
    <w:rsid w:val="11326ECE"/>
    <w:rsid w:val="113C4C01"/>
    <w:rsid w:val="113F4CA3"/>
    <w:rsid w:val="11417822"/>
    <w:rsid w:val="114523E5"/>
    <w:rsid w:val="11484717"/>
    <w:rsid w:val="116B7F9F"/>
    <w:rsid w:val="117439BB"/>
    <w:rsid w:val="11A01F89"/>
    <w:rsid w:val="11AF1E55"/>
    <w:rsid w:val="11BA61AF"/>
    <w:rsid w:val="11D933EC"/>
    <w:rsid w:val="11F27097"/>
    <w:rsid w:val="11FB3903"/>
    <w:rsid w:val="12016620"/>
    <w:rsid w:val="12036659"/>
    <w:rsid w:val="12070870"/>
    <w:rsid w:val="1208092E"/>
    <w:rsid w:val="12130C68"/>
    <w:rsid w:val="12227E62"/>
    <w:rsid w:val="122C3E57"/>
    <w:rsid w:val="12371D14"/>
    <w:rsid w:val="123C04C0"/>
    <w:rsid w:val="126128B3"/>
    <w:rsid w:val="127959BF"/>
    <w:rsid w:val="127A2827"/>
    <w:rsid w:val="128D58B4"/>
    <w:rsid w:val="12A34203"/>
    <w:rsid w:val="12B74046"/>
    <w:rsid w:val="12D51A90"/>
    <w:rsid w:val="12E5186E"/>
    <w:rsid w:val="12EC3FFB"/>
    <w:rsid w:val="12F1519B"/>
    <w:rsid w:val="130800FC"/>
    <w:rsid w:val="1314127C"/>
    <w:rsid w:val="13157A64"/>
    <w:rsid w:val="133726DD"/>
    <w:rsid w:val="134A310C"/>
    <w:rsid w:val="135C16A3"/>
    <w:rsid w:val="135F4757"/>
    <w:rsid w:val="13636AB7"/>
    <w:rsid w:val="136B7DE8"/>
    <w:rsid w:val="137026CB"/>
    <w:rsid w:val="13757F47"/>
    <w:rsid w:val="13761EC1"/>
    <w:rsid w:val="13776154"/>
    <w:rsid w:val="137B1545"/>
    <w:rsid w:val="138136B6"/>
    <w:rsid w:val="13932807"/>
    <w:rsid w:val="13966E84"/>
    <w:rsid w:val="139C3CAC"/>
    <w:rsid w:val="13A27EB9"/>
    <w:rsid w:val="13C3075C"/>
    <w:rsid w:val="13CB7BC1"/>
    <w:rsid w:val="13F54E08"/>
    <w:rsid w:val="14092680"/>
    <w:rsid w:val="140B2C6D"/>
    <w:rsid w:val="14196B0B"/>
    <w:rsid w:val="141F5F4D"/>
    <w:rsid w:val="14487711"/>
    <w:rsid w:val="145442B4"/>
    <w:rsid w:val="145558C5"/>
    <w:rsid w:val="14576A89"/>
    <w:rsid w:val="145B47E8"/>
    <w:rsid w:val="146F2311"/>
    <w:rsid w:val="14752314"/>
    <w:rsid w:val="147632FB"/>
    <w:rsid w:val="147D7FEC"/>
    <w:rsid w:val="14854B32"/>
    <w:rsid w:val="148A32A8"/>
    <w:rsid w:val="14965E90"/>
    <w:rsid w:val="14A55CDE"/>
    <w:rsid w:val="14AA6703"/>
    <w:rsid w:val="14C16118"/>
    <w:rsid w:val="14CC47C2"/>
    <w:rsid w:val="15180F75"/>
    <w:rsid w:val="153A13C2"/>
    <w:rsid w:val="153E5059"/>
    <w:rsid w:val="15406073"/>
    <w:rsid w:val="15692F96"/>
    <w:rsid w:val="157317D8"/>
    <w:rsid w:val="158538FE"/>
    <w:rsid w:val="15AA3EEC"/>
    <w:rsid w:val="15AA4AC9"/>
    <w:rsid w:val="15CC0FDB"/>
    <w:rsid w:val="15EE7FF3"/>
    <w:rsid w:val="15FC41F7"/>
    <w:rsid w:val="16187284"/>
    <w:rsid w:val="161B527E"/>
    <w:rsid w:val="16236608"/>
    <w:rsid w:val="162A02B0"/>
    <w:rsid w:val="163A7C24"/>
    <w:rsid w:val="165D523E"/>
    <w:rsid w:val="166168BB"/>
    <w:rsid w:val="1665255F"/>
    <w:rsid w:val="167409DD"/>
    <w:rsid w:val="168802B9"/>
    <w:rsid w:val="168836B2"/>
    <w:rsid w:val="168B31EB"/>
    <w:rsid w:val="16912506"/>
    <w:rsid w:val="16A261B5"/>
    <w:rsid w:val="16A40A8A"/>
    <w:rsid w:val="16C110EB"/>
    <w:rsid w:val="16C938AA"/>
    <w:rsid w:val="16D52525"/>
    <w:rsid w:val="16E41FC1"/>
    <w:rsid w:val="16EB6525"/>
    <w:rsid w:val="16EF3F6B"/>
    <w:rsid w:val="16FE75C5"/>
    <w:rsid w:val="170F1ACE"/>
    <w:rsid w:val="17140366"/>
    <w:rsid w:val="171620C1"/>
    <w:rsid w:val="171A0296"/>
    <w:rsid w:val="17222F77"/>
    <w:rsid w:val="17234A7C"/>
    <w:rsid w:val="17365DB5"/>
    <w:rsid w:val="173D5762"/>
    <w:rsid w:val="174923F9"/>
    <w:rsid w:val="17502964"/>
    <w:rsid w:val="175756C4"/>
    <w:rsid w:val="1772145A"/>
    <w:rsid w:val="17770683"/>
    <w:rsid w:val="177A2852"/>
    <w:rsid w:val="17841ABB"/>
    <w:rsid w:val="17B14051"/>
    <w:rsid w:val="17C537E6"/>
    <w:rsid w:val="17C72E4B"/>
    <w:rsid w:val="17D41571"/>
    <w:rsid w:val="17EB6C6C"/>
    <w:rsid w:val="17F361EF"/>
    <w:rsid w:val="17FC1068"/>
    <w:rsid w:val="1808607A"/>
    <w:rsid w:val="182F4479"/>
    <w:rsid w:val="183D62C2"/>
    <w:rsid w:val="18492359"/>
    <w:rsid w:val="184D73A6"/>
    <w:rsid w:val="184E0B03"/>
    <w:rsid w:val="185D2F4B"/>
    <w:rsid w:val="18644328"/>
    <w:rsid w:val="18673E19"/>
    <w:rsid w:val="186A3398"/>
    <w:rsid w:val="18774B9A"/>
    <w:rsid w:val="187C78C4"/>
    <w:rsid w:val="188F53F8"/>
    <w:rsid w:val="189B47E4"/>
    <w:rsid w:val="189E1F0E"/>
    <w:rsid w:val="18C54E6D"/>
    <w:rsid w:val="18CA0CDF"/>
    <w:rsid w:val="18D5553D"/>
    <w:rsid w:val="18F148A5"/>
    <w:rsid w:val="190D1D60"/>
    <w:rsid w:val="193E4785"/>
    <w:rsid w:val="195F3FE5"/>
    <w:rsid w:val="19604F1F"/>
    <w:rsid w:val="19723451"/>
    <w:rsid w:val="19850AD0"/>
    <w:rsid w:val="19883955"/>
    <w:rsid w:val="19A91329"/>
    <w:rsid w:val="19AE03C1"/>
    <w:rsid w:val="19B45339"/>
    <w:rsid w:val="19B47967"/>
    <w:rsid w:val="19BE6BF8"/>
    <w:rsid w:val="19CA34CE"/>
    <w:rsid w:val="19CD039D"/>
    <w:rsid w:val="19D91EF5"/>
    <w:rsid w:val="19E1768A"/>
    <w:rsid w:val="19EF2318"/>
    <w:rsid w:val="19FE7778"/>
    <w:rsid w:val="1A0D1849"/>
    <w:rsid w:val="1A200662"/>
    <w:rsid w:val="1A304E0A"/>
    <w:rsid w:val="1A341559"/>
    <w:rsid w:val="1A391BE4"/>
    <w:rsid w:val="1A496483"/>
    <w:rsid w:val="1A5C56BC"/>
    <w:rsid w:val="1A654C5F"/>
    <w:rsid w:val="1A6A28EC"/>
    <w:rsid w:val="1A843DCE"/>
    <w:rsid w:val="1AAC2B20"/>
    <w:rsid w:val="1AAE6A00"/>
    <w:rsid w:val="1AC97AC8"/>
    <w:rsid w:val="1ACC0EDD"/>
    <w:rsid w:val="1AD71B8B"/>
    <w:rsid w:val="1AE91F42"/>
    <w:rsid w:val="1AF73531"/>
    <w:rsid w:val="1B0C332A"/>
    <w:rsid w:val="1B162E8B"/>
    <w:rsid w:val="1B205B7B"/>
    <w:rsid w:val="1B57078C"/>
    <w:rsid w:val="1B5A1A13"/>
    <w:rsid w:val="1B640570"/>
    <w:rsid w:val="1B680130"/>
    <w:rsid w:val="1B856EE4"/>
    <w:rsid w:val="1B8F15AC"/>
    <w:rsid w:val="1B9B4505"/>
    <w:rsid w:val="1BB30658"/>
    <w:rsid w:val="1BB401CE"/>
    <w:rsid w:val="1BB87C59"/>
    <w:rsid w:val="1BBF664B"/>
    <w:rsid w:val="1BE678F6"/>
    <w:rsid w:val="1C061158"/>
    <w:rsid w:val="1C114DF5"/>
    <w:rsid w:val="1C182814"/>
    <w:rsid w:val="1C1E4A8A"/>
    <w:rsid w:val="1C4F154D"/>
    <w:rsid w:val="1C607DB2"/>
    <w:rsid w:val="1C735B0F"/>
    <w:rsid w:val="1C7875BB"/>
    <w:rsid w:val="1C7E211D"/>
    <w:rsid w:val="1C8030E0"/>
    <w:rsid w:val="1C8300C0"/>
    <w:rsid w:val="1C996A16"/>
    <w:rsid w:val="1CA80D4F"/>
    <w:rsid w:val="1CA92652"/>
    <w:rsid w:val="1CAA5352"/>
    <w:rsid w:val="1CBE7EBE"/>
    <w:rsid w:val="1CD549AD"/>
    <w:rsid w:val="1CD8633F"/>
    <w:rsid w:val="1CE25E5B"/>
    <w:rsid w:val="1CF30FF7"/>
    <w:rsid w:val="1CF4490D"/>
    <w:rsid w:val="1CF70595"/>
    <w:rsid w:val="1CFF1ED8"/>
    <w:rsid w:val="1CFF3061"/>
    <w:rsid w:val="1D13456F"/>
    <w:rsid w:val="1D181B85"/>
    <w:rsid w:val="1D284742"/>
    <w:rsid w:val="1D2D4A96"/>
    <w:rsid w:val="1D443D4D"/>
    <w:rsid w:val="1D4C03BA"/>
    <w:rsid w:val="1D5447CD"/>
    <w:rsid w:val="1D664B1F"/>
    <w:rsid w:val="1D84721B"/>
    <w:rsid w:val="1D9F203F"/>
    <w:rsid w:val="1DA31A08"/>
    <w:rsid w:val="1DAB70EE"/>
    <w:rsid w:val="1DBC0763"/>
    <w:rsid w:val="1DBE2C2A"/>
    <w:rsid w:val="1DDA1333"/>
    <w:rsid w:val="1DE60DC1"/>
    <w:rsid w:val="1DEB5E7F"/>
    <w:rsid w:val="1E2124A5"/>
    <w:rsid w:val="1E236E15"/>
    <w:rsid w:val="1E3A221B"/>
    <w:rsid w:val="1E3C498C"/>
    <w:rsid w:val="1E440365"/>
    <w:rsid w:val="1E473ECB"/>
    <w:rsid w:val="1E544E3F"/>
    <w:rsid w:val="1E614412"/>
    <w:rsid w:val="1E6E67D8"/>
    <w:rsid w:val="1E6F24AE"/>
    <w:rsid w:val="1E780B2E"/>
    <w:rsid w:val="1EA07DF4"/>
    <w:rsid w:val="1EA15C48"/>
    <w:rsid w:val="1EA7740E"/>
    <w:rsid w:val="1EB42AC3"/>
    <w:rsid w:val="1EC975DB"/>
    <w:rsid w:val="1ED42437"/>
    <w:rsid w:val="1ED44095"/>
    <w:rsid w:val="1EE12B77"/>
    <w:rsid w:val="1EE241F9"/>
    <w:rsid w:val="1EFA240F"/>
    <w:rsid w:val="1EFC47D5"/>
    <w:rsid w:val="1F0625DD"/>
    <w:rsid w:val="1F17459F"/>
    <w:rsid w:val="1F1B731B"/>
    <w:rsid w:val="1F201FD9"/>
    <w:rsid w:val="1F271974"/>
    <w:rsid w:val="1F38023E"/>
    <w:rsid w:val="1F4C49E8"/>
    <w:rsid w:val="1F824F9B"/>
    <w:rsid w:val="1FB27398"/>
    <w:rsid w:val="1FB369B2"/>
    <w:rsid w:val="1FB556DC"/>
    <w:rsid w:val="1FE217EC"/>
    <w:rsid w:val="20232E47"/>
    <w:rsid w:val="203027B7"/>
    <w:rsid w:val="20344F28"/>
    <w:rsid w:val="2056209C"/>
    <w:rsid w:val="205F7888"/>
    <w:rsid w:val="20606CE3"/>
    <w:rsid w:val="209B34FE"/>
    <w:rsid w:val="20A82E21"/>
    <w:rsid w:val="20B53428"/>
    <w:rsid w:val="20BA44AC"/>
    <w:rsid w:val="20EC5802"/>
    <w:rsid w:val="211966AF"/>
    <w:rsid w:val="2129343F"/>
    <w:rsid w:val="214365BE"/>
    <w:rsid w:val="216002CA"/>
    <w:rsid w:val="216E7970"/>
    <w:rsid w:val="217A307F"/>
    <w:rsid w:val="217A686A"/>
    <w:rsid w:val="217B67FD"/>
    <w:rsid w:val="219700F9"/>
    <w:rsid w:val="21AA44D0"/>
    <w:rsid w:val="21B11C37"/>
    <w:rsid w:val="21B31F32"/>
    <w:rsid w:val="21DA364A"/>
    <w:rsid w:val="21EC7E43"/>
    <w:rsid w:val="21F77CA1"/>
    <w:rsid w:val="220953A0"/>
    <w:rsid w:val="221809AB"/>
    <w:rsid w:val="221951D7"/>
    <w:rsid w:val="221C34CB"/>
    <w:rsid w:val="22383517"/>
    <w:rsid w:val="223A40EF"/>
    <w:rsid w:val="223C337E"/>
    <w:rsid w:val="22505469"/>
    <w:rsid w:val="225F4CC7"/>
    <w:rsid w:val="2269591C"/>
    <w:rsid w:val="22813D29"/>
    <w:rsid w:val="228C7754"/>
    <w:rsid w:val="22B16C1D"/>
    <w:rsid w:val="22B40633"/>
    <w:rsid w:val="22C36F8E"/>
    <w:rsid w:val="22C62C1E"/>
    <w:rsid w:val="22CA7849"/>
    <w:rsid w:val="22D7057C"/>
    <w:rsid w:val="22D911C5"/>
    <w:rsid w:val="22E77A55"/>
    <w:rsid w:val="22E9703E"/>
    <w:rsid w:val="22F66CD9"/>
    <w:rsid w:val="22F93624"/>
    <w:rsid w:val="231753EB"/>
    <w:rsid w:val="23241C21"/>
    <w:rsid w:val="232A01DB"/>
    <w:rsid w:val="233F7420"/>
    <w:rsid w:val="235F34BF"/>
    <w:rsid w:val="23787408"/>
    <w:rsid w:val="238033BC"/>
    <w:rsid w:val="23926885"/>
    <w:rsid w:val="23930F8A"/>
    <w:rsid w:val="2393373D"/>
    <w:rsid w:val="23A16E72"/>
    <w:rsid w:val="23AB06F3"/>
    <w:rsid w:val="23D63FF3"/>
    <w:rsid w:val="23DA6AE5"/>
    <w:rsid w:val="23DD3AD5"/>
    <w:rsid w:val="23E51D45"/>
    <w:rsid w:val="23F03365"/>
    <w:rsid w:val="241243F0"/>
    <w:rsid w:val="241870B4"/>
    <w:rsid w:val="24317F37"/>
    <w:rsid w:val="244E05BB"/>
    <w:rsid w:val="245411E7"/>
    <w:rsid w:val="245562DC"/>
    <w:rsid w:val="246178B1"/>
    <w:rsid w:val="248668D4"/>
    <w:rsid w:val="24896F28"/>
    <w:rsid w:val="248F3E4A"/>
    <w:rsid w:val="249079D4"/>
    <w:rsid w:val="24A3256E"/>
    <w:rsid w:val="24BA4FF7"/>
    <w:rsid w:val="24D86764"/>
    <w:rsid w:val="24E9367C"/>
    <w:rsid w:val="24F124D1"/>
    <w:rsid w:val="24FA598E"/>
    <w:rsid w:val="24FC3A6C"/>
    <w:rsid w:val="2510610D"/>
    <w:rsid w:val="25292DCA"/>
    <w:rsid w:val="25302162"/>
    <w:rsid w:val="253E4680"/>
    <w:rsid w:val="25400295"/>
    <w:rsid w:val="254E5479"/>
    <w:rsid w:val="257E230E"/>
    <w:rsid w:val="258E2C60"/>
    <w:rsid w:val="2593624D"/>
    <w:rsid w:val="25977C6F"/>
    <w:rsid w:val="25A00842"/>
    <w:rsid w:val="25B6018D"/>
    <w:rsid w:val="25B82157"/>
    <w:rsid w:val="25B9230D"/>
    <w:rsid w:val="25BC1060"/>
    <w:rsid w:val="25BC6ED0"/>
    <w:rsid w:val="25DE0EA9"/>
    <w:rsid w:val="25FE1013"/>
    <w:rsid w:val="260C6A77"/>
    <w:rsid w:val="260F65B3"/>
    <w:rsid w:val="2624097D"/>
    <w:rsid w:val="26446C8E"/>
    <w:rsid w:val="264919C2"/>
    <w:rsid w:val="2662721E"/>
    <w:rsid w:val="26631793"/>
    <w:rsid w:val="26636B4C"/>
    <w:rsid w:val="267C13D7"/>
    <w:rsid w:val="2687307F"/>
    <w:rsid w:val="26916261"/>
    <w:rsid w:val="26935D08"/>
    <w:rsid w:val="26956AD0"/>
    <w:rsid w:val="26982189"/>
    <w:rsid w:val="269F64C8"/>
    <w:rsid w:val="26B5321B"/>
    <w:rsid w:val="26BA36B6"/>
    <w:rsid w:val="26BC503F"/>
    <w:rsid w:val="26C012BC"/>
    <w:rsid w:val="26C143CC"/>
    <w:rsid w:val="26CB1565"/>
    <w:rsid w:val="26D0312E"/>
    <w:rsid w:val="26D21C8A"/>
    <w:rsid w:val="26D66CAB"/>
    <w:rsid w:val="26DD38D2"/>
    <w:rsid w:val="26DD53C1"/>
    <w:rsid w:val="26E21545"/>
    <w:rsid w:val="26F314BB"/>
    <w:rsid w:val="27020053"/>
    <w:rsid w:val="27074267"/>
    <w:rsid w:val="271A4F5F"/>
    <w:rsid w:val="27356E9C"/>
    <w:rsid w:val="275E3968"/>
    <w:rsid w:val="277D6B0D"/>
    <w:rsid w:val="277F2035"/>
    <w:rsid w:val="27947C1C"/>
    <w:rsid w:val="27A15C5A"/>
    <w:rsid w:val="27A3048F"/>
    <w:rsid w:val="27A71F79"/>
    <w:rsid w:val="27A9718A"/>
    <w:rsid w:val="27BB15DA"/>
    <w:rsid w:val="27CB4B98"/>
    <w:rsid w:val="27D1065E"/>
    <w:rsid w:val="27D47AFC"/>
    <w:rsid w:val="27DD0E7D"/>
    <w:rsid w:val="27DF2071"/>
    <w:rsid w:val="27E44C2E"/>
    <w:rsid w:val="27E65C32"/>
    <w:rsid w:val="27EB05C2"/>
    <w:rsid w:val="28107B4C"/>
    <w:rsid w:val="28135D30"/>
    <w:rsid w:val="2814683C"/>
    <w:rsid w:val="28294209"/>
    <w:rsid w:val="2833710D"/>
    <w:rsid w:val="28403C4D"/>
    <w:rsid w:val="28430989"/>
    <w:rsid w:val="284C48DE"/>
    <w:rsid w:val="28613ADE"/>
    <w:rsid w:val="28640A22"/>
    <w:rsid w:val="2888726E"/>
    <w:rsid w:val="289C7722"/>
    <w:rsid w:val="28AD376B"/>
    <w:rsid w:val="28AF0E02"/>
    <w:rsid w:val="28B51AC5"/>
    <w:rsid w:val="28B90EAB"/>
    <w:rsid w:val="28C90E8B"/>
    <w:rsid w:val="28CD09A0"/>
    <w:rsid w:val="29104CB1"/>
    <w:rsid w:val="291A689B"/>
    <w:rsid w:val="29324CE1"/>
    <w:rsid w:val="29366B6F"/>
    <w:rsid w:val="29405AC6"/>
    <w:rsid w:val="294C0A96"/>
    <w:rsid w:val="29546EC8"/>
    <w:rsid w:val="29724367"/>
    <w:rsid w:val="297405E4"/>
    <w:rsid w:val="29851D80"/>
    <w:rsid w:val="29891DA7"/>
    <w:rsid w:val="299A284E"/>
    <w:rsid w:val="29B12947"/>
    <w:rsid w:val="29B41EAC"/>
    <w:rsid w:val="29B54574"/>
    <w:rsid w:val="29BD4E25"/>
    <w:rsid w:val="29BE4A5E"/>
    <w:rsid w:val="29C56A26"/>
    <w:rsid w:val="29CF4845"/>
    <w:rsid w:val="29D967E6"/>
    <w:rsid w:val="2A0259D5"/>
    <w:rsid w:val="2A0848EE"/>
    <w:rsid w:val="2A164181"/>
    <w:rsid w:val="2A1E7C9C"/>
    <w:rsid w:val="2A3D47EE"/>
    <w:rsid w:val="2A4B5348"/>
    <w:rsid w:val="2A5567D1"/>
    <w:rsid w:val="2A58362A"/>
    <w:rsid w:val="2A676756"/>
    <w:rsid w:val="2A720B27"/>
    <w:rsid w:val="2A750617"/>
    <w:rsid w:val="2A844BF3"/>
    <w:rsid w:val="2A882831"/>
    <w:rsid w:val="2A88675A"/>
    <w:rsid w:val="2AA131BA"/>
    <w:rsid w:val="2AAB2709"/>
    <w:rsid w:val="2AAC770B"/>
    <w:rsid w:val="2AB5269D"/>
    <w:rsid w:val="2ABC7334"/>
    <w:rsid w:val="2ABE3F5E"/>
    <w:rsid w:val="2ABF496E"/>
    <w:rsid w:val="2AC43995"/>
    <w:rsid w:val="2AC75113"/>
    <w:rsid w:val="2AC92342"/>
    <w:rsid w:val="2ACF1B94"/>
    <w:rsid w:val="2AE85F6D"/>
    <w:rsid w:val="2AEC34B6"/>
    <w:rsid w:val="2AEE28AB"/>
    <w:rsid w:val="2AF31787"/>
    <w:rsid w:val="2AF4778E"/>
    <w:rsid w:val="2B07215F"/>
    <w:rsid w:val="2B0D7176"/>
    <w:rsid w:val="2B19080B"/>
    <w:rsid w:val="2B373B1E"/>
    <w:rsid w:val="2B561E69"/>
    <w:rsid w:val="2B5B0286"/>
    <w:rsid w:val="2B613650"/>
    <w:rsid w:val="2B63237E"/>
    <w:rsid w:val="2B69017C"/>
    <w:rsid w:val="2B6F6423"/>
    <w:rsid w:val="2B715D85"/>
    <w:rsid w:val="2B78198A"/>
    <w:rsid w:val="2BA02E5A"/>
    <w:rsid w:val="2BA67A9D"/>
    <w:rsid w:val="2BA67C10"/>
    <w:rsid w:val="2BAD312E"/>
    <w:rsid w:val="2BCE7B74"/>
    <w:rsid w:val="2BEA6A79"/>
    <w:rsid w:val="2BF73E95"/>
    <w:rsid w:val="2C0120AF"/>
    <w:rsid w:val="2C02455B"/>
    <w:rsid w:val="2C097516"/>
    <w:rsid w:val="2C116933"/>
    <w:rsid w:val="2C2E58AC"/>
    <w:rsid w:val="2C5B7B14"/>
    <w:rsid w:val="2C680FED"/>
    <w:rsid w:val="2C6D003B"/>
    <w:rsid w:val="2C9302B4"/>
    <w:rsid w:val="2CA67B87"/>
    <w:rsid w:val="2CB23105"/>
    <w:rsid w:val="2CB74118"/>
    <w:rsid w:val="2CBF0ACE"/>
    <w:rsid w:val="2CDD7DE4"/>
    <w:rsid w:val="2CE20CEC"/>
    <w:rsid w:val="2CE6589A"/>
    <w:rsid w:val="2CF37C9A"/>
    <w:rsid w:val="2D1D3656"/>
    <w:rsid w:val="2D311922"/>
    <w:rsid w:val="2D705841"/>
    <w:rsid w:val="2D7203FA"/>
    <w:rsid w:val="2D772CCC"/>
    <w:rsid w:val="2D874EDD"/>
    <w:rsid w:val="2D9679EC"/>
    <w:rsid w:val="2D983674"/>
    <w:rsid w:val="2DC26CE1"/>
    <w:rsid w:val="2DE35A2B"/>
    <w:rsid w:val="2DE43620"/>
    <w:rsid w:val="2DE454E3"/>
    <w:rsid w:val="2DEC0BF0"/>
    <w:rsid w:val="2E002B8F"/>
    <w:rsid w:val="2E094D02"/>
    <w:rsid w:val="2E1805A9"/>
    <w:rsid w:val="2E197069"/>
    <w:rsid w:val="2E1A5BF7"/>
    <w:rsid w:val="2E1C0F9C"/>
    <w:rsid w:val="2E463A1E"/>
    <w:rsid w:val="2E5761EC"/>
    <w:rsid w:val="2E6609A2"/>
    <w:rsid w:val="2E786928"/>
    <w:rsid w:val="2E821A9D"/>
    <w:rsid w:val="2E860791"/>
    <w:rsid w:val="2E9B38AE"/>
    <w:rsid w:val="2EA43D43"/>
    <w:rsid w:val="2EB15F26"/>
    <w:rsid w:val="2EC456C9"/>
    <w:rsid w:val="2ED22917"/>
    <w:rsid w:val="2EDD4CC4"/>
    <w:rsid w:val="2EE928C2"/>
    <w:rsid w:val="2EE95B22"/>
    <w:rsid w:val="2EFB6836"/>
    <w:rsid w:val="2F0403D6"/>
    <w:rsid w:val="2F0B4905"/>
    <w:rsid w:val="2F0B5733"/>
    <w:rsid w:val="2F0C7B4A"/>
    <w:rsid w:val="2F106B60"/>
    <w:rsid w:val="2F17454E"/>
    <w:rsid w:val="2F185BE6"/>
    <w:rsid w:val="2F1E74CF"/>
    <w:rsid w:val="2F25154B"/>
    <w:rsid w:val="2F283EAA"/>
    <w:rsid w:val="2F407445"/>
    <w:rsid w:val="2F535B1A"/>
    <w:rsid w:val="2F610443"/>
    <w:rsid w:val="2F6E2EC0"/>
    <w:rsid w:val="2F73308C"/>
    <w:rsid w:val="2F7847BC"/>
    <w:rsid w:val="2F7D4AA4"/>
    <w:rsid w:val="2F8D2156"/>
    <w:rsid w:val="2FA70E13"/>
    <w:rsid w:val="2FAA4280"/>
    <w:rsid w:val="2FB56933"/>
    <w:rsid w:val="2FD95536"/>
    <w:rsid w:val="2FE34E04"/>
    <w:rsid w:val="2FE93118"/>
    <w:rsid w:val="2FF72A7E"/>
    <w:rsid w:val="2FFA53AB"/>
    <w:rsid w:val="30097396"/>
    <w:rsid w:val="3015269A"/>
    <w:rsid w:val="303332CD"/>
    <w:rsid w:val="304E5B92"/>
    <w:rsid w:val="3051740D"/>
    <w:rsid w:val="306B6744"/>
    <w:rsid w:val="306D180B"/>
    <w:rsid w:val="307257D6"/>
    <w:rsid w:val="30965955"/>
    <w:rsid w:val="3096694C"/>
    <w:rsid w:val="30B8125D"/>
    <w:rsid w:val="30C13EE0"/>
    <w:rsid w:val="30C61231"/>
    <w:rsid w:val="30DC13F0"/>
    <w:rsid w:val="30E83C20"/>
    <w:rsid w:val="30ED265D"/>
    <w:rsid w:val="30F30D62"/>
    <w:rsid w:val="30FA3EE4"/>
    <w:rsid w:val="31075C91"/>
    <w:rsid w:val="31081BAD"/>
    <w:rsid w:val="310C44A0"/>
    <w:rsid w:val="311F2B74"/>
    <w:rsid w:val="31205C64"/>
    <w:rsid w:val="312566B9"/>
    <w:rsid w:val="312F13C1"/>
    <w:rsid w:val="313F54DB"/>
    <w:rsid w:val="3148438F"/>
    <w:rsid w:val="314927B6"/>
    <w:rsid w:val="314C6AD4"/>
    <w:rsid w:val="317E2572"/>
    <w:rsid w:val="31992619"/>
    <w:rsid w:val="319B4DA4"/>
    <w:rsid w:val="31B31269"/>
    <w:rsid w:val="31C111EA"/>
    <w:rsid w:val="31C11945"/>
    <w:rsid w:val="31D10829"/>
    <w:rsid w:val="31EE3B71"/>
    <w:rsid w:val="31F1357D"/>
    <w:rsid w:val="31F51D37"/>
    <w:rsid w:val="31F648CB"/>
    <w:rsid w:val="320D5477"/>
    <w:rsid w:val="321E1ABC"/>
    <w:rsid w:val="32204AB2"/>
    <w:rsid w:val="323C2C9A"/>
    <w:rsid w:val="324C4E43"/>
    <w:rsid w:val="32553979"/>
    <w:rsid w:val="32634D0C"/>
    <w:rsid w:val="326B69E1"/>
    <w:rsid w:val="32786EF6"/>
    <w:rsid w:val="327A56E6"/>
    <w:rsid w:val="32852D86"/>
    <w:rsid w:val="3292430E"/>
    <w:rsid w:val="32984BBE"/>
    <w:rsid w:val="32A23F73"/>
    <w:rsid w:val="32A305A5"/>
    <w:rsid w:val="32CA5A05"/>
    <w:rsid w:val="32D248E7"/>
    <w:rsid w:val="32D81743"/>
    <w:rsid w:val="32E14A9C"/>
    <w:rsid w:val="32F40684"/>
    <w:rsid w:val="330074F8"/>
    <w:rsid w:val="332D348F"/>
    <w:rsid w:val="334657EF"/>
    <w:rsid w:val="334C066E"/>
    <w:rsid w:val="33523A42"/>
    <w:rsid w:val="3356418E"/>
    <w:rsid w:val="33762F9D"/>
    <w:rsid w:val="337A388A"/>
    <w:rsid w:val="338418CB"/>
    <w:rsid w:val="33855CE3"/>
    <w:rsid w:val="338A6C1B"/>
    <w:rsid w:val="338C6DE1"/>
    <w:rsid w:val="33A05736"/>
    <w:rsid w:val="33A835B7"/>
    <w:rsid w:val="33B55BB8"/>
    <w:rsid w:val="33CB54BD"/>
    <w:rsid w:val="33D23051"/>
    <w:rsid w:val="33ED5662"/>
    <w:rsid w:val="33EF626B"/>
    <w:rsid w:val="340F7C58"/>
    <w:rsid w:val="341E12AB"/>
    <w:rsid w:val="34433678"/>
    <w:rsid w:val="34442B09"/>
    <w:rsid w:val="344B7B58"/>
    <w:rsid w:val="346577CD"/>
    <w:rsid w:val="3483309A"/>
    <w:rsid w:val="348D4612"/>
    <w:rsid w:val="34A764F4"/>
    <w:rsid w:val="34C204B3"/>
    <w:rsid w:val="34C44AB9"/>
    <w:rsid w:val="34D81C33"/>
    <w:rsid w:val="34F54E73"/>
    <w:rsid w:val="351572A2"/>
    <w:rsid w:val="351917EA"/>
    <w:rsid w:val="351D3D85"/>
    <w:rsid w:val="353C4EF3"/>
    <w:rsid w:val="35500B16"/>
    <w:rsid w:val="3557183E"/>
    <w:rsid w:val="35732525"/>
    <w:rsid w:val="357A4836"/>
    <w:rsid w:val="358822F8"/>
    <w:rsid w:val="35B879B7"/>
    <w:rsid w:val="35C068B4"/>
    <w:rsid w:val="35DE6806"/>
    <w:rsid w:val="3614390D"/>
    <w:rsid w:val="36251147"/>
    <w:rsid w:val="36334AB4"/>
    <w:rsid w:val="36446795"/>
    <w:rsid w:val="36AF3103"/>
    <w:rsid w:val="36B9188B"/>
    <w:rsid w:val="36CF74EF"/>
    <w:rsid w:val="36D72F4A"/>
    <w:rsid w:val="37027F67"/>
    <w:rsid w:val="370319D2"/>
    <w:rsid w:val="37091F1C"/>
    <w:rsid w:val="37531470"/>
    <w:rsid w:val="376848E9"/>
    <w:rsid w:val="37696E1C"/>
    <w:rsid w:val="379F2E22"/>
    <w:rsid w:val="37A100E0"/>
    <w:rsid w:val="37A440DE"/>
    <w:rsid w:val="37A473CE"/>
    <w:rsid w:val="37A6440E"/>
    <w:rsid w:val="37B42580"/>
    <w:rsid w:val="37CD2449"/>
    <w:rsid w:val="37D1201D"/>
    <w:rsid w:val="37DA6E19"/>
    <w:rsid w:val="37DC45BF"/>
    <w:rsid w:val="37F43DF4"/>
    <w:rsid w:val="37F838B4"/>
    <w:rsid w:val="38356C0B"/>
    <w:rsid w:val="383E5030"/>
    <w:rsid w:val="384E5182"/>
    <w:rsid w:val="38540894"/>
    <w:rsid w:val="38842289"/>
    <w:rsid w:val="388A3F6C"/>
    <w:rsid w:val="389534A7"/>
    <w:rsid w:val="389C6DD6"/>
    <w:rsid w:val="38A54184"/>
    <w:rsid w:val="38B5233E"/>
    <w:rsid w:val="38B54C5C"/>
    <w:rsid w:val="38B92017"/>
    <w:rsid w:val="38BD3AE8"/>
    <w:rsid w:val="38C041C8"/>
    <w:rsid w:val="38C32489"/>
    <w:rsid w:val="38D611E9"/>
    <w:rsid w:val="38D70E62"/>
    <w:rsid w:val="38DC4235"/>
    <w:rsid w:val="38E3175F"/>
    <w:rsid w:val="38E9171C"/>
    <w:rsid w:val="38EF467F"/>
    <w:rsid w:val="38FC20FB"/>
    <w:rsid w:val="392B5B1F"/>
    <w:rsid w:val="393671C3"/>
    <w:rsid w:val="39393547"/>
    <w:rsid w:val="39395588"/>
    <w:rsid w:val="3939799A"/>
    <w:rsid w:val="393F5D95"/>
    <w:rsid w:val="3946010D"/>
    <w:rsid w:val="394A17A1"/>
    <w:rsid w:val="395D59D1"/>
    <w:rsid w:val="39673D68"/>
    <w:rsid w:val="39677447"/>
    <w:rsid w:val="39702536"/>
    <w:rsid w:val="398341B0"/>
    <w:rsid w:val="39841B90"/>
    <w:rsid w:val="39956A2B"/>
    <w:rsid w:val="39BF34CA"/>
    <w:rsid w:val="39BF668E"/>
    <w:rsid w:val="39D4535A"/>
    <w:rsid w:val="39D92970"/>
    <w:rsid w:val="39DC1276"/>
    <w:rsid w:val="39E870D4"/>
    <w:rsid w:val="39EB421B"/>
    <w:rsid w:val="39EE3703"/>
    <w:rsid w:val="39F7221A"/>
    <w:rsid w:val="39F81784"/>
    <w:rsid w:val="3A015486"/>
    <w:rsid w:val="3A0D4245"/>
    <w:rsid w:val="3A290B0A"/>
    <w:rsid w:val="3A453AEC"/>
    <w:rsid w:val="3A475008"/>
    <w:rsid w:val="3A49252A"/>
    <w:rsid w:val="3A6B40FE"/>
    <w:rsid w:val="3A9E2B3F"/>
    <w:rsid w:val="3AB96E4F"/>
    <w:rsid w:val="3ABC0C2A"/>
    <w:rsid w:val="3AC15CEB"/>
    <w:rsid w:val="3AD204F1"/>
    <w:rsid w:val="3ADE5B44"/>
    <w:rsid w:val="3ADF4E82"/>
    <w:rsid w:val="3AEF2E86"/>
    <w:rsid w:val="3AF12B8B"/>
    <w:rsid w:val="3AF7223B"/>
    <w:rsid w:val="3AF82650"/>
    <w:rsid w:val="3AFF51C2"/>
    <w:rsid w:val="3B0D0A0F"/>
    <w:rsid w:val="3B132755"/>
    <w:rsid w:val="3B2E7D22"/>
    <w:rsid w:val="3B356E3A"/>
    <w:rsid w:val="3B4074BC"/>
    <w:rsid w:val="3B525DED"/>
    <w:rsid w:val="3B620FC3"/>
    <w:rsid w:val="3B66327D"/>
    <w:rsid w:val="3B6B58F1"/>
    <w:rsid w:val="3B822B94"/>
    <w:rsid w:val="3B8F7754"/>
    <w:rsid w:val="3B9A7E9A"/>
    <w:rsid w:val="3B9C4E79"/>
    <w:rsid w:val="3B9E44E5"/>
    <w:rsid w:val="3BA814B5"/>
    <w:rsid w:val="3BBA6332"/>
    <w:rsid w:val="3BBC549B"/>
    <w:rsid w:val="3BD52D04"/>
    <w:rsid w:val="3BDF4658"/>
    <w:rsid w:val="3BE829D7"/>
    <w:rsid w:val="3BEB0D56"/>
    <w:rsid w:val="3C0942E3"/>
    <w:rsid w:val="3C207409"/>
    <w:rsid w:val="3C686101"/>
    <w:rsid w:val="3C7C006A"/>
    <w:rsid w:val="3C7C24A3"/>
    <w:rsid w:val="3C9D53B1"/>
    <w:rsid w:val="3CA571E3"/>
    <w:rsid w:val="3CBB3018"/>
    <w:rsid w:val="3CC82439"/>
    <w:rsid w:val="3CCF1E09"/>
    <w:rsid w:val="3D10476F"/>
    <w:rsid w:val="3D271865"/>
    <w:rsid w:val="3D610AE0"/>
    <w:rsid w:val="3D6910FF"/>
    <w:rsid w:val="3D731FE7"/>
    <w:rsid w:val="3D783FFF"/>
    <w:rsid w:val="3D8224AF"/>
    <w:rsid w:val="3DA94FF8"/>
    <w:rsid w:val="3DB47994"/>
    <w:rsid w:val="3DBE4DD3"/>
    <w:rsid w:val="3DCD6892"/>
    <w:rsid w:val="3DD376D7"/>
    <w:rsid w:val="3DFF2AF0"/>
    <w:rsid w:val="3E055EC9"/>
    <w:rsid w:val="3E063608"/>
    <w:rsid w:val="3E0E02DB"/>
    <w:rsid w:val="3E29283E"/>
    <w:rsid w:val="3E295A7A"/>
    <w:rsid w:val="3E4615FA"/>
    <w:rsid w:val="3E4C57ED"/>
    <w:rsid w:val="3E563AC1"/>
    <w:rsid w:val="3E571B49"/>
    <w:rsid w:val="3E8E2048"/>
    <w:rsid w:val="3EC214C4"/>
    <w:rsid w:val="3EE82A79"/>
    <w:rsid w:val="3EF7501E"/>
    <w:rsid w:val="3F193689"/>
    <w:rsid w:val="3F32648D"/>
    <w:rsid w:val="3F5D61DC"/>
    <w:rsid w:val="3F685049"/>
    <w:rsid w:val="3F705E6A"/>
    <w:rsid w:val="3F7A4E28"/>
    <w:rsid w:val="3F900E58"/>
    <w:rsid w:val="3FA81F0F"/>
    <w:rsid w:val="3FB614E6"/>
    <w:rsid w:val="3FC60A60"/>
    <w:rsid w:val="3FDF0FA7"/>
    <w:rsid w:val="3FF2282A"/>
    <w:rsid w:val="40027F51"/>
    <w:rsid w:val="400852D8"/>
    <w:rsid w:val="4019384B"/>
    <w:rsid w:val="40231D69"/>
    <w:rsid w:val="40276226"/>
    <w:rsid w:val="403F318A"/>
    <w:rsid w:val="403F6F41"/>
    <w:rsid w:val="404176CF"/>
    <w:rsid w:val="404603D7"/>
    <w:rsid w:val="40504A28"/>
    <w:rsid w:val="4058714C"/>
    <w:rsid w:val="4065216D"/>
    <w:rsid w:val="406612C8"/>
    <w:rsid w:val="406960D0"/>
    <w:rsid w:val="407A453F"/>
    <w:rsid w:val="407B3B09"/>
    <w:rsid w:val="407F76D4"/>
    <w:rsid w:val="4086259B"/>
    <w:rsid w:val="408F1FDB"/>
    <w:rsid w:val="409C32CE"/>
    <w:rsid w:val="40B13168"/>
    <w:rsid w:val="40C31C84"/>
    <w:rsid w:val="40CE1158"/>
    <w:rsid w:val="40DF1663"/>
    <w:rsid w:val="40EC15B7"/>
    <w:rsid w:val="40F527E3"/>
    <w:rsid w:val="40FC1C7E"/>
    <w:rsid w:val="41012622"/>
    <w:rsid w:val="412E1653"/>
    <w:rsid w:val="413A2613"/>
    <w:rsid w:val="41412BA9"/>
    <w:rsid w:val="415F1273"/>
    <w:rsid w:val="41635BFC"/>
    <w:rsid w:val="41656898"/>
    <w:rsid w:val="41741A72"/>
    <w:rsid w:val="41773922"/>
    <w:rsid w:val="41797487"/>
    <w:rsid w:val="41846FC7"/>
    <w:rsid w:val="41943515"/>
    <w:rsid w:val="419C467D"/>
    <w:rsid w:val="419E04CD"/>
    <w:rsid w:val="41A27E38"/>
    <w:rsid w:val="41A97FB8"/>
    <w:rsid w:val="41AB0F18"/>
    <w:rsid w:val="41AB3E95"/>
    <w:rsid w:val="41B27676"/>
    <w:rsid w:val="41E536E5"/>
    <w:rsid w:val="420F17A1"/>
    <w:rsid w:val="422C159B"/>
    <w:rsid w:val="424264A7"/>
    <w:rsid w:val="42470F07"/>
    <w:rsid w:val="424716E6"/>
    <w:rsid w:val="425016EB"/>
    <w:rsid w:val="42711B56"/>
    <w:rsid w:val="427C14D8"/>
    <w:rsid w:val="42957ABC"/>
    <w:rsid w:val="42A533F6"/>
    <w:rsid w:val="42AE12CD"/>
    <w:rsid w:val="42B06CEF"/>
    <w:rsid w:val="42DC702D"/>
    <w:rsid w:val="42FB3B1F"/>
    <w:rsid w:val="430403AA"/>
    <w:rsid w:val="430A305D"/>
    <w:rsid w:val="43177DC0"/>
    <w:rsid w:val="4340387D"/>
    <w:rsid w:val="4348452F"/>
    <w:rsid w:val="434D0DFA"/>
    <w:rsid w:val="4358340C"/>
    <w:rsid w:val="437060AF"/>
    <w:rsid w:val="438C20BD"/>
    <w:rsid w:val="439D43A5"/>
    <w:rsid w:val="43B82462"/>
    <w:rsid w:val="43BC29BB"/>
    <w:rsid w:val="43BF1273"/>
    <w:rsid w:val="43C44C41"/>
    <w:rsid w:val="43C65260"/>
    <w:rsid w:val="43D57EE8"/>
    <w:rsid w:val="43DF5F4B"/>
    <w:rsid w:val="43E061B7"/>
    <w:rsid w:val="43E74CEE"/>
    <w:rsid w:val="43EA5595"/>
    <w:rsid w:val="43F505F3"/>
    <w:rsid w:val="43FE582B"/>
    <w:rsid w:val="440927FB"/>
    <w:rsid w:val="4424200D"/>
    <w:rsid w:val="44333F20"/>
    <w:rsid w:val="445C5E07"/>
    <w:rsid w:val="44667A73"/>
    <w:rsid w:val="44776EF3"/>
    <w:rsid w:val="44865EB8"/>
    <w:rsid w:val="44877FF5"/>
    <w:rsid w:val="44980FF1"/>
    <w:rsid w:val="449F498C"/>
    <w:rsid w:val="44A30321"/>
    <w:rsid w:val="44AB1C00"/>
    <w:rsid w:val="44AE73B1"/>
    <w:rsid w:val="44BD7696"/>
    <w:rsid w:val="44C04DE4"/>
    <w:rsid w:val="44C11824"/>
    <w:rsid w:val="44C45F74"/>
    <w:rsid w:val="44C61C88"/>
    <w:rsid w:val="44DA2639"/>
    <w:rsid w:val="45085944"/>
    <w:rsid w:val="450E3EF9"/>
    <w:rsid w:val="453C2005"/>
    <w:rsid w:val="45475970"/>
    <w:rsid w:val="45506477"/>
    <w:rsid w:val="45655FEA"/>
    <w:rsid w:val="45660CBD"/>
    <w:rsid w:val="45696D57"/>
    <w:rsid w:val="45760CE7"/>
    <w:rsid w:val="458E3B2C"/>
    <w:rsid w:val="459160C0"/>
    <w:rsid w:val="45970E8D"/>
    <w:rsid w:val="45B63BA2"/>
    <w:rsid w:val="45CC67D9"/>
    <w:rsid w:val="45D7526A"/>
    <w:rsid w:val="45E776C4"/>
    <w:rsid w:val="45EA37DE"/>
    <w:rsid w:val="45F40F43"/>
    <w:rsid w:val="45FB3388"/>
    <w:rsid w:val="460633D8"/>
    <w:rsid w:val="460C17D1"/>
    <w:rsid w:val="46235D5C"/>
    <w:rsid w:val="462C765D"/>
    <w:rsid w:val="46330D50"/>
    <w:rsid w:val="463A06F9"/>
    <w:rsid w:val="464949DA"/>
    <w:rsid w:val="465B7E84"/>
    <w:rsid w:val="46771B2A"/>
    <w:rsid w:val="46880B2B"/>
    <w:rsid w:val="46902785"/>
    <w:rsid w:val="46A86B26"/>
    <w:rsid w:val="46B61944"/>
    <w:rsid w:val="46CE4EDF"/>
    <w:rsid w:val="46EB2B21"/>
    <w:rsid w:val="470004EF"/>
    <w:rsid w:val="470970DB"/>
    <w:rsid w:val="47150D60"/>
    <w:rsid w:val="47404994"/>
    <w:rsid w:val="47473BF4"/>
    <w:rsid w:val="478273B4"/>
    <w:rsid w:val="47956FB7"/>
    <w:rsid w:val="47A41F17"/>
    <w:rsid w:val="47A91D66"/>
    <w:rsid w:val="47BC123E"/>
    <w:rsid w:val="47BF4240"/>
    <w:rsid w:val="47CD5D7F"/>
    <w:rsid w:val="47D55D04"/>
    <w:rsid w:val="47D57B87"/>
    <w:rsid w:val="47E17015"/>
    <w:rsid w:val="47F0201E"/>
    <w:rsid w:val="48012D90"/>
    <w:rsid w:val="48014C0F"/>
    <w:rsid w:val="4820176A"/>
    <w:rsid w:val="483439F5"/>
    <w:rsid w:val="483E2716"/>
    <w:rsid w:val="48435459"/>
    <w:rsid w:val="4850549A"/>
    <w:rsid w:val="48751F9C"/>
    <w:rsid w:val="4880009A"/>
    <w:rsid w:val="488074D2"/>
    <w:rsid w:val="48855A71"/>
    <w:rsid w:val="48910795"/>
    <w:rsid w:val="48A51C70"/>
    <w:rsid w:val="48AB019F"/>
    <w:rsid w:val="48AF3164"/>
    <w:rsid w:val="48BF2D31"/>
    <w:rsid w:val="48DC0082"/>
    <w:rsid w:val="48E338CE"/>
    <w:rsid w:val="48E5217E"/>
    <w:rsid w:val="48EF3267"/>
    <w:rsid w:val="48EF450F"/>
    <w:rsid w:val="48F359FF"/>
    <w:rsid w:val="49104677"/>
    <w:rsid w:val="4916491B"/>
    <w:rsid w:val="491914E8"/>
    <w:rsid w:val="4921759B"/>
    <w:rsid w:val="492E4707"/>
    <w:rsid w:val="49341F33"/>
    <w:rsid w:val="49571C39"/>
    <w:rsid w:val="49935F3C"/>
    <w:rsid w:val="49997262"/>
    <w:rsid w:val="499E328F"/>
    <w:rsid w:val="49B77726"/>
    <w:rsid w:val="49D80B80"/>
    <w:rsid w:val="49DE79DC"/>
    <w:rsid w:val="49DF26FD"/>
    <w:rsid w:val="49E91E4E"/>
    <w:rsid w:val="4A4E4D34"/>
    <w:rsid w:val="4A582961"/>
    <w:rsid w:val="4A605569"/>
    <w:rsid w:val="4A6B7F20"/>
    <w:rsid w:val="4A80320D"/>
    <w:rsid w:val="4A8C30E7"/>
    <w:rsid w:val="4A9E5A1D"/>
    <w:rsid w:val="4AA70CB4"/>
    <w:rsid w:val="4AB65DA3"/>
    <w:rsid w:val="4AC34C6D"/>
    <w:rsid w:val="4AD05CCA"/>
    <w:rsid w:val="4ADD02FC"/>
    <w:rsid w:val="4AF16237"/>
    <w:rsid w:val="4B0A45D6"/>
    <w:rsid w:val="4B232D3E"/>
    <w:rsid w:val="4B247D33"/>
    <w:rsid w:val="4B2B3242"/>
    <w:rsid w:val="4B434576"/>
    <w:rsid w:val="4B483EA1"/>
    <w:rsid w:val="4B516170"/>
    <w:rsid w:val="4B5674EB"/>
    <w:rsid w:val="4B603EF9"/>
    <w:rsid w:val="4B6B0956"/>
    <w:rsid w:val="4B732E6F"/>
    <w:rsid w:val="4B796882"/>
    <w:rsid w:val="4B847B1A"/>
    <w:rsid w:val="4B96740A"/>
    <w:rsid w:val="4B9A28D7"/>
    <w:rsid w:val="4BA221F7"/>
    <w:rsid w:val="4BAE27DB"/>
    <w:rsid w:val="4BCA7C79"/>
    <w:rsid w:val="4BCE00D6"/>
    <w:rsid w:val="4BD4709B"/>
    <w:rsid w:val="4BD9235C"/>
    <w:rsid w:val="4BF53406"/>
    <w:rsid w:val="4C197B3B"/>
    <w:rsid w:val="4C257CE5"/>
    <w:rsid w:val="4C2A067F"/>
    <w:rsid w:val="4C6742A8"/>
    <w:rsid w:val="4C6C1622"/>
    <w:rsid w:val="4C7520DF"/>
    <w:rsid w:val="4C775171"/>
    <w:rsid w:val="4C9760F2"/>
    <w:rsid w:val="4CA45150"/>
    <w:rsid w:val="4CA87143"/>
    <w:rsid w:val="4CB01E34"/>
    <w:rsid w:val="4CC268A3"/>
    <w:rsid w:val="4CCD7FCE"/>
    <w:rsid w:val="4CE45D70"/>
    <w:rsid w:val="4CF328B3"/>
    <w:rsid w:val="4D181E2D"/>
    <w:rsid w:val="4D20103B"/>
    <w:rsid w:val="4D27359B"/>
    <w:rsid w:val="4D2C1E13"/>
    <w:rsid w:val="4D445721"/>
    <w:rsid w:val="4D4F27D7"/>
    <w:rsid w:val="4D73344B"/>
    <w:rsid w:val="4D907F8D"/>
    <w:rsid w:val="4D990DB5"/>
    <w:rsid w:val="4DA1744F"/>
    <w:rsid w:val="4DB22512"/>
    <w:rsid w:val="4DB77506"/>
    <w:rsid w:val="4DC82688"/>
    <w:rsid w:val="4DD1616A"/>
    <w:rsid w:val="4DD27A9D"/>
    <w:rsid w:val="4DE87D1C"/>
    <w:rsid w:val="4DFC36D4"/>
    <w:rsid w:val="4E025B37"/>
    <w:rsid w:val="4E04172E"/>
    <w:rsid w:val="4E4107C9"/>
    <w:rsid w:val="4E466E0C"/>
    <w:rsid w:val="4E4769A2"/>
    <w:rsid w:val="4E4E6628"/>
    <w:rsid w:val="4E564138"/>
    <w:rsid w:val="4E6A772D"/>
    <w:rsid w:val="4E8A2208"/>
    <w:rsid w:val="4E964534"/>
    <w:rsid w:val="4EAD0737"/>
    <w:rsid w:val="4EB64895"/>
    <w:rsid w:val="4EBA2D91"/>
    <w:rsid w:val="4ECF11B4"/>
    <w:rsid w:val="4EEA0E81"/>
    <w:rsid w:val="4F0E7C91"/>
    <w:rsid w:val="4F1236FE"/>
    <w:rsid w:val="4F2136AB"/>
    <w:rsid w:val="4F2732DA"/>
    <w:rsid w:val="4F2E29BF"/>
    <w:rsid w:val="4F302BDB"/>
    <w:rsid w:val="4F3B6610"/>
    <w:rsid w:val="4F493C9D"/>
    <w:rsid w:val="4F581781"/>
    <w:rsid w:val="4F73753D"/>
    <w:rsid w:val="4FC444D4"/>
    <w:rsid w:val="4FD3748D"/>
    <w:rsid w:val="4FE66397"/>
    <w:rsid w:val="4FEA5FA1"/>
    <w:rsid w:val="4FEE5DDD"/>
    <w:rsid w:val="4FF70CEF"/>
    <w:rsid w:val="4FF879F7"/>
    <w:rsid w:val="500A0BF8"/>
    <w:rsid w:val="501A7A4E"/>
    <w:rsid w:val="5031742F"/>
    <w:rsid w:val="50320005"/>
    <w:rsid w:val="50383091"/>
    <w:rsid w:val="5044383E"/>
    <w:rsid w:val="505A0442"/>
    <w:rsid w:val="505C6EC4"/>
    <w:rsid w:val="505E4A71"/>
    <w:rsid w:val="50617584"/>
    <w:rsid w:val="50635F97"/>
    <w:rsid w:val="50644BC0"/>
    <w:rsid w:val="50697A27"/>
    <w:rsid w:val="50954678"/>
    <w:rsid w:val="50AC462B"/>
    <w:rsid w:val="50AD5F05"/>
    <w:rsid w:val="50CA3508"/>
    <w:rsid w:val="50E229CB"/>
    <w:rsid w:val="50FD7FF5"/>
    <w:rsid w:val="51043F4F"/>
    <w:rsid w:val="5113145E"/>
    <w:rsid w:val="512978E2"/>
    <w:rsid w:val="512B6F08"/>
    <w:rsid w:val="512C27A6"/>
    <w:rsid w:val="514502C8"/>
    <w:rsid w:val="51456B83"/>
    <w:rsid w:val="5159026B"/>
    <w:rsid w:val="51605137"/>
    <w:rsid w:val="517B33C3"/>
    <w:rsid w:val="518D34A9"/>
    <w:rsid w:val="51906E0B"/>
    <w:rsid w:val="51A65E3B"/>
    <w:rsid w:val="51B76FC0"/>
    <w:rsid w:val="52145B48"/>
    <w:rsid w:val="52150E7E"/>
    <w:rsid w:val="522F3087"/>
    <w:rsid w:val="52476F83"/>
    <w:rsid w:val="52477EA4"/>
    <w:rsid w:val="5249247B"/>
    <w:rsid w:val="525070F0"/>
    <w:rsid w:val="52851733"/>
    <w:rsid w:val="52875E48"/>
    <w:rsid w:val="52984315"/>
    <w:rsid w:val="52C62690"/>
    <w:rsid w:val="52D77F56"/>
    <w:rsid w:val="52D942AB"/>
    <w:rsid w:val="52DF1317"/>
    <w:rsid w:val="52E8562E"/>
    <w:rsid w:val="52F43D16"/>
    <w:rsid w:val="52F55CB5"/>
    <w:rsid w:val="53066853"/>
    <w:rsid w:val="53080D44"/>
    <w:rsid w:val="531B0367"/>
    <w:rsid w:val="532F4F9E"/>
    <w:rsid w:val="53371D4D"/>
    <w:rsid w:val="533F2119"/>
    <w:rsid w:val="53493DE9"/>
    <w:rsid w:val="53580585"/>
    <w:rsid w:val="536C3BE4"/>
    <w:rsid w:val="537F00C3"/>
    <w:rsid w:val="53830D61"/>
    <w:rsid w:val="538F08B6"/>
    <w:rsid w:val="53A36E35"/>
    <w:rsid w:val="53A70F92"/>
    <w:rsid w:val="53AD7B18"/>
    <w:rsid w:val="53CA44F3"/>
    <w:rsid w:val="53D30783"/>
    <w:rsid w:val="53D401DF"/>
    <w:rsid w:val="53D42046"/>
    <w:rsid w:val="53F1032D"/>
    <w:rsid w:val="53F377CB"/>
    <w:rsid w:val="541E1FD5"/>
    <w:rsid w:val="54200E8D"/>
    <w:rsid w:val="54394D65"/>
    <w:rsid w:val="54453F5E"/>
    <w:rsid w:val="544A178C"/>
    <w:rsid w:val="546569BE"/>
    <w:rsid w:val="546C36A7"/>
    <w:rsid w:val="54710059"/>
    <w:rsid w:val="54974EC8"/>
    <w:rsid w:val="54B62802"/>
    <w:rsid w:val="54BB4C5D"/>
    <w:rsid w:val="54C623B4"/>
    <w:rsid w:val="55101C59"/>
    <w:rsid w:val="55144AC1"/>
    <w:rsid w:val="551D7302"/>
    <w:rsid w:val="553E0DC9"/>
    <w:rsid w:val="55445770"/>
    <w:rsid w:val="55666960"/>
    <w:rsid w:val="5572737D"/>
    <w:rsid w:val="557464A0"/>
    <w:rsid w:val="55804EED"/>
    <w:rsid w:val="55875CE9"/>
    <w:rsid w:val="55A6157F"/>
    <w:rsid w:val="55D70145"/>
    <w:rsid w:val="55D84FFF"/>
    <w:rsid w:val="55E42029"/>
    <w:rsid w:val="55F260E5"/>
    <w:rsid w:val="56001EDB"/>
    <w:rsid w:val="560B1290"/>
    <w:rsid w:val="56143BB3"/>
    <w:rsid w:val="56152E93"/>
    <w:rsid w:val="561B5CFD"/>
    <w:rsid w:val="563629E4"/>
    <w:rsid w:val="56585852"/>
    <w:rsid w:val="565C215F"/>
    <w:rsid w:val="5667780A"/>
    <w:rsid w:val="567063AF"/>
    <w:rsid w:val="567F6353"/>
    <w:rsid w:val="56804056"/>
    <w:rsid w:val="5697315C"/>
    <w:rsid w:val="56AF396E"/>
    <w:rsid w:val="56B40FB4"/>
    <w:rsid w:val="56C363FF"/>
    <w:rsid w:val="56E2072E"/>
    <w:rsid w:val="56F47EE0"/>
    <w:rsid w:val="57011CAB"/>
    <w:rsid w:val="5713049E"/>
    <w:rsid w:val="5713289F"/>
    <w:rsid w:val="57144722"/>
    <w:rsid w:val="571810AD"/>
    <w:rsid w:val="572F3B6C"/>
    <w:rsid w:val="57434B96"/>
    <w:rsid w:val="5749356B"/>
    <w:rsid w:val="574F37A1"/>
    <w:rsid w:val="57520607"/>
    <w:rsid w:val="5763059E"/>
    <w:rsid w:val="5778753B"/>
    <w:rsid w:val="57AE0B41"/>
    <w:rsid w:val="57AE3EDF"/>
    <w:rsid w:val="57BB46B5"/>
    <w:rsid w:val="57DD1C75"/>
    <w:rsid w:val="57E10CEA"/>
    <w:rsid w:val="57F556B0"/>
    <w:rsid w:val="581024FE"/>
    <w:rsid w:val="58600972"/>
    <w:rsid w:val="58680CEE"/>
    <w:rsid w:val="5869762B"/>
    <w:rsid w:val="587B7D66"/>
    <w:rsid w:val="58A321B7"/>
    <w:rsid w:val="58AF676F"/>
    <w:rsid w:val="58BC214D"/>
    <w:rsid w:val="58C769AB"/>
    <w:rsid w:val="58ED0B54"/>
    <w:rsid w:val="58F53E2D"/>
    <w:rsid w:val="591C4CFD"/>
    <w:rsid w:val="5948042B"/>
    <w:rsid w:val="594B7142"/>
    <w:rsid w:val="59522191"/>
    <w:rsid w:val="59542906"/>
    <w:rsid w:val="595C18D1"/>
    <w:rsid w:val="596001C1"/>
    <w:rsid w:val="59912ECE"/>
    <w:rsid w:val="59A26440"/>
    <w:rsid w:val="59C15A43"/>
    <w:rsid w:val="59D17028"/>
    <w:rsid w:val="5A051A9F"/>
    <w:rsid w:val="5A096502"/>
    <w:rsid w:val="5A0F3BAF"/>
    <w:rsid w:val="5A130FF6"/>
    <w:rsid w:val="5A25283C"/>
    <w:rsid w:val="5A3E2A97"/>
    <w:rsid w:val="5A5C0DF8"/>
    <w:rsid w:val="5A613D34"/>
    <w:rsid w:val="5A956E46"/>
    <w:rsid w:val="5AA9046D"/>
    <w:rsid w:val="5AAA7EB2"/>
    <w:rsid w:val="5ACC1D6C"/>
    <w:rsid w:val="5ACF5F0B"/>
    <w:rsid w:val="5AF66EF7"/>
    <w:rsid w:val="5AF839B9"/>
    <w:rsid w:val="5B0222B5"/>
    <w:rsid w:val="5B392E17"/>
    <w:rsid w:val="5B425FF4"/>
    <w:rsid w:val="5B477A61"/>
    <w:rsid w:val="5B4B2B4A"/>
    <w:rsid w:val="5B4C7B90"/>
    <w:rsid w:val="5B7805BD"/>
    <w:rsid w:val="5B95166C"/>
    <w:rsid w:val="5BBA5C48"/>
    <w:rsid w:val="5C084598"/>
    <w:rsid w:val="5C0E08F0"/>
    <w:rsid w:val="5C1E200D"/>
    <w:rsid w:val="5C2B58AA"/>
    <w:rsid w:val="5C665177"/>
    <w:rsid w:val="5C671404"/>
    <w:rsid w:val="5CA152D9"/>
    <w:rsid w:val="5CA940FC"/>
    <w:rsid w:val="5CBE72A4"/>
    <w:rsid w:val="5CC901CB"/>
    <w:rsid w:val="5CF57B08"/>
    <w:rsid w:val="5CFF0F6D"/>
    <w:rsid w:val="5D055995"/>
    <w:rsid w:val="5D2D023A"/>
    <w:rsid w:val="5D6F1515"/>
    <w:rsid w:val="5D754AB9"/>
    <w:rsid w:val="5D821189"/>
    <w:rsid w:val="5D831293"/>
    <w:rsid w:val="5D862165"/>
    <w:rsid w:val="5D8E4CCE"/>
    <w:rsid w:val="5D96766E"/>
    <w:rsid w:val="5D9F5CA8"/>
    <w:rsid w:val="5DA71903"/>
    <w:rsid w:val="5DAB506B"/>
    <w:rsid w:val="5DAC60E6"/>
    <w:rsid w:val="5DB04B74"/>
    <w:rsid w:val="5DBC7C55"/>
    <w:rsid w:val="5DCC21E0"/>
    <w:rsid w:val="5DD255E6"/>
    <w:rsid w:val="5DD627DD"/>
    <w:rsid w:val="5DE6548E"/>
    <w:rsid w:val="5DE77A3D"/>
    <w:rsid w:val="5DEC6E57"/>
    <w:rsid w:val="5DF254FF"/>
    <w:rsid w:val="5DF97CC4"/>
    <w:rsid w:val="5E057B68"/>
    <w:rsid w:val="5E0A7399"/>
    <w:rsid w:val="5E0F4D2D"/>
    <w:rsid w:val="5E1822E9"/>
    <w:rsid w:val="5E3106F6"/>
    <w:rsid w:val="5E355DCA"/>
    <w:rsid w:val="5E37477F"/>
    <w:rsid w:val="5E481638"/>
    <w:rsid w:val="5E5F3D7F"/>
    <w:rsid w:val="5E754D78"/>
    <w:rsid w:val="5EAA5C57"/>
    <w:rsid w:val="5EB27972"/>
    <w:rsid w:val="5ECD523E"/>
    <w:rsid w:val="5ED75648"/>
    <w:rsid w:val="5EDD2F70"/>
    <w:rsid w:val="5EE015EC"/>
    <w:rsid w:val="5EE210AC"/>
    <w:rsid w:val="5F076455"/>
    <w:rsid w:val="5F094293"/>
    <w:rsid w:val="5F1C2834"/>
    <w:rsid w:val="5F2B1163"/>
    <w:rsid w:val="5F3A621F"/>
    <w:rsid w:val="5F483696"/>
    <w:rsid w:val="5F4F1E6B"/>
    <w:rsid w:val="5F574CBF"/>
    <w:rsid w:val="5F7C7033"/>
    <w:rsid w:val="5F861136"/>
    <w:rsid w:val="5F9C7813"/>
    <w:rsid w:val="5FA93A7E"/>
    <w:rsid w:val="5FCB09B4"/>
    <w:rsid w:val="5FCC55B4"/>
    <w:rsid w:val="5FE3080A"/>
    <w:rsid w:val="5FEF770E"/>
    <w:rsid w:val="5FF12C89"/>
    <w:rsid w:val="5FF93363"/>
    <w:rsid w:val="600C48A5"/>
    <w:rsid w:val="600E0381"/>
    <w:rsid w:val="60152FF2"/>
    <w:rsid w:val="601F7192"/>
    <w:rsid w:val="6020547D"/>
    <w:rsid w:val="603658A5"/>
    <w:rsid w:val="603B63F3"/>
    <w:rsid w:val="60424BB6"/>
    <w:rsid w:val="606B1DA7"/>
    <w:rsid w:val="606E4EAA"/>
    <w:rsid w:val="608025F0"/>
    <w:rsid w:val="60827AAC"/>
    <w:rsid w:val="608B7802"/>
    <w:rsid w:val="60A056E7"/>
    <w:rsid w:val="60A53A05"/>
    <w:rsid w:val="60B3541A"/>
    <w:rsid w:val="60B3720A"/>
    <w:rsid w:val="60C3249E"/>
    <w:rsid w:val="60C41924"/>
    <w:rsid w:val="60E636D7"/>
    <w:rsid w:val="60E9305D"/>
    <w:rsid w:val="61034A71"/>
    <w:rsid w:val="610407AC"/>
    <w:rsid w:val="610E05B6"/>
    <w:rsid w:val="611A516C"/>
    <w:rsid w:val="611F2AAF"/>
    <w:rsid w:val="614C72C9"/>
    <w:rsid w:val="61510C2C"/>
    <w:rsid w:val="615C160D"/>
    <w:rsid w:val="61692624"/>
    <w:rsid w:val="616C7ADC"/>
    <w:rsid w:val="61834970"/>
    <w:rsid w:val="61915B6A"/>
    <w:rsid w:val="61A22D98"/>
    <w:rsid w:val="61D3701F"/>
    <w:rsid w:val="61DB6EE5"/>
    <w:rsid w:val="61EC6B7D"/>
    <w:rsid w:val="61F15A45"/>
    <w:rsid w:val="61F2505B"/>
    <w:rsid w:val="61F77B72"/>
    <w:rsid w:val="61FB03E8"/>
    <w:rsid w:val="621E38A9"/>
    <w:rsid w:val="62211CC2"/>
    <w:rsid w:val="62236B5C"/>
    <w:rsid w:val="62302B1A"/>
    <w:rsid w:val="62487DE4"/>
    <w:rsid w:val="624B147E"/>
    <w:rsid w:val="626243A0"/>
    <w:rsid w:val="62633148"/>
    <w:rsid w:val="626D02AB"/>
    <w:rsid w:val="629B7CC7"/>
    <w:rsid w:val="62A96AD4"/>
    <w:rsid w:val="62F029CF"/>
    <w:rsid w:val="62FB2247"/>
    <w:rsid w:val="63027A37"/>
    <w:rsid w:val="630D7CD1"/>
    <w:rsid w:val="63100901"/>
    <w:rsid w:val="631E21C4"/>
    <w:rsid w:val="632960A5"/>
    <w:rsid w:val="6330572A"/>
    <w:rsid w:val="633B746C"/>
    <w:rsid w:val="63532925"/>
    <w:rsid w:val="636D043F"/>
    <w:rsid w:val="636D204A"/>
    <w:rsid w:val="63712453"/>
    <w:rsid w:val="63715118"/>
    <w:rsid w:val="638B4CB7"/>
    <w:rsid w:val="63D339A6"/>
    <w:rsid w:val="63F22BC0"/>
    <w:rsid w:val="63F465C4"/>
    <w:rsid w:val="640B5E1E"/>
    <w:rsid w:val="641457E4"/>
    <w:rsid w:val="64197BDC"/>
    <w:rsid w:val="641D69ED"/>
    <w:rsid w:val="64630F05"/>
    <w:rsid w:val="646C5EDD"/>
    <w:rsid w:val="647A30E3"/>
    <w:rsid w:val="64805B23"/>
    <w:rsid w:val="649410BE"/>
    <w:rsid w:val="649E3CEB"/>
    <w:rsid w:val="64AC0143"/>
    <w:rsid w:val="64AC3253"/>
    <w:rsid w:val="64B40872"/>
    <w:rsid w:val="64FA057E"/>
    <w:rsid w:val="64FC71EC"/>
    <w:rsid w:val="651C6115"/>
    <w:rsid w:val="65256709"/>
    <w:rsid w:val="65326A49"/>
    <w:rsid w:val="653438C6"/>
    <w:rsid w:val="6535464F"/>
    <w:rsid w:val="653F1A0F"/>
    <w:rsid w:val="654F4302"/>
    <w:rsid w:val="65565DE9"/>
    <w:rsid w:val="65577F96"/>
    <w:rsid w:val="6558033E"/>
    <w:rsid w:val="657038D9"/>
    <w:rsid w:val="657213FC"/>
    <w:rsid w:val="657F4273"/>
    <w:rsid w:val="65846BC3"/>
    <w:rsid w:val="65871ED4"/>
    <w:rsid w:val="65B0405E"/>
    <w:rsid w:val="65B30E6D"/>
    <w:rsid w:val="65BF73BF"/>
    <w:rsid w:val="65C71020"/>
    <w:rsid w:val="65CC4A57"/>
    <w:rsid w:val="65E02479"/>
    <w:rsid w:val="661204ED"/>
    <w:rsid w:val="66143C2D"/>
    <w:rsid w:val="6621155B"/>
    <w:rsid w:val="66432D9C"/>
    <w:rsid w:val="66537B83"/>
    <w:rsid w:val="665A0C45"/>
    <w:rsid w:val="665C4848"/>
    <w:rsid w:val="66652341"/>
    <w:rsid w:val="666A41F2"/>
    <w:rsid w:val="667142CA"/>
    <w:rsid w:val="66A97B02"/>
    <w:rsid w:val="66B70E81"/>
    <w:rsid w:val="66BE7558"/>
    <w:rsid w:val="66C91495"/>
    <w:rsid w:val="66D51156"/>
    <w:rsid w:val="66D91535"/>
    <w:rsid w:val="66D9725C"/>
    <w:rsid w:val="66E35129"/>
    <w:rsid w:val="66E55D21"/>
    <w:rsid w:val="66FF3B38"/>
    <w:rsid w:val="67010561"/>
    <w:rsid w:val="670753DD"/>
    <w:rsid w:val="670775EB"/>
    <w:rsid w:val="67200AA1"/>
    <w:rsid w:val="67351D49"/>
    <w:rsid w:val="673B7F17"/>
    <w:rsid w:val="674A4E59"/>
    <w:rsid w:val="67544269"/>
    <w:rsid w:val="675D0DC8"/>
    <w:rsid w:val="675E1C15"/>
    <w:rsid w:val="67686E51"/>
    <w:rsid w:val="676B5A0F"/>
    <w:rsid w:val="67717495"/>
    <w:rsid w:val="678064C4"/>
    <w:rsid w:val="67866863"/>
    <w:rsid w:val="67920381"/>
    <w:rsid w:val="67943989"/>
    <w:rsid w:val="67957627"/>
    <w:rsid w:val="679A69EC"/>
    <w:rsid w:val="67A21E2E"/>
    <w:rsid w:val="67B10283"/>
    <w:rsid w:val="67B50A89"/>
    <w:rsid w:val="67B825FA"/>
    <w:rsid w:val="67BB59EA"/>
    <w:rsid w:val="67D626CE"/>
    <w:rsid w:val="67DB2F87"/>
    <w:rsid w:val="67DF2C0F"/>
    <w:rsid w:val="67E07373"/>
    <w:rsid w:val="67ED2348"/>
    <w:rsid w:val="67FF13EC"/>
    <w:rsid w:val="68063F90"/>
    <w:rsid w:val="68183F6D"/>
    <w:rsid w:val="68246F8B"/>
    <w:rsid w:val="68283C8B"/>
    <w:rsid w:val="68380CEE"/>
    <w:rsid w:val="68431027"/>
    <w:rsid w:val="684B732F"/>
    <w:rsid w:val="685C72B9"/>
    <w:rsid w:val="687F6728"/>
    <w:rsid w:val="689D41C3"/>
    <w:rsid w:val="68B849DE"/>
    <w:rsid w:val="68B94A42"/>
    <w:rsid w:val="68CA5D6E"/>
    <w:rsid w:val="68CF2329"/>
    <w:rsid w:val="68D45F2D"/>
    <w:rsid w:val="68DA5E20"/>
    <w:rsid w:val="68DF4F2B"/>
    <w:rsid w:val="690723A1"/>
    <w:rsid w:val="690D464A"/>
    <w:rsid w:val="690F2F18"/>
    <w:rsid w:val="69113FEB"/>
    <w:rsid w:val="69232A11"/>
    <w:rsid w:val="692416F4"/>
    <w:rsid w:val="69256292"/>
    <w:rsid w:val="69266EEC"/>
    <w:rsid w:val="69335FEA"/>
    <w:rsid w:val="694033C7"/>
    <w:rsid w:val="694C0E3E"/>
    <w:rsid w:val="69927272"/>
    <w:rsid w:val="69A26638"/>
    <w:rsid w:val="69AC4117"/>
    <w:rsid w:val="69E95574"/>
    <w:rsid w:val="69ED11B0"/>
    <w:rsid w:val="69EE4AD5"/>
    <w:rsid w:val="69F41483"/>
    <w:rsid w:val="69F96E9C"/>
    <w:rsid w:val="6A0B56DD"/>
    <w:rsid w:val="6A104573"/>
    <w:rsid w:val="6A13552B"/>
    <w:rsid w:val="6A2045A6"/>
    <w:rsid w:val="6A223D60"/>
    <w:rsid w:val="6A2837FE"/>
    <w:rsid w:val="6A2C2329"/>
    <w:rsid w:val="6A320654"/>
    <w:rsid w:val="6A386DC7"/>
    <w:rsid w:val="6A3C5EDC"/>
    <w:rsid w:val="6A4B09C5"/>
    <w:rsid w:val="6A563533"/>
    <w:rsid w:val="6A833C18"/>
    <w:rsid w:val="6A9B1A51"/>
    <w:rsid w:val="6ADF6E0B"/>
    <w:rsid w:val="6AE00A7A"/>
    <w:rsid w:val="6AE070E8"/>
    <w:rsid w:val="6AF16B24"/>
    <w:rsid w:val="6AF46067"/>
    <w:rsid w:val="6AFE1987"/>
    <w:rsid w:val="6B053392"/>
    <w:rsid w:val="6B0C1CA8"/>
    <w:rsid w:val="6B0C7755"/>
    <w:rsid w:val="6B133834"/>
    <w:rsid w:val="6B19053E"/>
    <w:rsid w:val="6B3A7ABC"/>
    <w:rsid w:val="6B3E7BA8"/>
    <w:rsid w:val="6B4A74E9"/>
    <w:rsid w:val="6B5B1B37"/>
    <w:rsid w:val="6B5E17F2"/>
    <w:rsid w:val="6B6167F0"/>
    <w:rsid w:val="6B774707"/>
    <w:rsid w:val="6B7C42D3"/>
    <w:rsid w:val="6BA760AD"/>
    <w:rsid w:val="6BB1586A"/>
    <w:rsid w:val="6BC12DD0"/>
    <w:rsid w:val="6BCA6F7B"/>
    <w:rsid w:val="6BD059B6"/>
    <w:rsid w:val="6BDB18FC"/>
    <w:rsid w:val="6BE127B8"/>
    <w:rsid w:val="6BE734D8"/>
    <w:rsid w:val="6C045BF0"/>
    <w:rsid w:val="6C234B3E"/>
    <w:rsid w:val="6C37646B"/>
    <w:rsid w:val="6C3B7713"/>
    <w:rsid w:val="6C513B3C"/>
    <w:rsid w:val="6C517A2C"/>
    <w:rsid w:val="6C57487F"/>
    <w:rsid w:val="6C7B4B9C"/>
    <w:rsid w:val="6C7F1C3B"/>
    <w:rsid w:val="6C9D02C1"/>
    <w:rsid w:val="6CB2690B"/>
    <w:rsid w:val="6CB667E6"/>
    <w:rsid w:val="6CB71DEE"/>
    <w:rsid w:val="6CBD2DD5"/>
    <w:rsid w:val="6CC0052F"/>
    <w:rsid w:val="6CC120FC"/>
    <w:rsid w:val="6CC809AF"/>
    <w:rsid w:val="6CC96DBF"/>
    <w:rsid w:val="6CD26C53"/>
    <w:rsid w:val="6CD96208"/>
    <w:rsid w:val="6CDD1BF7"/>
    <w:rsid w:val="6CE21F8F"/>
    <w:rsid w:val="6CE32F17"/>
    <w:rsid w:val="6D046DB6"/>
    <w:rsid w:val="6D08567C"/>
    <w:rsid w:val="6D0E08A3"/>
    <w:rsid w:val="6D0F1C2A"/>
    <w:rsid w:val="6D250004"/>
    <w:rsid w:val="6D321474"/>
    <w:rsid w:val="6D3E48A2"/>
    <w:rsid w:val="6D407845"/>
    <w:rsid w:val="6D415D74"/>
    <w:rsid w:val="6D512242"/>
    <w:rsid w:val="6D5E2181"/>
    <w:rsid w:val="6D632059"/>
    <w:rsid w:val="6D6353C0"/>
    <w:rsid w:val="6D6B2F90"/>
    <w:rsid w:val="6D7952F5"/>
    <w:rsid w:val="6D816E3C"/>
    <w:rsid w:val="6D9223A4"/>
    <w:rsid w:val="6D9771AC"/>
    <w:rsid w:val="6DA3010D"/>
    <w:rsid w:val="6DAC7B02"/>
    <w:rsid w:val="6DAD5461"/>
    <w:rsid w:val="6DB16386"/>
    <w:rsid w:val="6DB92E8C"/>
    <w:rsid w:val="6DC76535"/>
    <w:rsid w:val="6DE34316"/>
    <w:rsid w:val="6DF63D63"/>
    <w:rsid w:val="6E0A23F1"/>
    <w:rsid w:val="6E1B512B"/>
    <w:rsid w:val="6E1F1170"/>
    <w:rsid w:val="6E215179"/>
    <w:rsid w:val="6E225D58"/>
    <w:rsid w:val="6E2B0E67"/>
    <w:rsid w:val="6E2D3D55"/>
    <w:rsid w:val="6E2E2B8B"/>
    <w:rsid w:val="6E477F27"/>
    <w:rsid w:val="6E4A4D51"/>
    <w:rsid w:val="6E4E0561"/>
    <w:rsid w:val="6E577D60"/>
    <w:rsid w:val="6E5E3A65"/>
    <w:rsid w:val="6E6271C2"/>
    <w:rsid w:val="6E766A60"/>
    <w:rsid w:val="6E7F7504"/>
    <w:rsid w:val="6E8035BC"/>
    <w:rsid w:val="6E8544EF"/>
    <w:rsid w:val="6E980B53"/>
    <w:rsid w:val="6EAE5CDD"/>
    <w:rsid w:val="6EB84432"/>
    <w:rsid w:val="6ED337A8"/>
    <w:rsid w:val="6ED47580"/>
    <w:rsid w:val="6ED51CB5"/>
    <w:rsid w:val="6EDF3491"/>
    <w:rsid w:val="6EF45CF4"/>
    <w:rsid w:val="6F0A2C58"/>
    <w:rsid w:val="6F413BF1"/>
    <w:rsid w:val="6F4A462F"/>
    <w:rsid w:val="6F4F5AD7"/>
    <w:rsid w:val="6F666E65"/>
    <w:rsid w:val="6F672765"/>
    <w:rsid w:val="6F690D43"/>
    <w:rsid w:val="6F711D11"/>
    <w:rsid w:val="6F726975"/>
    <w:rsid w:val="6F801AE8"/>
    <w:rsid w:val="6F814935"/>
    <w:rsid w:val="6F975327"/>
    <w:rsid w:val="6FB13DDC"/>
    <w:rsid w:val="6FB27657"/>
    <w:rsid w:val="6FB35F22"/>
    <w:rsid w:val="6FC1211F"/>
    <w:rsid w:val="6FD419CC"/>
    <w:rsid w:val="6FDA0E73"/>
    <w:rsid w:val="6FDE4875"/>
    <w:rsid w:val="6FEF71B5"/>
    <w:rsid w:val="700261B0"/>
    <w:rsid w:val="70036A9E"/>
    <w:rsid w:val="70197272"/>
    <w:rsid w:val="701A07AF"/>
    <w:rsid w:val="702A154D"/>
    <w:rsid w:val="70451C9F"/>
    <w:rsid w:val="706C2EEF"/>
    <w:rsid w:val="70783560"/>
    <w:rsid w:val="707F68F7"/>
    <w:rsid w:val="709C435E"/>
    <w:rsid w:val="70A10ACF"/>
    <w:rsid w:val="70A751BB"/>
    <w:rsid w:val="70E11184"/>
    <w:rsid w:val="70EA1389"/>
    <w:rsid w:val="70EB475C"/>
    <w:rsid w:val="71025602"/>
    <w:rsid w:val="710F044A"/>
    <w:rsid w:val="7112161F"/>
    <w:rsid w:val="71143DDD"/>
    <w:rsid w:val="71171748"/>
    <w:rsid w:val="71340B3C"/>
    <w:rsid w:val="71341EA1"/>
    <w:rsid w:val="71366007"/>
    <w:rsid w:val="713E2ADE"/>
    <w:rsid w:val="714B429D"/>
    <w:rsid w:val="71687ABE"/>
    <w:rsid w:val="716A502B"/>
    <w:rsid w:val="717442A3"/>
    <w:rsid w:val="717E112C"/>
    <w:rsid w:val="717E2E69"/>
    <w:rsid w:val="71814B61"/>
    <w:rsid w:val="718412B5"/>
    <w:rsid w:val="718F7FCF"/>
    <w:rsid w:val="71A55641"/>
    <w:rsid w:val="71B640B9"/>
    <w:rsid w:val="71C1414E"/>
    <w:rsid w:val="71C942F4"/>
    <w:rsid w:val="71F70B5B"/>
    <w:rsid w:val="71F94C57"/>
    <w:rsid w:val="71FC5FE4"/>
    <w:rsid w:val="7239102C"/>
    <w:rsid w:val="7249183F"/>
    <w:rsid w:val="725D0F50"/>
    <w:rsid w:val="72700B18"/>
    <w:rsid w:val="72826F29"/>
    <w:rsid w:val="72850960"/>
    <w:rsid w:val="7286755D"/>
    <w:rsid w:val="7294004F"/>
    <w:rsid w:val="72B40F1F"/>
    <w:rsid w:val="72C7270A"/>
    <w:rsid w:val="72D4387A"/>
    <w:rsid w:val="72EA5884"/>
    <w:rsid w:val="72F06C85"/>
    <w:rsid w:val="730C074B"/>
    <w:rsid w:val="73270725"/>
    <w:rsid w:val="73290C41"/>
    <w:rsid w:val="732A3298"/>
    <w:rsid w:val="733A02D4"/>
    <w:rsid w:val="733A1096"/>
    <w:rsid w:val="733C0484"/>
    <w:rsid w:val="73545C9D"/>
    <w:rsid w:val="73863AB6"/>
    <w:rsid w:val="73884DE5"/>
    <w:rsid w:val="73915BBA"/>
    <w:rsid w:val="73997D7F"/>
    <w:rsid w:val="739F7DDD"/>
    <w:rsid w:val="73D2688D"/>
    <w:rsid w:val="73D6450C"/>
    <w:rsid w:val="73E65D75"/>
    <w:rsid w:val="73F51ECC"/>
    <w:rsid w:val="7407605B"/>
    <w:rsid w:val="740E5724"/>
    <w:rsid w:val="742D5A7D"/>
    <w:rsid w:val="74302DC3"/>
    <w:rsid w:val="744215FB"/>
    <w:rsid w:val="74592E42"/>
    <w:rsid w:val="74595475"/>
    <w:rsid w:val="746F2D2A"/>
    <w:rsid w:val="749218E1"/>
    <w:rsid w:val="74C26903"/>
    <w:rsid w:val="74C31166"/>
    <w:rsid w:val="74C9289A"/>
    <w:rsid w:val="74F2076F"/>
    <w:rsid w:val="74F66238"/>
    <w:rsid w:val="74FA5D1E"/>
    <w:rsid w:val="74FB6001"/>
    <w:rsid w:val="75045DEC"/>
    <w:rsid w:val="7508401D"/>
    <w:rsid w:val="751C353C"/>
    <w:rsid w:val="75622C2A"/>
    <w:rsid w:val="75664396"/>
    <w:rsid w:val="756B19C7"/>
    <w:rsid w:val="758B0FDD"/>
    <w:rsid w:val="75A460BA"/>
    <w:rsid w:val="75AB5587"/>
    <w:rsid w:val="75C12655"/>
    <w:rsid w:val="75CC4A87"/>
    <w:rsid w:val="75DD4A5B"/>
    <w:rsid w:val="75F36720"/>
    <w:rsid w:val="76364737"/>
    <w:rsid w:val="76407F17"/>
    <w:rsid w:val="765F33A4"/>
    <w:rsid w:val="76634D94"/>
    <w:rsid w:val="767F0351"/>
    <w:rsid w:val="76823AD8"/>
    <w:rsid w:val="76BD0EEF"/>
    <w:rsid w:val="76D80B3E"/>
    <w:rsid w:val="76FE2720"/>
    <w:rsid w:val="77017EA5"/>
    <w:rsid w:val="770A2F6E"/>
    <w:rsid w:val="770C216A"/>
    <w:rsid w:val="771B1288"/>
    <w:rsid w:val="771D3521"/>
    <w:rsid w:val="773651D5"/>
    <w:rsid w:val="773B23B9"/>
    <w:rsid w:val="774261D2"/>
    <w:rsid w:val="77576CF6"/>
    <w:rsid w:val="7772046A"/>
    <w:rsid w:val="7787392A"/>
    <w:rsid w:val="77940A9B"/>
    <w:rsid w:val="77A21D66"/>
    <w:rsid w:val="77B30E86"/>
    <w:rsid w:val="77C730EE"/>
    <w:rsid w:val="77D428F6"/>
    <w:rsid w:val="77EB535A"/>
    <w:rsid w:val="77EE6F2C"/>
    <w:rsid w:val="77F56071"/>
    <w:rsid w:val="77F66FC5"/>
    <w:rsid w:val="77FB4D98"/>
    <w:rsid w:val="780445AA"/>
    <w:rsid w:val="780B4D84"/>
    <w:rsid w:val="78254915"/>
    <w:rsid w:val="783C1F81"/>
    <w:rsid w:val="78420247"/>
    <w:rsid w:val="78453560"/>
    <w:rsid w:val="784851FA"/>
    <w:rsid w:val="784B6464"/>
    <w:rsid w:val="784C0EAB"/>
    <w:rsid w:val="785902C5"/>
    <w:rsid w:val="788E17B3"/>
    <w:rsid w:val="788F1964"/>
    <w:rsid w:val="788F505D"/>
    <w:rsid w:val="789C4ED1"/>
    <w:rsid w:val="78A173DF"/>
    <w:rsid w:val="78A73657"/>
    <w:rsid w:val="78A86127"/>
    <w:rsid w:val="78AC540A"/>
    <w:rsid w:val="78CA013C"/>
    <w:rsid w:val="78D37FAF"/>
    <w:rsid w:val="78D41E8B"/>
    <w:rsid w:val="78DA4873"/>
    <w:rsid w:val="78EB5FAC"/>
    <w:rsid w:val="78EE2915"/>
    <w:rsid w:val="78F20F45"/>
    <w:rsid w:val="79047904"/>
    <w:rsid w:val="791619E1"/>
    <w:rsid w:val="79314CD6"/>
    <w:rsid w:val="793E4273"/>
    <w:rsid w:val="794A6F77"/>
    <w:rsid w:val="797325B5"/>
    <w:rsid w:val="799C65B4"/>
    <w:rsid w:val="79A06DEE"/>
    <w:rsid w:val="79A07621"/>
    <w:rsid w:val="79AE4635"/>
    <w:rsid w:val="79BB460E"/>
    <w:rsid w:val="79C268A1"/>
    <w:rsid w:val="79CE28AF"/>
    <w:rsid w:val="79EB1A9F"/>
    <w:rsid w:val="79F12147"/>
    <w:rsid w:val="79FC115A"/>
    <w:rsid w:val="7A265727"/>
    <w:rsid w:val="7A443589"/>
    <w:rsid w:val="7A594C21"/>
    <w:rsid w:val="7A727450"/>
    <w:rsid w:val="7A764C0D"/>
    <w:rsid w:val="7A7B1C5A"/>
    <w:rsid w:val="7A9D30AF"/>
    <w:rsid w:val="7AB14D88"/>
    <w:rsid w:val="7ABD7706"/>
    <w:rsid w:val="7ABE7453"/>
    <w:rsid w:val="7AD93830"/>
    <w:rsid w:val="7AF86291"/>
    <w:rsid w:val="7B0466F1"/>
    <w:rsid w:val="7B2661C8"/>
    <w:rsid w:val="7B2B0159"/>
    <w:rsid w:val="7B5B021A"/>
    <w:rsid w:val="7B5F49F4"/>
    <w:rsid w:val="7B692890"/>
    <w:rsid w:val="7B6B0973"/>
    <w:rsid w:val="7B6C5457"/>
    <w:rsid w:val="7B75358B"/>
    <w:rsid w:val="7B770BB6"/>
    <w:rsid w:val="7B8B4640"/>
    <w:rsid w:val="7B9D1A0E"/>
    <w:rsid w:val="7B9E6C31"/>
    <w:rsid w:val="7BA75CDD"/>
    <w:rsid w:val="7BC871B6"/>
    <w:rsid w:val="7BCD20A3"/>
    <w:rsid w:val="7BDF31CA"/>
    <w:rsid w:val="7BE27395"/>
    <w:rsid w:val="7BF1321C"/>
    <w:rsid w:val="7BF31B5A"/>
    <w:rsid w:val="7BF73E78"/>
    <w:rsid w:val="7BFE2FA0"/>
    <w:rsid w:val="7C010C4E"/>
    <w:rsid w:val="7C1D33ED"/>
    <w:rsid w:val="7C1E2F15"/>
    <w:rsid w:val="7C1E672F"/>
    <w:rsid w:val="7C4249DC"/>
    <w:rsid w:val="7C431AA4"/>
    <w:rsid w:val="7C43544C"/>
    <w:rsid w:val="7C44274E"/>
    <w:rsid w:val="7C55521B"/>
    <w:rsid w:val="7C797A47"/>
    <w:rsid w:val="7CC548D0"/>
    <w:rsid w:val="7CD2604D"/>
    <w:rsid w:val="7CDF6EDC"/>
    <w:rsid w:val="7D235DBE"/>
    <w:rsid w:val="7D241B91"/>
    <w:rsid w:val="7D2B771E"/>
    <w:rsid w:val="7D5B457C"/>
    <w:rsid w:val="7D6A4448"/>
    <w:rsid w:val="7D8618BE"/>
    <w:rsid w:val="7DA105F3"/>
    <w:rsid w:val="7DA26E36"/>
    <w:rsid w:val="7DC5007A"/>
    <w:rsid w:val="7DC52D0A"/>
    <w:rsid w:val="7DD826BB"/>
    <w:rsid w:val="7DDB5EAE"/>
    <w:rsid w:val="7DE1372E"/>
    <w:rsid w:val="7DEE789A"/>
    <w:rsid w:val="7E0B5CB3"/>
    <w:rsid w:val="7E0C4DB2"/>
    <w:rsid w:val="7E124BB5"/>
    <w:rsid w:val="7E144AFE"/>
    <w:rsid w:val="7E234373"/>
    <w:rsid w:val="7E2C20E4"/>
    <w:rsid w:val="7E2D7BF2"/>
    <w:rsid w:val="7E2F4089"/>
    <w:rsid w:val="7E341EFF"/>
    <w:rsid w:val="7E37524A"/>
    <w:rsid w:val="7E3930B8"/>
    <w:rsid w:val="7E8B30ED"/>
    <w:rsid w:val="7E8C35C2"/>
    <w:rsid w:val="7E932E62"/>
    <w:rsid w:val="7E9A62EF"/>
    <w:rsid w:val="7E9D3F70"/>
    <w:rsid w:val="7EDF677D"/>
    <w:rsid w:val="7EF946F2"/>
    <w:rsid w:val="7F080220"/>
    <w:rsid w:val="7F111831"/>
    <w:rsid w:val="7F1E56FF"/>
    <w:rsid w:val="7F2101D7"/>
    <w:rsid w:val="7F210E45"/>
    <w:rsid w:val="7F284E36"/>
    <w:rsid w:val="7F32217F"/>
    <w:rsid w:val="7F35478A"/>
    <w:rsid w:val="7F54130E"/>
    <w:rsid w:val="7F5D4A77"/>
    <w:rsid w:val="7F720F51"/>
    <w:rsid w:val="7F756EA4"/>
    <w:rsid w:val="7F7A2608"/>
    <w:rsid w:val="7F945C91"/>
    <w:rsid w:val="7F9F6368"/>
    <w:rsid w:val="7FBC080E"/>
    <w:rsid w:val="7FC17BAA"/>
    <w:rsid w:val="7FDB5DDB"/>
    <w:rsid w:val="7FEA4B66"/>
    <w:rsid w:val="7FF1652F"/>
    <w:rsid w:val="7FF972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4">
    <w:name w:val="heading 1"/>
    <w:basedOn w:val="1"/>
    <w:next w:val="1"/>
    <w:link w:val="289"/>
    <w:autoRedefine/>
    <w:qFormat/>
    <w:uiPriority w:val="0"/>
    <w:pPr>
      <w:keepNext/>
      <w:keepLines/>
      <w:snapToGrid w:val="0"/>
      <w:spacing w:beforeLines="50" w:afterLines="50" w:line="520" w:lineRule="exact"/>
      <w:jc w:val="center"/>
      <w:outlineLvl w:val="0"/>
    </w:pPr>
    <w:rPr>
      <w:rFonts w:ascii="黑体" w:hAnsi="黑体" w:eastAsia="黑体"/>
      <w:b/>
      <w:bCs/>
      <w:kern w:val="44"/>
      <w:sz w:val="36"/>
      <w:szCs w:val="36"/>
    </w:rPr>
  </w:style>
  <w:style w:type="paragraph" w:styleId="5">
    <w:name w:val="heading 2"/>
    <w:basedOn w:val="1"/>
    <w:next w:val="1"/>
    <w:link w:val="287"/>
    <w:autoRedefine/>
    <w:qFormat/>
    <w:uiPriority w:val="0"/>
    <w:pPr>
      <w:keepNext/>
      <w:keepLines/>
      <w:snapToGrid w:val="0"/>
      <w:spacing w:line="520" w:lineRule="exact"/>
      <w:jc w:val="left"/>
      <w:outlineLvl w:val="1"/>
    </w:pPr>
    <w:rPr>
      <w:rFonts w:ascii="楷体" w:hAnsi="楷体" w:eastAsia="楷体"/>
      <w:b/>
      <w:bCs/>
      <w:sz w:val="32"/>
      <w:szCs w:val="32"/>
    </w:rPr>
  </w:style>
  <w:style w:type="paragraph" w:styleId="6">
    <w:name w:val="heading 3"/>
    <w:basedOn w:val="1"/>
    <w:next w:val="1"/>
    <w:link w:val="84"/>
    <w:autoRedefine/>
    <w:qFormat/>
    <w:uiPriority w:val="0"/>
    <w:pPr>
      <w:keepNext/>
      <w:keepLines/>
      <w:snapToGrid w:val="0"/>
      <w:spacing w:line="520" w:lineRule="exact"/>
      <w:jc w:val="left"/>
      <w:outlineLvl w:val="2"/>
    </w:pPr>
    <w:rPr>
      <w:rFonts w:ascii="黑体" w:hAnsi="黑体" w:eastAsia="黑体"/>
      <w:b/>
      <w:bCs/>
      <w:snapToGrid w:val="0"/>
      <w:sz w:val="28"/>
      <w:szCs w:val="28"/>
    </w:rPr>
  </w:style>
  <w:style w:type="paragraph" w:styleId="7">
    <w:name w:val="heading 4"/>
    <w:basedOn w:val="1"/>
    <w:next w:val="1"/>
    <w:link w:val="319"/>
    <w:autoRedefine/>
    <w:qFormat/>
    <w:uiPriority w:val="0"/>
    <w:pPr>
      <w:snapToGrid w:val="0"/>
      <w:spacing w:line="360" w:lineRule="auto"/>
      <w:jc w:val="left"/>
      <w:outlineLvl w:val="3"/>
    </w:pPr>
    <w:rPr>
      <w:rFonts w:ascii="黑体" w:hAnsi="黑体" w:eastAsia="黑体"/>
      <w:b/>
      <w:bCs/>
      <w:kern w:val="2"/>
      <w:sz w:val="28"/>
      <w:szCs w:val="28"/>
    </w:rPr>
  </w:style>
  <w:style w:type="paragraph" w:styleId="8">
    <w:name w:val="heading 5"/>
    <w:basedOn w:val="1"/>
    <w:next w:val="1"/>
    <w:autoRedefine/>
    <w:qFormat/>
    <w:uiPriority w:val="0"/>
    <w:pPr>
      <w:keepNext/>
      <w:keepLines/>
      <w:spacing w:line="374" w:lineRule="auto"/>
      <w:outlineLvl w:val="4"/>
    </w:pPr>
    <w:rPr>
      <w:b/>
      <w:bCs/>
      <w:sz w:val="28"/>
      <w:szCs w:val="28"/>
    </w:rPr>
  </w:style>
  <w:style w:type="paragraph" w:styleId="9">
    <w:name w:val="heading 6"/>
    <w:basedOn w:val="1"/>
    <w:next w:val="10"/>
    <w:autoRedefine/>
    <w:qFormat/>
    <w:uiPriority w:val="0"/>
    <w:pPr>
      <w:keepNext/>
      <w:keepLines/>
      <w:spacing w:line="320" w:lineRule="auto"/>
      <w:outlineLvl w:val="5"/>
    </w:pPr>
    <w:rPr>
      <w:rFonts w:ascii="Arial" w:hAnsi="Arial" w:eastAsia="黑体"/>
      <w:b/>
    </w:rPr>
  </w:style>
  <w:style w:type="paragraph" w:styleId="11">
    <w:name w:val="heading 7"/>
    <w:basedOn w:val="1"/>
    <w:next w:val="10"/>
    <w:autoRedefine/>
    <w:qFormat/>
    <w:uiPriority w:val="0"/>
    <w:pPr>
      <w:keepNext/>
      <w:keepLines/>
      <w:spacing w:line="320" w:lineRule="auto"/>
      <w:outlineLvl w:val="6"/>
    </w:pPr>
    <w:rPr>
      <w:b/>
    </w:rPr>
  </w:style>
  <w:style w:type="paragraph" w:styleId="12">
    <w:name w:val="heading 8"/>
    <w:basedOn w:val="1"/>
    <w:next w:val="10"/>
    <w:autoRedefine/>
    <w:qFormat/>
    <w:uiPriority w:val="0"/>
    <w:pPr>
      <w:keepNext/>
      <w:keepLines/>
      <w:spacing w:line="320" w:lineRule="auto"/>
      <w:outlineLvl w:val="7"/>
    </w:pPr>
    <w:rPr>
      <w:rFonts w:ascii="Arial" w:hAnsi="Arial" w:eastAsia="黑体"/>
    </w:rPr>
  </w:style>
  <w:style w:type="paragraph" w:styleId="13">
    <w:name w:val="heading 9"/>
    <w:basedOn w:val="1"/>
    <w:next w:val="10"/>
    <w:autoRedefine/>
    <w:qFormat/>
    <w:uiPriority w:val="0"/>
    <w:pPr>
      <w:keepNext/>
      <w:keepLines/>
      <w:spacing w:line="320" w:lineRule="auto"/>
      <w:outlineLvl w:val="8"/>
    </w:pPr>
    <w:rPr>
      <w:rFonts w:ascii="Arial" w:hAnsi="Arial" w:eastAsia="黑体"/>
    </w:rPr>
  </w:style>
  <w:style w:type="character" w:default="1" w:styleId="54">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
    <w:name w:val="macro"/>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0">
    <w:name w:val="Normal Indent"/>
    <w:basedOn w:val="1"/>
    <w:next w:val="1"/>
    <w:link w:val="274"/>
    <w:autoRedefine/>
    <w:qFormat/>
    <w:uiPriority w:val="0"/>
    <w:pPr>
      <w:ind w:firstLine="420" w:firstLineChars="200"/>
    </w:pPr>
    <w:rPr>
      <w:kern w:val="2"/>
      <w:sz w:val="21"/>
      <w:szCs w:val="24"/>
    </w:rPr>
  </w:style>
  <w:style w:type="paragraph" w:styleId="14">
    <w:name w:val="toc 7"/>
    <w:basedOn w:val="1"/>
    <w:next w:val="1"/>
    <w:autoRedefine/>
    <w:qFormat/>
    <w:uiPriority w:val="39"/>
    <w:pPr>
      <w:ind w:left="2520" w:leftChars="1200"/>
    </w:pPr>
  </w:style>
  <w:style w:type="paragraph" w:styleId="15">
    <w:name w:val="table of authorities"/>
    <w:basedOn w:val="1"/>
    <w:next w:val="1"/>
    <w:qFormat/>
    <w:uiPriority w:val="0"/>
    <w:pPr>
      <w:ind w:left="420" w:leftChars="200"/>
    </w:pPr>
  </w:style>
  <w:style w:type="paragraph" w:styleId="16">
    <w:name w:val="index 8"/>
    <w:basedOn w:val="1"/>
    <w:next w:val="1"/>
    <w:autoRedefine/>
    <w:qFormat/>
    <w:uiPriority w:val="0"/>
    <w:pPr>
      <w:ind w:left="1680" w:hanging="210"/>
      <w:jc w:val="left"/>
    </w:pPr>
  </w:style>
  <w:style w:type="paragraph" w:styleId="17">
    <w:name w:val="caption"/>
    <w:basedOn w:val="1"/>
    <w:next w:val="1"/>
    <w:autoRedefine/>
    <w:qFormat/>
    <w:uiPriority w:val="0"/>
    <w:rPr>
      <w:rFonts w:ascii="Arial" w:hAnsi="Arial" w:eastAsia="黑体" w:cs="Arial"/>
      <w:sz w:val="15"/>
    </w:rPr>
  </w:style>
  <w:style w:type="paragraph" w:styleId="18">
    <w:name w:val="Document Map"/>
    <w:basedOn w:val="1"/>
    <w:link w:val="321"/>
    <w:autoRedefine/>
    <w:qFormat/>
    <w:uiPriority w:val="0"/>
    <w:rPr>
      <w:sz w:val="18"/>
      <w:szCs w:val="18"/>
    </w:rPr>
  </w:style>
  <w:style w:type="paragraph" w:styleId="19">
    <w:name w:val="toa heading"/>
    <w:basedOn w:val="1"/>
    <w:next w:val="1"/>
    <w:autoRedefine/>
    <w:semiHidden/>
    <w:qFormat/>
    <w:uiPriority w:val="0"/>
    <w:pPr>
      <w:spacing w:before="120"/>
    </w:pPr>
    <w:rPr>
      <w:rFonts w:ascii="Arial" w:hAnsi="Arial" w:cs="Arial"/>
      <w:kern w:val="2"/>
    </w:rPr>
  </w:style>
  <w:style w:type="paragraph" w:styleId="20">
    <w:name w:val="annotation text"/>
    <w:basedOn w:val="1"/>
    <w:autoRedefine/>
    <w:qFormat/>
    <w:uiPriority w:val="0"/>
    <w:pPr>
      <w:jc w:val="left"/>
    </w:pPr>
    <w:rPr>
      <w:kern w:val="2"/>
      <w:sz w:val="21"/>
      <w:szCs w:val="24"/>
    </w:rPr>
  </w:style>
  <w:style w:type="paragraph" w:styleId="21">
    <w:name w:val="Salutation"/>
    <w:basedOn w:val="1"/>
    <w:next w:val="1"/>
    <w:autoRedefine/>
    <w:qFormat/>
    <w:uiPriority w:val="0"/>
    <w:pPr>
      <w:adjustRightInd w:val="0"/>
      <w:snapToGrid w:val="0"/>
    </w:pPr>
    <w:rPr>
      <w:sz w:val="28"/>
    </w:rPr>
  </w:style>
  <w:style w:type="paragraph" w:styleId="22">
    <w:name w:val="Body Text 3"/>
    <w:basedOn w:val="1"/>
    <w:link w:val="295"/>
    <w:autoRedefine/>
    <w:qFormat/>
    <w:uiPriority w:val="0"/>
    <w:rPr>
      <w:kern w:val="2"/>
      <w:sz w:val="16"/>
      <w:szCs w:val="16"/>
    </w:rPr>
  </w:style>
  <w:style w:type="paragraph" w:styleId="23">
    <w:name w:val="Body Text"/>
    <w:basedOn w:val="1"/>
    <w:link w:val="286"/>
    <w:autoRedefine/>
    <w:qFormat/>
    <w:uiPriority w:val="0"/>
    <w:rPr>
      <w:kern w:val="2"/>
      <w:sz w:val="21"/>
      <w:szCs w:val="24"/>
    </w:rPr>
  </w:style>
  <w:style w:type="paragraph" w:styleId="24">
    <w:name w:val="Body Text Indent"/>
    <w:basedOn w:val="1"/>
    <w:autoRedefine/>
    <w:qFormat/>
    <w:uiPriority w:val="0"/>
    <w:pPr>
      <w:ind w:left="420" w:leftChars="200"/>
    </w:pPr>
  </w:style>
  <w:style w:type="paragraph" w:styleId="25">
    <w:name w:val="Block Text"/>
    <w:basedOn w:val="1"/>
    <w:autoRedefine/>
    <w:qFormat/>
    <w:uiPriority w:val="0"/>
    <w:pPr>
      <w:adjustRightInd w:val="0"/>
      <w:spacing w:line="312" w:lineRule="atLeast"/>
      <w:ind w:left="210" w:right="16"/>
      <w:textAlignment w:val="baseline"/>
    </w:pPr>
    <w:rPr>
      <w:sz w:val="28"/>
    </w:rPr>
  </w:style>
  <w:style w:type="paragraph" w:styleId="26">
    <w:name w:val="List Bullet 2"/>
    <w:basedOn w:val="1"/>
    <w:autoRedefine/>
    <w:qFormat/>
    <w:uiPriority w:val="0"/>
    <w:pPr>
      <w:spacing w:line="500" w:lineRule="exact"/>
      <w:ind w:firstLine="211" w:firstLineChars="100"/>
      <w:jc w:val="center"/>
    </w:pPr>
    <w:rPr>
      <w:rFonts w:hAnsi="宋体"/>
      <w:b/>
      <w:snapToGrid w:val="0"/>
      <w:color w:val="000000"/>
    </w:rPr>
  </w:style>
  <w:style w:type="paragraph" w:styleId="27">
    <w:name w:val="toc 5"/>
    <w:basedOn w:val="1"/>
    <w:next w:val="1"/>
    <w:autoRedefine/>
    <w:qFormat/>
    <w:uiPriority w:val="39"/>
    <w:pPr>
      <w:ind w:left="1680" w:leftChars="800"/>
    </w:pPr>
  </w:style>
  <w:style w:type="paragraph" w:styleId="28">
    <w:name w:val="toc 3"/>
    <w:basedOn w:val="1"/>
    <w:next w:val="1"/>
    <w:autoRedefine/>
    <w:qFormat/>
    <w:uiPriority w:val="39"/>
    <w:pPr>
      <w:ind w:left="840" w:leftChars="400"/>
    </w:pPr>
  </w:style>
  <w:style w:type="paragraph" w:styleId="29">
    <w:name w:val="Plain Text"/>
    <w:basedOn w:val="1"/>
    <w:next w:val="1"/>
    <w:link w:val="270"/>
    <w:autoRedefine/>
    <w:qFormat/>
    <w:uiPriority w:val="0"/>
    <w:pPr>
      <w:adjustRightInd w:val="0"/>
      <w:textAlignment w:val="baseline"/>
    </w:pPr>
    <w:rPr>
      <w:rFonts w:hAnsi="Courier New"/>
      <w:kern w:val="2"/>
      <w:sz w:val="28"/>
    </w:rPr>
  </w:style>
  <w:style w:type="paragraph" w:styleId="30">
    <w:name w:val="toc 8"/>
    <w:basedOn w:val="1"/>
    <w:next w:val="1"/>
    <w:autoRedefine/>
    <w:qFormat/>
    <w:uiPriority w:val="39"/>
    <w:pPr>
      <w:ind w:left="2940" w:leftChars="1400"/>
    </w:pPr>
  </w:style>
  <w:style w:type="paragraph" w:styleId="31">
    <w:name w:val="Date"/>
    <w:basedOn w:val="1"/>
    <w:next w:val="1"/>
    <w:link w:val="280"/>
    <w:autoRedefine/>
    <w:qFormat/>
    <w:uiPriority w:val="0"/>
  </w:style>
  <w:style w:type="paragraph" w:styleId="32">
    <w:name w:val="Body Text Indent 2"/>
    <w:basedOn w:val="1"/>
    <w:autoRedefine/>
    <w:qFormat/>
    <w:uiPriority w:val="0"/>
    <w:pPr>
      <w:spacing w:line="480" w:lineRule="auto"/>
      <w:ind w:left="420" w:leftChars="200"/>
    </w:pPr>
  </w:style>
  <w:style w:type="paragraph" w:styleId="33">
    <w:name w:val="Balloon Text"/>
    <w:basedOn w:val="1"/>
    <w:autoRedefine/>
    <w:qFormat/>
    <w:uiPriority w:val="0"/>
    <w:rPr>
      <w:sz w:val="18"/>
      <w:szCs w:val="18"/>
    </w:rPr>
  </w:style>
  <w:style w:type="paragraph" w:styleId="34">
    <w:name w:val="footer"/>
    <w:basedOn w:val="1"/>
    <w:link w:val="332"/>
    <w:autoRedefine/>
    <w:qFormat/>
    <w:uiPriority w:val="0"/>
    <w:pPr>
      <w:tabs>
        <w:tab w:val="center" w:pos="4153"/>
        <w:tab w:val="right" w:pos="8306"/>
      </w:tabs>
      <w:snapToGrid w:val="0"/>
      <w:jc w:val="left"/>
    </w:pPr>
    <w:rPr>
      <w:sz w:val="18"/>
      <w:szCs w:val="18"/>
    </w:rPr>
  </w:style>
  <w:style w:type="paragraph" w:styleId="35">
    <w:name w:val="toc 1"/>
    <w:basedOn w:val="1"/>
    <w:next w:val="1"/>
    <w:autoRedefine/>
    <w:qFormat/>
    <w:uiPriority w:val="39"/>
  </w:style>
  <w:style w:type="paragraph" w:styleId="36">
    <w:name w:val="toc 4"/>
    <w:basedOn w:val="1"/>
    <w:next w:val="1"/>
    <w:autoRedefine/>
    <w:qFormat/>
    <w:uiPriority w:val="39"/>
    <w:pPr>
      <w:ind w:left="1260" w:leftChars="600"/>
    </w:pPr>
  </w:style>
  <w:style w:type="paragraph" w:styleId="37">
    <w:name w:val="index heading"/>
    <w:basedOn w:val="1"/>
    <w:next w:val="38"/>
    <w:autoRedefine/>
    <w:qFormat/>
    <w:uiPriority w:val="0"/>
  </w:style>
  <w:style w:type="paragraph" w:styleId="38">
    <w:name w:val="index 1"/>
    <w:basedOn w:val="1"/>
    <w:next w:val="1"/>
    <w:autoRedefine/>
    <w:qFormat/>
    <w:uiPriority w:val="0"/>
  </w:style>
  <w:style w:type="paragraph" w:styleId="39">
    <w:name w:val="Subtitle"/>
    <w:basedOn w:val="1"/>
    <w:next w:val="1"/>
    <w:autoRedefine/>
    <w:qFormat/>
    <w:uiPriority w:val="0"/>
    <w:pPr>
      <w:spacing w:line="312" w:lineRule="auto"/>
      <w:jc w:val="center"/>
      <w:outlineLvl w:val="1"/>
    </w:pPr>
    <w:rPr>
      <w:rFonts w:ascii="Cambria" w:hAnsi="Cambria"/>
      <w:b/>
      <w:bCs/>
      <w:kern w:val="28"/>
      <w:sz w:val="32"/>
      <w:szCs w:val="32"/>
    </w:rPr>
  </w:style>
  <w:style w:type="paragraph" w:styleId="40">
    <w:name w:val="toc 6"/>
    <w:basedOn w:val="1"/>
    <w:next w:val="1"/>
    <w:autoRedefine/>
    <w:qFormat/>
    <w:uiPriority w:val="39"/>
    <w:pPr>
      <w:ind w:left="2100" w:leftChars="1000"/>
    </w:pPr>
  </w:style>
  <w:style w:type="paragraph" w:styleId="41">
    <w:name w:val="Body Text Indent 3"/>
    <w:basedOn w:val="1"/>
    <w:autoRedefine/>
    <w:qFormat/>
    <w:uiPriority w:val="0"/>
    <w:pPr>
      <w:ind w:left="420" w:leftChars="200"/>
    </w:pPr>
    <w:rPr>
      <w:sz w:val="16"/>
      <w:szCs w:val="16"/>
    </w:rPr>
  </w:style>
  <w:style w:type="paragraph" w:styleId="42">
    <w:name w:val="table of figures"/>
    <w:basedOn w:val="1"/>
    <w:next w:val="1"/>
    <w:autoRedefine/>
    <w:qFormat/>
    <w:uiPriority w:val="0"/>
    <w:pPr>
      <w:ind w:left="420" w:hanging="420"/>
      <w:jc w:val="left"/>
    </w:pPr>
    <w:rPr>
      <w:smallCaps/>
    </w:rPr>
  </w:style>
  <w:style w:type="paragraph" w:styleId="43">
    <w:name w:val="toc 2"/>
    <w:basedOn w:val="1"/>
    <w:next w:val="1"/>
    <w:autoRedefine/>
    <w:qFormat/>
    <w:uiPriority w:val="39"/>
    <w:pPr>
      <w:ind w:left="420" w:leftChars="200"/>
    </w:pPr>
  </w:style>
  <w:style w:type="paragraph" w:styleId="44">
    <w:name w:val="toc 9"/>
    <w:basedOn w:val="1"/>
    <w:next w:val="1"/>
    <w:autoRedefine/>
    <w:qFormat/>
    <w:uiPriority w:val="39"/>
    <w:pPr>
      <w:ind w:left="3360" w:leftChars="1600"/>
    </w:pPr>
  </w:style>
  <w:style w:type="paragraph" w:styleId="45">
    <w:name w:val="Body Text 2"/>
    <w:basedOn w:val="1"/>
    <w:autoRedefine/>
    <w:qFormat/>
    <w:uiPriority w:val="0"/>
    <w:pPr>
      <w:jc w:val="center"/>
    </w:pPr>
  </w:style>
  <w:style w:type="paragraph" w:styleId="4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rPr>
  </w:style>
  <w:style w:type="paragraph" w:styleId="47">
    <w:name w:val="Normal (Web)"/>
    <w:basedOn w:val="1"/>
    <w:autoRedefine/>
    <w:qFormat/>
    <w:uiPriority w:val="0"/>
    <w:pPr>
      <w:widowControl/>
      <w:spacing w:beforeAutospacing="1" w:afterAutospacing="1"/>
      <w:jc w:val="left"/>
    </w:pPr>
    <w:rPr>
      <w:rFonts w:ascii="Arial Unicode MS" w:hAnsi="Arial Unicode MS" w:eastAsia="Arial Unicode MS"/>
    </w:rPr>
  </w:style>
  <w:style w:type="paragraph" w:styleId="48">
    <w:name w:val="Title"/>
    <w:basedOn w:val="1"/>
    <w:next w:val="1"/>
    <w:link w:val="314"/>
    <w:autoRedefine/>
    <w:qFormat/>
    <w:uiPriority w:val="0"/>
    <w:pPr>
      <w:jc w:val="center"/>
      <w:outlineLvl w:val="0"/>
    </w:pPr>
  </w:style>
  <w:style w:type="paragraph" w:styleId="49">
    <w:name w:val="annotation subject"/>
    <w:basedOn w:val="20"/>
    <w:next w:val="20"/>
    <w:autoRedefine/>
    <w:qFormat/>
    <w:uiPriority w:val="0"/>
    <w:rPr>
      <w:b/>
      <w:bCs/>
    </w:rPr>
  </w:style>
  <w:style w:type="paragraph" w:styleId="50">
    <w:name w:val="Body Text First Indent"/>
    <w:basedOn w:val="1"/>
    <w:next w:val="1"/>
    <w:autoRedefine/>
    <w:qFormat/>
    <w:uiPriority w:val="0"/>
    <w:pPr>
      <w:ind w:firstLine="420" w:firstLineChars="100"/>
    </w:pPr>
  </w:style>
  <w:style w:type="paragraph" w:styleId="51">
    <w:name w:val="Body Text First Indent 2"/>
    <w:basedOn w:val="24"/>
    <w:qFormat/>
    <w:uiPriority w:val="0"/>
    <w:pPr>
      <w:ind w:left="0" w:leftChars="0" w:firstLine="420"/>
    </w:pPr>
    <w:rPr>
      <w:rFonts w:ascii="宋体" w:hAnsi="宋体" w:cs="宋体"/>
    </w:rPr>
  </w:style>
  <w:style w:type="table" w:styleId="53">
    <w:name w:val="Table Grid"/>
    <w:basedOn w:val="52"/>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basedOn w:val="54"/>
    <w:autoRedefine/>
    <w:qFormat/>
    <w:uiPriority w:val="22"/>
    <w:rPr>
      <w:b/>
      <w:bCs/>
    </w:rPr>
  </w:style>
  <w:style w:type="character" w:styleId="56">
    <w:name w:val="page number"/>
    <w:basedOn w:val="54"/>
    <w:autoRedefine/>
    <w:qFormat/>
    <w:uiPriority w:val="0"/>
    <w:rPr>
      <w:rFonts w:hint="default" w:ascii="Times New Roman"/>
    </w:rPr>
  </w:style>
  <w:style w:type="character" w:styleId="57">
    <w:name w:val="FollowedHyperlink"/>
    <w:basedOn w:val="54"/>
    <w:autoRedefine/>
    <w:qFormat/>
    <w:uiPriority w:val="0"/>
    <w:rPr>
      <w:color w:val="000000"/>
      <w:u w:val="none"/>
    </w:rPr>
  </w:style>
  <w:style w:type="character" w:styleId="58">
    <w:name w:val="Emphasis"/>
    <w:basedOn w:val="54"/>
    <w:autoRedefine/>
    <w:qFormat/>
    <w:uiPriority w:val="0"/>
    <w:rPr>
      <w:i/>
      <w:iCs/>
    </w:rPr>
  </w:style>
  <w:style w:type="character" w:styleId="59">
    <w:name w:val="HTML Definition"/>
    <w:basedOn w:val="54"/>
    <w:autoRedefine/>
    <w:qFormat/>
    <w:uiPriority w:val="0"/>
  </w:style>
  <w:style w:type="character" w:styleId="60">
    <w:name w:val="HTML Variable"/>
    <w:basedOn w:val="54"/>
    <w:autoRedefine/>
    <w:qFormat/>
    <w:uiPriority w:val="0"/>
  </w:style>
  <w:style w:type="character" w:styleId="61">
    <w:name w:val="Hyperlink"/>
    <w:basedOn w:val="54"/>
    <w:autoRedefine/>
    <w:qFormat/>
    <w:uiPriority w:val="99"/>
    <w:rPr>
      <w:color w:val="000000"/>
      <w:u w:val="none"/>
    </w:rPr>
  </w:style>
  <w:style w:type="character" w:styleId="62">
    <w:name w:val="HTML Code"/>
    <w:basedOn w:val="54"/>
    <w:autoRedefine/>
    <w:qFormat/>
    <w:uiPriority w:val="0"/>
    <w:rPr>
      <w:rFonts w:hint="default" w:ascii="monospace" w:hAnsi="monospace" w:eastAsia="monospace" w:cs="monospace"/>
      <w:sz w:val="21"/>
      <w:szCs w:val="21"/>
    </w:rPr>
  </w:style>
  <w:style w:type="character" w:styleId="63">
    <w:name w:val="annotation reference"/>
    <w:autoRedefine/>
    <w:qFormat/>
    <w:uiPriority w:val="0"/>
    <w:rPr>
      <w:sz w:val="21"/>
      <w:szCs w:val="21"/>
    </w:rPr>
  </w:style>
  <w:style w:type="character" w:styleId="64">
    <w:name w:val="HTML Cite"/>
    <w:basedOn w:val="54"/>
    <w:autoRedefine/>
    <w:qFormat/>
    <w:uiPriority w:val="0"/>
    <w:rPr>
      <w:sz w:val="24"/>
      <w:szCs w:val="24"/>
    </w:rPr>
  </w:style>
  <w:style w:type="character" w:styleId="65">
    <w:name w:val="HTML Keyboard"/>
    <w:basedOn w:val="54"/>
    <w:autoRedefine/>
    <w:qFormat/>
    <w:uiPriority w:val="0"/>
    <w:rPr>
      <w:rFonts w:ascii="monospace" w:hAnsi="monospace" w:eastAsia="monospace" w:cs="monospace"/>
      <w:sz w:val="21"/>
      <w:szCs w:val="21"/>
    </w:rPr>
  </w:style>
  <w:style w:type="character" w:styleId="66">
    <w:name w:val="HTML Sample"/>
    <w:basedOn w:val="54"/>
    <w:autoRedefine/>
    <w:qFormat/>
    <w:uiPriority w:val="0"/>
    <w:rPr>
      <w:rFonts w:hint="default" w:ascii="monospace" w:hAnsi="monospace" w:eastAsia="monospace" w:cs="monospace"/>
      <w:sz w:val="21"/>
      <w:szCs w:val="21"/>
    </w:rPr>
  </w:style>
  <w:style w:type="paragraph" w:customStyle="1" w:styleId="67">
    <w:name w:val="正文首行缩进 21"/>
    <w:basedOn w:val="1"/>
    <w:qFormat/>
    <w:uiPriority w:val="0"/>
    <w:pPr>
      <w:ind w:left="420" w:leftChars="200" w:firstLine="420" w:firstLineChars="200"/>
    </w:pPr>
    <w:rPr>
      <w:rFonts w:ascii="Times New Roman" w:hAnsi="Times New Roman" w:eastAsia="宋体" w:cs="Times New Roman"/>
      <w:kern w:val="0"/>
      <w:sz w:val="28"/>
      <w:szCs w:val="28"/>
    </w:rPr>
  </w:style>
  <w:style w:type="paragraph" w:customStyle="1" w:styleId="68">
    <w:name w:val="明显引用1"/>
    <w:next w:val="1"/>
    <w:autoRedefine/>
    <w:qFormat/>
    <w:uiPriority w:val="0"/>
    <w:pPr>
      <w:wordWrap w:val="0"/>
      <w:ind w:left="950" w:right="950"/>
      <w:jc w:val="center"/>
    </w:pPr>
    <w:rPr>
      <w:rFonts w:ascii="Times New Roman" w:hAnsi="Times New Roman" w:eastAsia="宋体" w:cs="Times New Roman"/>
      <w:i/>
      <w:sz w:val="21"/>
      <w:lang w:val="en-US" w:eastAsia="zh-CN" w:bidi="ar-SA"/>
    </w:rPr>
  </w:style>
  <w:style w:type="paragraph" w:customStyle="1" w:styleId="69">
    <w:name w:val="表格"/>
    <w:basedOn w:val="70"/>
    <w:next w:val="1"/>
    <w:autoRedefine/>
    <w:qFormat/>
    <w:uiPriority w:val="0"/>
    <w:pPr>
      <w:adjustRightInd w:val="0"/>
      <w:spacing w:line="400" w:lineRule="exact"/>
      <w:jc w:val="center"/>
      <w:textAlignment w:val="baseline"/>
    </w:pPr>
  </w:style>
  <w:style w:type="paragraph" w:customStyle="1" w:styleId="70">
    <w:name w:val="表格标题"/>
    <w:basedOn w:val="1"/>
    <w:autoRedefine/>
    <w:qFormat/>
    <w:uiPriority w:val="0"/>
    <w:pPr>
      <w:keepNext/>
      <w:widowControl/>
      <w:overflowPunct w:val="0"/>
      <w:adjustRightInd w:val="0"/>
      <w:snapToGrid w:val="0"/>
      <w:spacing w:line="480" w:lineRule="exact"/>
      <w:jc w:val="center"/>
      <w:textAlignment w:val="baseline"/>
    </w:pPr>
    <w:rPr>
      <w:rFonts w:ascii="Arial" w:hAnsi="Arial" w:eastAsia="黑体"/>
    </w:rPr>
  </w:style>
  <w:style w:type="paragraph" w:customStyle="1" w:styleId="71">
    <w:name w:val="Default"/>
    <w:basedOn w:val="72"/>
    <w:link w:val="35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2">
    <w:name w:val="标题 段落4级"/>
    <w:autoRedefine/>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73">
    <w:name w:val="标题4"/>
    <w:basedOn w:val="7"/>
    <w:next w:val="74"/>
    <w:autoRedefine/>
    <w:qFormat/>
    <w:uiPriority w:val="0"/>
    <w:pPr>
      <w:adjustRightInd w:val="0"/>
      <w:spacing w:line="600" w:lineRule="exact"/>
    </w:pPr>
    <w:rPr>
      <w:rFonts w:ascii="Times New Roman" w:hAnsi="宋体" w:eastAsia="宋体"/>
    </w:rPr>
  </w:style>
  <w:style w:type="paragraph" w:customStyle="1" w:styleId="74">
    <w:name w:val="Char1"/>
    <w:basedOn w:val="1"/>
    <w:next w:val="75"/>
    <w:autoRedefine/>
    <w:qFormat/>
    <w:uiPriority w:val="0"/>
    <w:pPr>
      <w:widowControl/>
      <w:spacing w:after="160" w:line="240" w:lineRule="exact"/>
      <w:ind w:firstLine="3584"/>
    </w:pPr>
  </w:style>
  <w:style w:type="paragraph" w:customStyle="1" w:styleId="75">
    <w:name w:val="Char"/>
    <w:basedOn w:val="18"/>
    <w:autoRedefine/>
    <w:qFormat/>
    <w:uiPriority w:val="0"/>
    <w:pPr>
      <w:widowControl/>
      <w:adjustRightInd w:val="0"/>
      <w:spacing w:line="240" w:lineRule="exact"/>
      <w:jc w:val="left"/>
      <w:textAlignment w:val="baseline"/>
    </w:pPr>
    <w:rPr>
      <w:rFonts w:ascii="Arial" w:hAnsi="Arial" w:eastAsia="Times New Roman" w:cs="Verdana"/>
      <w:b/>
      <w:lang w:eastAsia="en-US"/>
    </w:rPr>
  </w:style>
  <w:style w:type="paragraph" w:customStyle="1" w:styleId="76">
    <w:name w:val="首行缩进加粗"/>
    <w:basedOn w:val="1"/>
    <w:next w:val="77"/>
    <w:autoRedefine/>
    <w:qFormat/>
    <w:uiPriority w:val="0"/>
    <w:pPr>
      <w:spacing w:line="360" w:lineRule="auto"/>
      <w:ind w:left="482" w:firstLine="4834"/>
    </w:pPr>
  </w:style>
  <w:style w:type="paragraph" w:customStyle="1" w:styleId="77">
    <w:name w:val="四级条标题"/>
    <w:basedOn w:val="78"/>
    <w:next w:val="6"/>
    <w:autoRedefine/>
    <w:qFormat/>
    <w:uiPriority w:val="0"/>
    <w:pPr>
      <w:tabs>
        <w:tab w:val="left" w:pos="360"/>
      </w:tabs>
      <w:ind w:left="0"/>
      <w:outlineLvl w:val="5"/>
    </w:pPr>
  </w:style>
  <w:style w:type="paragraph" w:customStyle="1" w:styleId="78">
    <w:name w:val="三级条标题"/>
    <w:basedOn w:val="79"/>
    <w:next w:val="1"/>
    <w:autoRedefine/>
    <w:qFormat/>
    <w:uiPriority w:val="0"/>
    <w:pPr>
      <w:tabs>
        <w:tab w:val="left" w:pos="360"/>
      </w:tabs>
      <w:ind w:left="1050"/>
      <w:outlineLvl w:val="4"/>
    </w:pPr>
  </w:style>
  <w:style w:type="paragraph" w:customStyle="1" w:styleId="79">
    <w:name w:val="二级条标题"/>
    <w:basedOn w:val="80"/>
    <w:next w:val="1"/>
    <w:autoRedefine/>
    <w:qFormat/>
    <w:uiPriority w:val="0"/>
    <w:pPr>
      <w:tabs>
        <w:tab w:val="left" w:pos="360"/>
      </w:tabs>
      <w:ind w:left="735"/>
      <w:outlineLvl w:val="3"/>
    </w:pPr>
  </w:style>
  <w:style w:type="paragraph" w:customStyle="1" w:styleId="80">
    <w:name w:val="一级条标题"/>
    <w:basedOn w:val="81"/>
    <w:next w:val="1"/>
    <w:autoRedefine/>
    <w:qFormat/>
    <w:uiPriority w:val="0"/>
    <w:pPr>
      <w:tabs>
        <w:tab w:val="left" w:pos="360"/>
      </w:tabs>
    </w:pPr>
  </w:style>
  <w:style w:type="paragraph" w:customStyle="1" w:styleId="81">
    <w:name w:val="章标题"/>
    <w:next w:val="1"/>
    <w:autoRedefine/>
    <w:qFormat/>
    <w:uiPriority w:val="0"/>
    <w:p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82">
    <w:name w:val="Char11"/>
    <w:basedOn w:val="1"/>
    <w:next w:val="83"/>
    <w:autoRedefine/>
    <w:qFormat/>
    <w:uiPriority w:val="0"/>
    <w:pPr>
      <w:widowControl/>
      <w:spacing w:after="160" w:line="240" w:lineRule="exact"/>
      <w:ind w:firstLine="3584"/>
    </w:pPr>
  </w:style>
  <w:style w:type="paragraph" w:customStyle="1" w:styleId="83">
    <w:name w:val="Char2"/>
    <w:basedOn w:val="18"/>
    <w:next w:val="76"/>
    <w:autoRedefine/>
    <w:qFormat/>
    <w:uiPriority w:val="0"/>
    <w:rPr>
      <w:szCs w:val="21"/>
    </w:rPr>
  </w:style>
  <w:style w:type="character" w:customStyle="1" w:styleId="84">
    <w:name w:val="标题 3 Char"/>
    <w:link w:val="6"/>
    <w:autoRedefine/>
    <w:qFormat/>
    <w:uiPriority w:val="0"/>
    <w:rPr>
      <w:rFonts w:ascii="黑体" w:hAnsi="黑体" w:eastAsia="黑体"/>
      <w:b/>
      <w:bCs/>
      <w:snapToGrid w:val="0"/>
      <w:sz w:val="28"/>
      <w:szCs w:val="28"/>
    </w:rPr>
  </w:style>
  <w:style w:type="paragraph" w:customStyle="1" w:styleId="85">
    <w:name w:val="默认段落字体 Para Char Char Char Char Char Char Char Char Char1 Char Char Char Char Char Char Char"/>
    <w:basedOn w:val="1"/>
    <w:autoRedefine/>
    <w:qFormat/>
    <w:uiPriority w:val="0"/>
    <w:pPr>
      <w:shd w:val="clear" w:color="auto" w:fill="000080"/>
      <w:snapToGrid w:val="0"/>
    </w:pPr>
    <w:rPr>
      <w:rFonts w:ascii="Times New Roman"/>
      <w:kern w:val="2"/>
      <w:sz w:val="21"/>
      <w:szCs w:val="24"/>
      <w:shd w:val="clear" w:color="auto" w:fill="000080"/>
    </w:rPr>
  </w:style>
  <w:style w:type="paragraph" w:customStyle="1" w:styleId="86">
    <w:name w:val="xl74"/>
    <w:basedOn w:val="1"/>
    <w:autoRedefine/>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hAnsi="宋体"/>
    </w:rPr>
  </w:style>
  <w:style w:type="paragraph" w:customStyle="1" w:styleId="87">
    <w:name w:val="正文文本缩进 21"/>
    <w:basedOn w:val="1"/>
    <w:autoRedefine/>
    <w:qFormat/>
    <w:uiPriority w:val="0"/>
    <w:pPr>
      <w:widowControl/>
      <w:adjustRightInd w:val="0"/>
      <w:spacing w:line="360" w:lineRule="auto"/>
      <w:ind w:right="-1" w:firstLine="600"/>
      <w:jc w:val="left"/>
      <w:textAlignment w:val="baseline"/>
    </w:pPr>
    <w:rPr>
      <w:spacing w:val="8"/>
    </w:rPr>
  </w:style>
  <w:style w:type="paragraph" w:customStyle="1" w:styleId="88">
    <w:name w:val="样式 样式 四号 行距: 1.5 倍行距 首行缩进:  2 字符 + 首行缩进:  2 字符"/>
    <w:basedOn w:val="89"/>
    <w:autoRedefine/>
    <w:qFormat/>
    <w:uiPriority w:val="0"/>
    <w:pPr>
      <w:ind w:firstLine="560"/>
    </w:pPr>
  </w:style>
  <w:style w:type="paragraph" w:customStyle="1" w:styleId="89">
    <w:name w:val="样式 四号 行距: 1.5 倍行距 首行缩进:  2 字符"/>
    <w:basedOn w:val="1"/>
    <w:autoRedefine/>
    <w:qFormat/>
    <w:uiPriority w:val="0"/>
    <w:pPr>
      <w:ind w:firstLine="200" w:firstLineChars="200"/>
    </w:pPr>
    <w:rPr>
      <w:rFonts w:eastAsia="仿宋_GB2312" w:cs="宋体"/>
      <w:sz w:val="28"/>
    </w:rPr>
  </w:style>
  <w:style w:type="paragraph" w:customStyle="1" w:styleId="90">
    <w:name w:val="样式 样式 首行缩进:  0.8厘米 + 右侧:  2 字符"/>
    <w:basedOn w:val="91"/>
    <w:link w:val="275"/>
    <w:autoRedefine/>
    <w:qFormat/>
    <w:uiPriority w:val="0"/>
    <w:pPr>
      <w:ind w:left="200" w:leftChars="200" w:right="0" w:rightChars="0"/>
    </w:pPr>
  </w:style>
  <w:style w:type="paragraph" w:customStyle="1" w:styleId="91">
    <w:name w:val="样式 首行缩进:  0.8厘米"/>
    <w:basedOn w:val="1"/>
    <w:link w:val="276"/>
    <w:autoRedefine/>
    <w:qFormat/>
    <w:uiPriority w:val="0"/>
    <w:pPr>
      <w:spacing w:line="360" w:lineRule="auto"/>
      <w:ind w:right="200" w:rightChars="200"/>
    </w:pPr>
    <w:rPr>
      <w:snapToGrid w:val="0"/>
    </w:rPr>
  </w:style>
  <w:style w:type="paragraph" w:customStyle="1" w:styleId="92">
    <w:name w:val="Plain Text1"/>
    <w:basedOn w:val="1"/>
    <w:autoRedefine/>
    <w:qFormat/>
    <w:uiPriority w:val="0"/>
    <w:pPr>
      <w:adjustRightInd w:val="0"/>
      <w:jc w:val="left"/>
      <w:textAlignment w:val="baseline"/>
    </w:pPr>
    <w:rPr>
      <w:rFonts w:hAnsi="Courier New"/>
    </w:rPr>
  </w:style>
  <w:style w:type="paragraph" w:customStyle="1" w:styleId="93">
    <w:name w:val="Char Char5 Char Char"/>
    <w:basedOn w:val="1"/>
    <w:autoRedefine/>
    <w:qFormat/>
    <w:uiPriority w:val="0"/>
  </w:style>
  <w:style w:type="paragraph" w:customStyle="1" w:styleId="94">
    <w:name w:val="xl51"/>
    <w:basedOn w:val="1"/>
    <w:autoRedefine/>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hAnsi="宋体"/>
    </w:rPr>
  </w:style>
  <w:style w:type="paragraph" w:customStyle="1" w:styleId="95">
    <w:name w:val="样式6"/>
    <w:basedOn w:val="6"/>
    <w:autoRedefine/>
    <w:qFormat/>
    <w:uiPriority w:val="0"/>
    <w:pPr>
      <w:keepNext w:val="0"/>
      <w:keepLines w:val="0"/>
      <w:spacing w:beforeAutospacing="1" w:afterAutospacing="1"/>
      <w:ind w:firstLine="562" w:firstLineChars="200"/>
    </w:pPr>
  </w:style>
  <w:style w:type="paragraph" w:customStyle="1" w:styleId="96">
    <w:name w:val="二级标题"/>
    <w:basedOn w:val="1"/>
    <w:next w:val="1"/>
    <w:autoRedefine/>
    <w:qFormat/>
    <w:uiPriority w:val="0"/>
    <w:pPr>
      <w:keepNext/>
      <w:adjustRightInd w:val="0"/>
      <w:spacing w:line="312" w:lineRule="atLeast"/>
      <w:jc w:val="center"/>
      <w:textAlignment w:val="baseline"/>
    </w:pPr>
    <w:rPr>
      <w:sz w:val="28"/>
    </w:rPr>
  </w:style>
  <w:style w:type="paragraph" w:customStyle="1" w:styleId="97">
    <w:name w:val="表格标题01"/>
    <w:basedOn w:val="1"/>
    <w:autoRedefine/>
    <w:qFormat/>
    <w:uiPriority w:val="0"/>
    <w:pPr>
      <w:adjustRightInd w:val="0"/>
      <w:spacing w:line="480" w:lineRule="exact"/>
      <w:jc w:val="center"/>
      <w:textAlignment w:val="baseline"/>
    </w:pPr>
    <w:rPr>
      <w:snapToGrid w:val="0"/>
      <w:sz w:val="28"/>
      <w:szCs w:val="28"/>
    </w:rPr>
  </w:style>
  <w:style w:type="paragraph" w:customStyle="1" w:styleId="98">
    <w:name w:val="样式 四号 首行缩进:  0.05 厘米 行距: 1.5 倍行距"/>
    <w:basedOn w:val="1"/>
    <w:autoRedefine/>
    <w:qFormat/>
    <w:uiPriority w:val="0"/>
    <w:pPr>
      <w:spacing w:line="360" w:lineRule="auto"/>
      <w:ind w:firstLine="28"/>
    </w:pPr>
  </w:style>
  <w:style w:type="paragraph" w:customStyle="1" w:styleId="99">
    <w:name w:val="xl83"/>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textAlignment w:val="center"/>
    </w:pPr>
    <w:rPr>
      <w:rFonts w:hAnsi="宋体"/>
    </w:rPr>
  </w:style>
  <w:style w:type="paragraph" w:customStyle="1" w:styleId="100">
    <w:name w:val="font9"/>
    <w:basedOn w:val="1"/>
    <w:autoRedefine/>
    <w:qFormat/>
    <w:uiPriority w:val="0"/>
    <w:pPr>
      <w:widowControl/>
      <w:spacing w:beforeAutospacing="1" w:afterAutospacing="1"/>
      <w:jc w:val="left"/>
    </w:pPr>
    <w:rPr>
      <w:rFonts w:eastAsia="Arial Unicode MS"/>
      <w:color w:val="0000FF"/>
    </w:rPr>
  </w:style>
  <w:style w:type="paragraph" w:customStyle="1" w:styleId="101">
    <w:name w:val="font13"/>
    <w:basedOn w:val="1"/>
    <w:autoRedefine/>
    <w:qFormat/>
    <w:uiPriority w:val="0"/>
    <w:pPr>
      <w:widowControl/>
      <w:spacing w:beforeAutospacing="1" w:afterAutospacing="1"/>
      <w:jc w:val="left"/>
    </w:pPr>
    <w:rPr>
      <w:rFonts w:eastAsia="Arial Unicode MS"/>
      <w:b/>
      <w:bCs/>
      <w:color w:val="0000FF"/>
      <w:sz w:val="48"/>
      <w:szCs w:val="48"/>
    </w:rPr>
  </w:style>
  <w:style w:type="paragraph" w:customStyle="1" w:styleId="102">
    <w:name w:val="xl62"/>
    <w:basedOn w:val="1"/>
    <w:autoRedefine/>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hAnsi="宋体"/>
    </w:rPr>
  </w:style>
  <w:style w:type="paragraph" w:customStyle="1" w:styleId="103">
    <w:name w:val="正文3"/>
    <w:basedOn w:val="1"/>
    <w:link w:val="285"/>
    <w:autoRedefine/>
    <w:qFormat/>
    <w:uiPriority w:val="0"/>
    <w:pPr>
      <w:spacing w:line="500" w:lineRule="exact"/>
      <w:ind w:firstLine="560" w:firstLineChars="200"/>
    </w:pPr>
    <w:rPr>
      <w:rFonts w:cs="宋体"/>
      <w:kern w:val="2"/>
      <w:sz w:val="28"/>
      <w:szCs w:val="28"/>
    </w:rPr>
  </w:style>
  <w:style w:type="paragraph" w:customStyle="1" w:styleId="104">
    <w:name w:val="样式 四号 行距: 1.5 倍行距1"/>
    <w:basedOn w:val="1"/>
    <w:autoRedefine/>
    <w:qFormat/>
    <w:uiPriority w:val="0"/>
    <w:pPr>
      <w:spacing w:line="360" w:lineRule="auto"/>
    </w:pPr>
  </w:style>
  <w:style w:type="paragraph" w:customStyle="1" w:styleId="105">
    <w:name w:val="样式 样式 四号 行距: 1.5 倍行距 + 首行缩进:  2 字符"/>
    <w:basedOn w:val="1"/>
    <w:autoRedefine/>
    <w:qFormat/>
    <w:uiPriority w:val="0"/>
    <w:pPr>
      <w:spacing w:line="360" w:lineRule="auto"/>
      <w:ind w:firstLine="480" w:firstLineChars="200"/>
    </w:pPr>
  </w:style>
  <w:style w:type="paragraph" w:customStyle="1" w:styleId="106">
    <w:name w:val="font8"/>
    <w:basedOn w:val="1"/>
    <w:autoRedefine/>
    <w:qFormat/>
    <w:uiPriority w:val="0"/>
    <w:pPr>
      <w:widowControl/>
      <w:spacing w:beforeAutospacing="1" w:afterAutospacing="1"/>
      <w:jc w:val="left"/>
    </w:pPr>
    <w:rPr>
      <w:rFonts w:hint="eastAsia" w:hAnsi="宋体"/>
      <w:color w:val="0000FF"/>
      <w:sz w:val="20"/>
    </w:rPr>
  </w:style>
  <w:style w:type="paragraph" w:customStyle="1" w:styleId="107">
    <w:name w:val="标准"/>
    <w:basedOn w:val="1"/>
    <w:autoRedefine/>
    <w:qFormat/>
    <w:uiPriority w:val="0"/>
    <w:pPr>
      <w:adjustRightInd w:val="0"/>
      <w:spacing w:line="480" w:lineRule="exact"/>
      <w:ind w:firstLine="570"/>
      <w:textAlignment w:val="baseline"/>
    </w:pPr>
    <w:rPr>
      <w:spacing w:val="-4"/>
      <w:sz w:val="28"/>
    </w:rPr>
  </w:style>
  <w:style w:type="paragraph" w:customStyle="1" w:styleId="108">
    <w:name w:val="样式8"/>
    <w:basedOn w:val="1"/>
    <w:autoRedefine/>
    <w:qFormat/>
    <w:uiPriority w:val="0"/>
    <w:pPr>
      <w:spacing w:line="500" w:lineRule="exact"/>
      <w:ind w:firstLine="560" w:firstLineChars="200"/>
    </w:pPr>
    <w:rPr>
      <w:rFonts w:hAnsi="宋体" w:cs="宋体"/>
      <w:color w:val="000000"/>
      <w:sz w:val="28"/>
      <w:szCs w:val="28"/>
    </w:rPr>
  </w:style>
  <w:style w:type="paragraph" w:customStyle="1" w:styleId="109">
    <w:name w:val="Char Char Char Char Char Char Char Char Char Char Char Char Char Char Char Char Char Char1 Char Char Char Char Char Char Char Char Char Char Char Char Char Char Char Char Char Char Char Char Char Char Char Char Char"/>
    <w:basedOn w:val="1"/>
    <w:autoRedefine/>
    <w:qFormat/>
    <w:uiPriority w:val="0"/>
  </w:style>
  <w:style w:type="paragraph" w:customStyle="1" w:styleId="110">
    <w:name w:val="xl81"/>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textAlignment w:val="center"/>
    </w:pPr>
    <w:rPr>
      <w:rFonts w:hint="eastAsia" w:hAnsi="宋体"/>
    </w:rPr>
  </w:style>
  <w:style w:type="paragraph" w:customStyle="1" w:styleId="111">
    <w:name w:val="样式 四号 行距: 1.5 倍行距9"/>
    <w:basedOn w:val="1"/>
    <w:autoRedefine/>
    <w:qFormat/>
    <w:uiPriority w:val="0"/>
    <w:pPr>
      <w:spacing w:line="360" w:lineRule="auto"/>
      <w:ind w:left="-27" w:leftChars="-13" w:firstLine="560" w:firstLineChars="200"/>
    </w:pPr>
  </w:style>
  <w:style w:type="paragraph" w:customStyle="1" w:styleId="112">
    <w:name w:val="正文文本 31"/>
    <w:basedOn w:val="1"/>
    <w:autoRedefine/>
    <w:qFormat/>
    <w:uiPriority w:val="0"/>
    <w:pPr>
      <w:widowControl/>
      <w:adjustRightInd w:val="0"/>
      <w:ind w:right="57"/>
      <w:jc w:val="left"/>
      <w:textAlignment w:val="baseline"/>
    </w:pPr>
    <w:rPr>
      <w:spacing w:val="8"/>
    </w:rPr>
  </w:style>
  <w:style w:type="paragraph" w:customStyle="1" w:styleId="113">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eastAsia="Arial Unicode MS"/>
      <w:color w:val="0000FF"/>
      <w:sz w:val="20"/>
    </w:rPr>
  </w:style>
  <w:style w:type="paragraph" w:customStyle="1" w:styleId="114">
    <w:name w:val="说明书标题"/>
    <w:basedOn w:val="115"/>
    <w:next w:val="115"/>
    <w:autoRedefine/>
    <w:qFormat/>
    <w:uiPriority w:val="0"/>
    <w:pPr>
      <w:tabs>
        <w:tab w:val="left" w:pos="210"/>
        <w:tab w:val="left" w:pos="360"/>
      </w:tabs>
      <w:ind w:left="227" w:hanging="227" w:firstLineChars="0"/>
    </w:pPr>
    <w:rPr>
      <w:rFonts w:eastAsia="黑体"/>
    </w:rPr>
  </w:style>
  <w:style w:type="paragraph" w:customStyle="1" w:styleId="115">
    <w:name w:val="说明书正文"/>
    <w:basedOn w:val="1"/>
    <w:autoRedefine/>
    <w:qFormat/>
    <w:uiPriority w:val="0"/>
    <w:pPr>
      <w:spacing w:line="520" w:lineRule="exact"/>
      <w:ind w:firstLine="200" w:firstLineChars="200"/>
    </w:pPr>
    <w:rPr>
      <w:rFonts w:ascii="Trebuchet MS" w:hAnsi="Trebuchet MS"/>
      <w:sz w:val="28"/>
    </w:rPr>
  </w:style>
  <w:style w:type="paragraph" w:customStyle="1" w:styleId="116">
    <w:name w:val="一级标题"/>
    <w:basedOn w:val="1"/>
    <w:autoRedefine/>
    <w:qFormat/>
    <w:uiPriority w:val="0"/>
    <w:pPr>
      <w:spacing w:line="360" w:lineRule="auto"/>
      <w:ind w:right="8" w:rightChars="8"/>
      <w:outlineLvl w:val="0"/>
    </w:pPr>
    <w:rPr>
      <w:b/>
      <w:snapToGrid w:val="0"/>
      <w:sz w:val="32"/>
    </w:rPr>
  </w:style>
  <w:style w:type="paragraph" w:customStyle="1" w:styleId="117">
    <w:name w:val="xl29"/>
    <w:basedOn w:val="1"/>
    <w:autoRedefine/>
    <w:qFormat/>
    <w:uiPriority w:val="0"/>
    <w:pPr>
      <w:widowControl/>
      <w:jc w:val="center"/>
    </w:pPr>
  </w:style>
  <w:style w:type="paragraph" w:customStyle="1" w:styleId="118">
    <w:name w:val="样式 四号 黑色 行距: 1.5 倍行距3"/>
    <w:basedOn w:val="1"/>
    <w:autoRedefine/>
    <w:qFormat/>
    <w:uiPriority w:val="0"/>
    <w:pPr>
      <w:spacing w:line="360" w:lineRule="auto"/>
      <w:ind w:firstLine="479" w:firstLineChars="171"/>
    </w:pPr>
    <w:rPr>
      <w:color w:val="000000"/>
    </w:rPr>
  </w:style>
  <w:style w:type="paragraph" w:customStyle="1" w:styleId="119">
    <w:name w:val="xl35"/>
    <w:basedOn w:val="1"/>
    <w:autoRedefine/>
    <w:qFormat/>
    <w:uiPriority w:val="0"/>
    <w:pPr>
      <w:widowControl/>
      <w:pBdr>
        <w:top w:val="single" w:color="auto" w:sz="4" w:space="0"/>
        <w:left w:val="single" w:color="auto" w:sz="4" w:space="20"/>
        <w:bottom w:val="single" w:color="auto" w:sz="4" w:space="0"/>
        <w:right w:val="single" w:color="auto" w:sz="4" w:space="0"/>
      </w:pBdr>
      <w:spacing w:beforeAutospacing="1" w:afterAutospacing="1"/>
      <w:ind w:firstLine="100" w:firstLineChars="100"/>
      <w:jc w:val="left"/>
      <w:textAlignment w:val="center"/>
    </w:pPr>
    <w:rPr>
      <w:rFonts w:eastAsia="Arial Unicode MS"/>
      <w:color w:val="0000FF"/>
      <w:sz w:val="20"/>
    </w:rPr>
  </w:style>
  <w:style w:type="paragraph" w:customStyle="1" w:styleId="120">
    <w:name w:val="xl28"/>
    <w:basedOn w:val="1"/>
    <w:autoRedefine/>
    <w:qFormat/>
    <w:uiPriority w:val="0"/>
    <w:pPr>
      <w:widowControl/>
      <w:spacing w:beforeAutospacing="1" w:afterAutospacing="1"/>
      <w:ind w:firstLine="100" w:firstLineChars="100"/>
      <w:jc w:val="left"/>
      <w:textAlignment w:val="center"/>
    </w:pPr>
    <w:rPr>
      <w:rFonts w:ascii="Arial Unicode MS" w:hAnsi="Arial Unicode MS" w:eastAsia="Arial Unicode MS"/>
      <w:b/>
      <w:bCs/>
      <w:color w:val="0000FF"/>
      <w:sz w:val="20"/>
    </w:rPr>
  </w:style>
  <w:style w:type="paragraph" w:customStyle="1" w:styleId="121">
    <w:name w:val="xl59"/>
    <w:basedOn w:val="1"/>
    <w:autoRedefine/>
    <w:qFormat/>
    <w:uiPriority w:val="0"/>
    <w:pPr>
      <w:widowControl/>
      <w:pBdr>
        <w:left w:val="single" w:color="auto" w:sz="4" w:space="0"/>
        <w:bottom w:val="single" w:color="auto" w:sz="4" w:space="0"/>
        <w:right w:val="single" w:color="auto" w:sz="8" w:space="0"/>
      </w:pBdr>
      <w:spacing w:beforeAutospacing="1" w:afterAutospacing="1"/>
      <w:jc w:val="left"/>
      <w:textAlignment w:val="center"/>
    </w:pPr>
    <w:rPr>
      <w:rFonts w:hAnsi="宋体"/>
    </w:rPr>
  </w:style>
  <w:style w:type="paragraph" w:customStyle="1" w:styleId="122">
    <w:name w:val="xl77"/>
    <w:basedOn w:val="1"/>
    <w:autoRedefine/>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hint="eastAsia" w:hAnsi="宋体"/>
    </w:rPr>
  </w:style>
  <w:style w:type="paragraph" w:customStyle="1" w:styleId="123">
    <w:name w:val="font12"/>
    <w:basedOn w:val="1"/>
    <w:autoRedefine/>
    <w:qFormat/>
    <w:uiPriority w:val="0"/>
    <w:pPr>
      <w:widowControl/>
      <w:spacing w:beforeAutospacing="1" w:afterAutospacing="1"/>
      <w:jc w:val="left"/>
    </w:pPr>
    <w:rPr>
      <w:rFonts w:hint="eastAsia" w:hAnsi="宋体"/>
      <w:color w:val="0000FF"/>
      <w:sz w:val="20"/>
    </w:rPr>
  </w:style>
  <w:style w:type="paragraph" w:customStyle="1" w:styleId="124">
    <w:name w:val="xl44"/>
    <w:basedOn w:val="1"/>
    <w:autoRedefine/>
    <w:qFormat/>
    <w:uiPriority w:val="0"/>
    <w:pPr>
      <w:widowControl/>
      <w:pBdr>
        <w:top w:val="single" w:color="auto" w:sz="4" w:space="0"/>
        <w:left w:val="single" w:color="auto" w:sz="4" w:space="0"/>
        <w:bottom w:val="single" w:color="auto" w:sz="8" w:space="0"/>
        <w:right w:val="single" w:color="auto" w:sz="8" w:space="0"/>
      </w:pBdr>
      <w:spacing w:beforeAutospacing="1" w:afterAutospacing="1"/>
      <w:jc w:val="center"/>
      <w:textAlignment w:val="center"/>
    </w:pPr>
    <w:rPr>
      <w:rFonts w:hint="eastAsia" w:hAnsi="宋体"/>
    </w:rPr>
  </w:style>
  <w:style w:type="paragraph" w:customStyle="1" w:styleId="125">
    <w:name w:val="Char2 Char Char Char Char Char Char"/>
    <w:basedOn w:val="1"/>
    <w:autoRedefine/>
    <w:qFormat/>
    <w:uiPriority w:val="0"/>
    <w:pPr>
      <w:autoSpaceDE w:val="0"/>
      <w:autoSpaceDN w:val="0"/>
      <w:adjustRightInd w:val="0"/>
      <w:snapToGrid w:val="0"/>
      <w:spacing w:line="360" w:lineRule="auto"/>
      <w:ind w:firstLine="560" w:firstLineChars="200"/>
    </w:pPr>
    <w:rPr>
      <w:rFonts w:eastAsia="仿宋_GB2312"/>
      <w:color w:val="000000"/>
    </w:rPr>
  </w:style>
  <w:style w:type="paragraph" w:customStyle="1" w:styleId="126">
    <w:name w:val="xl89"/>
    <w:basedOn w:val="1"/>
    <w:autoRedefine/>
    <w:qFormat/>
    <w:uiPriority w:val="0"/>
    <w:pPr>
      <w:widowControl/>
      <w:spacing w:beforeAutospacing="1" w:afterAutospacing="1"/>
      <w:jc w:val="center"/>
      <w:textAlignment w:val="top"/>
    </w:pPr>
    <w:rPr>
      <w:rFonts w:hint="eastAsia" w:hAnsi="宋体"/>
      <w:b/>
      <w:bCs/>
      <w:sz w:val="32"/>
      <w:szCs w:val="32"/>
    </w:rPr>
  </w:style>
  <w:style w:type="paragraph" w:customStyle="1" w:styleId="127">
    <w:name w:val="xl85"/>
    <w:basedOn w:val="1"/>
    <w:autoRedefine/>
    <w:qFormat/>
    <w:uiPriority w:val="0"/>
    <w:pPr>
      <w:widowControl/>
      <w:pBdr>
        <w:left w:val="single" w:color="auto" w:sz="4" w:space="0"/>
        <w:right w:val="single" w:color="auto" w:sz="4" w:space="0"/>
      </w:pBdr>
      <w:spacing w:beforeAutospacing="1" w:afterAutospacing="1"/>
      <w:jc w:val="left"/>
      <w:textAlignment w:val="center"/>
    </w:pPr>
    <w:rPr>
      <w:rFonts w:hAnsi="宋体"/>
    </w:rPr>
  </w:style>
  <w:style w:type="paragraph" w:customStyle="1" w:styleId="128">
    <w:name w:val="默认段落字体 Para Char Char Char1 Char Char Char Char"/>
    <w:basedOn w:val="1"/>
    <w:autoRedefine/>
    <w:qFormat/>
    <w:uiPriority w:val="0"/>
  </w:style>
  <w:style w:type="paragraph" w:customStyle="1" w:styleId="129">
    <w:name w:val="xl55"/>
    <w:basedOn w:val="1"/>
    <w:autoRedefine/>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hAnsi="宋体"/>
    </w:rPr>
  </w:style>
  <w:style w:type="paragraph" w:customStyle="1" w:styleId="130">
    <w:name w:val="Char Char Char Char Char Char Char Char Char Char"/>
    <w:basedOn w:val="1"/>
    <w:autoRedefine/>
    <w:qFormat/>
    <w:uiPriority w:val="0"/>
  </w:style>
  <w:style w:type="paragraph" w:customStyle="1" w:styleId="131">
    <w:name w:val="xl42"/>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pPr>
    <w:rPr>
      <w:rFonts w:hint="eastAsia" w:hAnsi="宋体"/>
    </w:rPr>
  </w:style>
  <w:style w:type="paragraph" w:customStyle="1" w:styleId="132">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eastAsia="Arial Unicode MS"/>
      <w:color w:val="0000FF"/>
      <w:sz w:val="20"/>
    </w:rPr>
  </w:style>
  <w:style w:type="paragraph" w:customStyle="1" w:styleId="133">
    <w:name w:val="图片"/>
    <w:basedOn w:val="1"/>
    <w:autoRedefine/>
    <w:qFormat/>
    <w:uiPriority w:val="0"/>
    <w:pPr>
      <w:jc w:val="center"/>
    </w:pPr>
    <w:rPr>
      <w:sz w:val="28"/>
      <w:szCs w:val="28"/>
    </w:rPr>
  </w:style>
  <w:style w:type="paragraph" w:customStyle="1" w:styleId="13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eastAsia="Arial Unicode MS"/>
      <w:color w:val="0000FF"/>
      <w:sz w:val="20"/>
    </w:rPr>
  </w:style>
  <w:style w:type="paragraph" w:customStyle="1" w:styleId="135">
    <w:name w:val="页眉 New New New New New"/>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36">
    <w:name w:val="样式 四号 首行缩进:  0.95 厘米 右侧:  0.04 厘米 行距: 1.5 倍行距"/>
    <w:basedOn w:val="1"/>
    <w:autoRedefine/>
    <w:qFormat/>
    <w:uiPriority w:val="0"/>
    <w:pPr>
      <w:spacing w:line="360" w:lineRule="auto"/>
      <w:ind w:right="25" w:firstLine="538"/>
    </w:pPr>
  </w:style>
  <w:style w:type="paragraph" w:customStyle="1" w:styleId="137">
    <w:name w:val="样式 正文缩进 + 居中 首行缩进:  0 厘米"/>
    <w:basedOn w:val="10"/>
    <w:autoRedefine/>
    <w:qFormat/>
    <w:uiPriority w:val="0"/>
    <w:pPr>
      <w:spacing w:beforeLines="30"/>
      <w:ind w:firstLine="0" w:firstLineChars="0"/>
      <w:jc w:val="center"/>
    </w:pPr>
    <w:rPr>
      <w:szCs w:val="20"/>
    </w:rPr>
  </w:style>
  <w:style w:type="paragraph" w:customStyle="1" w:styleId="138">
    <w:name w:val="xl31"/>
    <w:basedOn w:val="1"/>
    <w:autoRedefine/>
    <w:qFormat/>
    <w:uiPriority w:val="0"/>
    <w:pPr>
      <w:widowControl/>
      <w:pBdr>
        <w:top w:val="single" w:color="auto" w:sz="4" w:space="0"/>
        <w:left w:val="single" w:color="auto" w:sz="4" w:space="20"/>
        <w:bottom w:val="single" w:color="auto" w:sz="4" w:space="0"/>
        <w:right w:val="single" w:color="auto" w:sz="4" w:space="0"/>
      </w:pBdr>
      <w:spacing w:beforeAutospacing="1" w:afterAutospacing="1"/>
      <w:ind w:firstLine="100" w:firstLineChars="100"/>
      <w:jc w:val="left"/>
      <w:textAlignment w:val="center"/>
    </w:pPr>
    <w:rPr>
      <w:rFonts w:ascii="Arial Unicode MS" w:hAnsi="Arial Unicode MS" w:eastAsia="Arial Unicode MS"/>
      <w:color w:val="0000FF"/>
    </w:rPr>
  </w:style>
  <w:style w:type="paragraph" w:customStyle="1" w:styleId="139">
    <w:name w:val="样式 四号 行距: 固定值 25 磅"/>
    <w:basedOn w:val="1"/>
    <w:autoRedefine/>
    <w:qFormat/>
    <w:uiPriority w:val="0"/>
    <w:pPr>
      <w:spacing w:line="500" w:lineRule="exact"/>
    </w:pPr>
  </w:style>
  <w:style w:type="paragraph" w:customStyle="1" w:styleId="140">
    <w:name w:val="节标题1"/>
    <w:basedOn w:val="1"/>
    <w:autoRedefine/>
    <w:qFormat/>
    <w:uiPriority w:val="0"/>
    <w:pPr>
      <w:spacing w:line="700" w:lineRule="exact"/>
      <w:outlineLvl w:val="2"/>
    </w:pPr>
    <w:rPr>
      <w:rFonts w:ascii="Arial" w:hAnsi="Arial" w:eastAsia="仿宋_GB2312"/>
      <w:b/>
      <w:sz w:val="28"/>
    </w:rPr>
  </w:style>
  <w:style w:type="paragraph" w:customStyle="1" w:styleId="141">
    <w:name w:val="样式 正文首行缩进正文首行缩进 Char + 段前: 0.5 行"/>
    <w:basedOn w:val="50"/>
    <w:autoRedefine/>
    <w:qFormat/>
    <w:uiPriority w:val="0"/>
    <w:pPr>
      <w:spacing w:beforeLines="50"/>
      <w:ind w:firstLine="567" w:firstLineChars="0"/>
    </w:pPr>
    <w:rPr>
      <w:rFonts w:cs="宋体"/>
      <w:sz w:val="24"/>
      <w:szCs w:val="20"/>
    </w:rPr>
  </w:style>
  <w:style w:type="paragraph" w:customStyle="1" w:styleId="142">
    <w:name w:val="BIG BOLD"/>
    <w:basedOn w:val="1"/>
    <w:autoRedefine/>
    <w:qFormat/>
    <w:uiPriority w:val="0"/>
    <w:pPr>
      <w:tabs>
        <w:tab w:val="left" w:leader="underscore" w:pos="1134"/>
      </w:tabs>
    </w:pPr>
  </w:style>
  <w:style w:type="paragraph" w:customStyle="1" w:styleId="143">
    <w:name w:val="样式 四号 黑色 行距: 1.5 倍行距"/>
    <w:basedOn w:val="1"/>
    <w:autoRedefine/>
    <w:qFormat/>
    <w:uiPriority w:val="0"/>
    <w:pPr>
      <w:spacing w:line="360" w:lineRule="auto"/>
      <w:ind w:firstLine="560" w:firstLineChars="200"/>
    </w:pPr>
    <w:rPr>
      <w:color w:val="000000"/>
    </w:rPr>
  </w:style>
  <w:style w:type="paragraph" w:customStyle="1" w:styleId="144">
    <w:name w:val="样式 四号 黑色 左 行距: 1.5 倍行距"/>
    <w:basedOn w:val="1"/>
    <w:autoRedefine/>
    <w:qFormat/>
    <w:uiPriority w:val="0"/>
    <w:pPr>
      <w:spacing w:line="360" w:lineRule="auto"/>
      <w:jc w:val="left"/>
    </w:pPr>
    <w:rPr>
      <w:color w:val="000000"/>
    </w:rPr>
  </w:style>
  <w:style w:type="paragraph" w:customStyle="1" w:styleId="145">
    <w:name w:val="xl22"/>
    <w:basedOn w:val="1"/>
    <w:autoRedefine/>
    <w:qFormat/>
    <w:uiPriority w:val="0"/>
    <w:pPr>
      <w:widowControl/>
      <w:jc w:val="center"/>
    </w:pPr>
    <w:rPr>
      <w:rFonts w:hAnsi="宋体"/>
    </w:rPr>
  </w:style>
  <w:style w:type="paragraph" w:customStyle="1" w:styleId="146">
    <w:name w:val="xl79"/>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textAlignment w:val="center"/>
    </w:pPr>
    <w:rPr>
      <w:rFonts w:hint="eastAsia" w:hAnsi="宋体"/>
    </w:rPr>
  </w:style>
  <w:style w:type="paragraph" w:customStyle="1" w:styleId="147">
    <w:name w:val="Char Char Char Char Char Char"/>
    <w:basedOn w:val="1"/>
    <w:next w:val="3"/>
    <w:autoRedefine/>
    <w:qFormat/>
    <w:uiPriority w:val="0"/>
    <w:rPr>
      <w:sz w:val="28"/>
      <w:szCs w:val="28"/>
    </w:rPr>
  </w:style>
  <w:style w:type="paragraph" w:customStyle="1" w:styleId="148">
    <w:name w:val="样式 四号 黑色 首行缩进:  1.11 厘米 行距: 1.5 倍行距"/>
    <w:basedOn w:val="1"/>
    <w:autoRedefine/>
    <w:qFormat/>
    <w:uiPriority w:val="0"/>
    <w:pPr>
      <w:spacing w:line="360" w:lineRule="auto"/>
      <w:ind w:firstLine="630"/>
    </w:pPr>
    <w:rPr>
      <w:color w:val="000000"/>
    </w:rPr>
  </w:style>
  <w:style w:type="paragraph" w:customStyle="1" w:styleId="149">
    <w:name w:val="样式"/>
    <w:autoRedefine/>
    <w:qFormat/>
    <w:uiPriority w:val="0"/>
    <w:pPr>
      <w:widowControl w:val="0"/>
      <w:autoSpaceDE w:val="0"/>
      <w:autoSpaceDN w:val="0"/>
      <w:adjustRightInd w:val="0"/>
    </w:pPr>
    <w:rPr>
      <w:rFonts w:ascii="Arial" w:hAnsi="Arial" w:eastAsia="宋体" w:cs="Arial"/>
      <w:sz w:val="24"/>
      <w:szCs w:val="24"/>
      <w:lang w:val="en-US" w:eastAsia="zh-CN" w:bidi="ar-SA"/>
    </w:rPr>
  </w:style>
  <w:style w:type="paragraph" w:customStyle="1" w:styleId="150">
    <w:name w:val="xl24"/>
    <w:basedOn w:val="1"/>
    <w:autoRedefine/>
    <w:qFormat/>
    <w:uiPriority w:val="0"/>
    <w:pPr>
      <w:widowControl/>
      <w:spacing w:beforeAutospacing="1" w:afterAutospacing="1"/>
      <w:jc w:val="left"/>
      <w:textAlignment w:val="center"/>
    </w:pPr>
    <w:rPr>
      <w:rFonts w:ascii="Arial Unicode MS" w:hAnsi="Arial Unicode MS" w:eastAsia="Arial Unicode MS"/>
      <w:b/>
      <w:bCs/>
      <w:color w:val="0000FF"/>
      <w:sz w:val="48"/>
      <w:szCs w:val="48"/>
    </w:rPr>
  </w:style>
  <w:style w:type="paragraph" w:customStyle="1" w:styleId="151">
    <w:name w:val="样式 宋体 首行缩进:  1.11 厘米"/>
    <w:basedOn w:val="1"/>
    <w:autoRedefine/>
    <w:qFormat/>
    <w:uiPriority w:val="0"/>
    <w:pPr>
      <w:spacing w:line="600" w:lineRule="exact"/>
      <w:ind w:firstLine="629" w:firstLineChars="200"/>
    </w:pPr>
    <w:rPr>
      <w:rFonts w:hAnsi="宋体"/>
      <w:sz w:val="28"/>
    </w:rPr>
  </w:style>
  <w:style w:type="paragraph" w:customStyle="1" w:styleId="152">
    <w:name w:val="xl60"/>
    <w:basedOn w:val="1"/>
    <w:autoRedefine/>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hint="eastAsia" w:hAnsi="宋体"/>
    </w:rPr>
  </w:style>
  <w:style w:type="paragraph" w:customStyle="1" w:styleId="153">
    <w:name w:val="样式 四号 首行缩进:  1 厘米 行距: 1.5 倍行距"/>
    <w:basedOn w:val="1"/>
    <w:autoRedefine/>
    <w:qFormat/>
    <w:uiPriority w:val="0"/>
    <w:pPr>
      <w:spacing w:line="360" w:lineRule="auto"/>
      <w:ind w:firstLine="567"/>
    </w:pPr>
  </w:style>
  <w:style w:type="paragraph" w:customStyle="1" w:styleId="154">
    <w:name w:val="xl27"/>
    <w:basedOn w:val="1"/>
    <w:autoRedefine/>
    <w:qFormat/>
    <w:uiPriority w:val="0"/>
    <w:pPr>
      <w:widowControl/>
      <w:spacing w:beforeAutospacing="1" w:afterAutospacing="1"/>
      <w:jc w:val="center"/>
      <w:textAlignment w:val="center"/>
    </w:pPr>
    <w:rPr>
      <w:rFonts w:ascii="Arial Unicode MS" w:hAnsi="Arial Unicode MS" w:eastAsia="Arial Unicode MS"/>
      <w:b/>
      <w:bCs/>
      <w:color w:val="0000FF"/>
      <w:sz w:val="20"/>
    </w:rPr>
  </w:style>
  <w:style w:type="paragraph" w:customStyle="1" w:styleId="155">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olor w:val="0000FF"/>
    </w:rPr>
  </w:style>
  <w:style w:type="paragraph" w:customStyle="1" w:styleId="156">
    <w:name w:val="样式 四号 黑色 行距: 1.5 倍行距2"/>
    <w:basedOn w:val="1"/>
    <w:autoRedefine/>
    <w:qFormat/>
    <w:uiPriority w:val="0"/>
    <w:pPr>
      <w:spacing w:line="360" w:lineRule="auto"/>
      <w:ind w:firstLine="420" w:firstLineChars="150"/>
    </w:pPr>
    <w:rPr>
      <w:color w:val="000000"/>
    </w:rPr>
  </w:style>
  <w:style w:type="paragraph" w:customStyle="1" w:styleId="157">
    <w:name w:val="表内序号"/>
    <w:basedOn w:val="1"/>
    <w:autoRedefine/>
    <w:qFormat/>
    <w:uiPriority w:val="0"/>
    <w:pPr>
      <w:widowControl/>
      <w:tabs>
        <w:tab w:val="left" w:pos="360"/>
      </w:tabs>
      <w:adjustRightInd w:val="0"/>
      <w:snapToGrid w:val="0"/>
      <w:spacing w:line="360" w:lineRule="auto"/>
      <w:ind w:left="113" w:hanging="113"/>
      <w:jc w:val="left"/>
    </w:pPr>
  </w:style>
  <w:style w:type="paragraph" w:customStyle="1" w:styleId="158">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Ansi="宋体"/>
    </w:rPr>
  </w:style>
  <w:style w:type="paragraph" w:customStyle="1" w:styleId="159">
    <w:name w:val="Char Char Char"/>
    <w:basedOn w:val="1"/>
    <w:next w:val="3"/>
    <w:autoRedefine/>
    <w:qFormat/>
    <w:uiPriority w:val="0"/>
    <w:rPr>
      <w:sz w:val="28"/>
      <w:szCs w:val="28"/>
    </w:rPr>
  </w:style>
  <w:style w:type="paragraph" w:customStyle="1" w:styleId="160">
    <w:name w:val="样式 四号 黑色 左 行距: 固定值 25 磅"/>
    <w:basedOn w:val="1"/>
    <w:autoRedefine/>
    <w:qFormat/>
    <w:uiPriority w:val="0"/>
    <w:pPr>
      <w:spacing w:line="500" w:lineRule="exact"/>
      <w:jc w:val="left"/>
    </w:pPr>
    <w:rPr>
      <w:color w:val="000000"/>
    </w:rPr>
  </w:style>
  <w:style w:type="paragraph" w:customStyle="1" w:styleId="161">
    <w:name w:val="标格标题"/>
    <w:basedOn w:val="162"/>
    <w:next w:val="162"/>
    <w:autoRedefine/>
    <w:qFormat/>
    <w:uiPriority w:val="0"/>
    <w:pPr>
      <w:widowControl/>
    </w:pPr>
    <w:rPr>
      <w:b/>
    </w:rPr>
  </w:style>
  <w:style w:type="paragraph" w:customStyle="1" w:styleId="162">
    <w:name w:val="表格文字"/>
    <w:basedOn w:val="1"/>
    <w:autoRedefine/>
    <w:qFormat/>
    <w:uiPriority w:val="0"/>
    <w:pPr>
      <w:jc w:val="center"/>
    </w:pPr>
    <w:rPr>
      <w:szCs w:val="21"/>
    </w:rPr>
  </w:style>
  <w:style w:type="paragraph" w:customStyle="1" w:styleId="163">
    <w:name w:val="表格1"/>
    <w:autoRedefine/>
    <w:qFormat/>
    <w:uiPriority w:val="0"/>
    <w:pPr>
      <w:adjustRightInd w:val="0"/>
      <w:spacing w:line="360" w:lineRule="auto"/>
      <w:jc w:val="center"/>
      <w:textAlignment w:val="center"/>
    </w:pPr>
    <w:rPr>
      <w:rFonts w:ascii="Times New Roman" w:hAnsi="Times New Roman" w:eastAsia="宋体" w:cs="Times New Roman"/>
      <w:sz w:val="21"/>
      <w:lang w:val="en-US" w:eastAsia="zh-CN" w:bidi="ar-SA"/>
    </w:rPr>
  </w:style>
  <w:style w:type="paragraph" w:customStyle="1" w:styleId="164">
    <w:name w:val="font14"/>
    <w:basedOn w:val="1"/>
    <w:autoRedefine/>
    <w:qFormat/>
    <w:uiPriority w:val="0"/>
    <w:pPr>
      <w:widowControl/>
      <w:spacing w:beforeAutospacing="1" w:afterAutospacing="1"/>
      <w:jc w:val="left"/>
    </w:pPr>
  </w:style>
  <w:style w:type="paragraph" w:customStyle="1" w:styleId="165">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olor w:val="0000FF"/>
      <w:sz w:val="20"/>
    </w:rPr>
  </w:style>
  <w:style w:type="paragraph" w:customStyle="1" w:styleId="166">
    <w:name w:val="xl26"/>
    <w:basedOn w:val="1"/>
    <w:autoRedefine/>
    <w:qFormat/>
    <w:uiPriority w:val="0"/>
    <w:pPr>
      <w:widowControl/>
      <w:jc w:val="center"/>
    </w:pPr>
    <w:rPr>
      <w:rFonts w:hAnsi="宋体"/>
    </w:rPr>
  </w:style>
  <w:style w:type="paragraph" w:customStyle="1" w:styleId="167">
    <w:name w:val="s4"/>
    <w:basedOn w:val="1"/>
    <w:next w:val="38"/>
    <w:autoRedefine/>
    <w:qFormat/>
    <w:uiPriority w:val="0"/>
  </w:style>
  <w:style w:type="paragraph" w:customStyle="1" w:styleId="168">
    <w:name w:val="font10"/>
    <w:basedOn w:val="1"/>
    <w:autoRedefine/>
    <w:qFormat/>
    <w:uiPriority w:val="0"/>
    <w:pPr>
      <w:widowControl/>
      <w:spacing w:beforeAutospacing="1" w:afterAutospacing="1"/>
      <w:jc w:val="left"/>
    </w:pPr>
    <w:rPr>
      <w:rFonts w:eastAsia="Arial Unicode MS"/>
      <w:color w:val="0000FF"/>
      <w:sz w:val="20"/>
    </w:rPr>
  </w:style>
  <w:style w:type="paragraph" w:customStyle="1" w:styleId="169">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int="eastAsia" w:hAnsi="宋体"/>
    </w:rPr>
  </w:style>
  <w:style w:type="paragraph" w:customStyle="1" w:styleId="170">
    <w:name w:val="xl56"/>
    <w:basedOn w:val="1"/>
    <w:autoRedefine/>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hint="eastAsia" w:hAnsi="宋体"/>
    </w:rPr>
  </w:style>
  <w:style w:type="paragraph" w:customStyle="1" w:styleId="171">
    <w:name w:val="样式 正文首行缩进 + 首行缩进:  2 字符"/>
    <w:basedOn w:val="50"/>
    <w:autoRedefine/>
    <w:qFormat/>
    <w:uiPriority w:val="0"/>
    <w:pPr>
      <w:spacing w:line="360" w:lineRule="auto"/>
      <w:ind w:firstLine="432" w:firstLineChars="200"/>
    </w:pPr>
    <w:rPr>
      <w:rFonts w:hAnsi="宋体" w:cs="宋体"/>
      <w:color w:val="000000"/>
      <w:sz w:val="28"/>
      <w:szCs w:val="20"/>
    </w:rPr>
  </w:style>
  <w:style w:type="paragraph" w:customStyle="1" w:styleId="172">
    <w:name w:val="样式 四号 行距: 1.5 倍行距6"/>
    <w:basedOn w:val="1"/>
    <w:autoRedefine/>
    <w:qFormat/>
    <w:uiPriority w:val="0"/>
    <w:pPr>
      <w:spacing w:line="360" w:lineRule="auto"/>
      <w:ind w:firstLine="560" w:firstLineChars="200"/>
    </w:pPr>
  </w:style>
  <w:style w:type="paragraph" w:customStyle="1" w:styleId="173">
    <w:name w:val="xl72"/>
    <w:basedOn w:val="1"/>
    <w:autoRedefine/>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rFonts w:hint="eastAsia" w:hAnsi="宋体"/>
    </w:rPr>
  </w:style>
  <w:style w:type="paragraph" w:customStyle="1" w:styleId="174">
    <w:name w:val="样式 四号 首行缩进:  0.85 厘米 行距: 1.5 倍行距"/>
    <w:basedOn w:val="1"/>
    <w:autoRedefine/>
    <w:qFormat/>
    <w:uiPriority w:val="0"/>
    <w:pPr>
      <w:spacing w:line="360" w:lineRule="auto"/>
      <w:ind w:firstLine="480"/>
    </w:pPr>
  </w:style>
  <w:style w:type="paragraph" w:customStyle="1" w:styleId="175">
    <w:name w:val="样式2"/>
    <w:basedOn w:val="1"/>
    <w:next w:val="8"/>
    <w:autoRedefine/>
    <w:qFormat/>
    <w:uiPriority w:val="0"/>
    <w:pPr>
      <w:adjustRightInd w:val="0"/>
      <w:snapToGrid w:val="0"/>
      <w:spacing w:line="400" w:lineRule="exact"/>
      <w:outlineLvl w:val="3"/>
    </w:pPr>
    <w:rPr>
      <w:rFonts w:hAnsi="宋体"/>
      <w:sz w:val="28"/>
    </w:rPr>
  </w:style>
  <w:style w:type="paragraph" w:customStyle="1" w:styleId="176">
    <w:name w:val="样式 四号 首行缩进:  0.99 厘米 行距: 1.5 倍行距"/>
    <w:basedOn w:val="1"/>
    <w:autoRedefine/>
    <w:qFormat/>
    <w:uiPriority w:val="0"/>
    <w:pPr>
      <w:spacing w:line="360" w:lineRule="auto"/>
      <w:ind w:firstLine="560"/>
    </w:pPr>
  </w:style>
  <w:style w:type="paragraph" w:customStyle="1" w:styleId="177">
    <w:name w:val="xl38"/>
    <w:basedOn w:val="1"/>
    <w:autoRedefine/>
    <w:qFormat/>
    <w:uiPriority w:val="0"/>
    <w:pPr>
      <w:widowControl/>
      <w:pBdr>
        <w:top w:val="single" w:color="auto" w:sz="4" w:space="0"/>
        <w:left w:val="single" w:color="auto" w:sz="4" w:space="20"/>
        <w:bottom w:val="single" w:color="auto" w:sz="4" w:space="0"/>
        <w:right w:val="single" w:color="auto" w:sz="4" w:space="0"/>
      </w:pBdr>
      <w:spacing w:beforeAutospacing="1" w:afterAutospacing="1"/>
      <w:ind w:firstLine="100" w:firstLineChars="100"/>
      <w:jc w:val="left"/>
      <w:textAlignment w:val="center"/>
    </w:pPr>
    <w:rPr>
      <w:rFonts w:ascii="Arial Unicode MS" w:hAnsi="Arial Unicode MS" w:eastAsia="Arial Unicode MS"/>
      <w:color w:val="0000FF"/>
      <w:sz w:val="20"/>
    </w:rPr>
  </w:style>
  <w:style w:type="paragraph" w:customStyle="1" w:styleId="178">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int="eastAsia" w:hAnsi="宋体"/>
    </w:rPr>
  </w:style>
  <w:style w:type="paragraph" w:customStyle="1" w:styleId="179">
    <w:name w:val="xl68"/>
    <w:basedOn w:val="1"/>
    <w:autoRedefine/>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hAnsi="宋体"/>
    </w:rPr>
  </w:style>
  <w:style w:type="paragraph" w:customStyle="1" w:styleId="180">
    <w:name w:val="xl69"/>
    <w:basedOn w:val="1"/>
    <w:autoRedefine/>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hint="eastAsia" w:hAnsi="宋体"/>
    </w:rPr>
  </w:style>
  <w:style w:type="paragraph" w:customStyle="1" w:styleId="181">
    <w:name w:val="font0"/>
    <w:basedOn w:val="1"/>
    <w:autoRedefine/>
    <w:qFormat/>
    <w:uiPriority w:val="0"/>
    <w:pPr>
      <w:widowControl/>
      <w:spacing w:beforeAutospacing="1" w:afterAutospacing="1"/>
      <w:jc w:val="left"/>
    </w:pPr>
    <w:rPr>
      <w:rFonts w:hint="eastAsia" w:hAnsi="宋体"/>
    </w:rPr>
  </w:style>
  <w:style w:type="paragraph" w:customStyle="1" w:styleId="182">
    <w:name w:val="表格内容"/>
    <w:basedOn w:val="1"/>
    <w:autoRedefine/>
    <w:qFormat/>
    <w:uiPriority w:val="0"/>
    <w:pPr>
      <w:overflowPunct w:val="0"/>
      <w:adjustRightInd w:val="0"/>
      <w:spacing w:line="200" w:lineRule="atLeast"/>
      <w:textAlignment w:val="baseline"/>
    </w:pPr>
    <w:rPr>
      <w:rFonts w:ascii="Arial" w:hAnsi="Arial" w:eastAsia="仿宋_GB2312"/>
    </w:rPr>
  </w:style>
  <w:style w:type="paragraph" w:customStyle="1" w:styleId="183">
    <w:name w:val="1.1.1"/>
    <w:basedOn w:val="1"/>
    <w:autoRedefine/>
    <w:qFormat/>
    <w:uiPriority w:val="0"/>
    <w:pPr>
      <w:adjustRightInd w:val="0"/>
      <w:jc w:val="left"/>
      <w:textAlignment w:val="baseline"/>
    </w:pPr>
    <w:rPr>
      <w:spacing w:val="10"/>
    </w:rPr>
  </w:style>
  <w:style w:type="paragraph" w:customStyle="1" w:styleId="184">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85">
    <w:name w:val="xl71"/>
    <w:basedOn w:val="1"/>
    <w:autoRedefine/>
    <w:qFormat/>
    <w:uiPriority w:val="0"/>
    <w:pPr>
      <w:widowControl/>
      <w:pBdr>
        <w:top w:val="single" w:color="auto" w:sz="4" w:space="0"/>
        <w:left w:val="single" w:color="auto" w:sz="8" w:space="0"/>
        <w:right w:val="single" w:color="auto" w:sz="4" w:space="0"/>
      </w:pBdr>
      <w:spacing w:beforeAutospacing="1" w:afterAutospacing="1"/>
      <w:jc w:val="center"/>
      <w:textAlignment w:val="center"/>
    </w:pPr>
    <w:rPr>
      <w:rFonts w:hAnsi="宋体"/>
    </w:rPr>
  </w:style>
  <w:style w:type="paragraph" w:customStyle="1" w:styleId="186">
    <w:name w:val="正文 + 首行缩进"/>
    <w:basedOn w:val="1"/>
    <w:autoRedefine/>
    <w:qFormat/>
    <w:uiPriority w:val="0"/>
    <w:pPr>
      <w:spacing w:line="500" w:lineRule="exact"/>
      <w:ind w:firstLine="560" w:firstLineChars="200"/>
    </w:pPr>
    <w:rPr>
      <w:rFonts w:cs="宋体"/>
      <w:sz w:val="28"/>
    </w:rPr>
  </w:style>
  <w:style w:type="paragraph" w:customStyle="1" w:styleId="187">
    <w:name w:val="xl76"/>
    <w:basedOn w:val="1"/>
    <w:autoRedefine/>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hint="eastAsia" w:hAnsi="宋体"/>
    </w:rPr>
  </w:style>
  <w:style w:type="paragraph" w:customStyle="1" w:styleId="188">
    <w:name w:val="纯文本1"/>
    <w:basedOn w:val="1"/>
    <w:autoRedefine/>
    <w:qFormat/>
    <w:uiPriority w:val="0"/>
    <w:pPr>
      <w:adjustRightInd w:val="0"/>
      <w:textAlignment w:val="baseline"/>
    </w:pPr>
    <w:rPr>
      <w:rFonts w:hAnsi="Courier New"/>
      <w:sz w:val="28"/>
    </w:rPr>
  </w:style>
  <w:style w:type="paragraph" w:customStyle="1" w:styleId="189">
    <w:name w:val="样式 四号 左侧:  0.02 厘米 行距: 1.5 倍行距"/>
    <w:basedOn w:val="1"/>
    <w:autoRedefine/>
    <w:qFormat/>
    <w:uiPriority w:val="0"/>
    <w:pPr>
      <w:spacing w:line="360" w:lineRule="auto"/>
      <w:ind w:left="14"/>
    </w:pPr>
  </w:style>
  <w:style w:type="paragraph" w:customStyle="1" w:styleId="190">
    <w:name w:val="样式 四号 行距: 固定值 25 磅2"/>
    <w:basedOn w:val="1"/>
    <w:autoRedefine/>
    <w:qFormat/>
    <w:uiPriority w:val="0"/>
    <w:pPr>
      <w:spacing w:line="500" w:lineRule="exact"/>
      <w:ind w:firstLine="1120" w:firstLineChars="400"/>
    </w:pPr>
  </w:style>
  <w:style w:type="paragraph" w:customStyle="1" w:styleId="191">
    <w:name w:val="xl84"/>
    <w:basedOn w:val="1"/>
    <w:autoRedefine/>
    <w:qFormat/>
    <w:uiPriority w:val="0"/>
    <w:pPr>
      <w:widowControl/>
      <w:pBdr>
        <w:left w:val="single" w:color="auto" w:sz="8" w:space="0"/>
        <w:right w:val="single" w:color="auto" w:sz="4" w:space="0"/>
      </w:pBdr>
      <w:spacing w:beforeAutospacing="1" w:afterAutospacing="1"/>
      <w:jc w:val="center"/>
      <w:textAlignment w:val="center"/>
    </w:pPr>
    <w:rPr>
      <w:rFonts w:hAnsi="宋体"/>
    </w:rPr>
  </w:style>
  <w:style w:type="paragraph" w:customStyle="1" w:styleId="192">
    <w:name w:val="xl47"/>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pPr>
    <w:rPr>
      <w:rFonts w:hAnsi="宋体"/>
    </w:rPr>
  </w:style>
  <w:style w:type="paragraph" w:customStyle="1" w:styleId="193">
    <w:name w:val="样式 四号 首行缩进:  0.93 厘米 行距: 1.5 倍行距"/>
    <w:basedOn w:val="1"/>
    <w:autoRedefine/>
    <w:qFormat/>
    <w:uiPriority w:val="0"/>
    <w:pPr>
      <w:spacing w:line="360" w:lineRule="auto"/>
      <w:ind w:firstLine="525"/>
    </w:pPr>
  </w:style>
  <w:style w:type="paragraph" w:customStyle="1" w:styleId="194">
    <w:name w:val="xl70"/>
    <w:basedOn w:val="1"/>
    <w:autoRedefine/>
    <w:qFormat/>
    <w:uiPriority w:val="0"/>
    <w:pPr>
      <w:widowControl/>
      <w:pBdr>
        <w:top w:val="single" w:color="auto" w:sz="4" w:space="0"/>
        <w:left w:val="single" w:color="auto" w:sz="4" w:space="0"/>
        <w:right w:val="single" w:color="auto" w:sz="8" w:space="0"/>
      </w:pBdr>
      <w:spacing w:beforeAutospacing="1" w:afterAutospacing="1"/>
      <w:jc w:val="left"/>
      <w:textAlignment w:val="center"/>
    </w:pPr>
    <w:rPr>
      <w:rFonts w:hAnsi="宋体"/>
    </w:rPr>
  </w:style>
  <w:style w:type="paragraph" w:customStyle="1" w:styleId="195">
    <w:name w:val="p0"/>
    <w:basedOn w:val="1"/>
    <w:autoRedefine/>
    <w:qFormat/>
    <w:uiPriority w:val="0"/>
    <w:pPr>
      <w:widowControl/>
    </w:pPr>
    <w:rPr>
      <w:rFonts w:ascii="Calibri" w:hAnsi="Calibri" w:cs="宋体"/>
      <w:szCs w:val="21"/>
    </w:rPr>
  </w:style>
  <w:style w:type="paragraph" w:customStyle="1" w:styleId="196">
    <w:name w:val="正文(首行缩进2字)"/>
    <w:basedOn w:val="1"/>
    <w:next w:val="1"/>
    <w:autoRedefine/>
    <w:qFormat/>
    <w:uiPriority w:val="0"/>
    <w:pPr>
      <w:adjustRightInd w:val="0"/>
      <w:snapToGrid w:val="0"/>
      <w:spacing w:line="360" w:lineRule="auto"/>
      <w:ind w:firstLine="232" w:firstLineChars="232"/>
      <w:textAlignment w:val="baseline"/>
    </w:pPr>
  </w:style>
  <w:style w:type="paragraph" w:customStyle="1" w:styleId="197">
    <w:name w:val="样式 四号 行距: 1.5 倍行距8"/>
    <w:basedOn w:val="1"/>
    <w:autoRedefine/>
    <w:qFormat/>
    <w:uiPriority w:val="0"/>
    <w:pPr>
      <w:spacing w:line="360" w:lineRule="auto"/>
      <w:ind w:left="15" w:leftChars="7" w:firstLine="560" w:firstLineChars="200"/>
    </w:pPr>
  </w:style>
  <w:style w:type="paragraph" w:customStyle="1" w:styleId="198">
    <w:name w:val="font6"/>
    <w:basedOn w:val="1"/>
    <w:autoRedefine/>
    <w:qFormat/>
    <w:uiPriority w:val="0"/>
    <w:pPr>
      <w:widowControl/>
      <w:spacing w:beforeAutospacing="1" w:afterAutospacing="1"/>
      <w:jc w:val="left"/>
    </w:pPr>
    <w:rPr>
      <w:rFonts w:hint="eastAsia" w:hAnsi="宋体"/>
      <w:b/>
      <w:bCs/>
      <w:color w:val="0000FF"/>
      <w:sz w:val="48"/>
      <w:szCs w:val="48"/>
    </w:rPr>
  </w:style>
  <w:style w:type="paragraph" w:customStyle="1" w:styleId="199">
    <w:name w:val="xl75"/>
    <w:basedOn w:val="1"/>
    <w:autoRedefine/>
    <w:qFormat/>
    <w:uiPriority w:val="0"/>
    <w:pPr>
      <w:widowControl/>
      <w:pBdr>
        <w:top w:val="single" w:color="auto" w:sz="4" w:space="0"/>
        <w:left w:val="single" w:color="auto" w:sz="4" w:space="0"/>
        <w:right w:val="single" w:color="auto" w:sz="8" w:space="0"/>
      </w:pBdr>
      <w:spacing w:beforeAutospacing="1" w:afterAutospacing="1"/>
      <w:jc w:val="center"/>
      <w:textAlignment w:val="center"/>
    </w:pPr>
    <w:rPr>
      <w:rFonts w:hint="eastAsia" w:hAnsi="宋体"/>
    </w:rPr>
  </w:style>
  <w:style w:type="paragraph" w:customStyle="1" w:styleId="200">
    <w:name w:val="xl43"/>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textAlignment w:val="center"/>
    </w:pPr>
    <w:rPr>
      <w:rFonts w:hAnsi="宋体"/>
    </w:rPr>
  </w:style>
  <w:style w:type="paragraph" w:customStyle="1" w:styleId="201">
    <w:name w:val="_Style 58"/>
    <w:basedOn w:val="1"/>
    <w:autoRedefine/>
    <w:qFormat/>
    <w:uiPriority w:val="0"/>
    <w:pPr>
      <w:widowControl/>
      <w:adjustRightInd w:val="0"/>
      <w:spacing w:line="240" w:lineRule="exact"/>
      <w:jc w:val="left"/>
      <w:textAlignment w:val="baseline"/>
    </w:pPr>
  </w:style>
  <w:style w:type="paragraph" w:customStyle="1" w:styleId="202">
    <w:name w:val="表格03"/>
    <w:basedOn w:val="1"/>
    <w:autoRedefine/>
    <w:qFormat/>
    <w:uiPriority w:val="0"/>
    <w:pPr>
      <w:adjustRightInd w:val="0"/>
      <w:spacing w:line="400" w:lineRule="exact"/>
      <w:jc w:val="center"/>
    </w:pPr>
    <w:rPr>
      <w:szCs w:val="21"/>
    </w:rPr>
  </w:style>
  <w:style w:type="paragraph" w:customStyle="1" w:styleId="203">
    <w:name w:val="样式 标题 2 + 小四"/>
    <w:basedOn w:val="4"/>
    <w:autoRedefine/>
    <w:qFormat/>
    <w:uiPriority w:val="0"/>
    <w:pPr>
      <w:spacing w:line="578" w:lineRule="auto"/>
    </w:pPr>
    <w:rPr>
      <w:sz w:val="24"/>
    </w:rPr>
  </w:style>
  <w:style w:type="paragraph" w:customStyle="1" w:styleId="204">
    <w:name w:val="样式 样式 样式 首行缩进:  0.8厘米 + 右侧:  2 字符 + 左侧:  2 字符"/>
    <w:basedOn w:val="90"/>
    <w:link w:val="291"/>
    <w:autoRedefine/>
    <w:qFormat/>
    <w:uiPriority w:val="0"/>
    <w:pPr>
      <w:ind w:left="0" w:leftChars="0" w:firstLine="200" w:firstLineChars="200"/>
    </w:pPr>
  </w:style>
  <w:style w:type="paragraph" w:customStyle="1" w:styleId="205">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Ansi="宋体"/>
      <w:sz w:val="32"/>
      <w:szCs w:val="32"/>
    </w:rPr>
  </w:style>
  <w:style w:type="paragraph" w:customStyle="1" w:styleId="206">
    <w:name w:val="xl45"/>
    <w:basedOn w:val="1"/>
    <w:autoRedefine/>
    <w:qFormat/>
    <w:uiPriority w:val="0"/>
    <w:pPr>
      <w:widowControl/>
      <w:pBdr>
        <w:top w:val="single" w:color="auto" w:sz="4" w:space="0"/>
        <w:left w:val="single" w:color="auto" w:sz="8" w:space="0"/>
        <w:bottom w:val="single" w:color="auto" w:sz="8" w:space="0"/>
        <w:right w:val="single" w:color="auto" w:sz="4" w:space="0"/>
      </w:pBdr>
      <w:spacing w:beforeAutospacing="1" w:afterAutospacing="1"/>
      <w:jc w:val="center"/>
    </w:pPr>
    <w:rPr>
      <w:rFonts w:hAnsi="宋体"/>
    </w:rPr>
  </w:style>
  <w:style w:type="paragraph" w:customStyle="1" w:styleId="207">
    <w:name w:val="Char Char Char Char Char Char Char Char Char Char Char Char Char Char Char"/>
    <w:basedOn w:val="1"/>
    <w:autoRedefine/>
    <w:qFormat/>
    <w:uiPriority w:val="0"/>
    <w:pPr>
      <w:widowControl/>
      <w:spacing w:line="240" w:lineRule="exact"/>
      <w:jc w:val="left"/>
    </w:pPr>
    <w:rPr>
      <w:rFonts w:ascii="Tahoma" w:hAnsi="Tahoma"/>
      <w:sz w:val="20"/>
      <w:lang w:eastAsia="en-US"/>
    </w:rPr>
  </w:style>
  <w:style w:type="paragraph" w:customStyle="1" w:styleId="208">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Arial Unicode MS" w:hAnsi="Arial Unicode MS" w:eastAsia="Arial Unicode MS"/>
      <w:color w:val="0000FF"/>
      <w:sz w:val="20"/>
    </w:rPr>
  </w:style>
  <w:style w:type="paragraph" w:customStyle="1" w:styleId="209">
    <w:name w:val="xl58"/>
    <w:basedOn w:val="1"/>
    <w:autoRedefine/>
    <w:qFormat/>
    <w:uiPriority w:val="0"/>
    <w:pPr>
      <w:widowControl/>
      <w:spacing w:beforeAutospacing="1" w:afterAutospacing="1"/>
      <w:jc w:val="left"/>
    </w:pPr>
    <w:rPr>
      <w:rFonts w:hint="eastAsia" w:hAnsi="宋体"/>
    </w:rPr>
  </w:style>
  <w:style w:type="paragraph" w:customStyle="1" w:styleId="210">
    <w:name w:val="样式 四号 首行缩进:  1.01 厘米 行距: 1.5 倍行距"/>
    <w:basedOn w:val="1"/>
    <w:autoRedefine/>
    <w:qFormat/>
    <w:uiPriority w:val="0"/>
    <w:pPr>
      <w:spacing w:line="360" w:lineRule="auto"/>
      <w:ind w:firstLine="570"/>
    </w:pPr>
  </w:style>
  <w:style w:type="paragraph" w:customStyle="1" w:styleId="211">
    <w:name w:val="样式 (西文) 仿宋_GB2312 (中文) 仿宋_GB2312 二号 加粗 居中 行距: 1.5 倍行距"/>
    <w:basedOn w:val="1"/>
    <w:autoRedefine/>
    <w:qFormat/>
    <w:uiPriority w:val="0"/>
    <w:pPr>
      <w:spacing w:line="360" w:lineRule="auto"/>
      <w:jc w:val="center"/>
    </w:pPr>
    <w:rPr>
      <w:rFonts w:ascii="仿宋_GB2312" w:cs="宋体"/>
      <w:b/>
      <w:bCs/>
      <w:sz w:val="44"/>
    </w:rPr>
  </w:style>
  <w:style w:type="paragraph" w:customStyle="1" w:styleId="212">
    <w:name w:val="xl80"/>
    <w:basedOn w:val="1"/>
    <w:autoRedefine/>
    <w:qFormat/>
    <w:uiPriority w:val="0"/>
    <w:pPr>
      <w:widowControl/>
      <w:pBdr>
        <w:top w:val="single" w:color="auto" w:sz="4" w:space="0"/>
        <w:left w:val="single" w:color="auto" w:sz="4" w:space="0"/>
        <w:bottom w:val="single" w:color="auto" w:sz="8" w:space="0"/>
        <w:right w:val="single" w:color="auto" w:sz="8" w:space="0"/>
      </w:pBdr>
      <w:spacing w:beforeAutospacing="1" w:afterAutospacing="1"/>
      <w:jc w:val="left"/>
      <w:textAlignment w:val="center"/>
    </w:pPr>
    <w:rPr>
      <w:rFonts w:hAnsi="宋体"/>
    </w:rPr>
  </w:style>
  <w:style w:type="paragraph" w:customStyle="1" w:styleId="213">
    <w:name w:val="正文11"/>
    <w:basedOn w:val="1"/>
    <w:autoRedefine/>
    <w:qFormat/>
    <w:uiPriority w:val="0"/>
    <w:pPr>
      <w:adjustRightInd w:val="0"/>
      <w:snapToGrid w:val="0"/>
      <w:spacing w:line="360" w:lineRule="auto"/>
    </w:pPr>
    <w:rPr>
      <w:snapToGrid w:val="0"/>
    </w:rPr>
  </w:style>
  <w:style w:type="paragraph" w:customStyle="1" w:styleId="214">
    <w:name w:val="样式 四号 行距: 固定值 25 磅1"/>
    <w:basedOn w:val="1"/>
    <w:autoRedefine/>
    <w:qFormat/>
    <w:uiPriority w:val="0"/>
    <w:pPr>
      <w:spacing w:line="500" w:lineRule="exact"/>
      <w:ind w:firstLine="560" w:firstLineChars="200"/>
    </w:pPr>
  </w:style>
  <w:style w:type="paragraph" w:customStyle="1" w:styleId="215">
    <w:name w:val="0"/>
    <w:basedOn w:val="1"/>
    <w:autoRedefine/>
    <w:qFormat/>
    <w:uiPriority w:val="0"/>
    <w:pPr>
      <w:widowControl/>
      <w:snapToGrid w:val="0"/>
    </w:pPr>
    <w:rPr>
      <w:sz w:val="20"/>
    </w:rPr>
  </w:style>
  <w:style w:type="paragraph" w:customStyle="1" w:styleId="216">
    <w:name w:val="xl86"/>
    <w:basedOn w:val="1"/>
    <w:autoRedefine/>
    <w:qFormat/>
    <w:uiPriority w:val="0"/>
    <w:pPr>
      <w:widowControl/>
      <w:pBdr>
        <w:left w:val="single" w:color="auto" w:sz="4" w:space="0"/>
        <w:right w:val="single" w:color="auto" w:sz="4" w:space="0"/>
      </w:pBdr>
      <w:spacing w:beforeAutospacing="1" w:afterAutospacing="1"/>
      <w:jc w:val="center"/>
      <w:textAlignment w:val="center"/>
    </w:pPr>
    <w:rPr>
      <w:rFonts w:hint="eastAsia" w:hAnsi="宋体"/>
    </w:rPr>
  </w:style>
  <w:style w:type="paragraph" w:customStyle="1" w:styleId="217">
    <w:name w:val="xl63"/>
    <w:basedOn w:val="1"/>
    <w:autoRedefine/>
    <w:qFormat/>
    <w:uiPriority w:val="0"/>
    <w:pPr>
      <w:widowControl/>
      <w:pBdr>
        <w:left w:val="single" w:color="auto" w:sz="8" w:space="0"/>
        <w:bottom w:val="single" w:color="auto" w:sz="8" w:space="0"/>
        <w:right w:val="single" w:color="auto" w:sz="4" w:space="0"/>
      </w:pBdr>
      <w:jc w:val="center"/>
      <w:textAlignment w:val="center"/>
    </w:pPr>
    <w:rPr>
      <w:rFonts w:ascii="Arial Unicode MS" w:hAnsi="Arial Unicode MS" w:eastAsia="Arial Unicode MS"/>
    </w:rPr>
  </w:style>
  <w:style w:type="paragraph" w:customStyle="1" w:styleId="218">
    <w:name w:val="正文2"/>
    <w:basedOn w:val="1"/>
    <w:link w:val="279"/>
    <w:autoRedefine/>
    <w:qFormat/>
    <w:uiPriority w:val="0"/>
    <w:pPr>
      <w:spacing w:line="500" w:lineRule="exact"/>
      <w:ind w:firstLine="560" w:firstLineChars="200"/>
    </w:pPr>
    <w:rPr>
      <w:rFonts w:cs="宋体"/>
      <w:kern w:val="2"/>
      <w:sz w:val="28"/>
      <w:szCs w:val="28"/>
    </w:rPr>
  </w:style>
  <w:style w:type="paragraph" w:customStyle="1" w:styleId="219">
    <w:name w:val="样式4"/>
    <w:basedOn w:val="24"/>
    <w:autoRedefine/>
    <w:qFormat/>
    <w:uiPriority w:val="0"/>
    <w:pPr>
      <w:spacing w:line="500" w:lineRule="exact"/>
      <w:ind w:left="0" w:leftChars="0" w:firstLine="646"/>
    </w:pPr>
    <w:rPr>
      <w:sz w:val="28"/>
    </w:rPr>
  </w:style>
  <w:style w:type="paragraph" w:customStyle="1" w:styleId="220">
    <w:name w:val="xl57"/>
    <w:basedOn w:val="1"/>
    <w:autoRedefine/>
    <w:qFormat/>
    <w:uiPriority w:val="0"/>
    <w:pPr>
      <w:widowControl/>
      <w:pBdr>
        <w:left w:val="single" w:color="auto" w:sz="4" w:space="0"/>
        <w:bottom w:val="single" w:color="auto" w:sz="4" w:space="0"/>
        <w:right w:val="single" w:color="auto" w:sz="8" w:space="0"/>
      </w:pBdr>
      <w:spacing w:beforeAutospacing="1" w:afterAutospacing="1"/>
      <w:jc w:val="left"/>
      <w:textAlignment w:val="center"/>
    </w:pPr>
    <w:rPr>
      <w:rFonts w:hAnsi="宋体"/>
    </w:rPr>
  </w:style>
  <w:style w:type="paragraph" w:customStyle="1" w:styleId="221">
    <w:name w:val="xl66"/>
    <w:basedOn w:val="1"/>
    <w:autoRedefine/>
    <w:qFormat/>
    <w:uiPriority w:val="0"/>
    <w:pPr>
      <w:widowControl/>
      <w:pBdr>
        <w:top w:val="single" w:color="auto" w:sz="4" w:space="0"/>
        <w:left w:val="single" w:color="auto" w:sz="8" w:space="0"/>
        <w:right w:val="single" w:color="auto" w:sz="4" w:space="0"/>
      </w:pBdr>
      <w:spacing w:beforeAutospacing="1" w:afterAutospacing="1"/>
      <w:jc w:val="center"/>
      <w:textAlignment w:val="center"/>
    </w:pPr>
    <w:rPr>
      <w:rFonts w:hint="eastAsia" w:hAnsi="宋体"/>
    </w:rPr>
  </w:style>
  <w:style w:type="paragraph" w:customStyle="1" w:styleId="222">
    <w:name w:val="xl73"/>
    <w:basedOn w:val="1"/>
    <w:autoRedefine/>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hint="eastAsia" w:hAnsi="宋体"/>
      <w:sz w:val="22"/>
      <w:szCs w:val="22"/>
    </w:rPr>
  </w:style>
  <w:style w:type="paragraph" w:customStyle="1" w:styleId="223">
    <w:name w:val="Char1 Char Char Char Char Char Char Char Char Char Char Char Char Char Char Char"/>
    <w:basedOn w:val="1"/>
    <w:autoRedefine/>
    <w:qFormat/>
    <w:uiPriority w:val="0"/>
    <w:pPr>
      <w:widowControl/>
      <w:spacing w:line="240" w:lineRule="exact"/>
      <w:jc w:val="left"/>
    </w:pPr>
  </w:style>
  <w:style w:type="paragraph" w:customStyle="1" w:styleId="22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olor w:val="0000FF"/>
    </w:rPr>
  </w:style>
  <w:style w:type="paragraph" w:customStyle="1" w:styleId="225">
    <w:name w:val="xl87"/>
    <w:basedOn w:val="1"/>
    <w:autoRedefine/>
    <w:qFormat/>
    <w:uiPriority w:val="0"/>
    <w:pPr>
      <w:widowControl/>
      <w:pBdr>
        <w:left w:val="single" w:color="auto" w:sz="4" w:space="0"/>
        <w:right w:val="single" w:color="auto" w:sz="4" w:space="0"/>
      </w:pBdr>
      <w:spacing w:beforeAutospacing="1" w:afterAutospacing="1"/>
      <w:jc w:val="center"/>
      <w:textAlignment w:val="center"/>
    </w:pPr>
    <w:rPr>
      <w:rFonts w:hAnsi="宋体"/>
    </w:rPr>
  </w:style>
  <w:style w:type="paragraph" w:customStyle="1" w:styleId="226">
    <w:name w:val="样式11"/>
    <w:basedOn w:val="1"/>
    <w:next w:val="7"/>
    <w:autoRedefine/>
    <w:qFormat/>
    <w:uiPriority w:val="0"/>
    <w:pPr>
      <w:adjustRightInd w:val="0"/>
      <w:snapToGrid w:val="0"/>
      <w:spacing w:line="500" w:lineRule="exact"/>
    </w:pPr>
    <w:rPr>
      <w:rFonts w:hAnsi="宋体"/>
      <w:sz w:val="28"/>
    </w:rPr>
  </w:style>
  <w:style w:type="paragraph" w:customStyle="1" w:styleId="227">
    <w:name w:val="无悬挂正文5号"/>
    <w:basedOn w:val="1"/>
    <w:autoRedefine/>
    <w:qFormat/>
    <w:uiPriority w:val="0"/>
    <w:pPr>
      <w:adjustRightInd w:val="0"/>
      <w:jc w:val="center"/>
      <w:textAlignment w:val="baseline"/>
    </w:pPr>
  </w:style>
  <w:style w:type="paragraph" w:customStyle="1" w:styleId="228">
    <w:name w:val="xl82"/>
    <w:basedOn w:val="1"/>
    <w:autoRedefine/>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textAlignment w:val="center"/>
    </w:pPr>
    <w:rPr>
      <w:rFonts w:hAnsi="宋体"/>
    </w:rPr>
  </w:style>
  <w:style w:type="paragraph" w:customStyle="1" w:styleId="229">
    <w:name w:val="xl52"/>
    <w:basedOn w:val="1"/>
    <w:autoRedefine/>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hAnsi="宋体"/>
    </w:rPr>
  </w:style>
  <w:style w:type="paragraph" w:customStyle="1" w:styleId="230">
    <w:name w:val="正文文本缩进 31"/>
    <w:basedOn w:val="1"/>
    <w:autoRedefine/>
    <w:qFormat/>
    <w:uiPriority w:val="0"/>
    <w:pPr>
      <w:adjustRightInd w:val="0"/>
      <w:spacing w:line="360" w:lineRule="auto"/>
      <w:ind w:firstLine="567"/>
      <w:jc w:val="left"/>
      <w:textAlignment w:val="baseline"/>
    </w:pPr>
  </w:style>
  <w:style w:type="paragraph" w:customStyle="1" w:styleId="231">
    <w:name w:val="方框图文字"/>
    <w:basedOn w:val="1"/>
    <w:autoRedefine/>
    <w:qFormat/>
    <w:uiPriority w:val="0"/>
    <w:pPr>
      <w:spacing w:line="0" w:lineRule="atLeast"/>
      <w:jc w:val="center"/>
    </w:pPr>
    <w:rPr>
      <w:sz w:val="15"/>
      <w:szCs w:val="21"/>
    </w:rPr>
  </w:style>
  <w:style w:type="paragraph" w:customStyle="1" w:styleId="232">
    <w:name w:val="xl78"/>
    <w:basedOn w:val="1"/>
    <w:autoRedefine/>
    <w:qFormat/>
    <w:uiPriority w:val="0"/>
    <w:pPr>
      <w:widowControl/>
      <w:pBdr>
        <w:top w:val="single" w:color="auto" w:sz="4" w:space="0"/>
        <w:left w:val="single" w:color="auto" w:sz="8" w:space="0"/>
        <w:bottom w:val="single" w:color="auto" w:sz="8" w:space="0"/>
        <w:right w:val="single" w:color="auto" w:sz="4" w:space="0"/>
      </w:pBdr>
      <w:spacing w:beforeAutospacing="1" w:afterAutospacing="1"/>
      <w:jc w:val="center"/>
      <w:textAlignment w:val="center"/>
    </w:pPr>
    <w:rPr>
      <w:rFonts w:hAnsi="宋体"/>
    </w:rPr>
  </w:style>
  <w:style w:type="paragraph" w:customStyle="1" w:styleId="233">
    <w:name w:val="表文字"/>
    <w:next w:val="1"/>
    <w:autoRedefine/>
    <w:qFormat/>
    <w:uiPriority w:val="0"/>
    <w:pPr>
      <w:spacing w:line="360" w:lineRule="auto"/>
      <w:jc w:val="center"/>
    </w:pPr>
    <w:rPr>
      <w:rFonts w:ascii="Arial" w:hAnsi="Arial" w:eastAsia="宋体" w:cs="Times New Roman"/>
      <w:sz w:val="21"/>
      <w:lang w:val="en-US" w:eastAsia="zh-CN" w:bidi="ar-SA"/>
    </w:rPr>
  </w:style>
  <w:style w:type="paragraph" w:customStyle="1" w:styleId="234">
    <w:name w:val="正文文本 Char Char"/>
    <w:basedOn w:val="1"/>
    <w:link w:val="272"/>
    <w:autoRedefine/>
    <w:unhideWhenUsed/>
    <w:qFormat/>
    <w:uiPriority w:val="99"/>
    <w:pPr>
      <w:shd w:val="clear" w:color="auto" w:fill="FFFFFF"/>
      <w:spacing w:line="713" w:lineRule="exact"/>
      <w:ind w:firstLine="580"/>
      <w:jc w:val="distribute"/>
    </w:pPr>
    <w:rPr>
      <w:rFonts w:hint="eastAsia" w:ascii="MingLiU" w:hAnsi="MingLiU" w:eastAsia="MingLiU"/>
      <w:sz w:val="29"/>
    </w:rPr>
  </w:style>
  <w:style w:type="paragraph" w:customStyle="1" w:styleId="235">
    <w:name w:val="xl88"/>
    <w:basedOn w:val="1"/>
    <w:autoRedefine/>
    <w:qFormat/>
    <w:uiPriority w:val="0"/>
    <w:pPr>
      <w:widowControl/>
      <w:pBdr>
        <w:left w:val="single" w:color="auto" w:sz="4" w:space="0"/>
        <w:right w:val="single" w:color="auto" w:sz="8" w:space="0"/>
      </w:pBdr>
      <w:spacing w:beforeAutospacing="1" w:afterAutospacing="1"/>
      <w:jc w:val="center"/>
      <w:textAlignment w:val="center"/>
    </w:pPr>
    <w:rPr>
      <w:rFonts w:hint="eastAsia" w:hAnsi="宋体"/>
    </w:rPr>
  </w:style>
  <w:style w:type="paragraph" w:customStyle="1" w:styleId="236">
    <w:name w:val="样式 四号 行距: 1.5 倍行距"/>
    <w:basedOn w:val="1"/>
    <w:autoRedefine/>
    <w:qFormat/>
    <w:uiPriority w:val="0"/>
    <w:pPr>
      <w:spacing w:line="360" w:lineRule="auto"/>
      <w:ind w:firstLine="560" w:firstLineChars="200"/>
    </w:pPr>
  </w:style>
  <w:style w:type="paragraph" w:customStyle="1" w:styleId="237">
    <w:name w:val="样式 四号 首行缩进:  1.06 厘米 行距: 1.5 倍行距"/>
    <w:basedOn w:val="1"/>
    <w:autoRedefine/>
    <w:qFormat/>
    <w:uiPriority w:val="0"/>
    <w:pPr>
      <w:spacing w:line="360" w:lineRule="auto"/>
      <w:ind w:firstLine="600"/>
    </w:pPr>
  </w:style>
  <w:style w:type="paragraph" w:customStyle="1" w:styleId="238">
    <w:name w:val="样式 正文文本缩进 + 四号 行距: 固定值 25 磅"/>
    <w:basedOn w:val="24"/>
    <w:autoRedefine/>
    <w:qFormat/>
    <w:uiPriority w:val="0"/>
    <w:pPr>
      <w:spacing w:line="500" w:lineRule="exact"/>
      <w:ind w:left="0" w:leftChars="0" w:firstLine="538" w:firstLineChars="192"/>
    </w:pPr>
  </w:style>
  <w:style w:type="paragraph" w:customStyle="1" w:styleId="239">
    <w:name w:val="xl67"/>
    <w:basedOn w:val="1"/>
    <w:autoRedefine/>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rFonts w:hint="eastAsia" w:hAnsi="宋体"/>
    </w:rPr>
  </w:style>
  <w:style w:type="paragraph" w:customStyle="1" w:styleId="240">
    <w:name w:val="报告正文"/>
    <w:basedOn w:val="1"/>
    <w:autoRedefine/>
    <w:qFormat/>
    <w:uiPriority w:val="0"/>
    <w:pPr>
      <w:spacing w:line="360" w:lineRule="auto"/>
      <w:ind w:firstLine="480" w:firstLineChars="200"/>
    </w:pPr>
    <w:rPr>
      <w:rFonts w:hAnsi="宋体"/>
    </w:rPr>
  </w:style>
  <w:style w:type="paragraph" w:customStyle="1" w:styleId="241">
    <w:name w:val="Body Text 22"/>
    <w:basedOn w:val="1"/>
    <w:autoRedefine/>
    <w:qFormat/>
    <w:uiPriority w:val="0"/>
    <w:pPr>
      <w:wordWrap w:val="0"/>
      <w:overflowPunct w:val="0"/>
      <w:autoSpaceDE w:val="0"/>
      <w:autoSpaceDN w:val="0"/>
      <w:adjustRightInd w:val="0"/>
      <w:spacing w:line="480" w:lineRule="exact"/>
      <w:ind w:firstLine="600"/>
      <w:jc w:val="left"/>
      <w:textAlignment w:val="baseline"/>
    </w:pPr>
    <w:rPr>
      <w:color w:val="000000"/>
      <w:sz w:val="28"/>
      <w:szCs w:val="28"/>
    </w:rPr>
  </w:style>
  <w:style w:type="paragraph" w:customStyle="1" w:styleId="242">
    <w:name w:val="font7"/>
    <w:basedOn w:val="1"/>
    <w:autoRedefine/>
    <w:qFormat/>
    <w:uiPriority w:val="0"/>
    <w:pPr>
      <w:widowControl/>
      <w:spacing w:beforeAutospacing="1" w:afterAutospacing="1"/>
      <w:jc w:val="left"/>
    </w:pPr>
    <w:rPr>
      <w:rFonts w:hint="eastAsia" w:hAnsi="宋体"/>
      <w:color w:val="0000FF"/>
    </w:rPr>
  </w:style>
  <w:style w:type="paragraph" w:customStyle="1" w:styleId="243">
    <w:name w:val="xl25"/>
    <w:basedOn w:val="1"/>
    <w:autoRedefine/>
    <w:qFormat/>
    <w:uiPriority w:val="0"/>
    <w:pPr>
      <w:widowControl/>
      <w:spacing w:beforeAutospacing="1" w:afterAutospacing="1"/>
      <w:jc w:val="left"/>
      <w:textAlignment w:val="center"/>
    </w:pPr>
    <w:rPr>
      <w:rFonts w:ascii="Arial Unicode MS" w:hAnsi="Arial Unicode MS" w:eastAsia="Arial Unicode MS"/>
      <w:color w:val="0000FF"/>
    </w:rPr>
  </w:style>
  <w:style w:type="paragraph" w:customStyle="1" w:styleId="244">
    <w:name w:val="Char Char Char1"/>
    <w:basedOn w:val="1"/>
    <w:next w:val="3"/>
    <w:autoRedefine/>
    <w:qFormat/>
    <w:uiPriority w:val="0"/>
    <w:rPr>
      <w:sz w:val="28"/>
      <w:szCs w:val="28"/>
    </w:rPr>
  </w:style>
  <w:style w:type="paragraph" w:customStyle="1" w:styleId="24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eastAsia="Arial Unicode MS"/>
      <w:color w:val="0000FF"/>
      <w:sz w:val="20"/>
    </w:rPr>
  </w:style>
  <w:style w:type="paragraph" w:customStyle="1" w:styleId="246">
    <w:name w:val="前言、引言标题"/>
    <w:next w:val="1"/>
    <w:autoRedefine/>
    <w:qFormat/>
    <w:uiPriority w:val="0"/>
    <w:pPr>
      <w:numPr>
        <w:ilvl w:val="0"/>
        <w:numId w:val="1"/>
      </w:numPr>
      <w:shd w:val="clear" w:color="FFFFFF" w:fill="FFFFFF"/>
      <w:tabs>
        <w:tab w:val="left" w:pos="360"/>
        <w:tab w:val="clear" w:pos="0"/>
      </w:tabs>
      <w:jc w:val="center"/>
      <w:outlineLvl w:val="0"/>
    </w:pPr>
    <w:rPr>
      <w:rFonts w:ascii="黑体" w:hAnsi="Times New Roman" w:eastAsia="黑体" w:cs="Times New Roman"/>
      <w:sz w:val="32"/>
      <w:lang w:val="en-US" w:eastAsia="zh-CN" w:bidi="ar-SA"/>
    </w:rPr>
  </w:style>
  <w:style w:type="paragraph" w:customStyle="1" w:styleId="247">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Ansi="宋体"/>
    </w:rPr>
  </w:style>
  <w:style w:type="paragraph" w:customStyle="1" w:styleId="248">
    <w:name w:val="xl54"/>
    <w:basedOn w:val="1"/>
    <w:autoRedefine/>
    <w:qFormat/>
    <w:uiPriority w:val="0"/>
    <w:pPr>
      <w:widowControl/>
      <w:pBdr>
        <w:top w:val="single" w:color="auto" w:sz="4" w:space="0"/>
        <w:left w:val="single" w:color="auto" w:sz="4" w:space="0"/>
        <w:bottom w:val="single" w:color="auto" w:sz="4" w:space="0"/>
        <w:right w:val="single" w:color="auto" w:sz="8" w:space="0"/>
      </w:pBdr>
      <w:spacing w:beforeAutospacing="1" w:afterAutospacing="1"/>
      <w:jc w:val="left"/>
      <w:textAlignment w:val="center"/>
    </w:pPr>
    <w:rPr>
      <w:rFonts w:hint="eastAsia" w:hAnsi="宋体"/>
    </w:rPr>
  </w:style>
  <w:style w:type="paragraph" w:customStyle="1" w:styleId="249">
    <w:name w:val="表格04"/>
    <w:basedOn w:val="1"/>
    <w:autoRedefine/>
    <w:qFormat/>
    <w:uiPriority w:val="0"/>
    <w:pPr>
      <w:spacing w:line="360" w:lineRule="exact"/>
      <w:jc w:val="center"/>
    </w:pPr>
    <w:rPr>
      <w:rFonts w:cs="宋体"/>
      <w:snapToGrid w:val="0"/>
      <w:sz w:val="18"/>
      <w:szCs w:val="18"/>
    </w:rPr>
  </w:style>
  <w:style w:type="paragraph" w:customStyle="1" w:styleId="250">
    <w:name w:val="xl91"/>
    <w:basedOn w:val="1"/>
    <w:autoRedefine/>
    <w:qFormat/>
    <w:uiPriority w:val="0"/>
    <w:pPr>
      <w:widowControl/>
      <w:spacing w:beforeAutospacing="1" w:afterAutospacing="1"/>
      <w:jc w:val="center"/>
      <w:textAlignment w:val="top"/>
    </w:pPr>
    <w:rPr>
      <w:rFonts w:hint="eastAsia" w:hAnsi="宋体"/>
      <w:b/>
      <w:bCs/>
      <w:sz w:val="32"/>
      <w:szCs w:val="32"/>
    </w:rPr>
  </w:style>
  <w:style w:type="paragraph" w:customStyle="1" w:styleId="251">
    <w:name w:val="默认段落字体 Para Char Char Char Char"/>
    <w:basedOn w:val="1"/>
    <w:autoRedefine/>
    <w:qFormat/>
    <w:uiPriority w:val="0"/>
    <w:rPr>
      <w:rFonts w:eastAsia="Times New Roman"/>
      <w:sz w:val="20"/>
    </w:rPr>
  </w:style>
  <w:style w:type="paragraph" w:customStyle="1" w:styleId="252">
    <w:name w:val="样式 四号 黑色 首行缩进:  0.99 厘米 行距: 1.5 倍行距"/>
    <w:basedOn w:val="1"/>
    <w:autoRedefine/>
    <w:qFormat/>
    <w:uiPriority w:val="0"/>
    <w:pPr>
      <w:spacing w:line="360" w:lineRule="auto"/>
      <w:ind w:firstLine="560"/>
    </w:pPr>
    <w:rPr>
      <w:color w:val="000000"/>
    </w:rPr>
  </w:style>
  <w:style w:type="paragraph" w:customStyle="1" w:styleId="253">
    <w:name w:val="xl61"/>
    <w:basedOn w:val="1"/>
    <w:autoRedefine/>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hAnsi="宋体"/>
      <w:sz w:val="28"/>
      <w:szCs w:val="28"/>
    </w:rPr>
  </w:style>
  <w:style w:type="paragraph" w:customStyle="1" w:styleId="254">
    <w:name w:val="样式 四号 段后: 6 磅 行距: 1.5 倍行距"/>
    <w:basedOn w:val="1"/>
    <w:autoRedefine/>
    <w:qFormat/>
    <w:uiPriority w:val="0"/>
    <w:pPr>
      <w:spacing w:line="360" w:lineRule="auto"/>
      <w:ind w:firstLine="560" w:firstLineChars="200"/>
    </w:pPr>
  </w:style>
  <w:style w:type="paragraph" w:customStyle="1" w:styleId="255">
    <w:name w:val="font5"/>
    <w:basedOn w:val="1"/>
    <w:autoRedefine/>
    <w:qFormat/>
    <w:uiPriority w:val="0"/>
    <w:pPr>
      <w:widowControl/>
      <w:spacing w:beforeAutospacing="1" w:afterAutospacing="1"/>
      <w:jc w:val="left"/>
    </w:pPr>
    <w:rPr>
      <w:rFonts w:hint="eastAsia" w:hAnsi="宋体"/>
      <w:sz w:val="18"/>
      <w:szCs w:val="18"/>
    </w:rPr>
  </w:style>
  <w:style w:type="paragraph" w:customStyle="1" w:styleId="256">
    <w:name w:val="正文文本格式"/>
    <w:basedOn w:val="1"/>
    <w:autoRedefine/>
    <w:qFormat/>
    <w:uiPriority w:val="0"/>
    <w:pPr>
      <w:adjustRightInd w:val="0"/>
      <w:snapToGrid w:val="0"/>
      <w:spacing w:line="480" w:lineRule="exact"/>
      <w:ind w:firstLine="567"/>
    </w:pPr>
    <w:rPr>
      <w:snapToGrid w:val="0"/>
      <w:sz w:val="28"/>
      <w:szCs w:val="28"/>
    </w:rPr>
  </w:style>
  <w:style w:type="paragraph" w:customStyle="1" w:styleId="257">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hAnsi="宋体"/>
    </w:rPr>
  </w:style>
  <w:style w:type="paragraph" w:customStyle="1" w:styleId="258">
    <w:name w:val="样式 四号 黑色 行距: 1.5 倍行距1"/>
    <w:basedOn w:val="1"/>
    <w:autoRedefine/>
    <w:qFormat/>
    <w:uiPriority w:val="0"/>
    <w:pPr>
      <w:spacing w:line="360" w:lineRule="auto"/>
    </w:pPr>
    <w:rPr>
      <w:color w:val="000000"/>
    </w:rPr>
  </w:style>
  <w:style w:type="paragraph" w:customStyle="1" w:styleId="259">
    <w:name w:val="xl46"/>
    <w:basedOn w:val="1"/>
    <w:autoRedefine/>
    <w:qFormat/>
    <w:uiPriority w:val="0"/>
    <w:pPr>
      <w:widowControl/>
      <w:pBdr>
        <w:top w:val="single" w:color="auto" w:sz="4" w:space="0"/>
        <w:left w:val="single" w:color="auto" w:sz="4" w:space="0"/>
        <w:bottom w:val="single" w:color="auto" w:sz="4" w:space="0"/>
        <w:right w:val="single" w:color="auto" w:sz="8" w:space="0"/>
      </w:pBdr>
      <w:spacing w:beforeAutospacing="1" w:afterAutospacing="1"/>
      <w:jc w:val="left"/>
      <w:textAlignment w:val="center"/>
    </w:pPr>
    <w:rPr>
      <w:rFonts w:hint="eastAsia" w:hAnsi="宋体"/>
    </w:rPr>
  </w:style>
  <w:style w:type="paragraph" w:customStyle="1" w:styleId="260">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hAnsi="宋体"/>
    </w:rPr>
  </w:style>
  <w:style w:type="paragraph" w:customStyle="1" w:styleId="261">
    <w:name w:val="Body Text 21"/>
    <w:basedOn w:val="1"/>
    <w:autoRedefine/>
    <w:qFormat/>
    <w:uiPriority w:val="0"/>
    <w:pPr>
      <w:autoSpaceDE w:val="0"/>
      <w:autoSpaceDN w:val="0"/>
      <w:adjustRightInd w:val="0"/>
      <w:spacing w:line="500" w:lineRule="atLeast"/>
      <w:ind w:firstLine="480"/>
      <w:jc w:val="left"/>
      <w:textAlignment w:val="bottom"/>
    </w:pPr>
    <w:rPr>
      <w:sz w:val="28"/>
    </w:rPr>
  </w:style>
  <w:style w:type="paragraph" w:customStyle="1" w:styleId="262">
    <w:name w:val="样式 四号 首行缩进:  0.75 厘米 行距: 1.5 倍行距"/>
    <w:basedOn w:val="1"/>
    <w:autoRedefine/>
    <w:qFormat/>
    <w:uiPriority w:val="0"/>
    <w:pPr>
      <w:spacing w:line="360" w:lineRule="auto"/>
      <w:ind w:firstLine="425"/>
    </w:pPr>
  </w:style>
  <w:style w:type="paragraph" w:customStyle="1" w:styleId="263">
    <w:name w:val="正文文本 21"/>
    <w:basedOn w:val="1"/>
    <w:autoRedefine/>
    <w:qFormat/>
    <w:uiPriority w:val="0"/>
    <w:pPr>
      <w:widowControl/>
      <w:adjustRightInd w:val="0"/>
      <w:spacing w:line="360" w:lineRule="auto"/>
      <w:ind w:right="-1" w:firstLine="615"/>
      <w:jc w:val="left"/>
      <w:textAlignment w:val="baseline"/>
    </w:pPr>
    <w:rPr>
      <w:spacing w:val="8"/>
      <w:sz w:val="28"/>
    </w:rPr>
  </w:style>
  <w:style w:type="paragraph" w:customStyle="1" w:styleId="264">
    <w:name w:val="五级条标题"/>
    <w:basedOn w:val="77"/>
    <w:next w:val="6"/>
    <w:autoRedefine/>
    <w:qFormat/>
    <w:uiPriority w:val="0"/>
  </w:style>
  <w:style w:type="paragraph" w:customStyle="1" w:styleId="265">
    <w:name w:val="样式 四号 左侧:  1 厘米 行距: 1.5 倍行距"/>
    <w:basedOn w:val="1"/>
    <w:autoRedefine/>
    <w:qFormat/>
    <w:uiPriority w:val="0"/>
    <w:pPr>
      <w:spacing w:line="360" w:lineRule="auto"/>
      <w:ind w:left="567"/>
    </w:pPr>
  </w:style>
  <w:style w:type="paragraph" w:customStyle="1" w:styleId="266">
    <w:name w:val="正文+段落"/>
    <w:basedOn w:val="204"/>
    <w:link w:val="325"/>
    <w:autoRedefine/>
    <w:qFormat/>
    <w:uiPriority w:val="0"/>
    <w:pPr>
      <w:ind w:firstLine="480"/>
    </w:pPr>
  </w:style>
  <w:style w:type="paragraph" w:customStyle="1" w:styleId="267">
    <w:name w:val="肖-正文-缩2"/>
    <w:basedOn w:val="1"/>
    <w:autoRedefine/>
    <w:qFormat/>
    <w:uiPriority w:val="0"/>
    <w:pPr>
      <w:spacing w:line="500" w:lineRule="exact"/>
      <w:ind w:firstLine="200" w:firstLineChars="200"/>
    </w:pPr>
    <w:rPr>
      <w:rFonts w:hAnsi="宋体" w:cs="宋体"/>
      <w:color w:val="000000"/>
    </w:rPr>
  </w:style>
  <w:style w:type="paragraph" w:customStyle="1" w:styleId="268">
    <w:name w:val="xl90"/>
    <w:basedOn w:val="1"/>
    <w:autoRedefine/>
    <w:qFormat/>
    <w:uiPriority w:val="0"/>
    <w:pPr>
      <w:widowControl/>
      <w:pBdr>
        <w:left w:val="single" w:color="auto" w:sz="4" w:space="0"/>
        <w:right w:val="single" w:color="auto" w:sz="8" w:space="0"/>
      </w:pBdr>
      <w:spacing w:beforeAutospacing="1" w:afterAutospacing="1"/>
      <w:jc w:val="center"/>
      <w:textAlignment w:val="center"/>
    </w:pPr>
    <w:rPr>
      <w:rFonts w:hint="eastAsia" w:hAnsi="宋体"/>
    </w:rPr>
  </w:style>
  <w:style w:type="character" w:customStyle="1" w:styleId="269">
    <w:name w:val="h2 Char"/>
    <w:basedOn w:val="54"/>
    <w:autoRedefine/>
    <w:qFormat/>
    <w:uiPriority w:val="0"/>
    <w:rPr>
      <w:rFonts w:ascii="Arial" w:hAnsi="Arial" w:eastAsia="黑体"/>
      <w:b/>
      <w:bCs/>
      <w:kern w:val="2"/>
      <w:sz w:val="32"/>
      <w:szCs w:val="32"/>
      <w:lang w:val="en-US" w:eastAsia="zh-CN" w:bidi="ar-SA"/>
    </w:rPr>
  </w:style>
  <w:style w:type="character" w:customStyle="1" w:styleId="270">
    <w:name w:val="纯文本 Char"/>
    <w:link w:val="29"/>
    <w:autoRedefine/>
    <w:qFormat/>
    <w:uiPriority w:val="0"/>
    <w:rPr>
      <w:rFonts w:ascii="宋体" w:hAnsi="Courier New"/>
      <w:kern w:val="2"/>
      <w:sz w:val="28"/>
    </w:rPr>
  </w:style>
  <w:style w:type="character" w:customStyle="1" w:styleId="271">
    <w:name w:val="正文文本 + Angsana New"/>
    <w:basedOn w:val="272"/>
    <w:autoRedefine/>
    <w:unhideWhenUsed/>
    <w:qFormat/>
    <w:uiPriority w:val="99"/>
    <w:rPr>
      <w:rFonts w:hint="eastAsia" w:ascii="Angsana New" w:hAnsi="Angsana New" w:eastAsia="Angsana New"/>
      <w:sz w:val="70"/>
    </w:rPr>
  </w:style>
  <w:style w:type="character" w:customStyle="1" w:styleId="272">
    <w:name w:val="正文文本_"/>
    <w:basedOn w:val="54"/>
    <w:link w:val="234"/>
    <w:autoRedefine/>
    <w:unhideWhenUsed/>
    <w:qFormat/>
    <w:uiPriority w:val="99"/>
    <w:rPr>
      <w:rFonts w:hint="eastAsia" w:ascii="MingLiU" w:hAnsi="MingLiU" w:eastAsia="MingLiU"/>
      <w:sz w:val="29"/>
    </w:rPr>
  </w:style>
  <w:style w:type="character" w:customStyle="1" w:styleId="273">
    <w:name w:val="unnamed11"/>
    <w:basedOn w:val="54"/>
    <w:autoRedefine/>
    <w:qFormat/>
    <w:uiPriority w:val="0"/>
  </w:style>
  <w:style w:type="character" w:customStyle="1" w:styleId="274">
    <w:name w:val="正文缩进 Char"/>
    <w:link w:val="10"/>
    <w:autoRedefine/>
    <w:qFormat/>
    <w:uiPriority w:val="0"/>
    <w:rPr>
      <w:rFonts w:eastAsia="宋体"/>
      <w:kern w:val="2"/>
      <w:sz w:val="21"/>
      <w:szCs w:val="24"/>
      <w:lang w:val="en-US" w:eastAsia="zh-CN" w:bidi="ar-SA"/>
    </w:rPr>
  </w:style>
  <w:style w:type="character" w:customStyle="1" w:styleId="275">
    <w:name w:val="样式 样式 首行缩进:  0.8厘米 + 右侧:  2 字符 Char Char"/>
    <w:basedOn w:val="276"/>
    <w:link w:val="90"/>
    <w:autoRedefine/>
    <w:qFormat/>
    <w:uiPriority w:val="0"/>
    <w:rPr>
      <w:rFonts w:eastAsia="宋体"/>
      <w:snapToGrid w:val="0"/>
      <w:sz w:val="24"/>
      <w:lang w:val="en-US" w:eastAsia="zh-CN" w:bidi="ar-SA"/>
    </w:rPr>
  </w:style>
  <w:style w:type="character" w:customStyle="1" w:styleId="276">
    <w:name w:val="样式 首行缩进:  0.8厘米 Char Char"/>
    <w:basedOn w:val="54"/>
    <w:link w:val="91"/>
    <w:autoRedefine/>
    <w:qFormat/>
    <w:uiPriority w:val="0"/>
    <w:rPr>
      <w:rFonts w:eastAsia="宋体"/>
      <w:snapToGrid w:val="0"/>
      <w:sz w:val="24"/>
      <w:lang w:val="en-US" w:eastAsia="zh-CN" w:bidi="ar-SA"/>
    </w:rPr>
  </w:style>
  <w:style w:type="character" w:customStyle="1" w:styleId="277">
    <w:name w:val="标题 2 Char1 Char Char Char"/>
    <w:basedOn w:val="54"/>
    <w:autoRedefine/>
    <w:qFormat/>
    <w:uiPriority w:val="0"/>
    <w:rPr>
      <w:rFonts w:ascii="Arial" w:hAnsi="Arial" w:eastAsia="黑体"/>
      <w:b/>
      <w:bCs/>
      <w:kern w:val="2"/>
      <w:sz w:val="32"/>
      <w:szCs w:val="32"/>
      <w:lang w:val="en-US" w:eastAsia="zh-CN" w:bidi="ar-SA"/>
    </w:rPr>
  </w:style>
  <w:style w:type="character" w:customStyle="1" w:styleId="278">
    <w:name w:val="p21"/>
    <w:basedOn w:val="54"/>
    <w:autoRedefine/>
    <w:qFormat/>
    <w:uiPriority w:val="0"/>
    <w:rPr>
      <w:sz w:val="18"/>
      <w:szCs w:val="18"/>
    </w:rPr>
  </w:style>
  <w:style w:type="character" w:customStyle="1" w:styleId="279">
    <w:name w:val="正文 Char Char"/>
    <w:link w:val="218"/>
    <w:autoRedefine/>
    <w:qFormat/>
    <w:uiPriority w:val="0"/>
    <w:rPr>
      <w:rFonts w:cs="宋体"/>
      <w:kern w:val="2"/>
      <w:sz w:val="28"/>
      <w:szCs w:val="28"/>
    </w:rPr>
  </w:style>
  <w:style w:type="character" w:customStyle="1" w:styleId="280">
    <w:name w:val="日期 Char"/>
    <w:link w:val="31"/>
    <w:autoRedefine/>
    <w:qFormat/>
    <w:uiPriority w:val="0"/>
    <w:rPr>
      <w:sz w:val="24"/>
    </w:rPr>
  </w:style>
  <w:style w:type="character" w:customStyle="1" w:styleId="281">
    <w:name w:val="样式 四号2"/>
    <w:basedOn w:val="54"/>
    <w:autoRedefine/>
    <w:qFormat/>
    <w:uiPriority w:val="0"/>
    <w:rPr>
      <w:sz w:val="24"/>
    </w:rPr>
  </w:style>
  <w:style w:type="character" w:customStyle="1" w:styleId="282">
    <w:name w:val="款标题1.1.1.1 Char"/>
    <w:basedOn w:val="54"/>
    <w:autoRedefine/>
    <w:qFormat/>
    <w:uiPriority w:val="0"/>
    <w:rPr>
      <w:rFonts w:ascii="Arial" w:hAnsi="Arial" w:eastAsia="黑体"/>
      <w:b/>
      <w:bCs/>
      <w:kern w:val="2"/>
      <w:sz w:val="28"/>
      <w:szCs w:val="28"/>
      <w:lang w:val="en-US" w:eastAsia="zh-CN" w:bidi="ar-SA"/>
    </w:rPr>
  </w:style>
  <w:style w:type="character" w:customStyle="1" w:styleId="283">
    <w:name w:val="样式 宋体 四号 黑色1"/>
    <w:basedOn w:val="54"/>
    <w:autoRedefine/>
    <w:qFormat/>
    <w:uiPriority w:val="0"/>
    <w:rPr>
      <w:rFonts w:ascii="宋体" w:hAnsi="宋体"/>
      <w:color w:val="000000"/>
      <w:sz w:val="24"/>
    </w:rPr>
  </w:style>
  <w:style w:type="character" w:customStyle="1" w:styleId="284">
    <w:name w:val="article1"/>
    <w:basedOn w:val="54"/>
    <w:autoRedefine/>
    <w:qFormat/>
    <w:uiPriority w:val="0"/>
    <w:rPr>
      <w:b/>
      <w:bCs/>
      <w:smallCaps/>
      <w:color w:val="FF0000"/>
      <w:sz w:val="43"/>
      <w:szCs w:val="43"/>
    </w:rPr>
  </w:style>
  <w:style w:type="character" w:customStyle="1" w:styleId="285">
    <w:name w:val="正文3 Char Char"/>
    <w:link w:val="103"/>
    <w:autoRedefine/>
    <w:qFormat/>
    <w:uiPriority w:val="0"/>
    <w:rPr>
      <w:rFonts w:cs="宋体"/>
      <w:kern w:val="2"/>
      <w:sz w:val="28"/>
      <w:szCs w:val="28"/>
    </w:rPr>
  </w:style>
  <w:style w:type="character" w:customStyle="1" w:styleId="286">
    <w:name w:val="正文文本 Char"/>
    <w:basedOn w:val="54"/>
    <w:link w:val="23"/>
    <w:autoRedefine/>
    <w:qFormat/>
    <w:uiPriority w:val="0"/>
    <w:rPr>
      <w:rFonts w:eastAsia="宋体"/>
      <w:kern w:val="2"/>
      <w:sz w:val="21"/>
      <w:szCs w:val="24"/>
      <w:lang w:val="en-US" w:eastAsia="zh-CN" w:bidi="ar-SA"/>
    </w:rPr>
  </w:style>
  <w:style w:type="character" w:customStyle="1" w:styleId="287">
    <w:name w:val="标题 2 Char"/>
    <w:link w:val="5"/>
    <w:autoRedefine/>
    <w:qFormat/>
    <w:uiPriority w:val="0"/>
    <w:rPr>
      <w:rFonts w:ascii="楷体" w:hAnsi="楷体" w:eastAsia="楷体"/>
      <w:b/>
      <w:bCs/>
      <w:sz w:val="32"/>
      <w:szCs w:val="32"/>
    </w:rPr>
  </w:style>
  <w:style w:type="character" w:customStyle="1" w:styleId="288">
    <w:name w:val="ttitle1"/>
    <w:autoRedefine/>
    <w:qFormat/>
    <w:uiPriority w:val="0"/>
    <w:rPr>
      <w:spacing w:val="120"/>
      <w:sz w:val="21"/>
      <w:szCs w:val="21"/>
    </w:rPr>
  </w:style>
  <w:style w:type="character" w:customStyle="1" w:styleId="289">
    <w:name w:val="标题 1 Char"/>
    <w:basedOn w:val="54"/>
    <w:link w:val="4"/>
    <w:autoRedefine/>
    <w:qFormat/>
    <w:uiPriority w:val="0"/>
    <w:rPr>
      <w:rFonts w:ascii="黑体" w:hAnsi="黑体" w:eastAsia="黑体"/>
      <w:b/>
      <w:bCs/>
      <w:kern w:val="44"/>
      <w:sz w:val="36"/>
      <w:szCs w:val="36"/>
    </w:rPr>
  </w:style>
  <w:style w:type="character" w:customStyle="1" w:styleId="290">
    <w:name w:val="样式 宋体 四号 黑色2"/>
    <w:basedOn w:val="54"/>
    <w:autoRedefine/>
    <w:qFormat/>
    <w:uiPriority w:val="0"/>
    <w:rPr>
      <w:rFonts w:ascii="宋体" w:hAnsi="宋体"/>
      <w:color w:val="000000"/>
      <w:sz w:val="24"/>
    </w:rPr>
  </w:style>
  <w:style w:type="character" w:customStyle="1" w:styleId="291">
    <w:name w:val="样式 样式 样式 首行缩进:  0.8厘米 + 右侧:  2 字符 + 左侧:  2 字符 Char Char"/>
    <w:basedOn w:val="275"/>
    <w:link w:val="204"/>
    <w:autoRedefine/>
    <w:qFormat/>
    <w:uiPriority w:val="0"/>
    <w:rPr>
      <w:rFonts w:eastAsia="宋体"/>
      <w:snapToGrid w:val="0"/>
      <w:sz w:val="24"/>
      <w:lang w:val="en-US" w:eastAsia="zh-CN" w:bidi="ar-SA"/>
    </w:rPr>
  </w:style>
  <w:style w:type="character" w:customStyle="1" w:styleId="292">
    <w:name w:val="font21"/>
    <w:autoRedefine/>
    <w:qFormat/>
    <w:uiPriority w:val="0"/>
    <w:rPr>
      <w:rFonts w:hint="default" w:ascii="Times New Roman" w:hAnsi="Times New Roman" w:cs="Times New Roman"/>
      <w:color w:val="000000"/>
      <w:sz w:val="21"/>
      <w:szCs w:val="21"/>
      <w:u w:val="none"/>
    </w:rPr>
  </w:style>
  <w:style w:type="character" w:customStyle="1" w:styleId="293">
    <w:name w:val="样式 宋体 四号1"/>
    <w:basedOn w:val="54"/>
    <w:autoRedefine/>
    <w:qFormat/>
    <w:uiPriority w:val="0"/>
    <w:rPr>
      <w:rFonts w:ascii="宋体" w:hAnsi="宋体"/>
      <w:spacing w:val="8"/>
      <w:kern w:val="24"/>
      <w:sz w:val="24"/>
    </w:rPr>
  </w:style>
  <w:style w:type="character" w:customStyle="1" w:styleId="294">
    <w:name w:val="3 Char"/>
    <w:basedOn w:val="54"/>
    <w:autoRedefine/>
    <w:qFormat/>
    <w:uiPriority w:val="0"/>
    <w:rPr>
      <w:rFonts w:eastAsia="宋体"/>
      <w:b/>
      <w:bCs/>
      <w:kern w:val="2"/>
      <w:sz w:val="32"/>
      <w:szCs w:val="32"/>
      <w:lang w:val="en-US" w:eastAsia="zh-CN" w:bidi="ar-SA"/>
    </w:rPr>
  </w:style>
  <w:style w:type="character" w:customStyle="1" w:styleId="295">
    <w:name w:val="正文文本 3 Char"/>
    <w:link w:val="22"/>
    <w:autoRedefine/>
    <w:qFormat/>
    <w:uiPriority w:val="0"/>
    <w:rPr>
      <w:kern w:val="2"/>
      <w:sz w:val="16"/>
      <w:szCs w:val="16"/>
    </w:rPr>
  </w:style>
  <w:style w:type="character" w:customStyle="1" w:styleId="296">
    <w:name w:val="样式 宋体 四号 黑色3"/>
    <w:basedOn w:val="54"/>
    <w:autoRedefine/>
    <w:qFormat/>
    <w:uiPriority w:val="0"/>
    <w:rPr>
      <w:rFonts w:ascii="宋体" w:hAnsi="宋体"/>
      <w:color w:val="000000"/>
      <w:sz w:val="24"/>
    </w:rPr>
  </w:style>
  <w:style w:type="character" w:customStyle="1" w:styleId="297">
    <w:name w:val="标题1"/>
    <w:basedOn w:val="54"/>
    <w:autoRedefine/>
    <w:qFormat/>
    <w:uiPriority w:val="0"/>
    <w:rPr>
      <w:rFonts w:eastAsia="隶书"/>
      <w:b/>
      <w:sz w:val="44"/>
    </w:rPr>
  </w:style>
  <w:style w:type="character" w:customStyle="1" w:styleId="298">
    <w:name w:val="apple-converted-space"/>
    <w:basedOn w:val="54"/>
    <w:autoRedefine/>
    <w:qFormat/>
    <w:uiPriority w:val="0"/>
  </w:style>
  <w:style w:type="character" w:customStyle="1" w:styleId="299">
    <w:name w:val="f3"/>
    <w:basedOn w:val="54"/>
    <w:autoRedefine/>
    <w:qFormat/>
    <w:uiPriority w:val="0"/>
  </w:style>
  <w:style w:type="character" w:customStyle="1" w:styleId="300">
    <w:name w:val="keyword-span-wrap"/>
    <w:basedOn w:val="54"/>
    <w:autoRedefine/>
    <w:qFormat/>
    <w:uiPriority w:val="0"/>
    <w:rPr>
      <w:color w:val="19A97B"/>
    </w:rPr>
  </w:style>
  <w:style w:type="character" w:customStyle="1" w:styleId="301">
    <w:name w:val="正文+段落 Char Char"/>
    <w:basedOn w:val="54"/>
    <w:autoRedefine/>
    <w:qFormat/>
    <w:uiPriority w:val="0"/>
    <w:rPr>
      <w:rFonts w:eastAsia="宋体"/>
      <w:snapToGrid w:val="0"/>
      <w:sz w:val="24"/>
      <w:lang w:val="en-US" w:eastAsia="zh-CN" w:bidi="ar-SA"/>
    </w:rPr>
  </w:style>
  <w:style w:type="character" w:customStyle="1" w:styleId="302">
    <w:name w:val="样式 宋体 四号"/>
    <w:basedOn w:val="54"/>
    <w:autoRedefine/>
    <w:qFormat/>
    <w:uiPriority w:val="0"/>
    <w:rPr>
      <w:rFonts w:ascii="宋体" w:hAnsi="宋体"/>
      <w:sz w:val="24"/>
    </w:rPr>
  </w:style>
  <w:style w:type="character" w:customStyle="1" w:styleId="303">
    <w:name w:val="fn org"/>
    <w:basedOn w:val="54"/>
    <w:autoRedefine/>
    <w:qFormat/>
    <w:uiPriority w:val="0"/>
  </w:style>
  <w:style w:type="character" w:customStyle="1" w:styleId="304">
    <w:name w:val="3级标题"/>
    <w:basedOn w:val="54"/>
    <w:autoRedefine/>
    <w:qFormat/>
    <w:uiPriority w:val="0"/>
    <w:rPr>
      <w:b/>
      <w:sz w:val="28"/>
    </w:rPr>
  </w:style>
  <w:style w:type="character" w:customStyle="1" w:styleId="305">
    <w:name w:val="标题 1 Char Char"/>
    <w:basedOn w:val="54"/>
    <w:autoRedefine/>
    <w:qFormat/>
    <w:uiPriority w:val="0"/>
    <w:rPr>
      <w:rFonts w:eastAsia="宋体"/>
      <w:b/>
      <w:snapToGrid w:val="0"/>
      <w:sz w:val="32"/>
      <w:lang w:val="en-US" w:eastAsia="zh-CN"/>
    </w:rPr>
  </w:style>
  <w:style w:type="character" w:customStyle="1" w:styleId="306">
    <w:name w:val="fontstrikethrough"/>
    <w:basedOn w:val="54"/>
    <w:autoRedefine/>
    <w:qFormat/>
    <w:uiPriority w:val="0"/>
    <w:rPr>
      <w:strike/>
    </w:rPr>
  </w:style>
  <w:style w:type="character" w:customStyle="1" w:styleId="307">
    <w:name w:val="fontborder"/>
    <w:basedOn w:val="54"/>
    <w:autoRedefine/>
    <w:qFormat/>
    <w:uiPriority w:val="0"/>
    <w:rPr>
      <w:bdr w:val="single" w:color="000000" w:sz="6" w:space="0"/>
    </w:rPr>
  </w:style>
  <w:style w:type="character" w:customStyle="1" w:styleId="308">
    <w:name w:val="正文6"/>
    <w:autoRedefine/>
    <w:qFormat/>
    <w:uiPriority w:val="0"/>
    <w:rPr>
      <w:rFonts w:ascii="Times New Roman" w:hAnsi="Times New Roman" w:eastAsia="宋体"/>
      <w:spacing w:val="0"/>
      <w:w w:val="100"/>
      <w:position w:val="0"/>
      <w:sz w:val="28"/>
      <w:szCs w:val="28"/>
    </w:rPr>
  </w:style>
  <w:style w:type="character" w:customStyle="1" w:styleId="309">
    <w:name w:val="apple-style-span"/>
    <w:basedOn w:val="54"/>
    <w:autoRedefine/>
    <w:qFormat/>
    <w:uiPriority w:val="0"/>
  </w:style>
  <w:style w:type="character" w:customStyle="1" w:styleId="310">
    <w:name w:val="font11"/>
    <w:autoRedefine/>
    <w:qFormat/>
    <w:uiPriority w:val="0"/>
    <w:rPr>
      <w:rFonts w:hint="eastAsia" w:ascii="宋体" w:hAnsi="宋体" w:eastAsia="宋体"/>
      <w:color w:val="000000"/>
      <w:sz w:val="21"/>
      <w:szCs w:val="21"/>
      <w:u w:val="none"/>
    </w:rPr>
  </w:style>
  <w:style w:type="character" w:customStyle="1" w:styleId="311">
    <w:name w:val="样式 四号 黑色"/>
    <w:basedOn w:val="54"/>
    <w:autoRedefine/>
    <w:qFormat/>
    <w:uiPriority w:val="0"/>
    <w:rPr>
      <w:color w:val="000000"/>
      <w:sz w:val="24"/>
    </w:rPr>
  </w:style>
  <w:style w:type="character" w:customStyle="1" w:styleId="312">
    <w:name w:val="标题 3 Char1 Char"/>
    <w:autoRedefine/>
    <w:qFormat/>
    <w:uiPriority w:val="0"/>
    <w:rPr>
      <w:b/>
      <w:bCs/>
      <w:sz w:val="32"/>
      <w:szCs w:val="32"/>
    </w:rPr>
  </w:style>
  <w:style w:type="character" w:customStyle="1" w:styleId="313">
    <w:name w:val="样式 四号"/>
    <w:autoRedefine/>
    <w:qFormat/>
    <w:uiPriority w:val="0"/>
    <w:rPr>
      <w:rFonts w:eastAsia="宋体"/>
      <w:sz w:val="28"/>
    </w:rPr>
  </w:style>
  <w:style w:type="character" w:customStyle="1" w:styleId="314">
    <w:name w:val="标题 Char"/>
    <w:link w:val="48"/>
    <w:autoRedefine/>
    <w:qFormat/>
    <w:uiPriority w:val="0"/>
    <w:rPr>
      <w:rFonts w:eastAsia="宋体"/>
      <w:lang w:bidi="ar-SA"/>
    </w:rPr>
  </w:style>
  <w:style w:type="character" w:customStyle="1" w:styleId="315">
    <w:name w:val="样式 四号 黑色1"/>
    <w:basedOn w:val="54"/>
    <w:autoRedefine/>
    <w:qFormat/>
    <w:uiPriority w:val="0"/>
    <w:rPr>
      <w:color w:val="000000"/>
      <w:kern w:val="0"/>
      <w:sz w:val="24"/>
    </w:rPr>
  </w:style>
  <w:style w:type="character" w:customStyle="1" w:styleId="316">
    <w:name w:val="sh141"/>
    <w:autoRedefine/>
    <w:qFormat/>
    <w:uiPriority w:val="0"/>
    <w:rPr>
      <w:color w:val="2B2B2B"/>
      <w:sz w:val="21"/>
      <w:szCs w:val="21"/>
    </w:rPr>
  </w:style>
  <w:style w:type="character" w:customStyle="1" w:styleId="317">
    <w:name w:val="标题 3 Char Char"/>
    <w:basedOn w:val="54"/>
    <w:autoRedefine/>
    <w:qFormat/>
    <w:uiPriority w:val="0"/>
    <w:rPr>
      <w:rFonts w:eastAsia="宋体"/>
      <w:b/>
      <w:bCs/>
      <w:kern w:val="2"/>
      <w:sz w:val="28"/>
      <w:szCs w:val="32"/>
      <w:lang w:val="en-US" w:eastAsia="zh-CN" w:bidi="ar-SA"/>
    </w:rPr>
  </w:style>
  <w:style w:type="character" w:customStyle="1" w:styleId="318">
    <w:name w:val="正文文本 + Angsana New1"/>
    <w:basedOn w:val="272"/>
    <w:autoRedefine/>
    <w:unhideWhenUsed/>
    <w:qFormat/>
    <w:uiPriority w:val="99"/>
    <w:rPr>
      <w:rFonts w:hint="eastAsia" w:ascii="Angsana New" w:hAnsi="Angsana New" w:eastAsia="Angsana New"/>
      <w:b/>
      <w:w w:val="75"/>
      <w:sz w:val="47"/>
    </w:rPr>
  </w:style>
  <w:style w:type="character" w:customStyle="1" w:styleId="319">
    <w:name w:val="标题 4 Char"/>
    <w:link w:val="7"/>
    <w:autoRedefine/>
    <w:qFormat/>
    <w:uiPriority w:val="0"/>
    <w:rPr>
      <w:rFonts w:ascii="黑体" w:hAnsi="黑体" w:eastAsia="黑体"/>
      <w:b/>
      <w:bCs/>
      <w:kern w:val="2"/>
      <w:sz w:val="28"/>
      <w:szCs w:val="28"/>
    </w:rPr>
  </w:style>
  <w:style w:type="paragraph" w:styleId="320">
    <w:name w:val="List Paragraph"/>
    <w:basedOn w:val="1"/>
    <w:autoRedefine/>
    <w:unhideWhenUsed/>
    <w:qFormat/>
    <w:uiPriority w:val="99"/>
    <w:pPr>
      <w:ind w:firstLine="420" w:firstLineChars="200"/>
    </w:pPr>
  </w:style>
  <w:style w:type="character" w:customStyle="1" w:styleId="321">
    <w:name w:val="文档结构图 Char"/>
    <w:basedOn w:val="54"/>
    <w:link w:val="18"/>
    <w:autoRedefine/>
    <w:qFormat/>
    <w:uiPriority w:val="0"/>
    <w:rPr>
      <w:rFonts w:ascii="宋体"/>
      <w:sz w:val="18"/>
      <w:szCs w:val="18"/>
    </w:rPr>
  </w:style>
  <w:style w:type="character" w:customStyle="1" w:styleId="322">
    <w:name w:val="Page Number1"/>
    <w:autoRedefine/>
    <w:unhideWhenUsed/>
    <w:qFormat/>
    <w:uiPriority w:val="0"/>
    <w:rPr>
      <w:rFonts w:hint="default" w:ascii="Times New Roman" w:hAnsi="Times New Roman" w:eastAsia="宋体"/>
      <w:sz w:val="24"/>
    </w:rPr>
  </w:style>
  <w:style w:type="paragraph" w:customStyle="1" w:styleId="323">
    <w:name w:val="WPS Plain"/>
    <w:autoRedefine/>
    <w:qFormat/>
    <w:uiPriority w:val="0"/>
    <w:rPr>
      <w:rFonts w:ascii="Times New Roman" w:hAnsi="Times New Roman" w:eastAsia="宋体" w:cs="Times New Roman"/>
      <w:lang w:val="en-US" w:eastAsia="zh-CN" w:bidi="ar-SA"/>
    </w:rPr>
  </w:style>
  <w:style w:type="paragraph" w:customStyle="1" w:styleId="324">
    <w:name w:val="样式 首行缩进:  2 字符"/>
    <w:basedOn w:val="1"/>
    <w:autoRedefine/>
    <w:qFormat/>
    <w:uiPriority w:val="0"/>
    <w:pPr>
      <w:spacing w:line="360" w:lineRule="auto"/>
      <w:ind w:firstLine="560" w:firstLineChars="200"/>
    </w:pPr>
    <w:rPr>
      <w:rFonts w:ascii="Times New Roman" w:cs="宋体"/>
      <w:sz w:val="28"/>
    </w:rPr>
  </w:style>
  <w:style w:type="character" w:customStyle="1" w:styleId="325">
    <w:name w:val="正文+段落 Char"/>
    <w:basedOn w:val="54"/>
    <w:link w:val="266"/>
    <w:autoRedefine/>
    <w:qFormat/>
    <w:uiPriority w:val="0"/>
    <w:rPr>
      <w:rFonts w:eastAsia="宋体"/>
      <w:snapToGrid w:val="0"/>
      <w:sz w:val="24"/>
      <w:lang w:val="en-US" w:eastAsia="zh-CN" w:bidi="ar-SA"/>
    </w:rPr>
  </w:style>
  <w:style w:type="paragraph" w:customStyle="1" w:styleId="326">
    <w:name w:val="样式 标题4A"/>
    <w:basedOn w:val="7"/>
    <w:autoRedefine/>
    <w:qFormat/>
    <w:uiPriority w:val="0"/>
    <w:pPr>
      <w:spacing w:beforeLines="50" w:afterLines="50"/>
    </w:pPr>
    <w:rPr>
      <w:rFonts w:eastAsia="宋体" w:cs="宋体"/>
      <w:color w:val="000000"/>
    </w:rPr>
  </w:style>
  <w:style w:type="paragraph" w:customStyle="1" w:styleId="327">
    <w:name w:val="中文报告书"/>
    <w:basedOn w:val="1"/>
    <w:autoRedefine/>
    <w:qFormat/>
    <w:uiPriority w:val="0"/>
    <w:pPr>
      <w:adjustRightInd w:val="0"/>
      <w:spacing w:after="80" w:line="420" w:lineRule="atLeast"/>
      <w:jc w:val="left"/>
      <w:textAlignment w:val="baseline"/>
    </w:pPr>
    <w:rPr>
      <w:rFonts w:ascii="Times New Roman"/>
      <w:kern w:val="2"/>
    </w:rPr>
  </w:style>
  <w:style w:type="paragraph" w:customStyle="1" w:styleId="328">
    <w:name w:val="样式 宋体 加粗 首行缩进:  0.99 厘米 行距: 1.5 倍行距"/>
    <w:basedOn w:val="1"/>
    <w:autoRedefine/>
    <w:qFormat/>
    <w:uiPriority w:val="0"/>
    <w:pPr>
      <w:adjustRightInd w:val="0"/>
      <w:snapToGrid w:val="0"/>
      <w:spacing w:line="360" w:lineRule="auto"/>
      <w:ind w:firstLine="480" w:firstLineChars="200"/>
    </w:pPr>
    <w:rPr>
      <w:rFonts w:hAnsi="宋体" w:cs="宋体"/>
      <w:b/>
      <w:bCs/>
      <w:kern w:val="2"/>
      <w:szCs w:val="24"/>
    </w:rPr>
  </w:style>
  <w:style w:type="paragraph" w:customStyle="1" w:styleId="329">
    <w:name w:val="--"/>
    <w:basedOn w:val="1"/>
    <w:autoRedefine/>
    <w:qFormat/>
    <w:uiPriority w:val="0"/>
    <w:pPr>
      <w:widowControl/>
      <w:snapToGrid w:val="0"/>
      <w:spacing w:before="100" w:beforeAutospacing="1" w:after="100" w:afterAutospacing="1"/>
      <w:jc w:val="left"/>
    </w:pPr>
    <w:rPr>
      <w:rFonts w:hAnsi="宋体"/>
      <w:color w:val="000000"/>
      <w:sz w:val="28"/>
      <w:szCs w:val="28"/>
    </w:rPr>
  </w:style>
  <w:style w:type="paragraph" w:customStyle="1" w:styleId="330">
    <w:name w:val="列出段落2"/>
    <w:basedOn w:val="1"/>
    <w:autoRedefine/>
    <w:qFormat/>
    <w:uiPriority w:val="99"/>
    <w:pPr>
      <w:ind w:firstLine="420" w:firstLineChars="200"/>
    </w:pPr>
    <w:rPr>
      <w:rFonts w:ascii="Calibri" w:hAnsi="Calibri" w:cs="Calibri"/>
      <w:kern w:val="2"/>
      <w:sz w:val="21"/>
      <w:szCs w:val="21"/>
    </w:rPr>
  </w:style>
  <w:style w:type="paragraph" w:customStyle="1" w:styleId="331">
    <w:name w:val="默认段落字体 Para Char Char Char Char Char Char Char"/>
    <w:basedOn w:val="1"/>
    <w:autoRedefine/>
    <w:qFormat/>
    <w:uiPriority w:val="0"/>
    <w:pPr>
      <w:adjustRightInd w:val="0"/>
      <w:textAlignment w:val="baseline"/>
    </w:pPr>
    <w:rPr>
      <w:rFonts w:ascii="Verdana" w:hAnsi="Verdana"/>
      <w:b/>
      <w:bCs/>
      <w:kern w:val="2"/>
      <w:lang w:eastAsia="en-US"/>
    </w:rPr>
  </w:style>
  <w:style w:type="character" w:customStyle="1" w:styleId="332">
    <w:name w:val="页脚 Char"/>
    <w:basedOn w:val="54"/>
    <w:link w:val="34"/>
    <w:autoRedefine/>
    <w:qFormat/>
    <w:uiPriority w:val="0"/>
    <w:rPr>
      <w:rFonts w:ascii="宋体"/>
      <w:sz w:val="18"/>
      <w:szCs w:val="18"/>
    </w:rPr>
  </w:style>
  <w:style w:type="paragraph" w:customStyle="1" w:styleId="333">
    <w:name w:val="简单回函地址"/>
    <w:basedOn w:val="1"/>
    <w:autoRedefine/>
    <w:qFormat/>
    <w:uiPriority w:val="0"/>
  </w:style>
  <w:style w:type="character" w:customStyle="1" w:styleId="334">
    <w:name w:val="time01"/>
    <w:basedOn w:val="54"/>
    <w:autoRedefine/>
    <w:qFormat/>
    <w:uiPriority w:val="0"/>
    <w:rPr>
      <w:color w:val="999999"/>
    </w:rPr>
  </w:style>
  <w:style w:type="character" w:customStyle="1" w:styleId="335">
    <w:name w:val="order"/>
    <w:basedOn w:val="54"/>
    <w:autoRedefine/>
    <w:qFormat/>
    <w:uiPriority w:val="0"/>
  </w:style>
  <w:style w:type="character" w:customStyle="1" w:styleId="336">
    <w:name w:val="order1"/>
    <w:basedOn w:val="54"/>
    <w:autoRedefine/>
    <w:qFormat/>
    <w:uiPriority w:val="0"/>
  </w:style>
  <w:style w:type="character" w:customStyle="1" w:styleId="337">
    <w:name w:val="xmt"/>
    <w:basedOn w:val="54"/>
    <w:autoRedefine/>
    <w:qFormat/>
    <w:uiPriority w:val="0"/>
  </w:style>
  <w:style w:type="character" w:customStyle="1" w:styleId="338">
    <w:name w:val="cur"/>
    <w:basedOn w:val="54"/>
    <w:autoRedefine/>
    <w:qFormat/>
    <w:uiPriority w:val="0"/>
    <w:rPr>
      <w:color w:val="06355B"/>
    </w:rPr>
  </w:style>
  <w:style w:type="character" w:customStyle="1" w:styleId="339">
    <w:name w:val="cur1"/>
    <w:basedOn w:val="54"/>
    <w:autoRedefine/>
    <w:qFormat/>
    <w:uiPriority w:val="0"/>
    <w:rPr>
      <w:color w:val="06355B"/>
    </w:rPr>
  </w:style>
  <w:style w:type="character" w:customStyle="1" w:styleId="340">
    <w:name w:val="cur2"/>
    <w:basedOn w:val="54"/>
    <w:autoRedefine/>
    <w:qFormat/>
    <w:uiPriority w:val="0"/>
    <w:rPr>
      <w:color w:val="00558E"/>
    </w:rPr>
  </w:style>
  <w:style w:type="character" w:customStyle="1" w:styleId="341">
    <w:name w:val="cur3"/>
    <w:basedOn w:val="54"/>
    <w:autoRedefine/>
    <w:qFormat/>
    <w:uiPriority w:val="0"/>
    <w:rPr>
      <w:color w:val="FFFFFF"/>
      <w:shd w:val="clear" w:color="auto" w:fill="4B97D0"/>
    </w:rPr>
  </w:style>
  <w:style w:type="character" w:customStyle="1" w:styleId="342">
    <w:name w:val="cur4"/>
    <w:basedOn w:val="54"/>
    <w:autoRedefine/>
    <w:qFormat/>
    <w:uiPriority w:val="0"/>
    <w:rPr>
      <w:color w:val="555555"/>
    </w:rPr>
  </w:style>
  <w:style w:type="character" w:customStyle="1" w:styleId="343">
    <w:name w:val="cur5"/>
    <w:basedOn w:val="54"/>
    <w:autoRedefine/>
    <w:qFormat/>
    <w:uiPriority w:val="0"/>
    <w:rPr>
      <w:color w:val="555555"/>
    </w:rPr>
  </w:style>
  <w:style w:type="character" w:customStyle="1" w:styleId="344">
    <w:name w:val="cur6"/>
    <w:basedOn w:val="54"/>
    <w:autoRedefine/>
    <w:qFormat/>
    <w:uiPriority w:val="0"/>
    <w:rPr>
      <w:color w:val="146EAA"/>
    </w:rPr>
  </w:style>
  <w:style w:type="character" w:customStyle="1" w:styleId="345">
    <w:name w:val="tsjb"/>
    <w:basedOn w:val="54"/>
    <w:autoRedefine/>
    <w:qFormat/>
    <w:uiPriority w:val="0"/>
  </w:style>
  <w:style w:type="character" w:customStyle="1" w:styleId="346">
    <w:name w:val="wsxf"/>
    <w:basedOn w:val="54"/>
    <w:autoRedefine/>
    <w:qFormat/>
    <w:uiPriority w:val="0"/>
  </w:style>
  <w:style w:type="character" w:customStyle="1" w:styleId="347">
    <w:name w:val="hover25"/>
    <w:basedOn w:val="54"/>
    <w:autoRedefine/>
    <w:qFormat/>
    <w:uiPriority w:val="0"/>
    <w:rPr>
      <w:color w:val="FFFFFF"/>
      <w:shd w:val="clear" w:color="auto" w:fill="4B97D0"/>
    </w:rPr>
  </w:style>
  <w:style w:type="character" w:customStyle="1" w:styleId="348">
    <w:name w:val="last-child"/>
    <w:basedOn w:val="54"/>
    <w:autoRedefine/>
    <w:qFormat/>
    <w:uiPriority w:val="0"/>
  </w:style>
  <w:style w:type="character" w:customStyle="1" w:styleId="349">
    <w:name w:val="active1"/>
    <w:basedOn w:val="54"/>
    <w:autoRedefine/>
    <w:qFormat/>
    <w:uiPriority w:val="0"/>
    <w:rPr>
      <w:color w:val="146EAA"/>
    </w:rPr>
  </w:style>
  <w:style w:type="character" w:customStyle="1" w:styleId="350">
    <w:name w:val="font01"/>
    <w:basedOn w:val="54"/>
    <w:autoRedefine/>
    <w:qFormat/>
    <w:uiPriority w:val="0"/>
    <w:rPr>
      <w:rFonts w:hint="default" w:ascii="Tahoma" w:hAnsi="Tahoma" w:eastAsia="Tahoma" w:cs="Tahoma"/>
      <w:color w:val="000000"/>
      <w:sz w:val="22"/>
      <w:szCs w:val="22"/>
      <w:u w:val="none"/>
    </w:rPr>
  </w:style>
  <w:style w:type="character" w:customStyle="1" w:styleId="351">
    <w:name w:val="Default Char"/>
    <w:link w:val="71"/>
    <w:autoRedefine/>
    <w:qFormat/>
    <w:uiPriority w:val="0"/>
    <w:rPr>
      <w:color w:val="000000"/>
      <w:sz w:val="24"/>
      <w:szCs w:val="24"/>
    </w:rPr>
  </w:style>
  <w:style w:type="paragraph" w:customStyle="1" w:styleId="352">
    <w:name w:val="WPSOffice手动目录 1"/>
    <w:autoRedefine/>
    <w:qFormat/>
    <w:uiPriority w:val="0"/>
    <w:pPr>
      <w:ind w:leftChars="0"/>
    </w:pPr>
    <w:rPr>
      <w:rFonts w:ascii="Times New Roman" w:hAnsi="Times New Roman" w:eastAsia="宋体" w:cs="Times New Roman"/>
      <w:sz w:val="20"/>
      <w:szCs w:val="20"/>
    </w:rPr>
  </w:style>
  <w:style w:type="paragraph" w:customStyle="1" w:styleId="353">
    <w:name w:val="WPSOffice手动目录 2"/>
    <w:autoRedefine/>
    <w:qFormat/>
    <w:uiPriority w:val="0"/>
    <w:pPr>
      <w:ind w:leftChars="200"/>
    </w:pPr>
    <w:rPr>
      <w:rFonts w:ascii="Times New Roman" w:hAnsi="Times New Roman" w:eastAsia="宋体" w:cs="Times New Roman"/>
      <w:sz w:val="20"/>
      <w:szCs w:val="20"/>
    </w:rPr>
  </w:style>
  <w:style w:type="paragraph" w:customStyle="1" w:styleId="35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5">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356">
    <w:name w:val="填表5"/>
    <w:basedOn w:val="1"/>
    <w:next w:val="1"/>
    <w:qFormat/>
    <w:uiPriority w:val="0"/>
    <w:pPr>
      <w:spacing w:line="300" w:lineRule="exact"/>
      <w:jc w:val="left"/>
    </w:pPr>
    <w:rPr>
      <w:rFonts w:ascii="宋体"/>
      <w:sz w:val="24"/>
      <w:szCs w:val="21"/>
    </w:rPr>
  </w:style>
  <w:style w:type="paragraph" w:customStyle="1" w:styleId="357">
    <w:name w:val="填表5行距12磅"/>
    <w:basedOn w:val="356"/>
    <w:qFormat/>
    <w:uiPriority w:val="0"/>
    <w:pPr>
      <w:spacing w:line="240" w:lineRule="exact"/>
    </w:pPr>
    <w:rPr>
      <w:rFonts w:cs="宋体"/>
      <w:sz w:val="21"/>
      <w:szCs w:val="20"/>
    </w:rPr>
  </w:style>
  <w:style w:type="paragraph" w:customStyle="1" w:styleId="358">
    <w:name w:val="Table Text"/>
    <w:basedOn w:val="1"/>
    <w:autoRedefine/>
    <w:semiHidden/>
    <w:qFormat/>
    <w:uiPriority w:val="0"/>
    <w:rPr>
      <w:rFonts w:ascii="宋体" w:hAnsi="宋体" w:eastAsia="宋体" w:cs="宋体"/>
      <w:sz w:val="21"/>
      <w:szCs w:val="21"/>
      <w:lang w:val="en-US" w:eastAsia="en-US" w:bidi="ar-SA"/>
    </w:rPr>
  </w:style>
  <w:style w:type="table" w:customStyle="1" w:styleId="359">
    <w:name w:val="Table Normal"/>
    <w:autoRedefine/>
    <w:semiHidden/>
    <w:unhideWhenUsed/>
    <w:qFormat/>
    <w:uiPriority w:val="0"/>
    <w:tblPr>
      <w:tblCellMar>
        <w:top w:w="0" w:type="dxa"/>
        <w:left w:w="0" w:type="dxa"/>
        <w:bottom w:w="0" w:type="dxa"/>
        <w:right w:w="0" w:type="dxa"/>
      </w:tblCellMar>
    </w:tblPr>
  </w:style>
  <w:style w:type="paragraph" w:customStyle="1" w:styleId="360">
    <w:name w:val="样式 样式 样式 小四 首行缩进:  2.25 字符 + 首行缩进:  2.25 字符 + 首行缩进:  2 字符"/>
    <w:basedOn w:val="361"/>
    <w:qFormat/>
    <w:uiPriority w:val="0"/>
  </w:style>
  <w:style w:type="paragraph" w:customStyle="1" w:styleId="361">
    <w:name w:val="样式 样式 小四 首行缩进:  2.25 字符 + 首行缩进:  2.25 字符"/>
    <w:basedOn w:val="362"/>
    <w:qFormat/>
    <w:uiPriority w:val="0"/>
  </w:style>
  <w:style w:type="paragraph" w:customStyle="1" w:styleId="362">
    <w:name w:val="样式 小四 首行缩进:  2.25 字符"/>
    <w:basedOn w:val="1"/>
    <w:qFormat/>
    <w:uiPriority w:val="0"/>
    <w:pPr>
      <w:spacing w:line="440" w:lineRule="exact"/>
      <w:ind w:firstLine="200" w:firstLineChars="200"/>
    </w:pPr>
    <w:rPr>
      <w:rFonts w:ascii="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"/>
    </extobj>
    <extobj name="F360BE8B-6686-4F3D-AEAF-501FE73E4058-2">
      <extobjdata type="F360BE8B-6686-4F3D-AEAF-501FE73E4058" data="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105</Pages>
  <Words>9947</Words>
  <Characters>11890</Characters>
  <Lines>569</Lines>
  <Paragraphs>160</Paragraphs>
  <TotalTime>16</TotalTime>
  <ScaleCrop>false</ScaleCrop>
  <LinksUpToDate>false</LinksUpToDate>
  <CharactersWithSpaces>12489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2012-07-16T07:24:00Z</dcterms:created>
  <dc:creator>微软用户</dc:creator>
  <cp:lastModifiedBy>秋夜</cp:lastModifiedBy>
  <cp:lastPrinted>2021-11-15T10:08:00Z</cp:lastPrinted>
  <dcterms:modified xsi:type="dcterms:W3CDTF">2024-12-21T02:18:04Z</dcterms:modified>
  <dc:title>编号：BSMS(QT)AP-2014-002（全中涂色部分为还需修改部分）</dc:title>
  <cp:revision>329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0CA2956C58AA485EACEF4DAB45A2BEB8_13</vt:lpwstr>
  </property>
</Properties>
</file>