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Default Extension="jpeg" ContentType="image/jpeg"/>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spacing w:before="2"/>
        <w:ind w:left="0"/>
        <w:rPr>
          <w:rFonts w:ascii="Times New Roman"/>
          <w:sz w:val="17"/>
        </w:rPr>
      </w:pPr>
    </w:p>
    <w:p>
      <w:pPr>
        <w:spacing w:line="1203" w:lineRule="exact" w:before="0"/>
        <w:ind w:left="358" w:right="0" w:firstLine="0"/>
        <w:jc w:val="center"/>
        <w:rPr>
          <w:rFonts w:ascii="微软雅黑" w:eastAsia="微软雅黑" w:hint="eastAsia"/>
          <w:b/>
          <w:sz w:val="72"/>
        </w:rPr>
      </w:pPr>
      <w:r>
        <w:rPr>
          <w:rFonts w:ascii="微软雅黑" w:eastAsia="微软雅黑" w:hint="eastAsia"/>
          <w:b/>
          <w:sz w:val="72"/>
        </w:rPr>
        <w:t>重大事故隐患判定标准汇编</w:t>
      </w:r>
    </w:p>
    <w:p>
      <w:pPr>
        <w:pStyle w:val="BodyText"/>
        <w:ind w:left="0"/>
        <w:rPr>
          <w:rFonts w:ascii="微软雅黑"/>
          <w:b/>
          <w:sz w:val="94"/>
        </w:rPr>
      </w:pPr>
    </w:p>
    <w:p>
      <w:pPr>
        <w:pStyle w:val="BodyText"/>
        <w:ind w:left="0"/>
        <w:rPr>
          <w:rFonts w:ascii="微软雅黑"/>
          <w:b/>
          <w:sz w:val="94"/>
        </w:rPr>
      </w:pPr>
    </w:p>
    <w:p>
      <w:pPr>
        <w:pStyle w:val="BodyText"/>
        <w:ind w:left="0"/>
        <w:rPr>
          <w:rFonts w:ascii="微软雅黑"/>
          <w:b/>
          <w:sz w:val="94"/>
        </w:rPr>
      </w:pPr>
    </w:p>
    <w:p>
      <w:pPr>
        <w:pStyle w:val="BodyText"/>
        <w:spacing w:before="12"/>
        <w:ind w:left="0"/>
        <w:rPr>
          <w:rFonts w:ascii="微软雅黑"/>
          <w:b/>
          <w:sz w:val="53"/>
        </w:rPr>
      </w:pPr>
    </w:p>
    <w:p>
      <w:pPr>
        <w:spacing w:before="0"/>
        <w:ind w:left="532" w:right="0" w:firstLine="0"/>
        <w:jc w:val="center"/>
        <w:rPr>
          <w:rFonts w:ascii="黑体" w:eastAsia="黑体" w:hint="eastAsia"/>
          <w:b/>
          <w:sz w:val="36"/>
        </w:rPr>
      </w:pPr>
      <w:r>
        <w:rPr>
          <w:rFonts w:ascii="黑体" w:eastAsia="黑体" w:hint="eastAsia"/>
          <w:b/>
          <w:sz w:val="36"/>
        </w:rPr>
        <w:t>昭通市安全生产委员会办公室 印制</w:t>
      </w:r>
    </w:p>
    <w:p>
      <w:pPr>
        <w:pStyle w:val="BodyText"/>
        <w:spacing w:before="1"/>
        <w:ind w:left="0"/>
        <w:rPr>
          <w:rFonts w:ascii="黑体"/>
          <w:b/>
          <w:sz w:val="30"/>
        </w:rPr>
      </w:pPr>
    </w:p>
    <w:p>
      <w:pPr>
        <w:spacing w:before="0"/>
        <w:ind w:left="402" w:right="0" w:firstLine="0"/>
        <w:jc w:val="center"/>
        <w:rPr>
          <w:rFonts w:ascii="Microsoft JhengHei" w:eastAsia="Microsoft JhengHei" w:hint="eastAsia"/>
          <w:b/>
          <w:sz w:val="36"/>
        </w:rPr>
      </w:pPr>
      <w:r>
        <w:rPr>
          <w:b/>
          <w:sz w:val="36"/>
        </w:rPr>
        <w:t>2023</w:t>
      </w:r>
      <w:r>
        <w:rPr>
          <w:b/>
          <w:spacing w:val="-94"/>
          <w:sz w:val="36"/>
        </w:rPr>
        <w:t> </w:t>
      </w:r>
      <w:r>
        <w:rPr>
          <w:rFonts w:ascii="Microsoft JhengHei" w:eastAsia="Microsoft JhengHei" w:hint="eastAsia"/>
          <w:b/>
          <w:spacing w:val="1"/>
          <w:sz w:val="36"/>
        </w:rPr>
        <w:t>年 </w:t>
      </w:r>
      <w:r>
        <w:rPr>
          <w:b/>
          <w:sz w:val="36"/>
        </w:rPr>
        <w:t>6</w:t>
      </w:r>
      <w:r>
        <w:rPr>
          <w:b/>
          <w:spacing w:val="-91"/>
          <w:sz w:val="36"/>
        </w:rPr>
        <w:t> </w:t>
      </w:r>
      <w:r>
        <w:rPr>
          <w:rFonts w:ascii="Microsoft JhengHei" w:eastAsia="Microsoft JhengHei" w:hint="eastAsia"/>
          <w:b/>
          <w:sz w:val="36"/>
        </w:rPr>
        <w:t>月</w:t>
      </w:r>
    </w:p>
    <w:p>
      <w:pPr>
        <w:spacing w:after="0"/>
        <w:jc w:val="center"/>
        <w:rPr>
          <w:rFonts w:ascii="Microsoft JhengHei" w:eastAsia="Microsoft JhengHei" w:hint="eastAsia"/>
          <w:sz w:val="36"/>
        </w:rPr>
        <w:sectPr>
          <w:type w:val="continuous"/>
          <w:pgSz w:w="11910" w:h="16840"/>
          <w:pgMar w:top="1580" w:bottom="280" w:left="1300" w:right="1380"/>
        </w:sectPr>
      </w:pPr>
    </w:p>
    <w:p>
      <w:pPr>
        <w:pStyle w:val="BodyText"/>
        <w:spacing w:before="3"/>
        <w:ind w:left="0"/>
        <w:rPr>
          <w:rFonts w:ascii="Microsoft JhengHei"/>
          <w:b/>
          <w:sz w:val="23"/>
        </w:rPr>
      </w:pPr>
    </w:p>
    <w:p>
      <w:pPr>
        <w:tabs>
          <w:tab w:pos="1085" w:val="left" w:leader="none"/>
        </w:tabs>
        <w:spacing w:line="835" w:lineRule="exact" w:before="0"/>
        <w:ind w:left="363" w:right="0" w:firstLine="0"/>
        <w:jc w:val="center"/>
        <w:rPr>
          <w:rFonts w:ascii="微软雅黑" w:eastAsia="微软雅黑" w:hint="eastAsia"/>
          <w:b/>
          <w:sz w:val="48"/>
        </w:rPr>
      </w:pPr>
      <w:r>
        <w:rPr>
          <w:rFonts w:ascii="微软雅黑" w:eastAsia="微软雅黑" w:hint="eastAsia"/>
          <w:b/>
          <w:sz w:val="48"/>
        </w:rPr>
        <w:t>目</w:t>
        <w:tab/>
        <w:t>录</w:t>
      </w:r>
    </w:p>
    <w:p>
      <w:pPr>
        <w:pStyle w:val="ListParagraph"/>
        <w:numPr>
          <w:ilvl w:val="0"/>
          <w:numId w:val="1"/>
        </w:numPr>
        <w:tabs>
          <w:tab w:pos="440" w:val="left" w:leader="none"/>
          <w:tab w:pos="8758" w:val="left" w:leader="dot"/>
        </w:tabs>
        <w:spacing w:line="240" w:lineRule="auto" w:before="830" w:after="0"/>
        <w:ind w:left="439" w:right="0" w:hanging="322"/>
        <w:jc w:val="left"/>
        <w:rPr>
          <w:sz w:val="32"/>
        </w:rPr>
      </w:pPr>
      <w:hyperlink w:history="true" w:anchor="_bookmark0">
        <w:r>
          <w:rPr>
            <w:sz w:val="32"/>
          </w:rPr>
          <w:t>煤矿重大事故隐患判定标准</w:t>
          <w:tab/>
          <w:t>1</w:t>
        </w:r>
      </w:hyperlink>
    </w:p>
    <w:p>
      <w:pPr>
        <w:pStyle w:val="ListParagraph"/>
        <w:numPr>
          <w:ilvl w:val="0"/>
          <w:numId w:val="1"/>
        </w:numPr>
        <w:tabs>
          <w:tab w:pos="440" w:val="left" w:leader="none"/>
          <w:tab w:pos="8597" w:val="left" w:leader="dot"/>
        </w:tabs>
        <w:spacing w:line="240" w:lineRule="auto" w:before="288" w:after="0"/>
        <w:ind w:left="439" w:right="0" w:hanging="322"/>
        <w:jc w:val="left"/>
        <w:rPr>
          <w:sz w:val="32"/>
        </w:rPr>
      </w:pPr>
      <w:hyperlink w:history="true" w:anchor="_bookmark1">
        <w:r>
          <w:rPr>
            <w:sz w:val="32"/>
          </w:rPr>
          <w:t>金属非金属矿山重大事故隐患判定标准</w:t>
          <w:tab/>
          <w:t>12</w:t>
        </w:r>
      </w:hyperlink>
    </w:p>
    <w:p>
      <w:pPr>
        <w:pStyle w:val="ListParagraph"/>
        <w:numPr>
          <w:ilvl w:val="0"/>
          <w:numId w:val="1"/>
        </w:numPr>
        <w:tabs>
          <w:tab w:pos="440" w:val="left" w:leader="none"/>
          <w:tab w:pos="8597" w:val="left" w:leader="dot"/>
        </w:tabs>
        <w:spacing w:line="410" w:lineRule="auto" w:before="291" w:after="0"/>
        <w:ind w:left="118" w:right="306" w:firstLine="0"/>
        <w:jc w:val="left"/>
        <w:rPr>
          <w:sz w:val="32"/>
        </w:rPr>
      </w:pPr>
      <w:hyperlink w:history="true" w:anchor="_bookmark2">
        <w:r>
          <w:rPr>
            <w:sz w:val="32"/>
          </w:rPr>
          <w:t>化工和危险化学品生产经营单位</w:t>
        </w:r>
      </w:hyperlink>
      <w:hyperlink w:history="true" w:anchor="_bookmark3">
        <w:r>
          <w:rPr>
            <w:sz w:val="32"/>
          </w:rPr>
          <w:t>重</w:t>
        </w:r>
      </w:hyperlink>
      <w:hyperlink w:history="true" w:anchor="_bookmark3">
        <w:r>
          <w:rPr>
            <w:sz w:val="32"/>
          </w:rPr>
          <w:t>大生产安全事故隐患判定</w:t>
        </w:r>
      </w:hyperlink>
      <w:r>
        <w:rPr>
          <w:sz w:val="32"/>
        </w:rPr>
        <w:t>标准（试行）</w:t>
        <w:tab/>
      </w:r>
      <w:r>
        <w:rPr>
          <w:spacing w:val="-9"/>
          <w:sz w:val="32"/>
        </w:rPr>
        <w:t>23</w:t>
      </w:r>
    </w:p>
    <w:p>
      <w:pPr>
        <w:pStyle w:val="ListParagraph"/>
        <w:numPr>
          <w:ilvl w:val="0"/>
          <w:numId w:val="1"/>
        </w:numPr>
        <w:tabs>
          <w:tab w:pos="440" w:val="left" w:leader="none"/>
        </w:tabs>
        <w:spacing w:line="407" w:lineRule="exact" w:before="0" w:after="0"/>
        <w:ind w:left="439" w:right="0" w:hanging="322"/>
        <w:jc w:val="left"/>
        <w:rPr>
          <w:sz w:val="32"/>
        </w:rPr>
      </w:pPr>
      <w:hyperlink w:history="true" w:anchor="_bookmark4">
        <w:r>
          <w:rPr>
            <w:sz w:val="32"/>
          </w:rPr>
          <w:t>烟花爆竹生产经营单位</w:t>
        </w:r>
      </w:hyperlink>
      <w:hyperlink w:history="true" w:anchor="_bookmark5">
        <w:r>
          <w:rPr>
            <w:sz w:val="32"/>
          </w:rPr>
          <w:t>重</w:t>
        </w:r>
      </w:hyperlink>
      <w:hyperlink w:history="true" w:anchor="_bookmark5">
        <w:r>
          <w:rPr>
            <w:sz w:val="32"/>
          </w:rPr>
          <w:t>大生产安全事故隐患判定标准</w:t>
        </w:r>
      </w:hyperlink>
    </w:p>
    <w:p>
      <w:pPr>
        <w:pStyle w:val="BodyText"/>
        <w:tabs>
          <w:tab w:pos="8597" w:val="left" w:leader="dot"/>
        </w:tabs>
        <w:spacing w:before="291"/>
        <w:ind w:left="118"/>
      </w:pPr>
      <w:r>
        <w:rPr/>
        <w:t>（试行）</w:t>
        <w:tab/>
        <w:t>26</w:t>
      </w:r>
    </w:p>
    <w:p>
      <w:pPr>
        <w:pStyle w:val="ListParagraph"/>
        <w:numPr>
          <w:ilvl w:val="0"/>
          <w:numId w:val="1"/>
        </w:numPr>
        <w:tabs>
          <w:tab w:pos="440" w:val="left" w:leader="none"/>
          <w:tab w:pos="8599" w:val="left" w:leader="dot"/>
        </w:tabs>
        <w:spacing w:line="240" w:lineRule="auto" w:before="291" w:after="0"/>
        <w:ind w:left="439" w:right="0" w:hanging="322"/>
        <w:jc w:val="left"/>
        <w:rPr>
          <w:sz w:val="32"/>
        </w:rPr>
      </w:pPr>
      <w:r>
        <w:rPr>
          <w:sz w:val="32"/>
        </w:rPr>
        <w:t>工贸企业重大事故隐患判定标准</w:t>
        <w:tab/>
        <w:t>28</w:t>
      </w:r>
    </w:p>
    <w:p>
      <w:pPr>
        <w:pStyle w:val="ListParagraph"/>
        <w:numPr>
          <w:ilvl w:val="0"/>
          <w:numId w:val="1"/>
        </w:numPr>
        <w:tabs>
          <w:tab w:pos="440" w:val="left" w:leader="none"/>
          <w:tab w:pos="8597" w:val="left" w:leader="dot"/>
        </w:tabs>
        <w:spacing w:line="240" w:lineRule="auto" w:before="288" w:after="0"/>
        <w:ind w:left="439" w:right="0" w:hanging="322"/>
        <w:jc w:val="left"/>
        <w:rPr>
          <w:sz w:val="32"/>
        </w:rPr>
      </w:pPr>
      <w:hyperlink w:history="true" w:anchor="_bookmark6">
        <w:r>
          <w:rPr>
            <w:sz w:val="32"/>
          </w:rPr>
          <w:t>重大火灾隐患判定方法</w:t>
          <w:tab/>
          <w:t>28</w:t>
        </w:r>
      </w:hyperlink>
    </w:p>
    <w:p>
      <w:pPr>
        <w:pStyle w:val="ListParagraph"/>
        <w:numPr>
          <w:ilvl w:val="0"/>
          <w:numId w:val="1"/>
        </w:numPr>
        <w:tabs>
          <w:tab w:pos="440" w:val="left" w:leader="none"/>
          <w:tab w:pos="8597" w:val="left" w:leader="dot"/>
        </w:tabs>
        <w:spacing w:line="240" w:lineRule="auto" w:before="291" w:after="0"/>
        <w:ind w:left="439" w:right="0" w:hanging="322"/>
        <w:jc w:val="left"/>
        <w:rPr>
          <w:sz w:val="32"/>
        </w:rPr>
      </w:pPr>
      <w:hyperlink w:history="true" w:anchor="_bookmark7">
        <w:r>
          <w:rPr>
            <w:sz w:val="32"/>
          </w:rPr>
          <w:t>房屋市政工程生产安全重大事故隐患</w:t>
        </w:r>
      </w:hyperlink>
      <w:hyperlink w:history="true" w:anchor="_bookmark8">
        <w:r>
          <w:rPr>
            <w:sz w:val="32"/>
          </w:rPr>
          <w:t>判定标准</w:t>
          <w:tab/>
          <w:t>49</w:t>
        </w:r>
      </w:hyperlink>
    </w:p>
    <w:p>
      <w:pPr>
        <w:pStyle w:val="ListParagraph"/>
        <w:numPr>
          <w:ilvl w:val="0"/>
          <w:numId w:val="1"/>
        </w:numPr>
        <w:tabs>
          <w:tab w:pos="440" w:val="left" w:leader="none"/>
          <w:tab w:pos="8597" w:val="left" w:leader="dot"/>
        </w:tabs>
        <w:spacing w:line="240" w:lineRule="auto" w:before="291" w:after="0"/>
        <w:ind w:left="439" w:right="0" w:hanging="322"/>
        <w:jc w:val="left"/>
        <w:rPr>
          <w:sz w:val="32"/>
        </w:rPr>
      </w:pPr>
      <w:hyperlink w:history="true" w:anchor="_bookmark9">
        <w:r>
          <w:rPr>
            <w:sz w:val="32"/>
          </w:rPr>
          <w:t>自建房结构安全排查技术要点（暂行）</w:t>
          <w:tab/>
          <w:t>54</w:t>
        </w:r>
      </w:hyperlink>
    </w:p>
    <w:p>
      <w:pPr>
        <w:pStyle w:val="ListParagraph"/>
        <w:numPr>
          <w:ilvl w:val="0"/>
          <w:numId w:val="1"/>
        </w:numPr>
        <w:tabs>
          <w:tab w:pos="440" w:val="left" w:leader="none"/>
          <w:tab w:pos="8597" w:val="left" w:leader="dot"/>
        </w:tabs>
        <w:spacing w:line="240" w:lineRule="auto" w:before="288" w:after="0"/>
        <w:ind w:left="439" w:right="0" w:hanging="322"/>
        <w:jc w:val="left"/>
        <w:rPr>
          <w:sz w:val="32"/>
        </w:rPr>
      </w:pPr>
      <w:hyperlink w:history="true" w:anchor="_bookmark10">
        <w:r>
          <w:rPr>
            <w:sz w:val="32"/>
          </w:rPr>
          <w:t>公路水运工程建设重大事故隐患</w:t>
        </w:r>
      </w:hyperlink>
      <w:hyperlink w:history="true" w:anchor="_bookmark11">
        <w:r>
          <w:rPr>
            <w:sz w:val="32"/>
          </w:rPr>
          <w:t>清单管理制度</w:t>
          <w:tab/>
          <w:t>63</w:t>
        </w:r>
      </w:hyperlink>
    </w:p>
    <w:p>
      <w:pPr>
        <w:pStyle w:val="ListParagraph"/>
        <w:numPr>
          <w:ilvl w:val="0"/>
          <w:numId w:val="1"/>
        </w:numPr>
        <w:tabs>
          <w:tab w:pos="601" w:val="left" w:leader="none"/>
        </w:tabs>
        <w:spacing w:line="240" w:lineRule="auto" w:before="291" w:after="0"/>
        <w:ind w:left="600" w:right="0" w:hanging="483"/>
        <w:jc w:val="left"/>
        <w:rPr>
          <w:sz w:val="32"/>
        </w:rPr>
      </w:pPr>
      <w:hyperlink w:history="true" w:anchor="_bookmark12">
        <w:r>
          <w:rPr>
            <w:sz w:val="32"/>
          </w:rPr>
          <w:t>公路交通事故多发点段及严重安全隐患</w:t>
        </w:r>
      </w:hyperlink>
      <w:hyperlink w:history="true" w:anchor="_bookmark13">
        <w:r>
          <w:rPr>
            <w:sz w:val="32"/>
          </w:rPr>
          <w:t>排</w:t>
        </w:r>
      </w:hyperlink>
      <w:hyperlink w:history="true" w:anchor="_bookmark13">
        <w:r>
          <w:rPr>
            <w:sz w:val="32"/>
          </w:rPr>
          <w:t>查工作规范</w:t>
        </w:r>
      </w:hyperlink>
    </w:p>
    <w:p>
      <w:pPr>
        <w:pStyle w:val="BodyText"/>
        <w:tabs>
          <w:tab w:pos="8597" w:val="left" w:leader="dot"/>
        </w:tabs>
        <w:spacing w:before="291"/>
        <w:ind w:left="118"/>
      </w:pPr>
      <w:r>
        <w:rPr/>
        <w:t>（试行）</w:t>
        <w:tab/>
        <w:t>69</w:t>
      </w:r>
    </w:p>
    <w:p>
      <w:pPr>
        <w:pStyle w:val="ListParagraph"/>
        <w:numPr>
          <w:ilvl w:val="0"/>
          <w:numId w:val="1"/>
        </w:numPr>
        <w:tabs>
          <w:tab w:pos="601" w:val="left" w:leader="none"/>
          <w:tab w:pos="8597" w:val="left" w:leader="dot"/>
        </w:tabs>
        <w:spacing w:line="240" w:lineRule="auto" w:before="288" w:after="0"/>
        <w:ind w:left="600" w:right="0" w:hanging="483"/>
        <w:jc w:val="left"/>
        <w:rPr>
          <w:sz w:val="32"/>
        </w:rPr>
      </w:pPr>
      <w:hyperlink w:history="true" w:anchor="_bookmark14">
        <w:r>
          <w:rPr>
            <w:sz w:val="32"/>
          </w:rPr>
          <w:t>水上客运重大事故隐患判定指南（暂行）</w:t>
          <w:tab/>
          <w:t>77</w:t>
        </w:r>
      </w:hyperlink>
    </w:p>
    <w:p>
      <w:pPr>
        <w:pStyle w:val="ListParagraph"/>
        <w:numPr>
          <w:ilvl w:val="0"/>
          <w:numId w:val="1"/>
        </w:numPr>
        <w:tabs>
          <w:tab w:pos="601" w:val="left" w:leader="none"/>
          <w:tab w:pos="8597" w:val="left" w:leader="dot"/>
        </w:tabs>
        <w:spacing w:line="240" w:lineRule="auto" w:before="291" w:after="0"/>
        <w:ind w:left="600" w:right="0" w:hanging="483"/>
        <w:jc w:val="left"/>
        <w:rPr>
          <w:sz w:val="32"/>
        </w:rPr>
      </w:pPr>
      <w:hyperlink w:history="true" w:anchor="_bookmark15">
        <w:r>
          <w:rPr>
            <w:sz w:val="32"/>
          </w:rPr>
          <w:t>危险货物港口作业重大事故隐患判定指南</w:t>
          <w:tab/>
          <w:t>81</w:t>
        </w:r>
      </w:hyperlink>
    </w:p>
    <w:p>
      <w:pPr>
        <w:pStyle w:val="ListParagraph"/>
        <w:numPr>
          <w:ilvl w:val="0"/>
          <w:numId w:val="1"/>
        </w:numPr>
        <w:tabs>
          <w:tab w:pos="601" w:val="left" w:leader="none"/>
          <w:tab w:pos="8599" w:val="left" w:leader="dot"/>
        </w:tabs>
        <w:spacing w:line="240" w:lineRule="auto" w:before="291" w:after="0"/>
        <w:ind w:left="600" w:right="0" w:hanging="483"/>
        <w:jc w:val="left"/>
        <w:rPr>
          <w:sz w:val="32"/>
        </w:rPr>
      </w:pPr>
      <w:r>
        <w:rPr>
          <w:sz w:val="32"/>
        </w:rPr>
        <w:t>水利工程生产安全重大事故隐患清单指南</w:t>
        <w:tab/>
        <w:t>87</w:t>
      </w:r>
    </w:p>
    <w:p>
      <w:pPr>
        <w:spacing w:after="0" w:line="240" w:lineRule="auto"/>
        <w:jc w:val="left"/>
        <w:rPr>
          <w:sz w:val="32"/>
        </w:rPr>
        <w:sectPr>
          <w:pgSz w:w="11910" w:h="16840"/>
          <w:pgMar w:top="1580" w:bottom="280" w:left="1300" w:right="1380"/>
        </w:sectPr>
      </w:pPr>
    </w:p>
    <w:p>
      <w:pPr>
        <w:pStyle w:val="ListParagraph"/>
        <w:numPr>
          <w:ilvl w:val="0"/>
          <w:numId w:val="1"/>
        </w:numPr>
        <w:tabs>
          <w:tab w:pos="601" w:val="left" w:leader="none"/>
          <w:tab w:pos="8597" w:val="left" w:leader="dot"/>
        </w:tabs>
        <w:spacing w:line="240" w:lineRule="auto" w:before="689" w:after="0"/>
        <w:ind w:left="600" w:right="0" w:hanging="483"/>
        <w:jc w:val="left"/>
        <w:rPr>
          <w:sz w:val="32"/>
        </w:rPr>
      </w:pPr>
      <w:hyperlink w:history="true" w:anchor="_bookmark16">
        <w:r>
          <w:rPr>
            <w:sz w:val="32"/>
          </w:rPr>
          <w:t>渔业船舶重大事故隐患判定标准（试行）</w:t>
          <w:tab/>
          <w:t>94</w:t>
        </w:r>
      </w:hyperlink>
    </w:p>
    <w:p>
      <w:pPr>
        <w:pStyle w:val="ListParagraph"/>
        <w:numPr>
          <w:ilvl w:val="0"/>
          <w:numId w:val="1"/>
        </w:numPr>
        <w:tabs>
          <w:tab w:pos="601" w:val="left" w:leader="none"/>
          <w:tab w:pos="8597" w:val="left" w:leader="dot"/>
        </w:tabs>
        <w:spacing w:line="240" w:lineRule="auto" w:before="291" w:after="0"/>
        <w:ind w:left="600" w:right="0" w:hanging="483"/>
        <w:jc w:val="left"/>
        <w:rPr>
          <w:sz w:val="32"/>
        </w:rPr>
      </w:pPr>
      <w:hyperlink w:history="true" w:anchor="_bookmark17">
        <w:r>
          <w:rPr>
            <w:sz w:val="32"/>
          </w:rPr>
          <w:t>农机安全生产重大事故隐患判定标准（试行）</w:t>
          <w:tab/>
          <w:t>95</w:t>
        </w:r>
      </w:hyperlink>
    </w:p>
    <w:p>
      <w:pPr>
        <w:pStyle w:val="ListParagraph"/>
        <w:numPr>
          <w:ilvl w:val="0"/>
          <w:numId w:val="1"/>
        </w:numPr>
        <w:tabs>
          <w:tab w:pos="601" w:val="left" w:leader="none"/>
          <w:tab w:pos="8597" w:val="left" w:leader="dot"/>
        </w:tabs>
        <w:spacing w:line="240" w:lineRule="auto" w:before="291" w:after="0"/>
        <w:ind w:left="600" w:right="0" w:hanging="483"/>
        <w:jc w:val="left"/>
        <w:rPr>
          <w:sz w:val="32"/>
        </w:rPr>
      </w:pPr>
      <w:hyperlink w:history="true" w:anchor="_bookmark18">
        <w:r>
          <w:rPr>
            <w:sz w:val="32"/>
          </w:rPr>
          <w:t>重大电力安全隐患判定标准（试行）</w:t>
          <w:tab/>
          <w:t>97</w:t>
        </w:r>
      </w:hyperlink>
    </w:p>
    <w:p>
      <w:pPr>
        <w:pStyle w:val="ListParagraph"/>
        <w:numPr>
          <w:ilvl w:val="0"/>
          <w:numId w:val="1"/>
        </w:numPr>
        <w:tabs>
          <w:tab w:pos="601" w:val="left" w:leader="none"/>
          <w:tab w:pos="8597" w:val="left" w:leader="dot"/>
        </w:tabs>
        <w:spacing w:line="240" w:lineRule="auto" w:before="288" w:after="0"/>
        <w:ind w:left="600" w:right="0" w:hanging="483"/>
        <w:jc w:val="left"/>
        <w:rPr>
          <w:sz w:val="32"/>
        </w:rPr>
      </w:pPr>
      <w:hyperlink w:history="true" w:anchor="_bookmark19">
        <w:r>
          <w:rPr>
            <w:sz w:val="32"/>
          </w:rPr>
          <w:t>船舶行业重大生产安全事故隐患判定标准</w:t>
          <w:tab/>
          <w:t>99</w:t>
        </w:r>
      </w:hyperlink>
    </w:p>
    <w:p>
      <w:pPr>
        <w:pStyle w:val="ListParagraph"/>
        <w:numPr>
          <w:ilvl w:val="0"/>
          <w:numId w:val="1"/>
        </w:numPr>
        <w:tabs>
          <w:tab w:pos="601" w:val="left" w:leader="none"/>
          <w:tab w:pos="8436" w:val="left" w:leader="dot"/>
        </w:tabs>
        <w:spacing w:line="240" w:lineRule="auto" w:before="291" w:after="0"/>
        <w:ind w:left="600" w:right="0" w:hanging="483"/>
        <w:jc w:val="left"/>
        <w:rPr>
          <w:sz w:val="32"/>
        </w:rPr>
      </w:pPr>
      <w:hyperlink w:history="true" w:anchor="_bookmark20">
        <w:r>
          <w:rPr>
            <w:sz w:val="32"/>
          </w:rPr>
          <w:t>水电站大坝工程隐患治理监督管理办法</w:t>
          <w:tab/>
          <w:t>120</w:t>
        </w:r>
      </w:hyperlink>
    </w:p>
    <w:p>
      <w:pPr>
        <w:pStyle w:val="ListParagraph"/>
        <w:numPr>
          <w:ilvl w:val="0"/>
          <w:numId w:val="1"/>
        </w:numPr>
        <w:tabs>
          <w:tab w:pos="601" w:val="left" w:leader="none"/>
          <w:tab w:pos="8436" w:val="left" w:leader="dot"/>
        </w:tabs>
        <w:spacing w:line="240" w:lineRule="auto" w:before="291" w:after="0"/>
        <w:ind w:left="600" w:right="0" w:hanging="483"/>
        <w:jc w:val="left"/>
        <w:rPr>
          <w:sz w:val="32"/>
        </w:rPr>
      </w:pPr>
      <w:hyperlink w:history="true" w:anchor="_bookmark21">
        <w:r>
          <w:rPr>
            <w:sz w:val="32"/>
          </w:rPr>
          <w:t>特种设备事故隐患分类分级</w:t>
          <w:tab/>
          <w:t>126</w:t>
        </w:r>
      </w:hyperlink>
    </w:p>
    <w:p>
      <w:pPr>
        <w:pStyle w:val="ListParagraph"/>
        <w:numPr>
          <w:ilvl w:val="0"/>
          <w:numId w:val="1"/>
        </w:numPr>
        <w:tabs>
          <w:tab w:pos="601" w:val="left" w:leader="none"/>
          <w:tab w:pos="8436" w:val="left" w:leader="dot"/>
        </w:tabs>
        <w:spacing w:line="700" w:lineRule="exact" w:before="48" w:after="0"/>
        <w:ind w:left="118" w:right="306" w:firstLine="0"/>
        <w:jc w:val="left"/>
        <w:rPr>
          <w:sz w:val="32"/>
        </w:rPr>
      </w:pPr>
      <w:hyperlink w:history="true" w:anchor="_bookmark22">
        <w:r>
          <w:rPr>
            <w:sz w:val="32"/>
          </w:rPr>
          <w:t>民</w:t>
        </w:r>
      </w:hyperlink>
      <w:hyperlink w:history="true" w:anchor="_bookmark22">
        <w:r>
          <w:rPr>
            <w:sz w:val="32"/>
          </w:rPr>
          <w:t>用爆炸物品生产、销售企业生产安全事故隐患排查治理</w:t>
        </w:r>
      </w:hyperlink>
      <w:r>
        <w:rPr>
          <w:sz w:val="32"/>
        </w:rPr>
        <w:t> 体系建设指南</w:t>
        <w:tab/>
      </w:r>
      <w:r>
        <w:rPr>
          <w:spacing w:val="-6"/>
          <w:sz w:val="32"/>
        </w:rPr>
        <w:t>133</w:t>
      </w:r>
    </w:p>
    <w:p>
      <w:pPr>
        <w:pStyle w:val="ListParagraph"/>
        <w:numPr>
          <w:ilvl w:val="0"/>
          <w:numId w:val="1"/>
        </w:numPr>
        <w:tabs>
          <w:tab w:pos="601" w:val="left" w:leader="none"/>
          <w:tab w:pos="8436" w:val="left" w:leader="dot"/>
        </w:tabs>
        <w:spacing w:line="364" w:lineRule="auto" w:before="83" w:after="0"/>
        <w:ind w:left="118" w:right="306" w:firstLine="0"/>
        <w:jc w:val="left"/>
        <w:rPr>
          <w:sz w:val="32"/>
        </w:rPr>
      </w:pPr>
      <w:hyperlink w:history="true" w:anchor="_bookmark23">
        <w:r>
          <w:rPr>
            <w:sz w:val="32"/>
          </w:rPr>
          <w:t>民</w:t>
        </w:r>
      </w:hyperlink>
      <w:hyperlink w:history="true" w:anchor="_bookmark23">
        <w:r>
          <w:rPr>
            <w:sz w:val="32"/>
          </w:rPr>
          <w:t>航安全风险分级管控和隐患排查治理双重预防工作机制</w:t>
        </w:r>
      </w:hyperlink>
      <w:r>
        <w:rPr>
          <w:sz w:val="32"/>
        </w:rPr>
        <w:t> 管理规定</w:t>
        <w:tab/>
      </w:r>
      <w:r>
        <w:rPr>
          <w:spacing w:val="-6"/>
          <w:sz w:val="32"/>
        </w:rPr>
        <w:t>157</w:t>
      </w:r>
    </w:p>
    <w:p>
      <w:pPr>
        <w:pStyle w:val="ListParagraph"/>
        <w:numPr>
          <w:ilvl w:val="0"/>
          <w:numId w:val="1"/>
        </w:numPr>
        <w:tabs>
          <w:tab w:pos="601" w:val="left" w:leader="none"/>
          <w:tab w:pos="8438" w:val="left" w:leader="dot"/>
        </w:tabs>
        <w:spacing w:line="364" w:lineRule="auto" w:before="0" w:after="0"/>
        <w:ind w:left="118" w:right="306" w:firstLine="0"/>
        <w:jc w:val="left"/>
        <w:rPr>
          <w:sz w:val="32"/>
        </w:rPr>
      </w:pPr>
      <w:r>
        <w:rPr>
          <w:sz w:val="32"/>
        </w:rPr>
        <w:t>国家粮食和物资储备局垂直管理系统重大生产安全事故隐 患判定标准（试行）</w:t>
        <w:tab/>
      </w:r>
      <w:r>
        <w:rPr>
          <w:spacing w:val="-7"/>
          <w:sz w:val="32"/>
        </w:rPr>
        <w:t>175</w:t>
      </w:r>
    </w:p>
    <w:p>
      <w:pPr>
        <w:spacing w:after="0" w:line="364" w:lineRule="auto"/>
        <w:jc w:val="left"/>
        <w:rPr>
          <w:sz w:val="32"/>
        </w:rPr>
        <w:sectPr>
          <w:pgSz w:w="11910" w:h="16840"/>
          <w:pgMar w:top="1580" w:bottom="280" w:left="1300" w:right="1380"/>
        </w:sectPr>
      </w:pPr>
    </w:p>
    <w:p>
      <w:pPr>
        <w:pStyle w:val="Heading2"/>
        <w:spacing w:before="372"/>
      </w:pPr>
      <w:bookmarkStart w:name="煤矿重大事故隐患判定标准" w:id="1"/>
      <w:bookmarkEnd w:id="1"/>
      <w:r>
        <w:rPr/>
      </w:r>
      <w:bookmarkStart w:name="_bookmark0" w:id="2"/>
      <w:bookmarkEnd w:id="2"/>
      <w:r>
        <w:rPr/>
      </w:r>
      <w:r>
        <w:rPr/>
        <w:t>煤矿重大事故隐患判定标准</w:t>
      </w:r>
    </w:p>
    <w:p>
      <w:pPr>
        <w:pStyle w:val="BodyText"/>
        <w:spacing w:before="12"/>
        <w:ind w:left="0"/>
        <w:rPr>
          <w:sz w:val="42"/>
        </w:rPr>
      </w:pPr>
    </w:p>
    <w:p>
      <w:pPr>
        <w:pStyle w:val="BodyText"/>
        <w:spacing w:line="328" w:lineRule="auto"/>
        <w:ind w:right="417" w:firstLine="640"/>
        <w:jc w:val="both"/>
      </w:pPr>
      <w:r>
        <w:rPr>
          <w:rFonts w:ascii="黑体" w:eastAsia="黑体" w:hint="eastAsia"/>
          <w:spacing w:val="7"/>
        </w:rPr>
        <w:t>第一条   </w:t>
      </w:r>
      <w:r>
        <w:rPr>
          <w:spacing w:val="13"/>
        </w:rPr>
        <w:t>为了准确认定、及时消除煤矿重大事故隐</w:t>
      </w:r>
      <w:r>
        <w:rPr>
          <w:spacing w:val="-2"/>
        </w:rPr>
        <w:t>患，根据《中华人民共和国安全生产法》和《国务院关于预</w:t>
      </w:r>
      <w:r>
        <w:rPr>
          <w:spacing w:val="-6"/>
        </w:rPr>
        <w:t>防煤矿生产安全事故的特别规定》</w:t>
      </w:r>
      <w:r>
        <w:rPr>
          <w:spacing w:val="7"/>
        </w:rPr>
        <w:t>（</w:t>
      </w:r>
      <w:r>
        <w:rPr>
          <w:spacing w:val="-11"/>
        </w:rPr>
        <w:t>国务院令第 </w:t>
      </w:r>
      <w:r>
        <w:rPr/>
        <w:t>446</w:t>
      </w:r>
      <w:r>
        <w:rPr>
          <w:spacing w:val="-40"/>
        </w:rPr>
        <w:t> 号</w:t>
      </w:r>
      <w:r>
        <w:rPr>
          <w:spacing w:val="7"/>
        </w:rPr>
        <w:t>）</w:t>
      </w:r>
      <w:r>
        <w:rPr/>
        <w:t>等法律、行政法规，制定本标准。</w:t>
      </w:r>
    </w:p>
    <w:p>
      <w:pPr>
        <w:pStyle w:val="BodyText"/>
        <w:spacing w:line="405" w:lineRule="exact"/>
        <w:ind w:left="1140"/>
        <w:jc w:val="both"/>
      </w:pPr>
      <w:r>
        <w:rPr>
          <w:rFonts w:ascii="黑体" w:eastAsia="黑体" w:hint="eastAsia"/>
        </w:rPr>
        <w:t>第二条 </w:t>
      </w:r>
      <w:r>
        <w:rPr/>
        <w:t>本标准适用于判定各类煤矿重大事故隐患。</w:t>
      </w:r>
    </w:p>
    <w:p>
      <w:pPr>
        <w:pStyle w:val="BodyText"/>
        <w:tabs>
          <w:tab w:pos="2739" w:val="left" w:leader="none"/>
        </w:tabs>
        <w:spacing w:before="149"/>
        <w:ind w:left="1140"/>
      </w:pPr>
      <w:r>
        <w:rPr>
          <w:rFonts w:ascii="黑体" w:eastAsia="黑体" w:hint="eastAsia"/>
        </w:rPr>
        <w:t>第三条</w:t>
        <w:tab/>
      </w:r>
      <w:r>
        <w:rPr/>
        <w:t>煤矿重大事故隐患包括下列</w:t>
      </w:r>
      <w:r>
        <w:rPr>
          <w:spacing w:val="-80"/>
        </w:rPr>
        <w:t> </w:t>
      </w:r>
      <w:r>
        <w:rPr/>
        <w:t>15</w:t>
      </w:r>
      <w:r>
        <w:rPr>
          <w:spacing w:val="-82"/>
        </w:rPr>
        <w:t> </w:t>
      </w:r>
      <w:r>
        <w:rPr/>
        <w:t>个方面：</w:t>
      </w:r>
    </w:p>
    <w:p>
      <w:pPr>
        <w:pStyle w:val="BodyText"/>
        <w:spacing w:before="149"/>
        <w:ind w:left="1140"/>
      </w:pPr>
      <w:r>
        <w:rPr/>
        <w:t>（一）超能力、超强度或者超定员组织生产；</w:t>
      </w:r>
    </w:p>
    <w:p>
      <w:pPr>
        <w:pStyle w:val="BodyText"/>
        <w:spacing w:before="152"/>
        <w:ind w:left="1140"/>
      </w:pPr>
      <w:r>
        <w:rPr/>
        <w:t>（二）瓦斯超限作业；</w:t>
      </w:r>
    </w:p>
    <w:p>
      <w:pPr>
        <w:pStyle w:val="BodyText"/>
        <w:spacing w:before="149"/>
        <w:ind w:left="1140"/>
      </w:pPr>
      <w:r>
        <w:rPr/>
        <w:t>（三</w:t>
      </w:r>
      <w:r>
        <w:rPr>
          <w:spacing w:val="-87"/>
        </w:rPr>
        <w:t>）</w:t>
      </w:r>
      <w:r>
        <w:rPr>
          <w:spacing w:val="-9"/>
        </w:rPr>
        <w:t>煤与瓦斯突出矿井，未依照规定实施防突出措施；</w:t>
      </w:r>
    </w:p>
    <w:p>
      <w:pPr>
        <w:pStyle w:val="BodyText"/>
        <w:spacing w:line="328" w:lineRule="auto" w:before="149"/>
        <w:ind w:right="375" w:firstLine="640"/>
      </w:pPr>
      <w:r>
        <w:rPr/>
        <w:t>（四）高瓦斯矿井未建立瓦斯抽采系统和监控系统，或者系统不能正常运行；</w:t>
      </w:r>
    </w:p>
    <w:p>
      <w:pPr>
        <w:pStyle w:val="BodyText"/>
        <w:spacing w:line="407" w:lineRule="exact"/>
        <w:ind w:left="1140"/>
      </w:pPr>
      <w:r>
        <w:rPr/>
        <w:t>（五）通风系统不完善、不可靠；</w:t>
      </w:r>
    </w:p>
    <w:p>
      <w:pPr>
        <w:pStyle w:val="BodyText"/>
        <w:spacing w:before="150"/>
        <w:ind w:left="1140"/>
      </w:pPr>
      <w:r>
        <w:rPr/>
        <w:t>（六）有严重水患，未采取有效措施；</w:t>
      </w:r>
    </w:p>
    <w:p>
      <w:pPr>
        <w:pStyle w:val="BodyText"/>
        <w:spacing w:before="151"/>
        <w:ind w:left="1140"/>
      </w:pPr>
      <w:r>
        <w:rPr/>
        <w:t>（七）超层越界开采；</w:t>
      </w:r>
    </w:p>
    <w:p>
      <w:pPr>
        <w:pStyle w:val="BodyText"/>
        <w:spacing w:before="149"/>
        <w:ind w:left="1140"/>
      </w:pPr>
      <w:r>
        <w:rPr/>
        <w:t>（八）有冲击地压危险，未采取有效措施；</w:t>
      </w:r>
    </w:p>
    <w:p>
      <w:pPr>
        <w:pStyle w:val="BodyText"/>
        <w:spacing w:before="150"/>
        <w:ind w:left="1140"/>
      </w:pPr>
      <w:r>
        <w:rPr/>
        <w:t>（九）自然发火严重，未采取有效措施；</w:t>
      </w:r>
    </w:p>
    <w:p>
      <w:pPr>
        <w:pStyle w:val="BodyText"/>
        <w:spacing w:before="151"/>
        <w:ind w:left="1140"/>
      </w:pPr>
      <w:r>
        <w:rPr/>
        <w:t>（十）使用明令禁止使用或者淘汰的设备、工艺；</w:t>
      </w:r>
    </w:p>
    <w:p>
      <w:pPr>
        <w:pStyle w:val="BodyText"/>
        <w:spacing w:before="149"/>
        <w:ind w:left="1140"/>
      </w:pPr>
      <w:r>
        <w:rPr/>
        <w:t>（十一）煤矿没有双回路供电系统；</w:t>
      </w:r>
    </w:p>
    <w:p>
      <w:pPr>
        <w:pStyle w:val="BodyText"/>
        <w:spacing w:line="328" w:lineRule="auto" w:before="150"/>
        <w:ind w:right="420" w:firstLine="640"/>
        <w:jc w:val="both"/>
      </w:pPr>
      <w:r>
        <w:rPr/>
        <w:t>（十二</w:t>
      </w:r>
      <w:r>
        <w:rPr>
          <w:spacing w:val="-5"/>
        </w:rPr>
        <w:t>）</w:t>
      </w:r>
      <w:r>
        <w:rPr>
          <w:spacing w:val="-2"/>
        </w:rPr>
        <w:t>新建煤矿边建设边生产，煤矿改扩建期间，在</w:t>
      </w:r>
      <w:r>
        <w:rPr>
          <w:spacing w:val="-4"/>
        </w:rPr>
        <w:t>改扩建的区域生产，或者在其他区域的生产超出安全设施设计规定的范围和规模；</w:t>
      </w:r>
    </w:p>
    <w:p>
      <w:pPr>
        <w:pStyle w:val="BodyText"/>
        <w:spacing w:line="405" w:lineRule="exact"/>
        <w:ind w:left="1140"/>
      </w:pPr>
      <w:r>
        <w:rPr/>
        <w:t>（十三）煤矿实行整体承包生产经营后，未重新取得或</w:t>
      </w:r>
    </w:p>
    <w:p>
      <w:pPr>
        <w:spacing w:after="0" w:line="405" w:lineRule="exact"/>
        <w:sectPr>
          <w:footerReference w:type="default" r:id="rId5"/>
          <w:pgSz w:w="11910" w:h="16840"/>
          <w:pgMar w:footer="1000" w:header="0" w:top="1580" w:bottom="1180" w:left="1300" w:right="1380"/>
          <w:pgNumType w:start="1"/>
        </w:sectPr>
      </w:pPr>
    </w:p>
    <w:p>
      <w:pPr>
        <w:pStyle w:val="BodyText"/>
        <w:spacing w:line="326" w:lineRule="auto" w:before="32"/>
        <w:ind w:right="405"/>
      </w:pPr>
      <w:r>
        <w:rPr/>
        <w:t>者及时变更安全生产许可证而从事生产，或者承包方再次转包，以及将井下采掘工作面和井巷维修作业进行劳务承包；</w:t>
      </w:r>
    </w:p>
    <w:p>
      <w:pPr>
        <w:pStyle w:val="BodyText"/>
        <w:spacing w:line="328" w:lineRule="auto" w:before="3"/>
        <w:ind w:right="417" w:firstLine="640"/>
        <w:jc w:val="both"/>
      </w:pPr>
      <w:r>
        <w:rPr/>
        <w:t>（十四</w:t>
      </w:r>
      <w:r>
        <w:rPr>
          <w:spacing w:val="-7"/>
        </w:rPr>
        <w:t>）</w:t>
      </w:r>
      <w:r>
        <w:rPr>
          <w:spacing w:val="-1"/>
        </w:rPr>
        <w:t>煤矿改制期间，未明确安全生产责任人和安全</w:t>
      </w:r>
      <w:r>
        <w:rPr>
          <w:spacing w:val="-3"/>
          <w:w w:val="95"/>
        </w:rPr>
        <w:t>管理机构，或者在完成改制后，未重新取得或者变更采矿许 </w:t>
      </w:r>
      <w:r>
        <w:rPr>
          <w:spacing w:val="-3"/>
        </w:rPr>
        <w:t>可证、安全生产许可证和营业执照；</w:t>
      </w:r>
    </w:p>
    <w:p>
      <w:pPr>
        <w:pStyle w:val="BodyText"/>
        <w:spacing w:line="405" w:lineRule="exact"/>
        <w:ind w:left="1140"/>
      </w:pPr>
      <w:r>
        <w:rPr/>
        <w:t>（十五）其他重大事故隐患。</w:t>
      </w:r>
    </w:p>
    <w:p>
      <w:pPr>
        <w:pStyle w:val="BodyText"/>
        <w:spacing w:line="326" w:lineRule="auto" w:before="151"/>
        <w:ind w:right="420" w:firstLine="640"/>
        <w:jc w:val="both"/>
      </w:pPr>
      <w:r>
        <w:rPr>
          <w:rFonts w:ascii="黑体" w:hAnsi="黑体" w:eastAsia="黑体" w:hint="eastAsia"/>
        </w:rPr>
        <w:t>第四条 </w:t>
      </w:r>
      <w:r>
        <w:rPr/>
        <w:t>“超能力、超强度或者超定员组织生产”重大事故隐患，是指有下列情形之一的：</w:t>
      </w:r>
    </w:p>
    <w:p>
      <w:pPr>
        <w:pStyle w:val="BodyText"/>
        <w:spacing w:line="328" w:lineRule="auto" w:before="3"/>
        <w:ind w:right="420" w:firstLine="640"/>
        <w:jc w:val="both"/>
      </w:pPr>
      <w:r>
        <w:rPr>
          <w:w w:val="95"/>
        </w:rPr>
        <w:t>（一</w:t>
      </w:r>
      <w:r>
        <w:rPr>
          <w:spacing w:val="-3"/>
          <w:w w:val="95"/>
        </w:rPr>
        <w:t>）</w:t>
      </w:r>
      <w:r>
        <w:rPr>
          <w:spacing w:val="-1"/>
          <w:w w:val="95"/>
        </w:rPr>
        <w:t>煤矿全年原煤产量超过核定</w:t>
      </w:r>
      <w:r>
        <w:rPr>
          <w:w w:val="95"/>
        </w:rPr>
        <w:t>（设计</w:t>
      </w:r>
      <w:r>
        <w:rPr>
          <w:spacing w:val="-3"/>
          <w:w w:val="95"/>
        </w:rPr>
        <w:t>）</w:t>
      </w:r>
      <w:r>
        <w:rPr>
          <w:w w:val="95"/>
        </w:rPr>
        <w:t>生产能力幅 </w:t>
      </w:r>
      <w:r>
        <w:rPr>
          <w:spacing w:val="-25"/>
        </w:rPr>
        <w:t>度在 </w:t>
      </w:r>
      <w:r>
        <w:rPr/>
        <w:t>10%以上，或者月原煤产量大于核定（</w:t>
      </w:r>
      <w:r>
        <w:rPr>
          <w:spacing w:val="2"/>
        </w:rPr>
        <w:t>设计</w:t>
      </w:r>
      <w:r>
        <w:rPr>
          <w:spacing w:val="5"/>
        </w:rPr>
        <w:t>）</w:t>
      </w:r>
      <w:r>
        <w:rPr/>
        <w:t>生产能力</w:t>
      </w:r>
      <w:r>
        <w:rPr>
          <w:spacing w:val="-40"/>
        </w:rPr>
        <w:t>的 </w:t>
      </w:r>
      <w:r>
        <w:rPr/>
        <w:t>10%的；</w:t>
      </w:r>
    </w:p>
    <w:p>
      <w:pPr>
        <w:pStyle w:val="BodyText"/>
        <w:spacing w:line="328" w:lineRule="auto"/>
        <w:ind w:right="420" w:firstLine="640"/>
      </w:pPr>
      <w:r>
        <w:rPr>
          <w:w w:val="95"/>
        </w:rPr>
        <w:t>（二</w:t>
      </w:r>
      <w:r>
        <w:rPr>
          <w:spacing w:val="-3"/>
          <w:w w:val="95"/>
        </w:rPr>
        <w:t>）</w:t>
      </w:r>
      <w:r>
        <w:rPr>
          <w:spacing w:val="-1"/>
          <w:w w:val="95"/>
        </w:rPr>
        <w:t>煤矿或其上级公司超过煤矿核定</w:t>
      </w:r>
      <w:r>
        <w:rPr>
          <w:spacing w:val="-3"/>
          <w:w w:val="95"/>
        </w:rPr>
        <w:t>（</w:t>
      </w:r>
      <w:r>
        <w:rPr>
          <w:w w:val="95"/>
        </w:rPr>
        <w:t>设计</w:t>
      </w:r>
      <w:r>
        <w:rPr>
          <w:spacing w:val="-5"/>
          <w:w w:val="95"/>
        </w:rPr>
        <w:t>）</w:t>
      </w:r>
      <w:r>
        <w:rPr>
          <w:w w:val="95"/>
        </w:rPr>
        <w:t>生产能 </w:t>
      </w:r>
      <w:r>
        <w:rPr/>
        <w:t>力下达生产计划或者经营指标的；</w:t>
      </w:r>
    </w:p>
    <w:p>
      <w:pPr>
        <w:pStyle w:val="BodyText"/>
        <w:spacing w:line="328" w:lineRule="auto"/>
        <w:ind w:right="417" w:firstLine="640"/>
        <w:jc w:val="both"/>
      </w:pPr>
      <w:r>
        <w:rPr/>
        <w:t>（三</w:t>
      </w:r>
      <w:r>
        <w:rPr>
          <w:spacing w:val="-3"/>
        </w:rPr>
        <w:t>）</w:t>
      </w:r>
      <w:r>
        <w:rPr>
          <w:spacing w:val="-2"/>
        </w:rPr>
        <w:t>煤矿开拓、准备、回采煤量可采期小于国家规定</w:t>
      </w:r>
      <w:r>
        <w:rPr>
          <w:spacing w:val="-4"/>
        </w:rPr>
        <w:t>的最短时间，未主动采取限产或者停产措施，仍然组织生产</w:t>
      </w:r>
      <w:r>
        <w:rPr>
          <w:spacing w:val="-4"/>
          <w:w w:val="99"/>
        </w:rPr>
        <w:t>的</w:t>
      </w:r>
      <w:r>
        <w:rPr>
          <w:spacing w:val="2"/>
          <w:w w:val="99"/>
        </w:rPr>
        <w:t>（</w:t>
      </w:r>
      <w:r>
        <w:rPr>
          <w:w w:val="99"/>
        </w:rPr>
        <w:t>衰老煤矿和地方人民政府计划停产关闭煤矿除外</w:t>
      </w:r>
      <w:r>
        <w:rPr>
          <w:spacing w:val="-161"/>
          <w:w w:val="99"/>
        </w:rPr>
        <w:t>）</w:t>
      </w:r>
      <w:r>
        <w:rPr>
          <w:w w:val="99"/>
        </w:rPr>
        <w:t>；</w:t>
      </w:r>
    </w:p>
    <w:p>
      <w:pPr>
        <w:pStyle w:val="BodyText"/>
        <w:spacing w:line="328" w:lineRule="auto"/>
        <w:ind w:right="417" w:firstLine="640"/>
        <w:jc w:val="both"/>
      </w:pPr>
      <w:r>
        <w:rPr>
          <w:spacing w:val="7"/>
        </w:rPr>
        <w:t>（四</w:t>
      </w:r>
      <w:r>
        <w:rPr/>
        <w:t>）</w:t>
      </w:r>
      <w:r>
        <w:rPr>
          <w:spacing w:val="-2"/>
        </w:rPr>
        <w:t> 煤矿井下同时生产的水平超过 </w:t>
      </w:r>
      <w:r>
        <w:rPr/>
        <w:t>2</w:t>
      </w:r>
      <w:r>
        <w:rPr>
          <w:spacing w:val="-8"/>
        </w:rPr>
        <w:t> 个，或者一个</w:t>
      </w:r>
      <w:r>
        <w:rPr>
          <w:spacing w:val="-3"/>
          <w:w w:val="95"/>
        </w:rPr>
        <w:t>采</w:t>
      </w:r>
      <w:r>
        <w:rPr>
          <w:w w:val="95"/>
        </w:rPr>
        <w:t>（盘</w:t>
      </w:r>
      <w:r>
        <w:rPr>
          <w:spacing w:val="-3"/>
          <w:w w:val="95"/>
        </w:rPr>
        <w:t>）</w:t>
      </w:r>
      <w:r>
        <w:rPr>
          <w:spacing w:val="-2"/>
          <w:w w:val="95"/>
        </w:rPr>
        <w:t>区内同时作业的采煤、煤</w:t>
      </w:r>
      <w:r>
        <w:rPr>
          <w:w w:val="95"/>
        </w:rPr>
        <w:t>（半煤岩）巷掘进工作面 </w:t>
      </w:r>
      <w:r>
        <w:rPr/>
        <w:t>个数超过《煤矿安全规程》规定的；</w:t>
      </w:r>
    </w:p>
    <w:p>
      <w:pPr>
        <w:pStyle w:val="BodyText"/>
        <w:spacing w:line="405" w:lineRule="exact"/>
        <w:ind w:left="1140"/>
      </w:pPr>
      <w:r>
        <w:rPr/>
        <w:t>（五）瓦斯抽采不达标组织生产的；</w:t>
      </w:r>
    </w:p>
    <w:p>
      <w:pPr>
        <w:pStyle w:val="BodyText"/>
        <w:spacing w:line="328" w:lineRule="auto" w:before="137"/>
        <w:ind w:right="405" w:firstLine="640"/>
        <w:jc w:val="both"/>
      </w:pPr>
      <w:r>
        <w:rPr/>
        <w:t>（六）煤矿未制定或者未严格执行井下劳动定员制度， 或者采掘作业地点单班作业人数超过国家有关限员规定 20% 以上的。</w:t>
      </w:r>
    </w:p>
    <w:p>
      <w:pPr>
        <w:pStyle w:val="BodyText"/>
        <w:spacing w:line="405" w:lineRule="exact"/>
        <w:ind w:left="1140"/>
        <w:jc w:val="both"/>
      </w:pPr>
      <w:r>
        <w:rPr>
          <w:rFonts w:ascii="黑体" w:hAnsi="黑体" w:eastAsia="黑体" w:hint="eastAsia"/>
        </w:rPr>
        <w:t>第五条 </w:t>
      </w:r>
      <w:r>
        <w:rPr/>
        <w:t>“瓦斯超限作业”重大事故隐患，是指有下列</w:t>
      </w:r>
    </w:p>
    <w:p>
      <w:pPr>
        <w:spacing w:after="0" w:line="405" w:lineRule="exact"/>
        <w:jc w:val="both"/>
        <w:sectPr>
          <w:pgSz w:w="11910" w:h="16840"/>
          <w:pgMar w:header="0" w:footer="1000" w:top="1520" w:bottom="1180" w:left="1300" w:right="1380"/>
        </w:sectPr>
      </w:pPr>
    </w:p>
    <w:p>
      <w:pPr>
        <w:pStyle w:val="BodyText"/>
        <w:spacing w:before="32"/>
      </w:pPr>
      <w:r>
        <w:rPr/>
        <w:t>情形之一的：</w:t>
      </w:r>
    </w:p>
    <w:p>
      <w:pPr>
        <w:pStyle w:val="BodyText"/>
        <w:spacing w:before="149"/>
        <w:ind w:left="1140"/>
      </w:pPr>
      <w:r>
        <w:rPr/>
        <w:t>（一）瓦斯检查存在漏检、假检情况且进行作业的；</w:t>
      </w:r>
    </w:p>
    <w:p>
      <w:pPr>
        <w:pStyle w:val="BodyText"/>
        <w:spacing w:line="328" w:lineRule="auto" w:before="149"/>
        <w:ind w:right="374" w:firstLine="640"/>
      </w:pPr>
      <w:r>
        <w:rPr/>
        <w:t>（二）井下瓦斯超限后继续作业或者未按照国家规定处置继续进行作业的；</w:t>
      </w:r>
    </w:p>
    <w:p>
      <w:pPr>
        <w:pStyle w:val="BodyText"/>
        <w:spacing w:line="326" w:lineRule="auto"/>
        <w:ind w:right="374" w:firstLine="640"/>
      </w:pPr>
      <w:r>
        <w:rPr/>
        <w:t>（三）井下排放积聚瓦斯未按照国家规定制定并实施安全技术措施进行作业的。</w:t>
      </w:r>
    </w:p>
    <w:p>
      <w:pPr>
        <w:pStyle w:val="BodyText"/>
        <w:tabs>
          <w:tab w:pos="2412" w:val="left" w:leader="none"/>
        </w:tabs>
        <w:spacing w:line="326" w:lineRule="auto" w:before="3"/>
        <w:ind w:right="420" w:firstLine="640"/>
      </w:pPr>
      <w:r>
        <w:rPr>
          <w:rFonts w:ascii="黑体" w:hAnsi="黑体" w:eastAsia="黑体" w:hint="eastAsia"/>
        </w:rPr>
        <w:t>第六条</w:t>
        <w:tab/>
      </w:r>
      <w:r>
        <w:rPr/>
        <w:t>“煤与瓦斯突出矿井</w:t>
      </w:r>
      <w:r>
        <w:rPr>
          <w:spacing w:val="-7"/>
        </w:rPr>
        <w:t>，</w:t>
      </w:r>
      <w:r>
        <w:rPr/>
        <w:t>未依照规定实施防突</w:t>
      </w:r>
      <w:r>
        <w:rPr>
          <w:spacing w:val="-12"/>
        </w:rPr>
        <w:t>出</w:t>
      </w:r>
      <w:r>
        <w:rPr/>
        <w:t>措施”重大事故隐患，是指有下列情形之一的：</w:t>
      </w:r>
    </w:p>
    <w:p>
      <w:pPr>
        <w:pStyle w:val="BodyText"/>
        <w:spacing w:before="3"/>
        <w:ind w:left="1140"/>
      </w:pPr>
      <w:r>
        <w:rPr/>
        <w:t>（一）未设立防突机构并配备相应专业人员的；</w:t>
      </w:r>
    </w:p>
    <w:p>
      <w:pPr>
        <w:pStyle w:val="BodyText"/>
        <w:spacing w:line="326" w:lineRule="auto" w:before="152"/>
        <w:ind w:right="374" w:firstLine="640"/>
      </w:pPr>
      <w:r>
        <w:rPr/>
        <w:t>（二）未建立地面永久瓦斯抽采系统或者系统不能正常运行的；</w:t>
      </w:r>
    </w:p>
    <w:p>
      <w:pPr>
        <w:pStyle w:val="BodyText"/>
        <w:spacing w:line="328" w:lineRule="auto" w:before="3"/>
        <w:ind w:right="419" w:firstLine="640"/>
        <w:jc w:val="both"/>
      </w:pPr>
      <w:r>
        <w:rPr/>
        <w:t>（三</w:t>
      </w:r>
      <w:r>
        <w:rPr>
          <w:spacing w:val="-12"/>
        </w:rPr>
        <w:t>）</w:t>
      </w:r>
      <w:r>
        <w:rPr>
          <w:spacing w:val="-1"/>
        </w:rPr>
        <w:t>未按照国家规定进行区域或者工作面突出危险性</w:t>
      </w:r>
      <w:r>
        <w:rPr>
          <w:spacing w:val="-5"/>
        </w:rPr>
        <w:t>预测的</w:t>
      </w:r>
      <w:r>
        <w:rPr/>
        <w:t>（直接认定为突出危险区域或者突出危险工作面的除</w:t>
      </w:r>
      <w:r>
        <w:rPr>
          <w:w w:val="99"/>
        </w:rPr>
        <w:t>外</w:t>
      </w:r>
      <w:r>
        <w:rPr>
          <w:spacing w:val="-159"/>
          <w:w w:val="99"/>
        </w:rPr>
        <w:t>）</w:t>
      </w:r>
      <w:r>
        <w:rPr>
          <w:w w:val="99"/>
        </w:rPr>
        <w:t>；</w:t>
      </w:r>
    </w:p>
    <w:p>
      <w:pPr>
        <w:pStyle w:val="BodyText"/>
        <w:spacing w:line="405" w:lineRule="exact"/>
        <w:ind w:left="1140"/>
      </w:pPr>
      <w:r>
        <w:rPr/>
        <w:t>（四）未按照国家规定采取防治突出措施的；</w:t>
      </w:r>
    </w:p>
    <w:p>
      <w:pPr>
        <w:pStyle w:val="BodyText"/>
        <w:spacing w:line="326" w:lineRule="auto" w:before="151"/>
        <w:ind w:right="405" w:firstLine="640"/>
        <w:jc w:val="both"/>
      </w:pPr>
      <w:r>
        <w:rPr/>
        <w:t>（五）未按照国家规定进行防突措施效果检验和验证， 或者防突措施效果检验和验证不达标仍然组织生产建设，或者防突措施效果检验和验证数据造假的；</w:t>
      </w:r>
    </w:p>
    <w:p>
      <w:pPr>
        <w:pStyle w:val="BodyText"/>
        <w:spacing w:before="8"/>
        <w:ind w:left="1140"/>
      </w:pPr>
      <w:r>
        <w:rPr/>
        <w:t>（六）未按照国家规定采取安全防护措施的；</w:t>
      </w:r>
    </w:p>
    <w:p>
      <w:pPr>
        <w:pStyle w:val="BodyText"/>
        <w:spacing w:before="149"/>
        <w:ind w:left="1140"/>
      </w:pPr>
      <w:r>
        <w:rPr/>
        <w:t>（七）使用架线式电机车的。</w:t>
      </w:r>
    </w:p>
    <w:p>
      <w:pPr>
        <w:pStyle w:val="BodyText"/>
        <w:spacing w:line="328" w:lineRule="auto" w:before="149"/>
        <w:ind w:right="417" w:firstLine="640"/>
        <w:jc w:val="both"/>
      </w:pPr>
      <w:r>
        <w:rPr>
          <w:rFonts w:ascii="黑体" w:hAnsi="黑体" w:eastAsia="黑体" w:hint="eastAsia"/>
          <w:spacing w:val="27"/>
        </w:rPr>
        <w:t>第七条  </w:t>
      </w:r>
      <w:r>
        <w:rPr/>
        <w:t>“高瓦斯矿井未建立瓦斯抽采系统和监控系</w:t>
      </w:r>
      <w:r>
        <w:rPr>
          <w:spacing w:val="-3"/>
          <w:w w:val="95"/>
        </w:rPr>
        <w:t>统，或者系统不能正常运行”重大事故隐患，是指有下列情 </w:t>
      </w:r>
      <w:r>
        <w:rPr>
          <w:spacing w:val="-3"/>
        </w:rPr>
        <w:t>形之一的：</w:t>
      </w:r>
    </w:p>
    <w:p>
      <w:pPr>
        <w:pStyle w:val="BodyText"/>
        <w:spacing w:line="405" w:lineRule="exact"/>
        <w:ind w:left="1140"/>
      </w:pPr>
      <w:r>
        <w:rPr/>
        <w:t>（一）按照《煤矿安全规程》规定应当建立而未建立瓦</w:t>
      </w:r>
    </w:p>
    <w:p>
      <w:pPr>
        <w:spacing w:after="0" w:line="405" w:lineRule="exact"/>
        <w:sectPr>
          <w:pgSz w:w="11910" w:h="16840"/>
          <w:pgMar w:header="0" w:footer="1000" w:top="1520" w:bottom="1180" w:left="1300" w:right="1380"/>
        </w:sectPr>
      </w:pPr>
    </w:p>
    <w:p>
      <w:pPr>
        <w:pStyle w:val="BodyText"/>
        <w:spacing w:before="32"/>
      </w:pPr>
      <w:r>
        <w:rPr/>
        <w:t>斯抽采系统或者系统不正常使用的；</w:t>
      </w:r>
    </w:p>
    <w:p>
      <w:pPr>
        <w:pStyle w:val="BodyText"/>
        <w:spacing w:line="328" w:lineRule="auto" w:before="149"/>
        <w:ind w:right="420" w:firstLine="640"/>
        <w:jc w:val="both"/>
      </w:pPr>
      <w:r>
        <w:rPr>
          <w:w w:val="95"/>
        </w:rPr>
        <w:t>（二</w:t>
      </w:r>
      <w:r>
        <w:rPr>
          <w:spacing w:val="-3"/>
          <w:w w:val="95"/>
        </w:rPr>
        <w:t>）</w:t>
      </w:r>
      <w:r>
        <w:rPr>
          <w:spacing w:val="-2"/>
          <w:w w:val="95"/>
        </w:rPr>
        <w:t>未按照国家规定安设、调校甲烷传感器，人为造 </w:t>
      </w:r>
      <w:r>
        <w:rPr>
          <w:spacing w:val="-5"/>
        </w:rPr>
        <w:t>成甲烷传感器失效，或者瓦斯超限后不能报警、断电或者断</w:t>
      </w:r>
      <w:r>
        <w:rPr/>
        <w:t>电范围不符合国家规定的。</w:t>
      </w:r>
    </w:p>
    <w:p>
      <w:pPr>
        <w:pStyle w:val="BodyText"/>
        <w:spacing w:line="326" w:lineRule="auto"/>
        <w:ind w:right="405" w:firstLine="640"/>
        <w:jc w:val="both"/>
      </w:pPr>
      <w:r>
        <w:rPr>
          <w:rFonts w:ascii="黑体" w:hAnsi="黑体" w:eastAsia="黑体" w:hint="eastAsia"/>
        </w:rPr>
        <w:t>第八条 </w:t>
      </w:r>
      <w:r>
        <w:rPr/>
        <w:t>“通风系统不完善、不可靠”重大事故隐患， 是指有下列情形之一的：</w:t>
      </w:r>
    </w:p>
    <w:p>
      <w:pPr>
        <w:pStyle w:val="BodyText"/>
        <w:spacing w:line="326" w:lineRule="auto"/>
        <w:ind w:right="374" w:firstLine="640"/>
      </w:pPr>
      <w:r>
        <w:rPr/>
        <w:t>（一）矿井总风量不足或者采掘工作面等主要用风地点风量不足的；</w:t>
      </w:r>
    </w:p>
    <w:p>
      <w:pPr>
        <w:pStyle w:val="BodyText"/>
        <w:spacing w:line="328" w:lineRule="auto" w:before="3"/>
        <w:ind w:right="375" w:firstLine="640"/>
      </w:pPr>
      <w:r>
        <w:rPr/>
        <w:t>（二）没有备用主要通风机，或者两台主要通风机不具有同等能力的；</w:t>
      </w:r>
    </w:p>
    <w:p>
      <w:pPr>
        <w:pStyle w:val="BodyText"/>
        <w:spacing w:line="407" w:lineRule="exact"/>
        <w:ind w:left="1140"/>
      </w:pPr>
      <w:r>
        <w:rPr/>
        <w:t>（三）违反《煤矿安全规程》规定采用串联通风的；</w:t>
      </w:r>
    </w:p>
    <w:p>
      <w:pPr>
        <w:pStyle w:val="BodyText"/>
        <w:spacing w:before="150"/>
        <w:ind w:left="1140"/>
      </w:pPr>
      <w:r>
        <w:rPr/>
        <w:t>（四）未按照设计形成通风系统，或者生产水平和采</w:t>
      </w:r>
    </w:p>
    <w:p>
      <w:pPr>
        <w:pStyle w:val="BodyText"/>
        <w:spacing w:before="151"/>
      </w:pPr>
      <w:r>
        <w:rPr/>
        <w:t>（盘）区未实现分区通风的；</w:t>
      </w:r>
    </w:p>
    <w:p>
      <w:pPr>
        <w:pStyle w:val="BodyText"/>
        <w:spacing w:line="328" w:lineRule="auto" w:before="149"/>
        <w:ind w:right="405" w:firstLine="640"/>
        <w:jc w:val="both"/>
      </w:pPr>
      <w:r>
        <w:rPr/>
        <w:t>（五）高瓦斯、煤与瓦斯突出矿井的任一采（盘）区， 开采容易自燃煤层、低瓦斯矿井开采煤层群和分层开采采用联合布置的采（盘）区，未设置专用回风巷，或者突出煤层工作面没有独立的回风系统的；</w:t>
      </w:r>
    </w:p>
    <w:p>
      <w:pPr>
        <w:pStyle w:val="BodyText"/>
        <w:spacing w:line="328" w:lineRule="auto"/>
        <w:ind w:right="417" w:firstLine="640"/>
        <w:jc w:val="both"/>
      </w:pPr>
      <w:r>
        <w:rPr>
          <w:w w:val="95"/>
        </w:rPr>
        <w:t>（六</w:t>
      </w:r>
      <w:r>
        <w:rPr>
          <w:spacing w:val="-3"/>
          <w:w w:val="95"/>
        </w:rPr>
        <w:t>）进、回风井之间和主要进、回风巷之间联络巷中 的风墙、风门不符合《煤矿安全规程》规定，造成风流短路 </w:t>
      </w:r>
      <w:r>
        <w:rPr>
          <w:spacing w:val="-3"/>
        </w:rPr>
        <w:t>的；</w:t>
      </w:r>
    </w:p>
    <w:p>
      <w:pPr>
        <w:pStyle w:val="BodyText"/>
        <w:spacing w:line="328" w:lineRule="auto"/>
        <w:ind w:right="417" w:firstLine="640"/>
        <w:jc w:val="both"/>
      </w:pPr>
      <w:r>
        <w:rPr>
          <w:w w:val="95"/>
        </w:rPr>
        <w:t>（七</w:t>
      </w:r>
      <w:r>
        <w:rPr>
          <w:spacing w:val="-3"/>
          <w:w w:val="95"/>
        </w:rPr>
        <w:t>）采区进、回风巷未贯穿整个采区，或者虽贯穿整 </w:t>
      </w:r>
      <w:r>
        <w:rPr>
          <w:spacing w:val="-5"/>
        </w:rPr>
        <w:t>个采区但一段进风、一段回风，或者采用倾斜长壁布置，大</w:t>
      </w:r>
      <w:r>
        <w:rPr>
          <w:spacing w:val="-17"/>
        </w:rPr>
        <w:t>巷未超前至少 </w:t>
      </w:r>
      <w:r>
        <w:rPr/>
        <w:t>2</w:t>
      </w:r>
      <w:r>
        <w:rPr>
          <w:spacing w:val="-10"/>
        </w:rPr>
        <w:t> 个区段构成通风系统即开掘其他巷道的；</w:t>
      </w:r>
    </w:p>
    <w:p>
      <w:pPr>
        <w:pStyle w:val="BodyText"/>
        <w:spacing w:line="405" w:lineRule="exact"/>
        <w:ind w:left="1140"/>
      </w:pPr>
      <w:r>
        <w:rPr/>
        <w:t>（八）煤巷、半煤岩巷和有瓦斯涌出的岩巷掘进未按照</w:t>
      </w:r>
    </w:p>
    <w:p>
      <w:pPr>
        <w:spacing w:after="0" w:line="405" w:lineRule="exact"/>
        <w:sectPr>
          <w:pgSz w:w="11910" w:h="16840"/>
          <w:pgMar w:header="0" w:footer="1000" w:top="1520" w:bottom="1180" w:left="1300" w:right="1380"/>
        </w:sectPr>
      </w:pPr>
    </w:p>
    <w:p>
      <w:pPr>
        <w:pStyle w:val="BodyText"/>
        <w:spacing w:line="326" w:lineRule="auto" w:before="32"/>
        <w:ind w:right="375"/>
      </w:pPr>
      <w:r>
        <w:rPr/>
        <w:t>国家规定装备甲烷电、风电闭锁装置或者有关装置不能正常使用的；</w:t>
      </w:r>
    </w:p>
    <w:p>
      <w:pPr>
        <w:pStyle w:val="BodyText"/>
        <w:spacing w:line="328" w:lineRule="auto" w:before="3"/>
        <w:ind w:right="420" w:firstLine="640"/>
        <w:jc w:val="both"/>
      </w:pPr>
      <w:r>
        <w:rPr>
          <w:w w:val="95"/>
        </w:rPr>
        <w:t>（九</w:t>
      </w:r>
      <w:r>
        <w:rPr>
          <w:spacing w:val="-3"/>
          <w:w w:val="95"/>
        </w:rPr>
        <w:t>）</w:t>
      </w:r>
      <w:r>
        <w:rPr>
          <w:spacing w:val="-1"/>
          <w:w w:val="95"/>
        </w:rPr>
        <w:t>高瓦斯、煤</w:t>
      </w:r>
      <w:r>
        <w:rPr>
          <w:w w:val="95"/>
        </w:rPr>
        <w:t>（岩</w:t>
      </w:r>
      <w:r>
        <w:rPr>
          <w:spacing w:val="-3"/>
          <w:w w:val="95"/>
        </w:rPr>
        <w:t>）</w:t>
      </w:r>
      <w:r>
        <w:rPr>
          <w:spacing w:val="-1"/>
          <w:w w:val="95"/>
        </w:rPr>
        <w:t>与瓦斯</w:t>
      </w:r>
      <w:r>
        <w:rPr>
          <w:w w:val="95"/>
        </w:rPr>
        <w:t>（二氧化碳</w:t>
      </w:r>
      <w:r>
        <w:rPr>
          <w:spacing w:val="-3"/>
          <w:w w:val="95"/>
        </w:rPr>
        <w:t>）</w:t>
      </w:r>
      <w:r>
        <w:rPr>
          <w:w w:val="95"/>
        </w:rPr>
        <w:t>突出矿井 </w:t>
      </w:r>
      <w:r>
        <w:rPr>
          <w:spacing w:val="-4"/>
        </w:rPr>
        <w:t>的煤巷、半煤岩巷和有瓦斯涌出的岩巷掘进工作面采用局部通风时，不能实现双风机、双电源且自动切换的；</w:t>
      </w:r>
    </w:p>
    <w:p>
      <w:pPr>
        <w:pStyle w:val="BodyText"/>
        <w:spacing w:line="328" w:lineRule="auto"/>
        <w:ind w:right="420" w:firstLine="640"/>
        <w:jc w:val="both"/>
      </w:pPr>
      <w:r>
        <w:rPr>
          <w:w w:val="95"/>
        </w:rPr>
        <w:t>（十</w:t>
      </w:r>
      <w:r>
        <w:rPr>
          <w:spacing w:val="-3"/>
          <w:w w:val="95"/>
        </w:rPr>
        <w:t>）</w:t>
      </w:r>
      <w:r>
        <w:rPr>
          <w:spacing w:val="-1"/>
          <w:w w:val="95"/>
        </w:rPr>
        <w:t>高瓦斯、煤</w:t>
      </w:r>
      <w:r>
        <w:rPr>
          <w:w w:val="95"/>
        </w:rPr>
        <w:t>（岩</w:t>
      </w:r>
      <w:r>
        <w:rPr>
          <w:spacing w:val="-3"/>
          <w:w w:val="95"/>
        </w:rPr>
        <w:t>）</w:t>
      </w:r>
      <w:r>
        <w:rPr>
          <w:spacing w:val="-1"/>
          <w:w w:val="95"/>
        </w:rPr>
        <w:t>与瓦斯</w:t>
      </w:r>
      <w:r>
        <w:rPr>
          <w:w w:val="95"/>
        </w:rPr>
        <w:t>（二氧化碳</w:t>
      </w:r>
      <w:r>
        <w:rPr>
          <w:spacing w:val="-3"/>
          <w:w w:val="95"/>
        </w:rPr>
        <w:t>）</w:t>
      </w:r>
      <w:r>
        <w:rPr>
          <w:w w:val="95"/>
        </w:rPr>
        <w:t>突出建设 </w:t>
      </w:r>
      <w:r>
        <w:rPr>
          <w:spacing w:val="-3"/>
        </w:rPr>
        <w:t>矿井进入二期工程前，其他建设矿井进入三期工程前，没有</w:t>
      </w:r>
      <w:r>
        <w:rPr/>
        <w:t>形成地面主要通风机供风的全风压通风系统的。</w:t>
      </w:r>
    </w:p>
    <w:p>
      <w:pPr>
        <w:pStyle w:val="BodyText"/>
        <w:spacing w:line="328" w:lineRule="auto"/>
        <w:ind w:right="420" w:firstLine="640"/>
        <w:jc w:val="both"/>
      </w:pPr>
      <w:r>
        <w:rPr>
          <w:rFonts w:ascii="黑体" w:hAnsi="黑体" w:eastAsia="黑体" w:hint="eastAsia"/>
        </w:rPr>
        <w:t>第九条 </w:t>
      </w:r>
      <w:r>
        <w:rPr/>
        <w:t>“有严重水患，未采取有效措施”重大事故隐患，是指有下列情形之一的：</w:t>
      </w:r>
    </w:p>
    <w:p>
      <w:pPr>
        <w:pStyle w:val="BodyText"/>
        <w:spacing w:line="326" w:lineRule="auto"/>
        <w:ind w:right="405" w:firstLine="640"/>
      </w:pPr>
      <w:r>
        <w:rPr/>
        <w:t>（一）未查明矿井水文地质条件和井田范围内采空区、废弃老窑积水等情况而组织生产建设的；</w:t>
      </w:r>
    </w:p>
    <w:p>
      <w:pPr>
        <w:pStyle w:val="BodyText"/>
        <w:spacing w:line="326" w:lineRule="auto"/>
        <w:ind w:right="417" w:firstLine="640"/>
        <w:jc w:val="both"/>
      </w:pPr>
      <w:r>
        <w:rPr>
          <w:w w:val="95"/>
        </w:rPr>
        <w:t>（二</w:t>
      </w:r>
      <w:r>
        <w:rPr>
          <w:spacing w:val="-5"/>
          <w:w w:val="95"/>
        </w:rPr>
        <w:t>）</w:t>
      </w:r>
      <w:r>
        <w:rPr>
          <w:spacing w:val="-1"/>
          <w:w w:val="95"/>
        </w:rPr>
        <w:t>水文地质类型复杂、极复杂的矿井未设置专门的 </w:t>
      </w:r>
      <w:r>
        <w:rPr>
          <w:spacing w:val="-3"/>
        </w:rPr>
        <w:t>防治水机构、未配备专门的探放水作业队伍，或者未配齐专用探放水设备的；</w:t>
      </w:r>
    </w:p>
    <w:p>
      <w:pPr>
        <w:pStyle w:val="BodyText"/>
        <w:spacing w:line="326" w:lineRule="auto"/>
        <w:ind w:right="419" w:firstLine="640"/>
      </w:pPr>
      <w:r>
        <w:rPr/>
        <w:t>（三</w:t>
      </w:r>
      <w:r>
        <w:rPr>
          <w:spacing w:val="-12"/>
        </w:rPr>
        <w:t>）</w:t>
      </w:r>
      <w:r>
        <w:rPr>
          <w:spacing w:val="-1"/>
        </w:rPr>
        <w:t>在需要探放水的区域进行采掘作业未按照国家规</w:t>
      </w:r>
      <w:r>
        <w:rPr/>
        <w:t>定进行探放水的；</w:t>
      </w:r>
    </w:p>
    <w:p>
      <w:pPr>
        <w:pStyle w:val="BodyText"/>
        <w:spacing w:line="328" w:lineRule="auto" w:before="3"/>
        <w:ind w:right="420" w:firstLine="640"/>
      </w:pPr>
      <w:r>
        <w:rPr>
          <w:w w:val="95"/>
        </w:rPr>
        <w:t>（四</w:t>
      </w:r>
      <w:r>
        <w:rPr>
          <w:spacing w:val="-3"/>
          <w:w w:val="95"/>
        </w:rPr>
        <w:t>）</w:t>
      </w:r>
      <w:r>
        <w:rPr>
          <w:spacing w:val="-1"/>
          <w:w w:val="95"/>
        </w:rPr>
        <w:t>未按照国家规定留设或者擅自开采</w:t>
      </w:r>
      <w:r>
        <w:rPr>
          <w:w w:val="95"/>
        </w:rPr>
        <w:t>（破坏</w:t>
      </w:r>
      <w:r>
        <w:rPr>
          <w:spacing w:val="-3"/>
          <w:w w:val="95"/>
        </w:rPr>
        <w:t>）</w:t>
      </w:r>
      <w:r>
        <w:rPr>
          <w:w w:val="95"/>
        </w:rPr>
        <w:t>各种 </w:t>
      </w:r>
      <w:r>
        <w:rPr/>
        <w:t>防隔水煤（岩）柱的；</w:t>
      </w:r>
    </w:p>
    <w:p>
      <w:pPr>
        <w:pStyle w:val="BodyText"/>
        <w:spacing w:line="326" w:lineRule="auto"/>
        <w:ind w:right="420" w:firstLine="640"/>
      </w:pPr>
      <w:r>
        <w:rPr>
          <w:w w:val="95"/>
        </w:rPr>
        <w:t>（五</w:t>
      </w:r>
      <w:r>
        <w:rPr>
          <w:spacing w:val="-3"/>
          <w:w w:val="95"/>
        </w:rPr>
        <w:t>）</w:t>
      </w:r>
      <w:r>
        <w:rPr>
          <w:spacing w:val="-2"/>
          <w:w w:val="95"/>
        </w:rPr>
        <w:t>有突</w:t>
      </w:r>
      <w:r>
        <w:rPr>
          <w:w w:val="95"/>
        </w:rPr>
        <w:t>（</w:t>
      </w:r>
      <w:r>
        <w:rPr>
          <w:spacing w:val="-2"/>
          <w:w w:val="95"/>
        </w:rPr>
        <w:t>透、溃</w:t>
      </w:r>
      <w:r>
        <w:rPr>
          <w:spacing w:val="-3"/>
          <w:w w:val="95"/>
        </w:rPr>
        <w:t>）</w:t>
      </w:r>
      <w:r>
        <w:rPr>
          <w:w w:val="95"/>
        </w:rPr>
        <w:t>水征兆未撤出井下所有受水患威 </w:t>
      </w:r>
      <w:r>
        <w:rPr/>
        <w:t>胁地点人员的；</w:t>
      </w:r>
    </w:p>
    <w:p>
      <w:pPr>
        <w:pStyle w:val="BodyText"/>
        <w:spacing w:line="326" w:lineRule="auto" w:before="3"/>
        <w:ind w:right="374" w:firstLine="640"/>
      </w:pPr>
      <w:r>
        <w:rPr/>
        <w:t>（六）受地表水倒灌威胁的矿井在强降雨天气或其来水上游发生洪水期间未实施停产撤人的；</w:t>
      </w:r>
    </w:p>
    <w:p>
      <w:pPr>
        <w:pStyle w:val="BodyText"/>
        <w:spacing w:before="3"/>
        <w:ind w:left="1140"/>
      </w:pPr>
      <w:r>
        <w:rPr/>
        <w:t>（七）建设矿井进入三期工程前，未按照设计建成永久</w:t>
      </w:r>
    </w:p>
    <w:p>
      <w:pPr>
        <w:spacing w:after="0"/>
        <w:sectPr>
          <w:pgSz w:w="11910" w:h="16840"/>
          <w:pgMar w:header="0" w:footer="1000" w:top="1520" w:bottom="1180" w:left="1300" w:right="1380"/>
        </w:sectPr>
      </w:pPr>
    </w:p>
    <w:p>
      <w:pPr>
        <w:pStyle w:val="BodyText"/>
        <w:spacing w:line="326" w:lineRule="auto" w:before="32"/>
        <w:ind w:right="347"/>
      </w:pPr>
      <w:r>
        <w:rPr>
          <w:w w:val="95"/>
        </w:rPr>
        <w:t>排水系统，或者生产矿井延深到设计水平时，未建成防、排 </w:t>
      </w:r>
      <w:r>
        <w:rPr/>
        <w:t>水系统而违规开拓掘进的；</w:t>
      </w:r>
    </w:p>
    <w:p>
      <w:pPr>
        <w:pStyle w:val="BodyText"/>
        <w:spacing w:line="328" w:lineRule="auto" w:before="3"/>
        <w:ind w:right="417" w:firstLine="640"/>
      </w:pPr>
      <w:r>
        <w:rPr>
          <w:w w:val="95"/>
        </w:rPr>
        <w:t>（八</w:t>
      </w:r>
      <w:r>
        <w:rPr>
          <w:spacing w:val="-5"/>
          <w:w w:val="95"/>
        </w:rPr>
        <w:t>）</w:t>
      </w:r>
      <w:r>
        <w:rPr>
          <w:spacing w:val="-1"/>
          <w:w w:val="95"/>
        </w:rPr>
        <w:t>矿井主要排水系统水泵排水能力、管路和水仓容 </w:t>
      </w:r>
      <w:r>
        <w:rPr>
          <w:spacing w:val="-1"/>
        </w:rPr>
        <w:t>量不符合《煤矿安全规程》规定的；</w:t>
      </w:r>
    </w:p>
    <w:p>
      <w:pPr>
        <w:pStyle w:val="BodyText"/>
        <w:spacing w:line="326" w:lineRule="auto"/>
        <w:ind w:right="375" w:firstLine="640"/>
      </w:pPr>
      <w:r>
        <w:rPr/>
        <w:t>（九）开采地表水体、老空水淹区域或者强含水层下急倾斜煤层，未按照国家规定消除水患威胁的。</w:t>
      </w:r>
    </w:p>
    <w:p>
      <w:pPr>
        <w:pStyle w:val="BodyText"/>
        <w:tabs>
          <w:tab w:pos="2415" w:val="left" w:leader="none"/>
        </w:tabs>
        <w:spacing w:line="326" w:lineRule="auto" w:before="3"/>
        <w:ind w:right="420" w:firstLine="640"/>
      </w:pPr>
      <w:r>
        <w:rPr>
          <w:rFonts w:ascii="黑体" w:hAnsi="黑体" w:eastAsia="黑体" w:hint="eastAsia"/>
        </w:rPr>
        <w:t>第十条</w:t>
        <w:tab/>
      </w:r>
      <w:r>
        <w:rPr/>
        <w:t>“超层越界开采</w:t>
      </w:r>
      <w:r>
        <w:rPr>
          <w:spacing w:val="-5"/>
        </w:rPr>
        <w:t>”</w:t>
      </w:r>
      <w:r>
        <w:rPr/>
        <w:t>重大事故隐患</w:t>
      </w:r>
      <w:r>
        <w:rPr>
          <w:spacing w:val="-5"/>
        </w:rPr>
        <w:t>，</w:t>
      </w:r>
      <w:r>
        <w:rPr/>
        <w:t>是指有下</w:t>
      </w:r>
      <w:r>
        <w:rPr>
          <w:spacing w:val="-12"/>
        </w:rPr>
        <w:t>列</w:t>
      </w:r>
      <w:r>
        <w:rPr/>
        <w:t>情形之一的：</w:t>
      </w:r>
    </w:p>
    <w:p>
      <w:pPr>
        <w:pStyle w:val="BodyText"/>
        <w:spacing w:line="328" w:lineRule="auto" w:before="3"/>
        <w:ind w:right="374" w:firstLine="640"/>
      </w:pPr>
      <w:r>
        <w:rPr/>
        <w:t>（一）超出采矿许可证载明的开采煤层层位或者标高进行开采的；</w:t>
      </w:r>
    </w:p>
    <w:p>
      <w:pPr>
        <w:pStyle w:val="BodyText"/>
        <w:spacing w:line="407" w:lineRule="exact"/>
        <w:ind w:left="1140"/>
      </w:pPr>
      <w:r>
        <w:rPr/>
        <w:t>（二）超出采矿许可证载明的坐标控制范围进行开采</w:t>
      </w:r>
    </w:p>
    <w:p>
      <w:pPr>
        <w:pStyle w:val="BodyText"/>
        <w:spacing w:before="149"/>
      </w:pPr>
      <w:r>
        <w:rPr/>
        <w:t>的；</w:t>
      </w:r>
    </w:p>
    <w:p>
      <w:pPr>
        <w:pStyle w:val="BodyText"/>
        <w:spacing w:before="152"/>
        <w:ind w:left="1140"/>
      </w:pPr>
      <w:r>
        <w:rPr/>
        <w:t>（三）擅自开采（破坏）安全煤柱的。</w:t>
      </w:r>
    </w:p>
    <w:p>
      <w:pPr>
        <w:pStyle w:val="BodyText"/>
        <w:tabs>
          <w:tab w:pos="2736" w:val="left" w:leader="none"/>
        </w:tabs>
        <w:spacing w:before="149"/>
        <w:ind w:left="1140"/>
      </w:pPr>
      <w:r>
        <w:rPr>
          <w:rFonts w:ascii="黑体" w:hAnsi="黑体" w:eastAsia="黑体" w:hint="eastAsia"/>
        </w:rPr>
        <w:t>第十一条</w:t>
        <w:tab/>
      </w:r>
      <w:r>
        <w:rPr/>
        <w:t>“有冲击地压危险</w:t>
      </w:r>
      <w:r>
        <w:rPr>
          <w:spacing w:val="-3"/>
        </w:rPr>
        <w:t>，</w:t>
      </w:r>
      <w:r>
        <w:rPr/>
        <w:t>未采取有效措施</w:t>
      </w:r>
      <w:r>
        <w:rPr>
          <w:spacing w:val="-5"/>
        </w:rPr>
        <w:t>”</w:t>
      </w:r>
      <w:r>
        <w:rPr/>
        <w:t>重大</w:t>
      </w:r>
    </w:p>
    <w:p>
      <w:pPr>
        <w:pStyle w:val="BodyText"/>
        <w:spacing w:before="149"/>
      </w:pPr>
      <w:r>
        <w:rPr/>
        <w:t>事故隐患，是指有下列情形之一的：</w:t>
      </w:r>
    </w:p>
    <w:p>
      <w:pPr>
        <w:pStyle w:val="BodyText"/>
        <w:spacing w:line="328" w:lineRule="auto" w:before="152"/>
        <w:ind w:right="417" w:firstLine="640"/>
        <w:jc w:val="both"/>
      </w:pPr>
      <w:r>
        <w:rPr>
          <w:w w:val="95"/>
        </w:rPr>
        <w:t>（一</w:t>
      </w:r>
      <w:r>
        <w:rPr>
          <w:spacing w:val="-3"/>
          <w:w w:val="95"/>
        </w:rPr>
        <w:t>）</w:t>
      </w:r>
      <w:r>
        <w:rPr>
          <w:spacing w:val="-1"/>
          <w:w w:val="95"/>
        </w:rPr>
        <w:t>未按照国家规定进行煤层</w:t>
      </w:r>
      <w:r>
        <w:rPr>
          <w:spacing w:val="-3"/>
          <w:w w:val="95"/>
        </w:rPr>
        <w:t>（</w:t>
      </w:r>
      <w:r>
        <w:rPr>
          <w:w w:val="95"/>
        </w:rPr>
        <w:t>岩层</w:t>
      </w:r>
      <w:r>
        <w:rPr>
          <w:spacing w:val="-3"/>
          <w:w w:val="95"/>
        </w:rPr>
        <w:t>）</w:t>
      </w:r>
      <w:r>
        <w:rPr>
          <w:w w:val="95"/>
        </w:rPr>
        <w:t>冲击倾向性鉴 </w:t>
      </w:r>
      <w:r>
        <w:rPr>
          <w:spacing w:val="-3"/>
          <w:w w:val="95"/>
        </w:rPr>
        <w:t>定，或者开采有冲击倾向性煤层未进行冲击危险性评价，或 </w:t>
      </w:r>
      <w:r>
        <w:rPr>
          <w:spacing w:val="-5"/>
        </w:rPr>
        <w:t>者开采冲击地压煤层，未进行采区、采掘工作面冲击危险性评价的；</w:t>
      </w:r>
    </w:p>
    <w:p>
      <w:pPr>
        <w:pStyle w:val="BodyText"/>
        <w:spacing w:line="326" w:lineRule="auto"/>
        <w:ind w:right="405" w:firstLine="640"/>
      </w:pPr>
      <w:r>
        <w:rPr/>
        <w:t>（二）有冲击地压危险的矿井未设置专门的防冲机构、未配备专业人员或者未编制专门设计的；</w:t>
      </w:r>
    </w:p>
    <w:p>
      <w:pPr>
        <w:pStyle w:val="BodyText"/>
        <w:spacing w:line="326" w:lineRule="auto"/>
        <w:ind w:right="420" w:firstLine="640"/>
        <w:jc w:val="both"/>
      </w:pPr>
      <w:r>
        <w:rPr/>
        <w:t>（三</w:t>
      </w:r>
      <w:r>
        <w:rPr>
          <w:spacing w:val="-5"/>
        </w:rPr>
        <w:t>）</w:t>
      </w:r>
      <w:r>
        <w:rPr>
          <w:spacing w:val="-2"/>
        </w:rPr>
        <w:t>未进行冲击地压危险性预测，或者未进行防冲措</w:t>
      </w:r>
      <w:r>
        <w:rPr>
          <w:spacing w:val="11"/>
          <w:w w:val="95"/>
        </w:rPr>
        <w:t>施效果检验以及防冲措施效果检验不达标仍组织生产建设 </w:t>
      </w:r>
      <w:r>
        <w:rPr>
          <w:spacing w:val="11"/>
        </w:rPr>
        <w:t>的；</w:t>
      </w:r>
    </w:p>
    <w:p>
      <w:pPr>
        <w:spacing w:after="0" w:line="326" w:lineRule="auto"/>
        <w:jc w:val="both"/>
        <w:sectPr>
          <w:pgSz w:w="11910" w:h="16840"/>
          <w:pgMar w:header="0" w:footer="1000" w:top="1520" w:bottom="1180" w:left="1300" w:right="1380"/>
        </w:sectPr>
      </w:pPr>
    </w:p>
    <w:p>
      <w:pPr>
        <w:pStyle w:val="BodyText"/>
        <w:spacing w:line="328" w:lineRule="auto" w:before="32"/>
        <w:ind w:right="405" w:firstLine="640"/>
        <w:jc w:val="both"/>
      </w:pPr>
      <w:r>
        <w:rPr/>
        <w:t>（四）开采冲击地压煤层时，违规开采孤岛煤柱，采掘工作面位置、间距不符合国家规定，或者开采顺序不合理、采掘速度不符合国家规定、违反国家规定布置巷道或者留设煤（岩）柱造成应力集中的；</w:t>
      </w:r>
    </w:p>
    <w:p>
      <w:pPr>
        <w:pStyle w:val="BodyText"/>
        <w:spacing w:line="326" w:lineRule="auto"/>
        <w:ind w:right="374" w:firstLine="640"/>
      </w:pPr>
      <w:r>
        <w:rPr/>
        <w:t>（五）未制定或者未严格执行冲击地压危险区域人员准入制度的。</w:t>
      </w:r>
    </w:p>
    <w:p>
      <w:pPr>
        <w:pStyle w:val="BodyText"/>
        <w:tabs>
          <w:tab w:pos="2736" w:val="left" w:leader="none"/>
        </w:tabs>
        <w:spacing w:line="326" w:lineRule="auto"/>
        <w:ind w:right="417" w:firstLine="640"/>
      </w:pPr>
      <w:r>
        <w:rPr>
          <w:rFonts w:ascii="黑体" w:hAnsi="黑体" w:eastAsia="黑体" w:hint="eastAsia"/>
        </w:rPr>
        <w:t>第十二条</w:t>
        <w:tab/>
      </w:r>
      <w:r>
        <w:rPr/>
        <w:t>“自然发火严重</w:t>
      </w:r>
      <w:r>
        <w:rPr>
          <w:spacing w:val="-5"/>
        </w:rPr>
        <w:t>，</w:t>
      </w:r>
      <w:r>
        <w:rPr/>
        <w:t>未采取有效措施</w:t>
      </w:r>
      <w:r>
        <w:rPr>
          <w:spacing w:val="-3"/>
        </w:rPr>
        <w:t>”</w:t>
      </w:r>
      <w:r>
        <w:rPr/>
        <w:t>重大</w:t>
      </w:r>
      <w:r>
        <w:rPr>
          <w:spacing w:val="-11"/>
        </w:rPr>
        <w:t>事</w:t>
      </w:r>
      <w:r>
        <w:rPr/>
        <w:t>故隐患，是指有下列情形之一的：</w:t>
      </w:r>
    </w:p>
    <w:p>
      <w:pPr>
        <w:pStyle w:val="BodyText"/>
        <w:spacing w:line="328" w:lineRule="auto" w:before="1"/>
        <w:ind w:right="417" w:firstLine="640"/>
      </w:pPr>
      <w:r>
        <w:rPr>
          <w:w w:val="95"/>
        </w:rPr>
        <w:t>（一</w:t>
      </w:r>
      <w:r>
        <w:rPr>
          <w:spacing w:val="-5"/>
          <w:w w:val="95"/>
        </w:rPr>
        <w:t>）</w:t>
      </w:r>
      <w:r>
        <w:rPr>
          <w:spacing w:val="-1"/>
          <w:w w:val="95"/>
        </w:rPr>
        <w:t>开采容易自燃和自燃煤层的矿井，未编制防灭火 </w:t>
      </w:r>
      <w:r>
        <w:rPr>
          <w:spacing w:val="-1"/>
        </w:rPr>
        <w:t>专项设计或者未采取综合防灭火措施的；</w:t>
      </w:r>
    </w:p>
    <w:p>
      <w:pPr>
        <w:pStyle w:val="BodyText"/>
        <w:spacing w:line="326" w:lineRule="auto"/>
        <w:ind w:right="374" w:firstLine="640"/>
      </w:pPr>
      <w:r>
        <w:rPr/>
        <w:t>（二）高瓦斯矿井采用放顶煤采煤法不能有效防治煤层自然发火的；</w:t>
      </w:r>
    </w:p>
    <w:p>
      <w:pPr>
        <w:pStyle w:val="BodyText"/>
        <w:spacing w:line="326" w:lineRule="auto" w:before="3"/>
        <w:ind w:right="374" w:firstLine="640"/>
      </w:pPr>
      <w:r>
        <w:rPr/>
        <w:t>（三）有自然发火征兆没有采取相应的安全防范措施继续生产建设的；</w:t>
      </w:r>
    </w:p>
    <w:p>
      <w:pPr>
        <w:pStyle w:val="BodyText"/>
        <w:spacing w:before="3"/>
        <w:ind w:left="1140"/>
      </w:pPr>
      <w:r>
        <w:rPr/>
        <w:t>（四）违反《煤矿安全规程》规定启封火区的。</w:t>
      </w:r>
    </w:p>
    <w:p>
      <w:pPr>
        <w:pStyle w:val="BodyText"/>
        <w:spacing w:line="326" w:lineRule="auto" w:before="151"/>
        <w:ind w:right="214" w:firstLine="640"/>
      </w:pPr>
      <w:r>
        <w:rPr>
          <w:rFonts w:ascii="黑体" w:hAnsi="黑体" w:eastAsia="黑体" w:hint="eastAsia"/>
        </w:rPr>
        <w:t>第十三条 </w:t>
      </w:r>
      <w:r>
        <w:rPr/>
        <w:t>“使用明令禁止使用或者淘汰的设备、工艺” 重大事故隐患，是指有下列情形之一的：</w:t>
      </w:r>
    </w:p>
    <w:p>
      <w:pPr>
        <w:pStyle w:val="BodyText"/>
        <w:spacing w:line="328" w:lineRule="auto" w:before="4"/>
        <w:ind w:right="374" w:firstLine="640"/>
      </w:pPr>
      <w:r>
        <w:rPr/>
        <w:t>（一）使用被列入国家禁止井工煤矿使用的设备及工艺目录的产品或者工艺的；</w:t>
      </w:r>
    </w:p>
    <w:p>
      <w:pPr>
        <w:pStyle w:val="BodyText"/>
        <w:spacing w:line="326" w:lineRule="auto"/>
        <w:ind w:right="375" w:firstLine="640"/>
      </w:pPr>
      <w:r>
        <w:rPr/>
        <w:t>（二）井下电气设备、电缆未取得煤矿矿用产品安全标志的；</w:t>
      </w:r>
    </w:p>
    <w:p>
      <w:pPr>
        <w:pStyle w:val="BodyText"/>
        <w:spacing w:before="3"/>
        <w:ind w:left="1140"/>
      </w:pPr>
      <w:r>
        <w:rPr/>
        <w:t>（三）井下电气设备选型与矿井瓦斯等级不符，或者采</w:t>
      </w:r>
    </w:p>
    <w:p>
      <w:pPr>
        <w:pStyle w:val="BodyText"/>
        <w:spacing w:line="326" w:lineRule="auto" w:before="149"/>
        <w:ind w:right="373"/>
      </w:pPr>
      <w:r>
        <w:rPr/>
        <w:t>（盘）区内防爆型电气设备存在失爆，或者井下使用非防爆无轨胶轮车的；</w:t>
      </w:r>
    </w:p>
    <w:p>
      <w:pPr>
        <w:spacing w:after="0" w:line="326" w:lineRule="auto"/>
        <w:sectPr>
          <w:pgSz w:w="11910" w:h="16840"/>
          <w:pgMar w:header="0" w:footer="1000" w:top="1520" w:bottom="1180" w:left="1300" w:right="1380"/>
        </w:sectPr>
      </w:pPr>
    </w:p>
    <w:p>
      <w:pPr>
        <w:pStyle w:val="BodyText"/>
        <w:spacing w:line="326" w:lineRule="auto" w:before="32"/>
        <w:ind w:right="374" w:firstLine="640"/>
      </w:pPr>
      <w:r>
        <w:rPr/>
        <w:t>（四）未按照矿井瓦斯等级选用相应的煤矿许用炸药和雷管、未使用专用发爆器，或者裸露爆破的；</w:t>
      </w:r>
    </w:p>
    <w:p>
      <w:pPr>
        <w:pStyle w:val="BodyText"/>
        <w:spacing w:before="3"/>
        <w:ind w:left="1140"/>
      </w:pPr>
      <w:r>
        <w:rPr/>
        <w:t>（五）采煤工作面不能保证 2 个畅通的安全出口的；</w:t>
      </w:r>
    </w:p>
    <w:p>
      <w:pPr>
        <w:pStyle w:val="BodyText"/>
        <w:spacing w:line="326" w:lineRule="auto" w:before="151"/>
        <w:ind w:right="417" w:firstLine="640"/>
        <w:jc w:val="both"/>
      </w:pPr>
      <w:r>
        <w:rPr>
          <w:w w:val="95"/>
        </w:rPr>
        <w:t>（六</w:t>
      </w:r>
      <w:r>
        <w:rPr>
          <w:spacing w:val="-3"/>
          <w:w w:val="95"/>
        </w:rPr>
        <w:t>）</w:t>
      </w:r>
      <w:r>
        <w:rPr>
          <w:spacing w:val="-2"/>
          <w:w w:val="95"/>
        </w:rPr>
        <w:t>高瓦斯矿井、煤与瓦斯突出矿井、开采容易自燃 </w:t>
      </w:r>
      <w:r>
        <w:rPr>
          <w:spacing w:val="-3"/>
          <w:w w:val="95"/>
        </w:rPr>
        <w:t>和自燃煤层</w:t>
      </w:r>
      <w:r>
        <w:rPr>
          <w:w w:val="95"/>
        </w:rPr>
        <w:t>（薄煤层除外</w:t>
      </w:r>
      <w:r>
        <w:rPr>
          <w:spacing w:val="-5"/>
          <w:w w:val="95"/>
        </w:rPr>
        <w:t>）</w:t>
      </w:r>
      <w:r>
        <w:rPr>
          <w:spacing w:val="-1"/>
          <w:w w:val="95"/>
        </w:rPr>
        <w:t>矿井，采煤工作面采用前进式采 </w:t>
      </w:r>
      <w:r>
        <w:rPr>
          <w:spacing w:val="-1"/>
        </w:rPr>
        <w:t>煤方法的。</w:t>
      </w:r>
    </w:p>
    <w:p>
      <w:pPr>
        <w:pStyle w:val="BodyText"/>
        <w:spacing w:line="326" w:lineRule="auto" w:before="8"/>
        <w:ind w:right="259" w:firstLine="640"/>
        <w:jc w:val="both"/>
      </w:pPr>
      <w:r>
        <w:rPr>
          <w:rFonts w:ascii="黑体" w:hAnsi="黑体" w:eastAsia="黑体" w:hint="eastAsia"/>
          <w:spacing w:val="12"/>
        </w:rPr>
        <w:t>第十四条 </w:t>
      </w:r>
      <w:r>
        <w:rPr>
          <w:spacing w:val="-7"/>
        </w:rPr>
        <w:t>“煤矿没有双回路供电系统”重大事故隐患， 是指有下列情形之一的：</w:t>
      </w:r>
    </w:p>
    <w:p>
      <w:pPr>
        <w:pStyle w:val="BodyText"/>
        <w:spacing w:before="3"/>
        <w:ind w:left="1140"/>
      </w:pPr>
      <w:r>
        <w:rPr/>
        <w:t>（一）单回路供电的；</w:t>
      </w:r>
    </w:p>
    <w:p>
      <w:pPr>
        <w:pStyle w:val="BodyText"/>
        <w:spacing w:line="326" w:lineRule="auto" w:before="151"/>
        <w:ind w:right="374" w:firstLine="640"/>
      </w:pPr>
      <w:r>
        <w:rPr/>
        <w:t>（二）有两回路电源线路但取自一个区域变电所同一母线段的；</w:t>
      </w:r>
    </w:p>
    <w:p>
      <w:pPr>
        <w:pStyle w:val="BodyText"/>
        <w:spacing w:line="328" w:lineRule="auto" w:before="3"/>
        <w:ind w:right="420" w:firstLine="640"/>
        <w:jc w:val="both"/>
      </w:pPr>
      <w:r>
        <w:rPr>
          <w:w w:val="95"/>
        </w:rPr>
        <w:t>（三</w:t>
      </w:r>
      <w:r>
        <w:rPr>
          <w:spacing w:val="-3"/>
          <w:w w:val="95"/>
        </w:rPr>
        <w:t>）</w:t>
      </w:r>
      <w:r>
        <w:rPr>
          <w:spacing w:val="-2"/>
          <w:w w:val="95"/>
        </w:rPr>
        <w:t>进入二期工程的高瓦斯、煤与瓦斯突出、水文地 </w:t>
      </w:r>
      <w:r>
        <w:rPr>
          <w:spacing w:val="-3"/>
        </w:rPr>
        <w:t>质类型为复杂和极复杂的建设矿井，以及进入三期工程的其他建设矿井，未形成两回路供电的。</w:t>
      </w:r>
    </w:p>
    <w:p>
      <w:pPr>
        <w:pStyle w:val="BodyText"/>
        <w:spacing w:line="328" w:lineRule="auto"/>
        <w:ind w:right="259" w:firstLine="640"/>
      </w:pPr>
      <w:r>
        <w:rPr>
          <w:rFonts w:ascii="黑体" w:hAnsi="黑体" w:eastAsia="黑体" w:hint="eastAsia"/>
          <w:spacing w:val="12"/>
        </w:rPr>
        <w:t>第十五条 </w:t>
      </w:r>
      <w:r>
        <w:rPr>
          <w:spacing w:val="-8"/>
        </w:rPr>
        <w:t>“新建煤矿边建设边生产，煤矿改扩建期间， </w:t>
      </w:r>
      <w:r>
        <w:rPr>
          <w:spacing w:val="-9"/>
        </w:rPr>
        <w:t>在改扩建的区域生产，或者在其他区域的生产超出安全设施设计规定的范围和规模”重大事故隐患，是指有下列情形之一的：</w:t>
      </w:r>
    </w:p>
    <w:p>
      <w:pPr>
        <w:pStyle w:val="BodyText"/>
        <w:spacing w:line="326" w:lineRule="auto"/>
        <w:ind w:right="375" w:firstLine="640"/>
      </w:pPr>
      <w:r>
        <w:rPr/>
        <w:t>（一）建设项目安全设施设计未经审查批准，或者审查批准后作出重大变更未经再次审查批准擅自组织施工的；</w:t>
      </w:r>
    </w:p>
    <w:p>
      <w:pPr>
        <w:pStyle w:val="BodyText"/>
        <w:spacing w:line="328" w:lineRule="auto"/>
        <w:ind w:right="417" w:firstLine="640"/>
      </w:pPr>
      <w:r>
        <w:rPr/>
        <w:t>（二</w:t>
      </w:r>
      <w:r>
        <w:rPr>
          <w:spacing w:val="-5"/>
        </w:rPr>
        <w:t>）</w:t>
      </w:r>
      <w:r>
        <w:rPr>
          <w:spacing w:val="-1"/>
        </w:rPr>
        <w:t>新建煤矿在建设期间组织采煤的</w:t>
      </w:r>
      <w:r>
        <w:rPr/>
        <w:t>（经批准的联合</w:t>
      </w:r>
      <w:r>
        <w:rPr>
          <w:w w:val="99"/>
        </w:rPr>
        <w:t>试运转除外</w:t>
      </w:r>
      <w:r>
        <w:rPr>
          <w:spacing w:val="-161"/>
          <w:w w:val="99"/>
        </w:rPr>
        <w:t>）</w:t>
      </w:r>
      <w:r>
        <w:rPr>
          <w:w w:val="99"/>
        </w:rPr>
        <w:t>；</w:t>
      </w:r>
    </w:p>
    <w:p>
      <w:pPr>
        <w:pStyle w:val="BodyText"/>
        <w:spacing w:line="407" w:lineRule="exact"/>
        <w:ind w:left="1140"/>
      </w:pPr>
      <w:r>
        <w:rPr/>
        <w:t>（三）改扩建矿井在改扩建区域生产的；</w:t>
      </w:r>
    </w:p>
    <w:p>
      <w:pPr>
        <w:pStyle w:val="BodyText"/>
        <w:spacing w:before="143"/>
        <w:ind w:left="1140"/>
      </w:pPr>
      <w:r>
        <w:rPr/>
        <w:t>（四）改扩建矿井在非改扩建区域超出设计规定范围和</w:t>
      </w:r>
    </w:p>
    <w:p>
      <w:pPr>
        <w:spacing w:after="0"/>
        <w:sectPr>
          <w:pgSz w:w="11910" w:h="16840"/>
          <w:pgMar w:header="0" w:footer="1000" w:top="1520" w:bottom="1180" w:left="1300" w:right="1380"/>
        </w:sectPr>
      </w:pPr>
    </w:p>
    <w:p>
      <w:pPr>
        <w:pStyle w:val="BodyText"/>
        <w:spacing w:before="32"/>
      </w:pPr>
      <w:r>
        <w:rPr/>
        <w:t>规模生产的。</w:t>
      </w:r>
    </w:p>
    <w:p>
      <w:pPr>
        <w:pStyle w:val="BodyText"/>
        <w:spacing w:line="328" w:lineRule="auto" w:before="149"/>
        <w:ind w:right="417" w:firstLine="640"/>
        <w:jc w:val="both"/>
      </w:pPr>
      <w:r>
        <w:rPr>
          <w:rFonts w:ascii="黑体" w:hAnsi="黑体" w:eastAsia="黑体" w:hint="eastAsia"/>
          <w:spacing w:val="28"/>
        </w:rPr>
        <w:t>第十六条 </w:t>
      </w:r>
      <w:r>
        <w:rPr>
          <w:spacing w:val="-1"/>
        </w:rPr>
        <w:t>“煤矿实行整体承包生产经营后，未重新取</w:t>
      </w:r>
      <w:r>
        <w:rPr>
          <w:spacing w:val="-2"/>
        </w:rPr>
        <w:t>得或者及时变更安全生产许可证而从事生产，或者承包方再</w:t>
      </w:r>
      <w:r>
        <w:rPr>
          <w:spacing w:val="-5"/>
        </w:rPr>
        <w:t>次转包，以及将井下采掘工作面和井巷维修作业进行劳务承包”重大事故隐患，是指有下列情形之一的：</w:t>
      </w:r>
    </w:p>
    <w:p>
      <w:pPr>
        <w:pStyle w:val="BodyText"/>
        <w:spacing w:line="328" w:lineRule="auto"/>
        <w:ind w:right="420" w:firstLine="640"/>
        <w:jc w:val="both"/>
      </w:pPr>
      <w:r>
        <w:rPr/>
        <w:t>（一</w:t>
      </w:r>
      <w:r>
        <w:rPr>
          <w:spacing w:val="-5"/>
        </w:rPr>
        <w:t>）</w:t>
      </w:r>
      <w:r>
        <w:rPr>
          <w:spacing w:val="-2"/>
        </w:rPr>
        <w:t>煤矿未采取整体承包形式进行发包，或者将煤矿</w:t>
      </w:r>
      <w:r>
        <w:rPr>
          <w:spacing w:val="11"/>
          <w:w w:val="95"/>
        </w:rPr>
        <w:t>整体发包给不具有法人资格或者未取得合法有效营业执照 </w:t>
      </w:r>
      <w:r>
        <w:rPr>
          <w:spacing w:val="11"/>
        </w:rPr>
        <w:t>的单位或者个人的；</w:t>
      </w:r>
    </w:p>
    <w:p>
      <w:pPr>
        <w:pStyle w:val="BodyText"/>
        <w:spacing w:line="328" w:lineRule="auto"/>
        <w:ind w:right="259" w:firstLine="640"/>
      </w:pPr>
      <w:r>
        <w:rPr>
          <w:w w:val="95"/>
        </w:rPr>
        <w:t>（二</w:t>
      </w:r>
      <w:r>
        <w:rPr>
          <w:spacing w:val="-87"/>
          <w:w w:val="95"/>
        </w:rPr>
        <w:t>）</w:t>
      </w:r>
      <w:r>
        <w:rPr>
          <w:spacing w:val="-9"/>
          <w:w w:val="95"/>
        </w:rPr>
        <w:t>实行整体承包的煤矿，未签订安全生产管理协议， </w:t>
      </w:r>
      <w:r>
        <w:rPr>
          <w:spacing w:val="11"/>
        </w:rPr>
        <w:t>或者未按照国家规定约定双方安全生产管理职责而进行生产的；</w:t>
      </w:r>
    </w:p>
    <w:p>
      <w:pPr>
        <w:pStyle w:val="BodyText"/>
        <w:spacing w:line="328" w:lineRule="auto"/>
        <w:ind w:right="375" w:firstLine="640"/>
      </w:pPr>
      <w:r>
        <w:rPr/>
        <w:t>（三）实行整体承包的煤矿，未重新取得或者变更安全生产许可证进行生产的；</w:t>
      </w:r>
    </w:p>
    <w:p>
      <w:pPr>
        <w:pStyle w:val="BodyText"/>
        <w:spacing w:line="326" w:lineRule="auto"/>
        <w:ind w:right="375" w:firstLine="640"/>
      </w:pPr>
      <w:r>
        <w:rPr/>
        <w:t>（四）实行整体承包的煤矿，承包方再次将煤矿转包给其他单位或者个人的；</w:t>
      </w:r>
    </w:p>
    <w:p>
      <w:pPr>
        <w:pStyle w:val="BodyText"/>
        <w:spacing w:line="328" w:lineRule="auto"/>
        <w:ind w:right="259" w:firstLine="640"/>
      </w:pPr>
      <w:r>
        <w:rPr/>
        <w:t>（五</w:t>
      </w:r>
      <w:r>
        <w:rPr>
          <w:spacing w:val="-5"/>
        </w:rPr>
        <w:t>）</w:t>
      </w:r>
      <w:r>
        <w:rPr>
          <w:spacing w:val="-1"/>
        </w:rPr>
        <w:t>井工煤矿将井下采掘作业或者井巷维修作业</w:t>
      </w:r>
      <w:r>
        <w:rPr/>
        <w:t>（井</w:t>
      </w:r>
      <w:r>
        <w:rPr>
          <w:spacing w:val="-10"/>
          <w:w w:val="95"/>
        </w:rPr>
        <w:t>筒及井下新水平延深的井底车场、主运输、主通风、主排水、 </w:t>
      </w:r>
      <w:r>
        <w:rPr>
          <w:spacing w:val="-10"/>
        </w:rPr>
        <w:t>主要机电硐室开拓工程除外</w:t>
      </w:r>
      <w:r>
        <w:rPr>
          <w:spacing w:val="-15"/>
        </w:rPr>
        <w:t>）</w:t>
      </w:r>
      <w:r>
        <w:rPr/>
        <w:t>作为独立工程发包给其他企业或者个人的，以及转包井下新水平延深开拓工程的。</w:t>
      </w:r>
    </w:p>
    <w:p>
      <w:pPr>
        <w:pStyle w:val="BodyText"/>
        <w:spacing w:line="328" w:lineRule="auto"/>
        <w:ind w:right="420" w:firstLine="640"/>
        <w:jc w:val="both"/>
      </w:pPr>
      <w:r>
        <w:rPr>
          <w:rFonts w:ascii="黑体" w:hAnsi="黑体" w:eastAsia="黑体" w:hint="eastAsia"/>
          <w:spacing w:val="28"/>
        </w:rPr>
        <w:t>第十七条 </w:t>
      </w:r>
      <w:r>
        <w:rPr>
          <w:spacing w:val="-2"/>
        </w:rPr>
        <w:t>“煤矿改制期间，未明确安全生产责任人和</w:t>
      </w:r>
      <w:r>
        <w:rPr>
          <w:spacing w:val="-3"/>
        </w:rPr>
        <w:t>安全管理机构，或者在完成改制后，未重新取得或者变更采</w:t>
      </w:r>
      <w:r>
        <w:rPr>
          <w:spacing w:val="-3"/>
          <w:w w:val="95"/>
        </w:rPr>
        <w:t>矿许可证、安全生产许可证和营业执照”重大事故隐患，是 </w:t>
      </w:r>
      <w:r>
        <w:rPr>
          <w:spacing w:val="-3"/>
        </w:rPr>
        <w:t>指有下列情形之一的：</w:t>
      </w:r>
    </w:p>
    <w:p>
      <w:pPr>
        <w:pStyle w:val="BodyText"/>
        <w:spacing w:line="402" w:lineRule="exact"/>
        <w:ind w:left="1140"/>
      </w:pPr>
      <w:r>
        <w:rPr/>
        <w:t>（一）改制期间，未明确安全生产责任人进行生产建设</w:t>
      </w:r>
    </w:p>
    <w:p>
      <w:pPr>
        <w:spacing w:after="0" w:line="402" w:lineRule="exact"/>
        <w:sectPr>
          <w:pgSz w:w="11910" w:h="16840"/>
          <w:pgMar w:header="0" w:footer="1000" w:top="1520" w:bottom="1180" w:left="1300" w:right="1380"/>
        </w:sectPr>
      </w:pPr>
    </w:p>
    <w:p>
      <w:pPr>
        <w:pStyle w:val="BodyText"/>
        <w:spacing w:before="32"/>
      </w:pPr>
      <w:r>
        <w:rPr/>
        <w:t>的；</w:t>
      </w:r>
    </w:p>
    <w:p>
      <w:pPr>
        <w:pStyle w:val="BodyText"/>
        <w:spacing w:before="149"/>
        <w:ind w:left="1140"/>
      </w:pPr>
      <w:r>
        <w:rPr/>
        <w:t>（二）改制期间，未健全安全生产管理机构和配备安全</w:t>
      </w:r>
    </w:p>
    <w:p>
      <w:pPr>
        <w:pStyle w:val="BodyText"/>
        <w:spacing w:before="149"/>
      </w:pPr>
      <w:r>
        <w:rPr/>
        <w:t>管理人员进行生产建设的；</w:t>
      </w:r>
    </w:p>
    <w:p>
      <w:pPr>
        <w:pStyle w:val="BodyText"/>
        <w:spacing w:line="326" w:lineRule="auto" w:before="152"/>
        <w:ind w:right="405" w:firstLine="640"/>
      </w:pPr>
      <w:r>
        <w:rPr/>
        <w:t>（三）完成改制后，未重新取得或者变更采矿许可证、安全生产许可证、营业执照而进行生产建设的。</w:t>
      </w:r>
    </w:p>
    <w:p>
      <w:pPr>
        <w:pStyle w:val="BodyText"/>
        <w:tabs>
          <w:tab w:pos="2770" w:val="left" w:leader="none"/>
        </w:tabs>
        <w:spacing w:line="328" w:lineRule="auto" w:before="3"/>
        <w:ind w:right="417" w:firstLine="640"/>
      </w:pPr>
      <w:r>
        <w:rPr>
          <w:rFonts w:ascii="黑体" w:hAnsi="黑体" w:eastAsia="黑体" w:hint="eastAsia"/>
          <w:spacing w:val="7"/>
          <w:w w:val="99"/>
        </w:rPr>
        <w:t>第十八</w:t>
      </w:r>
      <w:r>
        <w:rPr>
          <w:rFonts w:ascii="黑体" w:hAnsi="黑体" w:eastAsia="黑体" w:hint="eastAsia"/>
          <w:w w:val="99"/>
        </w:rPr>
        <w:t>条</w:t>
      </w:r>
      <w:r>
        <w:rPr>
          <w:rFonts w:ascii="黑体" w:hAnsi="黑体" w:eastAsia="黑体" w:hint="eastAsia"/>
        </w:rPr>
        <w:tab/>
      </w:r>
      <w:r>
        <w:rPr>
          <w:spacing w:val="7"/>
          <w:w w:val="99"/>
        </w:rPr>
        <w:t>“其他重大事故隐患</w:t>
      </w:r>
      <w:r>
        <w:rPr>
          <w:spacing w:val="-151"/>
          <w:w w:val="99"/>
        </w:rPr>
        <w:t>”</w:t>
      </w:r>
      <w:r>
        <w:rPr>
          <w:spacing w:val="7"/>
          <w:w w:val="99"/>
        </w:rPr>
        <w:t>，是指有下列情形</w:t>
      </w:r>
      <w:r>
        <w:rPr>
          <w:spacing w:val="-11"/>
          <w:w w:val="99"/>
        </w:rPr>
        <w:t>之</w:t>
      </w:r>
      <w:r>
        <w:rPr/>
        <w:t>一的：</w:t>
      </w:r>
    </w:p>
    <w:p>
      <w:pPr>
        <w:pStyle w:val="BodyText"/>
        <w:spacing w:line="328" w:lineRule="auto"/>
        <w:ind w:right="405" w:firstLine="640"/>
        <w:jc w:val="both"/>
      </w:pPr>
      <w:r>
        <w:rPr/>
        <w:t>（一）未分别配备专职的矿长、总工程师和分管安全、生产、机电的副矿长，以及负责采煤、掘进、机电运输、通风、地测、防治水工作的专业技术人员的；</w:t>
      </w:r>
    </w:p>
    <w:p>
      <w:pPr>
        <w:pStyle w:val="BodyText"/>
        <w:spacing w:line="326" w:lineRule="auto"/>
        <w:ind w:right="374" w:firstLine="640"/>
      </w:pPr>
      <w:r>
        <w:rPr/>
        <w:t>（二）未按照国家规定足额提取或者未按照国家规定范围使用安全生产费用的；</w:t>
      </w:r>
    </w:p>
    <w:p>
      <w:pPr>
        <w:pStyle w:val="BodyText"/>
        <w:spacing w:line="326" w:lineRule="auto"/>
        <w:ind w:right="375" w:firstLine="640"/>
      </w:pPr>
      <w:r>
        <w:rPr/>
        <w:t>（三）未按照国家规定进行瓦斯等级鉴定，或者瓦斯等级鉴定弄虚作假的；</w:t>
      </w:r>
    </w:p>
    <w:p>
      <w:pPr>
        <w:pStyle w:val="BodyText"/>
        <w:spacing w:line="328" w:lineRule="auto" w:before="1"/>
        <w:ind w:right="417" w:firstLine="640"/>
        <w:jc w:val="both"/>
      </w:pPr>
      <w:r>
        <w:rPr>
          <w:w w:val="95"/>
        </w:rPr>
        <w:t>（四</w:t>
      </w:r>
      <w:r>
        <w:rPr>
          <w:spacing w:val="-5"/>
          <w:w w:val="95"/>
        </w:rPr>
        <w:t>）</w:t>
      </w:r>
      <w:r>
        <w:rPr>
          <w:spacing w:val="-1"/>
          <w:w w:val="95"/>
        </w:rPr>
        <w:t>出现瓦斯动力现象，或者相邻矿井开采的同一煤 </w:t>
      </w:r>
      <w:r>
        <w:rPr>
          <w:spacing w:val="-3"/>
        </w:rPr>
        <w:t>层发生了突出事故，或者被鉴定、认定为突出煤层，以及煤</w:t>
      </w:r>
      <w:r>
        <w:rPr>
          <w:spacing w:val="-10"/>
        </w:rPr>
        <w:t>层瓦斯压力达到或者超过 </w:t>
      </w:r>
      <w:r>
        <w:rPr/>
        <w:t>0.74MPa</w:t>
      </w:r>
      <w:r>
        <w:rPr>
          <w:spacing w:val="-11"/>
        </w:rPr>
        <w:t> 的非突出矿井，未立即按</w:t>
      </w:r>
      <w:r>
        <w:rPr>
          <w:spacing w:val="11"/>
          <w:w w:val="95"/>
        </w:rPr>
        <w:t>照突出煤层管理并在国家规定期限内进行突出危险性鉴定</w:t>
      </w:r>
      <w:r>
        <w:rPr>
          <w:w w:val="99"/>
        </w:rPr>
        <w:t>的</w:t>
      </w:r>
      <w:r>
        <w:rPr>
          <w:spacing w:val="2"/>
          <w:w w:val="99"/>
        </w:rPr>
        <w:t>（</w:t>
      </w:r>
      <w:r>
        <w:rPr>
          <w:w w:val="99"/>
        </w:rPr>
        <w:t>直接认定为突出矿井的除外</w:t>
      </w:r>
      <w:r>
        <w:rPr>
          <w:spacing w:val="-161"/>
          <w:w w:val="99"/>
        </w:rPr>
        <w:t>）</w:t>
      </w:r>
      <w:r>
        <w:rPr>
          <w:w w:val="99"/>
        </w:rPr>
        <w:t>；</w:t>
      </w:r>
    </w:p>
    <w:p>
      <w:pPr>
        <w:pStyle w:val="BodyText"/>
        <w:spacing w:line="328" w:lineRule="auto"/>
        <w:ind w:right="420" w:firstLine="640"/>
        <w:jc w:val="both"/>
      </w:pPr>
      <w:r>
        <w:rPr>
          <w:w w:val="95"/>
        </w:rPr>
        <w:t>（五</w:t>
      </w:r>
      <w:r>
        <w:rPr>
          <w:spacing w:val="-3"/>
          <w:w w:val="95"/>
        </w:rPr>
        <w:t>）图纸作假、隐瞒采掘工作面，提供虚假信息、隐 </w:t>
      </w:r>
      <w:r>
        <w:rPr>
          <w:spacing w:val="-4"/>
          <w:w w:val="95"/>
        </w:rPr>
        <w:t>瞒下井人数，或者矿长、总工程师</w:t>
      </w:r>
      <w:r>
        <w:rPr>
          <w:w w:val="95"/>
        </w:rPr>
        <w:t>（技术负责人</w:t>
      </w:r>
      <w:r>
        <w:rPr>
          <w:spacing w:val="-3"/>
          <w:w w:val="95"/>
        </w:rPr>
        <w:t>）</w:t>
      </w:r>
      <w:r>
        <w:rPr>
          <w:w w:val="95"/>
        </w:rPr>
        <w:t>履行安全 </w:t>
      </w:r>
      <w:r>
        <w:rPr/>
        <w:t>生产岗位责任制及管理制度时伪造记录，弄虚作假的；</w:t>
      </w:r>
    </w:p>
    <w:p>
      <w:pPr>
        <w:pStyle w:val="BodyText"/>
        <w:spacing w:line="326" w:lineRule="auto"/>
        <w:ind w:right="417" w:firstLine="640"/>
      </w:pPr>
      <w:r>
        <w:rPr>
          <w:w w:val="95"/>
        </w:rPr>
        <w:t>（六</w:t>
      </w:r>
      <w:r>
        <w:rPr>
          <w:spacing w:val="-5"/>
          <w:w w:val="95"/>
        </w:rPr>
        <w:t>）</w:t>
      </w:r>
      <w:r>
        <w:rPr>
          <w:spacing w:val="-1"/>
          <w:w w:val="95"/>
        </w:rPr>
        <w:t>矿井未安装安全监控系统、人员位置监测系统或 </w:t>
      </w:r>
      <w:r>
        <w:rPr>
          <w:spacing w:val="-3"/>
        </w:rPr>
        <w:t>者系统不能正常运行，以及对系统数据进行修改、删除及屏</w:t>
      </w:r>
    </w:p>
    <w:p>
      <w:pPr>
        <w:spacing w:after="0" w:line="326" w:lineRule="auto"/>
        <w:sectPr>
          <w:footerReference w:type="default" r:id="rId6"/>
          <w:pgSz w:w="11910" w:h="16840"/>
          <w:pgMar w:footer="1000" w:header="0" w:top="1520" w:bottom="1180" w:left="1300" w:right="1380"/>
          <w:pgNumType w:start="10"/>
        </w:sectPr>
      </w:pPr>
    </w:p>
    <w:p>
      <w:pPr>
        <w:pStyle w:val="BodyText"/>
        <w:spacing w:before="32"/>
      </w:pPr>
      <w:bookmarkStart w:name="金属非金属矿山重大事故隐患判定标准" w:id="3"/>
      <w:bookmarkEnd w:id="3"/>
      <w:r>
        <w:rPr/>
      </w:r>
      <w:r>
        <w:rPr/>
        <w:t>蔽，或者煤与瓦斯突出矿井存在第七条第二项情形的；</w:t>
      </w:r>
    </w:p>
    <w:p>
      <w:pPr>
        <w:pStyle w:val="BodyText"/>
        <w:spacing w:line="328" w:lineRule="auto" w:before="149"/>
        <w:ind w:right="417" w:firstLine="640"/>
        <w:jc w:val="both"/>
      </w:pPr>
      <w:r>
        <w:rPr>
          <w:w w:val="95"/>
        </w:rPr>
        <w:t>（七</w:t>
      </w:r>
      <w:r>
        <w:rPr>
          <w:spacing w:val="-3"/>
          <w:w w:val="95"/>
        </w:rPr>
        <w:t>）</w:t>
      </w:r>
      <w:r>
        <w:rPr>
          <w:spacing w:val="-2"/>
          <w:w w:val="95"/>
        </w:rPr>
        <w:t>提升</w:t>
      </w:r>
      <w:r>
        <w:rPr>
          <w:w w:val="95"/>
        </w:rPr>
        <w:t>（运送</w:t>
      </w:r>
      <w:r>
        <w:rPr>
          <w:spacing w:val="-3"/>
          <w:w w:val="95"/>
        </w:rPr>
        <w:t>）</w:t>
      </w:r>
      <w:r>
        <w:rPr>
          <w:spacing w:val="-1"/>
          <w:w w:val="95"/>
        </w:rPr>
        <w:t>人员的提升机未按照《煤矿安全规 </w:t>
      </w:r>
      <w:r>
        <w:rPr>
          <w:spacing w:val="-3"/>
          <w:w w:val="95"/>
        </w:rPr>
        <w:t>程》规定安装保护装置，或者保护装置失效，或者超员运行 </w:t>
      </w:r>
      <w:r>
        <w:rPr>
          <w:spacing w:val="-3"/>
        </w:rPr>
        <w:t>的；</w:t>
      </w:r>
    </w:p>
    <w:p>
      <w:pPr>
        <w:pStyle w:val="BodyText"/>
        <w:spacing w:line="328" w:lineRule="auto"/>
        <w:ind w:right="259" w:firstLine="640"/>
      </w:pPr>
      <w:r>
        <w:rPr/>
        <w:t>（八</w:t>
      </w:r>
      <w:r>
        <w:rPr>
          <w:spacing w:val="-12"/>
        </w:rPr>
        <w:t>）</w:t>
      </w:r>
      <w:r>
        <w:rPr/>
        <w:t>带式输送机的输送带入井前未经过第三方阻燃和</w:t>
      </w:r>
      <w:r>
        <w:rPr>
          <w:spacing w:val="-14"/>
          <w:w w:val="95"/>
        </w:rPr>
        <w:t>抗静电性能试验，或者试验不合格入井，或者输送带防打滑、 </w:t>
      </w:r>
      <w:r>
        <w:rPr>
          <w:spacing w:val="-14"/>
        </w:rPr>
        <w:t>跑偏、堆煤等保护装置或者温度、烟雾监测装置失效的；</w:t>
      </w:r>
    </w:p>
    <w:p>
      <w:pPr>
        <w:pStyle w:val="BodyText"/>
        <w:spacing w:line="328" w:lineRule="auto"/>
        <w:ind w:right="259" w:firstLine="640"/>
      </w:pPr>
      <w:r>
        <w:rPr>
          <w:w w:val="95"/>
        </w:rPr>
        <w:t>（九</w:t>
      </w:r>
      <w:r>
        <w:rPr>
          <w:spacing w:val="-87"/>
          <w:w w:val="95"/>
        </w:rPr>
        <w:t>）</w:t>
      </w:r>
      <w:r>
        <w:rPr>
          <w:spacing w:val="-5"/>
          <w:w w:val="95"/>
        </w:rPr>
        <w:t>掘进工作面后部巷道或者独头巷道维修</w:t>
      </w:r>
      <w:r>
        <w:rPr>
          <w:w w:val="95"/>
        </w:rPr>
        <w:t>（着火点、 </w:t>
      </w:r>
      <w:r>
        <w:rPr/>
        <w:t>高温点处理</w:t>
      </w:r>
      <w:r>
        <w:rPr>
          <w:spacing w:val="-5"/>
        </w:rPr>
        <w:t>）</w:t>
      </w:r>
      <w:r>
        <w:rPr>
          <w:spacing w:val="-3"/>
        </w:rPr>
        <w:t>时，维修</w:t>
      </w:r>
      <w:r>
        <w:rPr/>
        <w:t>（处理</w:t>
      </w:r>
      <w:r>
        <w:rPr>
          <w:spacing w:val="-3"/>
        </w:rPr>
        <w:t>）</w:t>
      </w:r>
      <w:r>
        <w:rPr/>
        <w:t>点以里继续掘进或者有人员</w:t>
      </w:r>
      <w:r>
        <w:rPr>
          <w:spacing w:val="-4"/>
        </w:rPr>
        <w:t>进入，或者采掘工作面未按照国家规定安设压风、供水、通信线路及装置的；</w:t>
      </w:r>
    </w:p>
    <w:p>
      <w:pPr>
        <w:pStyle w:val="BodyText"/>
        <w:spacing w:line="328" w:lineRule="auto"/>
        <w:ind w:right="417" w:firstLine="640"/>
      </w:pPr>
      <w:r>
        <w:rPr>
          <w:w w:val="95"/>
        </w:rPr>
        <w:t>（十</w:t>
      </w:r>
      <w:r>
        <w:rPr>
          <w:spacing w:val="-5"/>
          <w:w w:val="95"/>
        </w:rPr>
        <w:t>）</w:t>
      </w:r>
      <w:r>
        <w:rPr>
          <w:spacing w:val="-1"/>
          <w:w w:val="95"/>
        </w:rPr>
        <w:t>露天煤矿边坡角大于设计最大值，或者边坡发生 </w:t>
      </w:r>
      <w:r>
        <w:rPr>
          <w:spacing w:val="-1"/>
        </w:rPr>
        <w:t>严重变形未及时采取措施进行治理的；</w:t>
      </w:r>
    </w:p>
    <w:p>
      <w:pPr>
        <w:pStyle w:val="BodyText"/>
        <w:spacing w:line="407" w:lineRule="exact"/>
        <w:ind w:left="1140"/>
      </w:pPr>
      <w:r>
        <w:rPr/>
        <w:t>（十一）国家矿山安全监察机构认定的其他重大事故隐</w:t>
      </w:r>
    </w:p>
    <w:p>
      <w:pPr>
        <w:pStyle w:val="BodyText"/>
        <w:spacing w:before="131"/>
      </w:pPr>
      <w:r>
        <w:rPr/>
        <w:t>患。</w:t>
      </w:r>
    </w:p>
    <w:p>
      <w:pPr>
        <w:pStyle w:val="BodyText"/>
        <w:tabs>
          <w:tab w:pos="2741" w:val="left" w:leader="none"/>
        </w:tabs>
        <w:spacing w:before="152"/>
        <w:ind w:left="1140"/>
      </w:pPr>
      <w:r>
        <w:rPr>
          <w:rFonts w:ascii="黑体" w:eastAsia="黑体" w:hint="eastAsia"/>
        </w:rPr>
        <w:t>第十九条</w:t>
        <w:tab/>
      </w:r>
      <w:r>
        <w:rPr/>
        <w:t>本标准所称的国家规定</w:t>
      </w:r>
      <w:r>
        <w:rPr>
          <w:spacing w:val="-7"/>
        </w:rPr>
        <w:t>，</w:t>
      </w:r>
      <w:r>
        <w:rPr/>
        <w:t>是指有关法律</w:t>
      </w:r>
      <w:r>
        <w:rPr>
          <w:spacing w:val="-7"/>
        </w:rPr>
        <w:t>、</w:t>
      </w:r>
      <w:r>
        <w:rPr/>
        <w:t>行</w:t>
      </w:r>
    </w:p>
    <w:p>
      <w:pPr>
        <w:pStyle w:val="BodyText"/>
        <w:spacing w:line="328" w:lineRule="auto" w:before="149"/>
        <w:ind w:right="420"/>
        <w:jc w:val="both"/>
      </w:pPr>
      <w:r>
        <w:rPr>
          <w:spacing w:val="-3"/>
          <w:w w:val="95"/>
        </w:rPr>
        <w:t>政法规、部门规章、国家标准、行业标准，以及国务院及其 </w:t>
      </w:r>
      <w:r>
        <w:rPr>
          <w:spacing w:val="-5"/>
        </w:rPr>
        <w:t>应急管理部门、国家矿山安全监察机构依法制定的行政规范性文件。</w:t>
      </w:r>
    </w:p>
    <w:p>
      <w:pPr>
        <w:pStyle w:val="BodyText"/>
        <w:spacing w:line="405" w:lineRule="exact"/>
        <w:ind w:left="1140"/>
        <w:jc w:val="both"/>
      </w:pPr>
      <w:r>
        <w:rPr>
          <w:rFonts w:ascii="黑体" w:eastAsia="黑体" w:hint="eastAsia"/>
          <w:spacing w:val="5"/>
        </w:rPr>
        <w:t>第二十条 </w:t>
      </w:r>
      <w:r>
        <w:rPr>
          <w:spacing w:val="-11"/>
        </w:rPr>
        <w:t>本标准自 </w:t>
      </w:r>
      <w:r>
        <w:rPr/>
        <w:t>2021</w:t>
      </w:r>
      <w:r>
        <w:rPr>
          <w:spacing w:val="-51"/>
        </w:rPr>
        <w:t> 年 </w:t>
      </w:r>
      <w:r>
        <w:rPr/>
        <w:t>1</w:t>
      </w:r>
      <w:r>
        <w:rPr>
          <w:spacing w:val="-50"/>
        </w:rPr>
        <w:t> 月 </w:t>
      </w:r>
      <w:r>
        <w:rPr/>
        <w:t>1</w:t>
      </w:r>
      <w:r>
        <w:rPr>
          <w:spacing w:val="-5"/>
        </w:rPr>
        <w:t> 日起施行。原国家</w:t>
      </w:r>
    </w:p>
    <w:p>
      <w:pPr>
        <w:pStyle w:val="BodyText"/>
        <w:spacing w:line="328" w:lineRule="auto" w:before="149"/>
        <w:ind w:right="420"/>
        <w:jc w:val="both"/>
      </w:pPr>
      <w:r>
        <w:rPr>
          <w:spacing w:val="-8"/>
        </w:rPr>
        <w:t>安全生产监督管理总局 </w:t>
      </w:r>
      <w:r>
        <w:rPr/>
        <w:t>2015</w:t>
      </w:r>
      <w:r>
        <w:rPr>
          <w:spacing w:val="-55"/>
        </w:rPr>
        <w:t> 年 </w:t>
      </w:r>
      <w:r>
        <w:rPr/>
        <w:t>12</w:t>
      </w:r>
      <w:r>
        <w:rPr>
          <w:spacing w:val="-55"/>
        </w:rPr>
        <w:t> 月 </w:t>
      </w:r>
      <w:r>
        <w:rPr/>
        <w:t>3</w:t>
      </w:r>
      <w:r>
        <w:rPr>
          <w:spacing w:val="-12"/>
        </w:rPr>
        <w:t> 日公布的《煤矿重大</w:t>
      </w:r>
      <w:r>
        <w:rPr>
          <w:spacing w:val="-8"/>
          <w:w w:val="95"/>
        </w:rPr>
        <w:t>生产安全事故隐患判定标准》</w:t>
      </w:r>
      <w:r>
        <w:rPr>
          <w:spacing w:val="7"/>
          <w:w w:val="95"/>
        </w:rPr>
        <w:t>（</w:t>
      </w:r>
      <w:r>
        <w:rPr>
          <w:spacing w:val="3"/>
          <w:w w:val="95"/>
        </w:rPr>
        <w:t>国家安全生产监督管理总局 </w:t>
      </w:r>
      <w:r>
        <w:rPr>
          <w:spacing w:val="-27"/>
        </w:rPr>
        <w:t>令第 </w:t>
      </w:r>
      <w:r>
        <w:rPr/>
        <w:t>85</w:t>
      </w:r>
      <w:r>
        <w:rPr>
          <w:spacing w:val="-40"/>
        </w:rPr>
        <w:t> 号</w:t>
      </w:r>
      <w:r>
        <w:rPr/>
        <w:t>）同时废止。</w:t>
      </w:r>
    </w:p>
    <w:p>
      <w:pPr>
        <w:spacing w:after="0" w:line="328" w:lineRule="auto"/>
        <w:jc w:val="both"/>
        <w:sectPr>
          <w:pgSz w:w="11910" w:h="16840"/>
          <w:pgMar w:header="0" w:footer="1000" w:top="1520" w:bottom="1180" w:left="1300" w:right="1380"/>
        </w:sectPr>
      </w:pPr>
    </w:p>
    <w:p>
      <w:pPr>
        <w:pStyle w:val="BodyText"/>
        <w:ind w:left="0"/>
        <w:rPr>
          <w:sz w:val="20"/>
        </w:rPr>
      </w:pPr>
    </w:p>
    <w:p>
      <w:pPr>
        <w:pStyle w:val="Heading2"/>
        <w:spacing w:before="217"/>
        <w:ind w:left="819"/>
        <w:jc w:val="left"/>
      </w:pPr>
      <w:bookmarkStart w:name="_bookmark1" w:id="4"/>
      <w:bookmarkEnd w:id="4"/>
      <w:r>
        <w:rPr/>
      </w:r>
      <w:r>
        <w:rPr/>
        <w:t>金属非金属矿山重大事故隐患判定标准</w:t>
      </w:r>
    </w:p>
    <w:p>
      <w:pPr>
        <w:pStyle w:val="BodyText"/>
        <w:spacing w:before="9"/>
        <w:ind w:left="0"/>
        <w:rPr>
          <w:sz w:val="45"/>
        </w:rPr>
      </w:pPr>
    </w:p>
    <w:p>
      <w:pPr>
        <w:pStyle w:val="BodyText"/>
        <w:rPr>
          <w:rFonts w:ascii="黑体" w:eastAsia="黑体" w:hint="eastAsia"/>
        </w:rPr>
      </w:pPr>
      <w:r>
        <w:rPr>
          <w:rFonts w:ascii="黑体" w:eastAsia="黑体" w:hint="eastAsia"/>
        </w:rPr>
        <w:t>一、金属非金属地下矿山重大事故隐患</w:t>
      </w:r>
    </w:p>
    <w:p>
      <w:pPr>
        <w:pStyle w:val="BodyText"/>
        <w:spacing w:before="10"/>
        <w:ind w:left="0"/>
        <w:rPr>
          <w:rFonts w:ascii="黑体"/>
          <w:sz w:val="23"/>
        </w:rPr>
      </w:pPr>
    </w:p>
    <w:p>
      <w:pPr>
        <w:pStyle w:val="BodyText"/>
        <w:spacing w:before="1"/>
        <w:ind w:left="1140"/>
      </w:pPr>
      <w:r>
        <w:rPr/>
        <w:t>（一）安全出口存在下列情形之一的：</w:t>
      </w:r>
    </w:p>
    <w:p>
      <w:pPr>
        <w:pStyle w:val="ListParagraph"/>
        <w:numPr>
          <w:ilvl w:val="1"/>
          <w:numId w:val="1"/>
        </w:numPr>
        <w:tabs>
          <w:tab w:pos="1463" w:val="left" w:leader="none"/>
        </w:tabs>
        <w:spacing w:line="326" w:lineRule="auto" w:before="151" w:after="0"/>
        <w:ind w:left="500" w:right="420" w:firstLine="640"/>
        <w:jc w:val="both"/>
        <w:rPr>
          <w:sz w:val="32"/>
        </w:rPr>
      </w:pPr>
      <w:r>
        <w:rPr>
          <w:spacing w:val="-6"/>
          <w:sz w:val="32"/>
        </w:rPr>
        <w:t>矿井直达地面的独立安全出口少于 </w:t>
      </w:r>
      <w:r>
        <w:rPr>
          <w:sz w:val="32"/>
        </w:rPr>
        <w:t>2</w:t>
      </w:r>
      <w:r>
        <w:rPr>
          <w:spacing w:val="-14"/>
          <w:sz w:val="32"/>
        </w:rPr>
        <w:t> 个，或者与设计不一致；</w:t>
      </w:r>
    </w:p>
    <w:p>
      <w:pPr>
        <w:pStyle w:val="ListParagraph"/>
        <w:numPr>
          <w:ilvl w:val="1"/>
          <w:numId w:val="1"/>
        </w:numPr>
        <w:tabs>
          <w:tab w:pos="1472" w:val="left" w:leader="none"/>
        </w:tabs>
        <w:spacing w:line="328" w:lineRule="auto" w:before="3" w:after="0"/>
        <w:ind w:left="500" w:right="417" w:firstLine="640"/>
        <w:jc w:val="both"/>
        <w:rPr>
          <w:sz w:val="32"/>
        </w:rPr>
      </w:pPr>
      <w:r>
        <w:rPr>
          <w:spacing w:val="13"/>
          <w:w w:val="95"/>
          <w:sz w:val="32"/>
        </w:rPr>
        <w:t>矿井只有两个独立直达地面的安全出口且安全出口 </w:t>
      </w:r>
      <w:r>
        <w:rPr>
          <w:spacing w:val="-3"/>
          <w:sz w:val="32"/>
        </w:rPr>
        <w:t>的间距小于 </w:t>
      </w:r>
      <w:r>
        <w:rPr>
          <w:sz w:val="32"/>
        </w:rPr>
        <w:t>30</w:t>
      </w:r>
      <w:r>
        <w:rPr>
          <w:spacing w:val="-16"/>
          <w:sz w:val="32"/>
        </w:rPr>
        <w:t> 米，或者矿体一翼走向长度超过 </w:t>
      </w:r>
      <w:r>
        <w:rPr>
          <w:sz w:val="32"/>
        </w:rPr>
        <w:t>1000</w:t>
      </w:r>
      <w:r>
        <w:rPr>
          <w:spacing w:val="-21"/>
          <w:sz w:val="32"/>
        </w:rPr>
        <w:t> 米且未在此翼设置安全出口；</w:t>
      </w:r>
    </w:p>
    <w:p>
      <w:pPr>
        <w:pStyle w:val="ListParagraph"/>
        <w:numPr>
          <w:ilvl w:val="1"/>
          <w:numId w:val="1"/>
        </w:numPr>
        <w:tabs>
          <w:tab w:pos="1472" w:val="left" w:leader="none"/>
        </w:tabs>
        <w:spacing w:line="328" w:lineRule="auto" w:before="0" w:after="0"/>
        <w:ind w:left="500" w:right="420" w:firstLine="640"/>
        <w:jc w:val="both"/>
        <w:rPr>
          <w:sz w:val="32"/>
        </w:rPr>
      </w:pPr>
      <w:r>
        <w:rPr>
          <w:spacing w:val="13"/>
          <w:w w:val="95"/>
          <w:sz w:val="32"/>
        </w:rPr>
        <w:t>矿井的全部安全出口均为竖井且竖井内均未设置梯 </w:t>
      </w:r>
      <w:r>
        <w:rPr>
          <w:spacing w:val="-4"/>
          <w:sz w:val="32"/>
        </w:rPr>
        <w:t>子间，或者作为主要安全出口的罐笼提升井只有 </w:t>
      </w:r>
      <w:r>
        <w:rPr>
          <w:sz w:val="32"/>
        </w:rPr>
        <w:t>1</w:t>
      </w:r>
      <w:r>
        <w:rPr>
          <w:spacing w:val="-17"/>
          <w:sz w:val="32"/>
        </w:rPr>
        <w:t> 套提升系统且未设梯子间；</w:t>
      </w:r>
    </w:p>
    <w:p>
      <w:pPr>
        <w:pStyle w:val="ListParagraph"/>
        <w:numPr>
          <w:ilvl w:val="1"/>
          <w:numId w:val="1"/>
        </w:numPr>
        <w:tabs>
          <w:tab w:pos="1465" w:val="left" w:leader="none"/>
        </w:tabs>
        <w:spacing w:line="328" w:lineRule="auto" w:before="0" w:after="0"/>
        <w:ind w:left="500" w:right="420" w:firstLine="640"/>
        <w:jc w:val="both"/>
        <w:rPr>
          <w:sz w:val="32"/>
        </w:rPr>
      </w:pPr>
      <w:r>
        <w:rPr>
          <w:spacing w:val="7"/>
          <w:w w:val="95"/>
          <w:sz w:val="32"/>
        </w:rPr>
        <w:t>主要生产中段（水平</w:t>
      </w:r>
      <w:r>
        <w:rPr>
          <w:spacing w:val="-154"/>
          <w:w w:val="95"/>
          <w:sz w:val="32"/>
        </w:rPr>
        <w:t>）</w:t>
      </w:r>
      <w:r>
        <w:rPr>
          <w:spacing w:val="6"/>
          <w:w w:val="95"/>
          <w:sz w:val="32"/>
        </w:rPr>
        <w:t>、单个采区、盘区或者矿块的 </w:t>
      </w:r>
      <w:r>
        <w:rPr>
          <w:spacing w:val="-7"/>
          <w:sz w:val="32"/>
        </w:rPr>
        <w:t>安全出口少于 </w:t>
      </w:r>
      <w:r>
        <w:rPr>
          <w:sz w:val="32"/>
        </w:rPr>
        <w:t>2</w:t>
      </w:r>
      <w:r>
        <w:rPr>
          <w:spacing w:val="-10"/>
          <w:sz w:val="32"/>
        </w:rPr>
        <w:t> 个，或者未与通往地面的安全出口相通；</w:t>
      </w:r>
    </w:p>
    <w:p>
      <w:pPr>
        <w:pStyle w:val="ListParagraph"/>
        <w:numPr>
          <w:ilvl w:val="1"/>
          <w:numId w:val="1"/>
        </w:numPr>
        <w:tabs>
          <w:tab w:pos="1463" w:val="left" w:leader="none"/>
        </w:tabs>
        <w:spacing w:line="326" w:lineRule="auto" w:before="0" w:after="0"/>
        <w:ind w:left="500" w:right="417" w:firstLine="640"/>
        <w:jc w:val="left"/>
        <w:rPr>
          <w:sz w:val="32"/>
        </w:rPr>
      </w:pPr>
      <w:r>
        <w:rPr>
          <w:spacing w:val="-1"/>
          <w:w w:val="95"/>
          <w:sz w:val="32"/>
        </w:rPr>
        <w:t>安全出口出现堵塞或者其梯子、踏步等设施不能正常 </w:t>
      </w:r>
      <w:r>
        <w:rPr>
          <w:spacing w:val="-1"/>
          <w:sz w:val="32"/>
        </w:rPr>
        <w:t>使用，导致安全出口不畅通。</w:t>
      </w:r>
    </w:p>
    <w:p>
      <w:pPr>
        <w:pStyle w:val="BodyText"/>
        <w:ind w:left="1140"/>
      </w:pPr>
      <w:r>
        <w:rPr/>
        <w:t>（二）使用国家明令禁止使用的设备、材料或者工艺。</w:t>
      </w:r>
    </w:p>
    <w:p>
      <w:pPr>
        <w:pStyle w:val="BodyText"/>
        <w:spacing w:line="326" w:lineRule="auto" w:before="142"/>
        <w:ind w:right="417" w:firstLine="640"/>
      </w:pPr>
      <w:r>
        <w:rPr>
          <w:w w:val="95"/>
        </w:rPr>
        <w:t>（三</w:t>
      </w:r>
      <w:r>
        <w:rPr>
          <w:spacing w:val="-5"/>
          <w:w w:val="95"/>
        </w:rPr>
        <w:t>）</w:t>
      </w:r>
      <w:r>
        <w:rPr>
          <w:spacing w:val="-1"/>
          <w:w w:val="95"/>
        </w:rPr>
        <w:t>不同矿权主体的相邻矿山井巷相互贯通，或者同 </w:t>
      </w:r>
      <w:r>
        <w:rPr>
          <w:spacing w:val="-1"/>
        </w:rPr>
        <w:t>一矿权主体相邻独立生产系统的井巷擅自贯通。</w:t>
      </w:r>
    </w:p>
    <w:p>
      <w:pPr>
        <w:pStyle w:val="BodyText"/>
        <w:spacing w:before="6"/>
        <w:ind w:left="1140"/>
      </w:pPr>
      <w:r>
        <w:rPr/>
        <w:t>（四）地下矿山现状图纸存在下列情形之一的：</w:t>
      </w:r>
    </w:p>
    <w:p>
      <w:pPr>
        <w:pStyle w:val="ListParagraph"/>
        <w:numPr>
          <w:ilvl w:val="0"/>
          <w:numId w:val="2"/>
        </w:numPr>
        <w:tabs>
          <w:tab w:pos="1463" w:val="left" w:leader="none"/>
        </w:tabs>
        <w:spacing w:line="326" w:lineRule="auto" w:before="149" w:after="0"/>
        <w:ind w:left="500" w:right="259" w:firstLine="640"/>
        <w:jc w:val="left"/>
        <w:rPr>
          <w:sz w:val="32"/>
        </w:rPr>
      </w:pPr>
      <w:r>
        <w:rPr>
          <w:spacing w:val="-7"/>
          <w:sz w:val="32"/>
        </w:rPr>
        <w:t>未保存《金属非金属矿山安全规程</w:t>
      </w:r>
      <w:r>
        <w:rPr>
          <w:spacing w:val="-207"/>
          <w:sz w:val="32"/>
        </w:rPr>
        <w:t>》</w:t>
      </w:r>
      <w:r>
        <w:rPr>
          <w:sz w:val="32"/>
        </w:rPr>
        <w:t>（GB16423</w:t>
      </w:r>
      <w:r>
        <w:rPr>
          <w:spacing w:val="-46"/>
          <w:sz w:val="32"/>
        </w:rPr>
        <w:t> -</w:t>
      </w:r>
      <w:r>
        <w:rPr>
          <w:sz w:val="32"/>
        </w:rPr>
        <w:t>2020） </w:t>
      </w:r>
      <w:r>
        <w:rPr>
          <w:spacing w:val="-39"/>
          <w:sz w:val="32"/>
        </w:rPr>
        <w:t>第 </w:t>
      </w:r>
      <w:r>
        <w:rPr>
          <w:sz w:val="32"/>
        </w:rPr>
        <w:t>4.1.10</w:t>
      </w:r>
      <w:r>
        <w:rPr>
          <w:spacing w:val="-5"/>
          <w:sz w:val="32"/>
        </w:rPr>
        <w:t> 条规定的图纸，或者生产矿山每 </w:t>
      </w:r>
      <w:r>
        <w:rPr>
          <w:sz w:val="32"/>
        </w:rPr>
        <w:t>3</w:t>
      </w:r>
      <w:r>
        <w:rPr>
          <w:spacing w:val="-10"/>
          <w:sz w:val="32"/>
        </w:rPr>
        <w:t> 个月、基建矿</w:t>
      </w:r>
    </w:p>
    <w:p>
      <w:pPr>
        <w:pStyle w:val="BodyText"/>
        <w:spacing w:before="6"/>
      </w:pPr>
      <w:r>
        <w:rPr/>
        <w:t>山每 1 个月未更新上述图纸；</w:t>
      </w:r>
    </w:p>
    <w:p>
      <w:pPr>
        <w:spacing w:after="0"/>
        <w:sectPr>
          <w:pgSz w:w="11910" w:h="16840"/>
          <w:pgMar w:header="0" w:footer="1000" w:top="1580" w:bottom="1180" w:left="1300" w:right="1380"/>
        </w:sectPr>
      </w:pPr>
    </w:p>
    <w:p>
      <w:pPr>
        <w:pStyle w:val="ListParagraph"/>
        <w:numPr>
          <w:ilvl w:val="0"/>
          <w:numId w:val="2"/>
        </w:numPr>
        <w:tabs>
          <w:tab w:pos="1463" w:val="left" w:leader="none"/>
        </w:tabs>
        <w:spacing w:line="326" w:lineRule="auto" w:before="32" w:after="0"/>
        <w:ind w:left="500" w:right="420" w:firstLine="640"/>
        <w:jc w:val="left"/>
        <w:rPr>
          <w:sz w:val="32"/>
        </w:rPr>
      </w:pPr>
      <w:r>
        <w:rPr>
          <w:spacing w:val="-1"/>
          <w:w w:val="95"/>
          <w:sz w:val="32"/>
        </w:rPr>
        <w:t>岩体移动范围内的地面建构筑物、运输道路及沟谷河 </w:t>
      </w:r>
      <w:r>
        <w:rPr>
          <w:spacing w:val="-1"/>
          <w:sz w:val="32"/>
        </w:rPr>
        <w:t>流与实际不符；</w:t>
      </w:r>
    </w:p>
    <w:p>
      <w:pPr>
        <w:pStyle w:val="ListParagraph"/>
        <w:numPr>
          <w:ilvl w:val="0"/>
          <w:numId w:val="2"/>
        </w:numPr>
        <w:tabs>
          <w:tab w:pos="1472" w:val="left" w:leader="none"/>
        </w:tabs>
        <w:spacing w:line="240" w:lineRule="auto" w:before="3" w:after="0"/>
        <w:ind w:left="1472" w:right="0" w:hanging="332"/>
        <w:jc w:val="left"/>
        <w:rPr>
          <w:sz w:val="32"/>
        </w:rPr>
      </w:pPr>
      <w:r>
        <w:rPr>
          <w:spacing w:val="13"/>
          <w:sz w:val="32"/>
        </w:rPr>
        <w:t>开拓工程和采准工程的井巷或者井下采区与实际不</w:t>
      </w:r>
    </w:p>
    <w:p>
      <w:pPr>
        <w:pStyle w:val="BodyText"/>
        <w:spacing w:before="151"/>
      </w:pPr>
      <w:r>
        <w:rPr/>
        <w:t>符；</w:t>
      </w:r>
    </w:p>
    <w:p>
      <w:pPr>
        <w:pStyle w:val="ListParagraph"/>
        <w:numPr>
          <w:ilvl w:val="0"/>
          <w:numId w:val="2"/>
        </w:numPr>
        <w:tabs>
          <w:tab w:pos="1463" w:val="left" w:leader="none"/>
        </w:tabs>
        <w:spacing w:line="240" w:lineRule="auto" w:before="149" w:after="0"/>
        <w:ind w:left="1462" w:right="0" w:hanging="323"/>
        <w:jc w:val="left"/>
        <w:rPr>
          <w:sz w:val="32"/>
        </w:rPr>
      </w:pPr>
      <w:r>
        <w:rPr>
          <w:sz w:val="32"/>
        </w:rPr>
        <w:t>相邻矿山采区位置关系与实际不符;</w:t>
      </w:r>
    </w:p>
    <w:p>
      <w:pPr>
        <w:pStyle w:val="ListParagraph"/>
        <w:numPr>
          <w:ilvl w:val="0"/>
          <w:numId w:val="2"/>
        </w:numPr>
        <w:tabs>
          <w:tab w:pos="1463" w:val="left" w:leader="none"/>
        </w:tabs>
        <w:spacing w:line="240" w:lineRule="auto" w:before="150" w:after="0"/>
        <w:ind w:left="1462" w:right="0" w:hanging="323"/>
        <w:jc w:val="left"/>
        <w:rPr>
          <w:sz w:val="32"/>
        </w:rPr>
      </w:pPr>
      <w:r>
        <w:rPr>
          <w:spacing w:val="-3"/>
          <w:sz w:val="32"/>
        </w:rPr>
        <w:t>采空区和废弃井巷的位置、处理方式、现状，以及地</w:t>
      </w:r>
    </w:p>
    <w:p>
      <w:pPr>
        <w:pStyle w:val="BodyText"/>
        <w:spacing w:before="151"/>
      </w:pPr>
      <w:r>
        <w:rPr/>
        <w:t>表塌陷区的位置与实际不符。</w:t>
      </w:r>
    </w:p>
    <w:p>
      <w:pPr>
        <w:pStyle w:val="BodyText"/>
        <w:spacing w:before="149"/>
        <w:ind w:left="1140"/>
      </w:pPr>
      <w:r>
        <w:rPr/>
        <w:t>（五）露天转地下开采存在下列情形之一的：</w:t>
      </w:r>
    </w:p>
    <w:p>
      <w:pPr>
        <w:pStyle w:val="ListParagraph"/>
        <w:numPr>
          <w:ilvl w:val="0"/>
          <w:numId w:val="3"/>
        </w:numPr>
        <w:tabs>
          <w:tab w:pos="1463" w:val="left" w:leader="none"/>
        </w:tabs>
        <w:spacing w:line="240" w:lineRule="auto" w:before="150" w:after="0"/>
        <w:ind w:left="1462" w:right="0" w:hanging="323"/>
        <w:jc w:val="left"/>
        <w:rPr>
          <w:sz w:val="32"/>
        </w:rPr>
      </w:pPr>
      <w:r>
        <w:rPr>
          <w:sz w:val="32"/>
        </w:rPr>
        <w:t>未按设计采取防排水措施；</w:t>
      </w:r>
    </w:p>
    <w:p>
      <w:pPr>
        <w:pStyle w:val="ListParagraph"/>
        <w:numPr>
          <w:ilvl w:val="0"/>
          <w:numId w:val="3"/>
        </w:numPr>
        <w:tabs>
          <w:tab w:pos="1463" w:val="left" w:leader="none"/>
        </w:tabs>
        <w:spacing w:line="240" w:lineRule="auto" w:before="151" w:after="0"/>
        <w:ind w:left="1462" w:right="0" w:hanging="323"/>
        <w:jc w:val="left"/>
        <w:rPr>
          <w:sz w:val="32"/>
        </w:rPr>
      </w:pPr>
      <w:r>
        <w:rPr>
          <w:sz w:val="32"/>
        </w:rPr>
        <w:t>露天与地下联合开采时，回采顺序与设计不符；</w:t>
      </w:r>
    </w:p>
    <w:p>
      <w:pPr>
        <w:pStyle w:val="ListParagraph"/>
        <w:numPr>
          <w:ilvl w:val="0"/>
          <w:numId w:val="3"/>
        </w:numPr>
        <w:tabs>
          <w:tab w:pos="1472" w:val="left" w:leader="none"/>
        </w:tabs>
        <w:spacing w:line="240" w:lineRule="auto" w:before="149" w:after="0"/>
        <w:ind w:left="1472" w:right="0" w:hanging="332"/>
        <w:jc w:val="left"/>
        <w:rPr>
          <w:sz w:val="32"/>
        </w:rPr>
      </w:pPr>
      <w:r>
        <w:rPr>
          <w:spacing w:val="13"/>
          <w:sz w:val="32"/>
        </w:rPr>
        <w:t>未按设计采取留设安全顶柱或者岩石垫层等防护措</w:t>
      </w:r>
    </w:p>
    <w:p>
      <w:pPr>
        <w:pStyle w:val="BodyText"/>
        <w:spacing w:before="150"/>
      </w:pPr>
      <w:r>
        <w:rPr/>
        <w:t>施。</w:t>
      </w:r>
    </w:p>
    <w:p>
      <w:pPr>
        <w:pStyle w:val="BodyText"/>
        <w:spacing w:before="151"/>
        <w:ind w:left="1140"/>
      </w:pPr>
      <w:r>
        <w:rPr/>
        <w:t>（六）矿区及其附近的地表水或者大气降水危及井下安</w:t>
      </w:r>
    </w:p>
    <w:p>
      <w:pPr>
        <w:pStyle w:val="BodyText"/>
        <w:spacing w:before="149"/>
      </w:pPr>
      <w:r>
        <w:rPr/>
        <w:t>全时，未按设计采取防治水措施。</w:t>
      </w:r>
    </w:p>
    <w:p>
      <w:pPr>
        <w:pStyle w:val="BodyText"/>
        <w:spacing w:before="150"/>
        <w:ind w:left="1140"/>
      </w:pPr>
      <w:r>
        <w:rPr/>
        <w:t>（七）井下主要排水系统存在下列情形之一的：</w:t>
      </w:r>
    </w:p>
    <w:p>
      <w:pPr>
        <w:pStyle w:val="ListParagraph"/>
        <w:numPr>
          <w:ilvl w:val="0"/>
          <w:numId w:val="4"/>
        </w:numPr>
        <w:tabs>
          <w:tab w:pos="1463" w:val="left" w:leader="none"/>
        </w:tabs>
        <w:spacing w:line="326" w:lineRule="auto" w:before="151" w:after="0"/>
        <w:ind w:left="500" w:right="417" w:firstLine="640"/>
        <w:jc w:val="left"/>
        <w:rPr>
          <w:sz w:val="32"/>
        </w:rPr>
      </w:pPr>
      <w:r>
        <w:rPr>
          <w:spacing w:val="-11"/>
          <w:sz w:val="32"/>
        </w:rPr>
        <w:t>排水泵数量少于 </w:t>
      </w:r>
      <w:r>
        <w:rPr>
          <w:sz w:val="32"/>
        </w:rPr>
        <w:t>3</w:t>
      </w:r>
      <w:r>
        <w:rPr>
          <w:spacing w:val="-11"/>
          <w:sz w:val="32"/>
        </w:rPr>
        <w:t> 台，或者工作水泵、备用水泵的额定排水能力低于设计要求；</w:t>
      </w:r>
    </w:p>
    <w:p>
      <w:pPr>
        <w:pStyle w:val="ListParagraph"/>
        <w:numPr>
          <w:ilvl w:val="0"/>
          <w:numId w:val="4"/>
        </w:numPr>
        <w:tabs>
          <w:tab w:pos="1463" w:val="left" w:leader="none"/>
        </w:tabs>
        <w:spacing w:line="328" w:lineRule="auto" w:before="3" w:after="0"/>
        <w:ind w:left="500" w:right="420" w:firstLine="640"/>
        <w:jc w:val="left"/>
        <w:rPr>
          <w:sz w:val="32"/>
        </w:rPr>
      </w:pPr>
      <w:r>
        <w:rPr>
          <w:spacing w:val="-1"/>
          <w:w w:val="95"/>
          <w:sz w:val="32"/>
        </w:rPr>
        <w:t>井巷中未按设计设置工作和备用排水管路，或者排水 </w:t>
      </w:r>
      <w:r>
        <w:rPr>
          <w:spacing w:val="-1"/>
          <w:sz w:val="32"/>
        </w:rPr>
        <w:t>管路与水泵未有效连接；</w:t>
      </w:r>
    </w:p>
    <w:p>
      <w:pPr>
        <w:pStyle w:val="ListParagraph"/>
        <w:numPr>
          <w:ilvl w:val="0"/>
          <w:numId w:val="4"/>
        </w:numPr>
        <w:tabs>
          <w:tab w:pos="1472" w:val="left" w:leader="none"/>
        </w:tabs>
        <w:spacing w:line="326" w:lineRule="auto" w:before="0" w:after="0"/>
        <w:ind w:left="500" w:right="324" w:firstLine="640"/>
        <w:jc w:val="left"/>
        <w:rPr>
          <w:sz w:val="32"/>
        </w:rPr>
      </w:pPr>
      <w:r>
        <w:rPr>
          <w:spacing w:val="13"/>
          <w:sz w:val="32"/>
        </w:rPr>
        <w:t>井下最低中段的主水泵房通往中段巷道的出口未装</w:t>
      </w:r>
      <w:r>
        <w:rPr>
          <w:spacing w:val="12"/>
          <w:sz w:val="32"/>
        </w:rPr>
        <w:t>设防水门，或者另外一个出口未高于水泵房地面 </w:t>
      </w:r>
      <w:r>
        <w:rPr>
          <w:sz w:val="32"/>
        </w:rPr>
        <w:t>7</w:t>
      </w:r>
      <w:r>
        <w:rPr>
          <w:spacing w:val="-17"/>
          <w:sz w:val="32"/>
        </w:rPr>
        <w:t> 米以上；</w:t>
      </w:r>
    </w:p>
    <w:p>
      <w:pPr>
        <w:pStyle w:val="ListParagraph"/>
        <w:numPr>
          <w:ilvl w:val="0"/>
          <w:numId w:val="4"/>
        </w:numPr>
        <w:tabs>
          <w:tab w:pos="1463" w:val="left" w:leader="none"/>
        </w:tabs>
        <w:spacing w:line="240" w:lineRule="auto" w:before="3" w:after="0"/>
        <w:ind w:left="1462" w:right="0" w:hanging="323"/>
        <w:jc w:val="left"/>
        <w:rPr>
          <w:sz w:val="32"/>
        </w:rPr>
      </w:pPr>
      <w:r>
        <w:rPr>
          <w:sz w:val="32"/>
        </w:rPr>
        <w:t>利用采空区或者其他废弃巷道作为水仓。</w:t>
      </w:r>
    </w:p>
    <w:p>
      <w:pPr>
        <w:pStyle w:val="BodyText"/>
        <w:spacing w:line="326" w:lineRule="auto" w:before="150"/>
        <w:ind w:right="405" w:firstLine="640"/>
      </w:pPr>
      <w:r>
        <w:rPr/>
        <w:t>（八）</w:t>
      </w:r>
      <w:r>
        <w:rPr>
          <w:spacing w:val="-6"/>
        </w:rPr>
        <w:t>井口标高未达到当地历史最高洪水位 </w:t>
      </w:r>
      <w:r>
        <w:rPr/>
        <w:t>1</w:t>
      </w:r>
      <w:r>
        <w:rPr>
          <w:spacing w:val="-17"/>
        </w:rPr>
        <w:t> 米以上， 且未按设计采取相应防护措施。</w:t>
      </w:r>
    </w:p>
    <w:p>
      <w:pPr>
        <w:spacing w:after="0" w:line="326" w:lineRule="auto"/>
        <w:sectPr>
          <w:pgSz w:w="11910" w:h="16840"/>
          <w:pgMar w:header="0" w:footer="1000" w:top="1520" w:bottom="1180" w:left="1300" w:right="1380"/>
        </w:sectPr>
      </w:pPr>
    </w:p>
    <w:p>
      <w:pPr>
        <w:pStyle w:val="BodyText"/>
        <w:spacing w:line="326" w:lineRule="auto" w:before="32"/>
        <w:ind w:right="375" w:firstLine="640"/>
      </w:pPr>
      <w:r>
        <w:rPr/>
        <w:t>（九）水文地质类型为中等或者复杂的矿井，存在下列情形之一的：</w:t>
      </w:r>
    </w:p>
    <w:p>
      <w:pPr>
        <w:pStyle w:val="ListParagraph"/>
        <w:numPr>
          <w:ilvl w:val="0"/>
          <w:numId w:val="5"/>
        </w:numPr>
        <w:tabs>
          <w:tab w:pos="1463" w:val="left" w:leader="none"/>
        </w:tabs>
        <w:spacing w:line="240" w:lineRule="auto" w:before="3" w:after="0"/>
        <w:ind w:left="1462" w:right="0" w:hanging="323"/>
        <w:jc w:val="left"/>
        <w:rPr>
          <w:sz w:val="32"/>
        </w:rPr>
      </w:pPr>
      <w:r>
        <w:rPr>
          <w:sz w:val="32"/>
        </w:rPr>
        <w:t>未配备防治水专业技术人员；</w:t>
      </w:r>
    </w:p>
    <w:p>
      <w:pPr>
        <w:pStyle w:val="ListParagraph"/>
        <w:numPr>
          <w:ilvl w:val="0"/>
          <w:numId w:val="5"/>
        </w:numPr>
        <w:tabs>
          <w:tab w:pos="1463" w:val="left" w:leader="none"/>
        </w:tabs>
        <w:spacing w:line="240" w:lineRule="auto" w:before="151" w:after="0"/>
        <w:ind w:left="1462" w:right="0" w:hanging="323"/>
        <w:jc w:val="left"/>
        <w:rPr>
          <w:sz w:val="32"/>
        </w:rPr>
      </w:pPr>
      <w:r>
        <w:rPr>
          <w:sz w:val="32"/>
        </w:rPr>
        <w:t>未设置防治水机构，或者未建立探放水队伍；</w:t>
      </w:r>
    </w:p>
    <w:p>
      <w:pPr>
        <w:pStyle w:val="ListParagraph"/>
        <w:numPr>
          <w:ilvl w:val="0"/>
          <w:numId w:val="5"/>
        </w:numPr>
        <w:tabs>
          <w:tab w:pos="1463" w:val="left" w:leader="none"/>
        </w:tabs>
        <w:spacing w:line="240" w:lineRule="auto" w:before="149" w:after="0"/>
        <w:ind w:left="1462" w:right="0" w:hanging="323"/>
        <w:jc w:val="left"/>
        <w:rPr>
          <w:sz w:val="32"/>
        </w:rPr>
      </w:pPr>
      <w:r>
        <w:rPr>
          <w:spacing w:val="-2"/>
          <w:sz w:val="32"/>
        </w:rPr>
        <w:t>未配齐专用探放水设备，或者未按设计进行探放水作</w:t>
      </w:r>
    </w:p>
    <w:p>
      <w:pPr>
        <w:pStyle w:val="BodyText"/>
        <w:spacing w:before="150"/>
      </w:pPr>
      <w:r>
        <w:rPr/>
        <w:t>业。</w:t>
      </w:r>
    </w:p>
    <w:p>
      <w:pPr>
        <w:pStyle w:val="BodyText"/>
        <w:spacing w:before="151"/>
        <w:ind w:left="1140"/>
      </w:pPr>
      <w:r>
        <w:rPr/>
        <w:t>（十）水文地质类型复杂的矿山存在下列情形之一的：</w:t>
      </w:r>
    </w:p>
    <w:p>
      <w:pPr>
        <w:pStyle w:val="ListParagraph"/>
        <w:numPr>
          <w:ilvl w:val="0"/>
          <w:numId w:val="6"/>
        </w:numPr>
        <w:tabs>
          <w:tab w:pos="1463" w:val="left" w:leader="none"/>
        </w:tabs>
        <w:spacing w:line="240" w:lineRule="auto" w:before="149" w:after="0"/>
        <w:ind w:left="1462" w:right="0" w:hanging="323"/>
        <w:jc w:val="left"/>
        <w:rPr>
          <w:sz w:val="32"/>
        </w:rPr>
      </w:pPr>
      <w:r>
        <w:rPr>
          <w:sz w:val="32"/>
        </w:rPr>
        <w:t>关键巷道防水门设置与设计不符；</w:t>
      </w:r>
    </w:p>
    <w:p>
      <w:pPr>
        <w:pStyle w:val="ListParagraph"/>
        <w:numPr>
          <w:ilvl w:val="0"/>
          <w:numId w:val="6"/>
        </w:numPr>
        <w:tabs>
          <w:tab w:pos="1472" w:val="left" w:leader="none"/>
        </w:tabs>
        <w:spacing w:line="240" w:lineRule="auto" w:before="150" w:after="0"/>
        <w:ind w:left="1472" w:right="0" w:hanging="332"/>
        <w:jc w:val="left"/>
        <w:rPr>
          <w:sz w:val="32"/>
        </w:rPr>
      </w:pPr>
      <w:r>
        <w:rPr>
          <w:spacing w:val="13"/>
          <w:sz w:val="32"/>
        </w:rPr>
        <w:t>主要排水系统的水仓与水泵房之间的隔墙或者配水</w:t>
      </w:r>
    </w:p>
    <w:p>
      <w:pPr>
        <w:pStyle w:val="BodyText"/>
        <w:spacing w:before="151"/>
      </w:pPr>
      <w:r>
        <w:rPr/>
        <w:t>阀未按设计设置。</w:t>
      </w:r>
    </w:p>
    <w:p>
      <w:pPr>
        <w:pStyle w:val="BodyText"/>
        <w:spacing w:line="326" w:lineRule="auto" w:before="149"/>
        <w:ind w:right="405" w:firstLine="640"/>
      </w:pPr>
      <w:r>
        <w:rPr/>
        <w:t>（十一）在突水威胁区域或者可疑区域进行采掘作业， 存在下列情形之一的：</w:t>
      </w:r>
    </w:p>
    <w:p>
      <w:pPr>
        <w:pStyle w:val="ListParagraph"/>
        <w:numPr>
          <w:ilvl w:val="0"/>
          <w:numId w:val="7"/>
        </w:numPr>
        <w:tabs>
          <w:tab w:pos="1463" w:val="left" w:leader="none"/>
        </w:tabs>
        <w:spacing w:line="326" w:lineRule="auto" w:before="6" w:after="0"/>
        <w:ind w:left="500" w:right="417" w:firstLine="640"/>
        <w:jc w:val="left"/>
        <w:rPr>
          <w:sz w:val="32"/>
        </w:rPr>
      </w:pPr>
      <w:r>
        <w:rPr>
          <w:spacing w:val="-2"/>
          <w:w w:val="95"/>
          <w:sz w:val="32"/>
        </w:rPr>
        <w:t>未编制防治水技术方案，或者未在施工前制定专门的 </w:t>
      </w:r>
      <w:r>
        <w:rPr>
          <w:spacing w:val="-2"/>
          <w:sz w:val="32"/>
        </w:rPr>
        <w:t>施工安全技术措施；</w:t>
      </w:r>
    </w:p>
    <w:p>
      <w:pPr>
        <w:pStyle w:val="ListParagraph"/>
        <w:numPr>
          <w:ilvl w:val="0"/>
          <w:numId w:val="7"/>
        </w:numPr>
        <w:tabs>
          <w:tab w:pos="1463" w:val="left" w:leader="none"/>
        </w:tabs>
        <w:spacing w:line="328" w:lineRule="auto" w:before="3" w:after="0"/>
        <w:ind w:left="500" w:right="417" w:firstLine="640"/>
        <w:jc w:val="left"/>
        <w:rPr>
          <w:sz w:val="32"/>
        </w:rPr>
      </w:pPr>
      <w:r>
        <w:rPr>
          <w:spacing w:val="-2"/>
          <w:w w:val="95"/>
          <w:sz w:val="32"/>
        </w:rPr>
        <w:t>未超前探放水，或者超前钻孔的数量、深度低于设计 </w:t>
      </w:r>
      <w:r>
        <w:rPr>
          <w:spacing w:val="-2"/>
          <w:sz w:val="32"/>
        </w:rPr>
        <w:t>要求，或者超前钻孔方位不符合设计要求。</w:t>
      </w:r>
    </w:p>
    <w:p>
      <w:pPr>
        <w:pStyle w:val="BodyText"/>
        <w:spacing w:line="326" w:lineRule="auto"/>
        <w:ind w:right="375" w:firstLine="640"/>
      </w:pPr>
      <w:r>
        <w:rPr/>
        <w:t>（十二）受地表水倒灌威胁的矿井在强降雨天气或者其来水上游发生洪水期间，未实施停产撤人。</w:t>
      </w:r>
    </w:p>
    <w:p>
      <w:pPr>
        <w:pStyle w:val="BodyText"/>
        <w:spacing w:before="3"/>
        <w:ind w:left="1140"/>
      </w:pPr>
      <w:r>
        <w:rPr/>
        <w:t>（十三</w:t>
      </w:r>
      <w:r>
        <w:rPr>
          <w:spacing w:val="-87"/>
        </w:rPr>
        <w:t>）</w:t>
      </w:r>
      <w:r>
        <w:rPr>
          <w:spacing w:val="-8"/>
        </w:rPr>
        <w:t>有自然发火危险的矿山，存在下列情形之一的：</w:t>
      </w:r>
    </w:p>
    <w:p>
      <w:pPr>
        <w:pStyle w:val="ListParagraph"/>
        <w:numPr>
          <w:ilvl w:val="0"/>
          <w:numId w:val="8"/>
        </w:numPr>
        <w:tabs>
          <w:tab w:pos="1463" w:val="left" w:leader="none"/>
        </w:tabs>
        <w:spacing w:line="240" w:lineRule="auto" w:before="150" w:after="0"/>
        <w:ind w:left="1462" w:right="0" w:hanging="323"/>
        <w:jc w:val="left"/>
        <w:rPr>
          <w:sz w:val="32"/>
        </w:rPr>
      </w:pPr>
      <w:r>
        <w:rPr>
          <w:sz w:val="32"/>
        </w:rPr>
        <w:t>未安装井下环境监测系统，实现自动监测与报警；</w:t>
      </w:r>
    </w:p>
    <w:p>
      <w:pPr>
        <w:pStyle w:val="ListParagraph"/>
        <w:numPr>
          <w:ilvl w:val="0"/>
          <w:numId w:val="8"/>
        </w:numPr>
        <w:tabs>
          <w:tab w:pos="1463" w:val="left" w:leader="none"/>
        </w:tabs>
        <w:spacing w:line="240" w:lineRule="auto" w:before="149" w:after="0"/>
        <w:ind w:left="1462" w:right="0" w:hanging="323"/>
        <w:jc w:val="left"/>
        <w:rPr>
          <w:sz w:val="32"/>
        </w:rPr>
      </w:pPr>
      <w:r>
        <w:rPr>
          <w:sz w:val="32"/>
        </w:rPr>
        <w:t>未按设计或者国家标准、行业标准采取防灭火措施；</w:t>
      </w:r>
    </w:p>
    <w:p>
      <w:pPr>
        <w:pStyle w:val="ListParagraph"/>
        <w:numPr>
          <w:ilvl w:val="0"/>
          <w:numId w:val="8"/>
        </w:numPr>
        <w:tabs>
          <w:tab w:pos="1463" w:val="left" w:leader="none"/>
        </w:tabs>
        <w:spacing w:line="240" w:lineRule="auto" w:before="151" w:after="0"/>
        <w:ind w:left="1462" w:right="0" w:hanging="323"/>
        <w:jc w:val="left"/>
        <w:rPr>
          <w:sz w:val="32"/>
        </w:rPr>
      </w:pPr>
      <w:r>
        <w:rPr>
          <w:sz w:val="32"/>
        </w:rPr>
        <w:t>发现自然发火预兆，未采取有效处理措施。</w:t>
      </w:r>
    </w:p>
    <w:p>
      <w:pPr>
        <w:pStyle w:val="BodyText"/>
        <w:spacing w:line="326" w:lineRule="auto" w:before="150"/>
        <w:ind w:right="259" w:firstLine="640"/>
      </w:pPr>
      <w:r>
        <w:rPr/>
        <w:t>（十四</w:t>
      </w:r>
      <w:r>
        <w:rPr>
          <w:spacing w:val="-15"/>
        </w:rPr>
        <w:t>）</w:t>
      </w:r>
      <w:r>
        <w:rPr/>
        <w:t>相邻矿山开采岩体移动范围存在交叉重叠等相</w:t>
      </w:r>
      <w:r>
        <w:rPr>
          <w:spacing w:val="-12"/>
          <w:w w:val="95"/>
        </w:rPr>
        <w:t>互影响时，未按设计留设保安矿</w:t>
      </w:r>
      <w:r>
        <w:rPr>
          <w:w w:val="95"/>
        </w:rPr>
        <w:t>（岩</w:t>
      </w:r>
      <w:r>
        <w:rPr>
          <w:spacing w:val="-58"/>
          <w:w w:val="95"/>
        </w:rPr>
        <w:t>）</w:t>
      </w:r>
      <w:r>
        <w:rPr>
          <w:w w:val="95"/>
        </w:rPr>
        <w:t>柱或者采取其他措施。</w:t>
      </w:r>
    </w:p>
    <w:p>
      <w:pPr>
        <w:spacing w:after="0" w:line="326" w:lineRule="auto"/>
        <w:sectPr>
          <w:pgSz w:w="11910" w:h="16840"/>
          <w:pgMar w:header="0" w:footer="1000" w:top="1520" w:bottom="1180" w:left="1300" w:right="1380"/>
        </w:sectPr>
      </w:pPr>
    </w:p>
    <w:p>
      <w:pPr>
        <w:pStyle w:val="BodyText"/>
        <w:spacing w:line="326" w:lineRule="auto" w:before="32"/>
        <w:ind w:right="375" w:firstLine="640"/>
      </w:pPr>
      <w:r>
        <w:rPr/>
        <w:t>（十五）地表设施设置存在下列情形之一，未按设计采取有效安全措施的：</w:t>
      </w:r>
    </w:p>
    <w:p>
      <w:pPr>
        <w:pStyle w:val="ListParagraph"/>
        <w:numPr>
          <w:ilvl w:val="0"/>
          <w:numId w:val="9"/>
        </w:numPr>
        <w:tabs>
          <w:tab w:pos="1463" w:val="left" w:leader="none"/>
        </w:tabs>
        <w:spacing w:line="240" w:lineRule="auto" w:before="3" w:after="0"/>
        <w:ind w:left="1462" w:right="0" w:hanging="323"/>
        <w:jc w:val="left"/>
        <w:rPr>
          <w:sz w:val="32"/>
        </w:rPr>
      </w:pPr>
      <w:r>
        <w:rPr>
          <w:w w:val="95"/>
          <w:sz w:val="32"/>
        </w:rPr>
        <w:t>岩体移动范围内存在居民村庄或者重要设备设施；</w:t>
      </w:r>
    </w:p>
    <w:p>
      <w:pPr>
        <w:pStyle w:val="ListParagraph"/>
        <w:numPr>
          <w:ilvl w:val="0"/>
          <w:numId w:val="9"/>
        </w:numPr>
        <w:tabs>
          <w:tab w:pos="1463" w:val="left" w:leader="none"/>
        </w:tabs>
        <w:spacing w:line="326" w:lineRule="auto" w:before="151" w:after="0"/>
        <w:ind w:left="500" w:right="420" w:firstLine="640"/>
        <w:jc w:val="left"/>
        <w:rPr>
          <w:sz w:val="32"/>
        </w:rPr>
      </w:pPr>
      <w:r>
        <w:rPr>
          <w:spacing w:val="-2"/>
          <w:w w:val="95"/>
          <w:sz w:val="32"/>
        </w:rPr>
        <w:t>主要开拓工程出入口易受地表滑坡、滚石、泥石流等 </w:t>
      </w:r>
      <w:r>
        <w:rPr>
          <w:spacing w:val="-2"/>
          <w:sz w:val="32"/>
        </w:rPr>
        <w:t>地质灾害影响。</w:t>
      </w:r>
    </w:p>
    <w:p>
      <w:pPr>
        <w:pStyle w:val="BodyText"/>
        <w:spacing w:line="328" w:lineRule="auto" w:before="3"/>
        <w:ind w:right="420" w:firstLine="640"/>
      </w:pPr>
      <w:r>
        <w:rPr>
          <w:w w:val="95"/>
        </w:rPr>
        <w:t>（十六</w:t>
      </w:r>
      <w:r>
        <w:rPr>
          <w:spacing w:val="-5"/>
          <w:w w:val="95"/>
        </w:rPr>
        <w:t>）</w:t>
      </w:r>
      <w:r>
        <w:rPr>
          <w:spacing w:val="-2"/>
          <w:w w:val="95"/>
        </w:rPr>
        <w:t>保安矿</w:t>
      </w:r>
      <w:r>
        <w:rPr>
          <w:w w:val="95"/>
        </w:rPr>
        <w:t>（岩</w:t>
      </w:r>
      <w:r>
        <w:rPr>
          <w:spacing w:val="-3"/>
          <w:w w:val="95"/>
        </w:rPr>
        <w:t>）</w:t>
      </w:r>
      <w:r>
        <w:rPr>
          <w:w w:val="95"/>
        </w:rPr>
        <w:t>柱或者采场矿柱存在下列情形之 </w:t>
      </w:r>
      <w:r>
        <w:rPr/>
        <w:t>一的：</w:t>
      </w:r>
    </w:p>
    <w:p>
      <w:pPr>
        <w:pStyle w:val="ListParagraph"/>
        <w:numPr>
          <w:ilvl w:val="0"/>
          <w:numId w:val="10"/>
        </w:numPr>
        <w:tabs>
          <w:tab w:pos="1463" w:val="left" w:leader="none"/>
        </w:tabs>
        <w:spacing w:line="407" w:lineRule="exact" w:before="0" w:after="0"/>
        <w:ind w:left="1462" w:right="0" w:hanging="323"/>
        <w:jc w:val="left"/>
        <w:rPr>
          <w:sz w:val="32"/>
        </w:rPr>
      </w:pPr>
      <w:r>
        <w:rPr>
          <w:sz w:val="32"/>
        </w:rPr>
        <w:t>未按设计留设矿（岩）柱；</w:t>
      </w:r>
    </w:p>
    <w:p>
      <w:pPr>
        <w:pStyle w:val="ListParagraph"/>
        <w:numPr>
          <w:ilvl w:val="0"/>
          <w:numId w:val="10"/>
        </w:numPr>
        <w:tabs>
          <w:tab w:pos="1463" w:val="left" w:leader="none"/>
        </w:tabs>
        <w:spacing w:line="240" w:lineRule="auto" w:before="150" w:after="0"/>
        <w:ind w:left="1462" w:right="0" w:hanging="323"/>
        <w:jc w:val="left"/>
        <w:rPr>
          <w:sz w:val="32"/>
        </w:rPr>
      </w:pPr>
      <w:r>
        <w:rPr>
          <w:sz w:val="32"/>
        </w:rPr>
        <w:t>未按设计回采矿柱；</w:t>
      </w:r>
    </w:p>
    <w:p>
      <w:pPr>
        <w:pStyle w:val="ListParagraph"/>
        <w:numPr>
          <w:ilvl w:val="0"/>
          <w:numId w:val="10"/>
        </w:numPr>
        <w:tabs>
          <w:tab w:pos="1463" w:val="left" w:leader="none"/>
        </w:tabs>
        <w:spacing w:line="240" w:lineRule="auto" w:before="151" w:after="0"/>
        <w:ind w:left="1462" w:right="0" w:hanging="323"/>
        <w:jc w:val="left"/>
        <w:rPr>
          <w:sz w:val="32"/>
        </w:rPr>
      </w:pPr>
      <w:r>
        <w:rPr>
          <w:sz w:val="32"/>
        </w:rPr>
        <w:t>擅自开采、损毁矿（岩）柱。</w:t>
      </w:r>
    </w:p>
    <w:p>
      <w:pPr>
        <w:pStyle w:val="BodyText"/>
        <w:spacing w:line="326" w:lineRule="auto" w:before="149"/>
        <w:ind w:right="375" w:firstLine="640"/>
      </w:pPr>
      <w:r>
        <w:rPr/>
        <w:t>（十七）未按设计要求的处理方式或者时间对采空区进行处理。</w:t>
      </w:r>
    </w:p>
    <w:p>
      <w:pPr>
        <w:pStyle w:val="BodyText"/>
        <w:spacing w:line="326" w:lineRule="auto" w:before="6"/>
        <w:ind w:right="375" w:firstLine="640"/>
      </w:pPr>
      <w:r>
        <w:rPr/>
        <w:t>（十八）工程地质类型复杂、有严重地压活动的矿山存在下列情形之一的：</w:t>
      </w:r>
    </w:p>
    <w:p>
      <w:pPr>
        <w:pStyle w:val="ListParagraph"/>
        <w:numPr>
          <w:ilvl w:val="0"/>
          <w:numId w:val="11"/>
        </w:numPr>
        <w:tabs>
          <w:tab w:pos="1463" w:val="left" w:leader="none"/>
        </w:tabs>
        <w:spacing w:line="240" w:lineRule="auto" w:before="3" w:after="0"/>
        <w:ind w:left="1462" w:right="0" w:hanging="323"/>
        <w:jc w:val="left"/>
        <w:rPr>
          <w:sz w:val="32"/>
        </w:rPr>
      </w:pPr>
      <w:r>
        <w:rPr>
          <w:sz w:val="32"/>
        </w:rPr>
        <w:t>未设置专门机构、配备专门人员负责地压防治工作；</w:t>
      </w:r>
    </w:p>
    <w:p>
      <w:pPr>
        <w:pStyle w:val="ListParagraph"/>
        <w:numPr>
          <w:ilvl w:val="0"/>
          <w:numId w:val="11"/>
        </w:numPr>
        <w:tabs>
          <w:tab w:pos="1463" w:val="left" w:leader="none"/>
        </w:tabs>
        <w:spacing w:line="240" w:lineRule="auto" w:before="152" w:after="0"/>
        <w:ind w:left="1462" w:right="0" w:hanging="323"/>
        <w:jc w:val="left"/>
        <w:rPr>
          <w:sz w:val="32"/>
        </w:rPr>
      </w:pPr>
      <w:r>
        <w:rPr>
          <w:sz w:val="32"/>
        </w:rPr>
        <w:t>未制定防治地压灾害的专门技术措施；</w:t>
      </w:r>
    </w:p>
    <w:p>
      <w:pPr>
        <w:pStyle w:val="ListParagraph"/>
        <w:numPr>
          <w:ilvl w:val="0"/>
          <w:numId w:val="11"/>
        </w:numPr>
        <w:tabs>
          <w:tab w:pos="1463" w:val="left" w:leader="none"/>
        </w:tabs>
        <w:spacing w:line="240" w:lineRule="auto" w:before="149" w:after="0"/>
        <w:ind w:left="1462" w:right="0" w:hanging="323"/>
        <w:jc w:val="left"/>
        <w:rPr>
          <w:sz w:val="32"/>
        </w:rPr>
      </w:pPr>
      <w:r>
        <w:rPr>
          <w:spacing w:val="-2"/>
          <w:sz w:val="32"/>
        </w:rPr>
        <w:t>发现大面积地压活动预兆，未立即停止作业、撤出人</w:t>
      </w:r>
    </w:p>
    <w:p>
      <w:pPr>
        <w:pStyle w:val="BodyText"/>
        <w:spacing w:before="149"/>
      </w:pPr>
      <w:r>
        <w:rPr/>
        <w:t>员。</w:t>
      </w:r>
    </w:p>
    <w:p>
      <w:pPr>
        <w:pStyle w:val="BodyText"/>
        <w:spacing w:before="152"/>
        <w:ind w:left="1140"/>
      </w:pPr>
      <w:r>
        <w:rPr/>
        <w:t>（ 十九） 巷道或者采场顶板未按设计采取支护措</w:t>
      </w:r>
    </w:p>
    <w:p>
      <w:pPr>
        <w:pStyle w:val="BodyText"/>
        <w:spacing w:before="149"/>
      </w:pPr>
      <w:r>
        <w:rPr/>
        <w:t>施。</w:t>
      </w:r>
    </w:p>
    <w:p>
      <w:pPr>
        <w:pStyle w:val="BodyText"/>
        <w:spacing w:before="149"/>
        <w:ind w:left="1140"/>
      </w:pPr>
      <w:r>
        <w:rPr/>
        <w:t>（二十）矿井未采用机械通风，或者采用机械通风的矿</w:t>
      </w:r>
    </w:p>
    <w:p>
      <w:pPr>
        <w:pStyle w:val="BodyText"/>
        <w:spacing w:before="152"/>
      </w:pPr>
      <w:r>
        <w:rPr/>
        <w:t>井存在下列情形之一的：</w:t>
      </w:r>
    </w:p>
    <w:p>
      <w:pPr>
        <w:pStyle w:val="ListParagraph"/>
        <w:numPr>
          <w:ilvl w:val="0"/>
          <w:numId w:val="12"/>
        </w:numPr>
        <w:tabs>
          <w:tab w:pos="1463" w:val="left" w:leader="none"/>
        </w:tabs>
        <w:spacing w:line="240" w:lineRule="auto" w:before="149" w:after="0"/>
        <w:ind w:left="1462" w:right="0" w:hanging="323"/>
        <w:jc w:val="left"/>
        <w:rPr>
          <w:sz w:val="32"/>
        </w:rPr>
      </w:pPr>
      <w:r>
        <w:rPr>
          <w:sz w:val="32"/>
        </w:rPr>
        <w:t>在正常生产情况下，主通风机未连续运转；</w:t>
      </w:r>
    </w:p>
    <w:p>
      <w:pPr>
        <w:pStyle w:val="ListParagraph"/>
        <w:numPr>
          <w:ilvl w:val="0"/>
          <w:numId w:val="12"/>
        </w:numPr>
        <w:tabs>
          <w:tab w:pos="1463" w:val="left" w:leader="none"/>
        </w:tabs>
        <w:spacing w:line="240" w:lineRule="auto" w:before="149" w:after="0"/>
        <w:ind w:left="1462" w:right="0" w:hanging="323"/>
        <w:jc w:val="left"/>
        <w:rPr>
          <w:sz w:val="32"/>
        </w:rPr>
      </w:pPr>
      <w:r>
        <w:rPr>
          <w:spacing w:val="-1"/>
          <w:sz w:val="32"/>
        </w:rPr>
        <w:t>主通风机发生故障或者停机检查时，未立即向调度室</w:t>
      </w:r>
    </w:p>
    <w:p>
      <w:pPr>
        <w:spacing w:after="0" w:line="240" w:lineRule="auto"/>
        <w:jc w:val="left"/>
        <w:rPr>
          <w:sz w:val="32"/>
        </w:rPr>
        <w:sectPr>
          <w:pgSz w:w="11910" w:h="16840"/>
          <w:pgMar w:header="0" w:footer="1000" w:top="1520" w:bottom="1180" w:left="1300" w:right="1380"/>
        </w:sectPr>
      </w:pPr>
    </w:p>
    <w:p>
      <w:pPr>
        <w:pStyle w:val="BodyText"/>
        <w:spacing w:before="32"/>
      </w:pPr>
      <w:r>
        <w:rPr/>
        <w:t>和企业主要负责人报告，或者未采取必要安全措施；</w:t>
      </w:r>
    </w:p>
    <w:p>
      <w:pPr>
        <w:pStyle w:val="ListParagraph"/>
        <w:numPr>
          <w:ilvl w:val="0"/>
          <w:numId w:val="12"/>
        </w:numPr>
        <w:tabs>
          <w:tab w:pos="1463" w:val="left" w:leader="none"/>
        </w:tabs>
        <w:spacing w:line="326" w:lineRule="auto" w:before="149" w:after="0"/>
        <w:ind w:left="500" w:right="420" w:firstLine="640"/>
        <w:jc w:val="left"/>
        <w:rPr>
          <w:sz w:val="32"/>
        </w:rPr>
      </w:pPr>
      <w:r>
        <w:rPr>
          <w:spacing w:val="-1"/>
          <w:w w:val="95"/>
          <w:sz w:val="32"/>
        </w:rPr>
        <w:t>主通风机未按规定配备备用电动机，或者未配备能迅 </w:t>
      </w:r>
      <w:r>
        <w:rPr>
          <w:spacing w:val="-1"/>
          <w:sz w:val="32"/>
        </w:rPr>
        <w:t>速调换电动机的设备及工具；</w:t>
      </w:r>
    </w:p>
    <w:p>
      <w:pPr>
        <w:pStyle w:val="ListParagraph"/>
        <w:numPr>
          <w:ilvl w:val="0"/>
          <w:numId w:val="12"/>
        </w:numPr>
        <w:tabs>
          <w:tab w:pos="1463" w:val="left" w:leader="none"/>
        </w:tabs>
        <w:spacing w:line="326" w:lineRule="auto" w:before="5" w:after="0"/>
        <w:ind w:left="500" w:right="417" w:firstLine="640"/>
        <w:jc w:val="left"/>
        <w:rPr>
          <w:sz w:val="32"/>
        </w:rPr>
      </w:pPr>
      <w:r>
        <w:rPr>
          <w:spacing w:val="-2"/>
          <w:w w:val="95"/>
          <w:sz w:val="32"/>
        </w:rPr>
        <w:t>作业工作面风速、风量、风质不符合国家标准或者行 </w:t>
      </w:r>
      <w:r>
        <w:rPr>
          <w:spacing w:val="-2"/>
          <w:sz w:val="32"/>
        </w:rPr>
        <w:t>业标准要求；</w:t>
      </w:r>
    </w:p>
    <w:p>
      <w:pPr>
        <w:pStyle w:val="ListParagraph"/>
        <w:numPr>
          <w:ilvl w:val="0"/>
          <w:numId w:val="12"/>
        </w:numPr>
        <w:tabs>
          <w:tab w:pos="1463" w:val="left" w:leader="none"/>
        </w:tabs>
        <w:spacing w:line="328" w:lineRule="auto" w:before="3" w:after="0"/>
        <w:ind w:left="500" w:right="417" w:firstLine="640"/>
        <w:jc w:val="left"/>
        <w:rPr>
          <w:sz w:val="32"/>
        </w:rPr>
      </w:pPr>
      <w:r>
        <w:rPr>
          <w:spacing w:val="-1"/>
          <w:w w:val="95"/>
          <w:sz w:val="32"/>
        </w:rPr>
        <w:t>未设置通风系统在线监测系统的矿井，未按国家标准 </w:t>
      </w:r>
      <w:r>
        <w:rPr>
          <w:spacing w:val="-8"/>
          <w:sz w:val="32"/>
        </w:rPr>
        <w:t>规定每年对通风系统进行 </w:t>
      </w:r>
      <w:r>
        <w:rPr>
          <w:sz w:val="32"/>
        </w:rPr>
        <w:t>1</w:t>
      </w:r>
      <w:r>
        <w:rPr>
          <w:spacing w:val="-17"/>
          <w:sz w:val="32"/>
        </w:rPr>
        <w:t> 次检测；</w:t>
      </w:r>
    </w:p>
    <w:p>
      <w:pPr>
        <w:pStyle w:val="ListParagraph"/>
        <w:numPr>
          <w:ilvl w:val="0"/>
          <w:numId w:val="12"/>
        </w:numPr>
        <w:tabs>
          <w:tab w:pos="1465" w:val="left" w:leader="none"/>
        </w:tabs>
        <w:spacing w:line="407" w:lineRule="exact" w:before="0" w:after="0"/>
        <w:ind w:left="1464" w:right="0" w:hanging="325"/>
        <w:jc w:val="left"/>
        <w:rPr>
          <w:sz w:val="32"/>
        </w:rPr>
      </w:pPr>
      <w:r>
        <w:rPr>
          <w:spacing w:val="-3"/>
          <w:sz w:val="32"/>
        </w:rPr>
        <w:t>主通风设施不能在 </w:t>
      </w:r>
      <w:r>
        <w:rPr>
          <w:sz w:val="32"/>
        </w:rPr>
        <w:t>10</w:t>
      </w:r>
      <w:r>
        <w:rPr>
          <w:spacing w:val="-3"/>
          <w:sz w:val="32"/>
        </w:rPr>
        <w:t> 分钟之内实现矿井反风，或者</w:t>
      </w:r>
    </w:p>
    <w:p>
      <w:pPr>
        <w:pStyle w:val="BodyText"/>
        <w:spacing w:before="150"/>
      </w:pPr>
      <w:r>
        <w:rPr/>
        <w:t>反风试验周期超过 1 年。</w:t>
      </w:r>
    </w:p>
    <w:p>
      <w:pPr>
        <w:pStyle w:val="BodyText"/>
        <w:spacing w:line="326" w:lineRule="auto" w:before="151"/>
        <w:ind w:right="420" w:firstLine="640"/>
        <w:jc w:val="both"/>
      </w:pPr>
      <w:r>
        <w:rPr/>
        <w:t>（二十一</w:t>
      </w:r>
      <w:r>
        <w:rPr>
          <w:spacing w:val="-15"/>
        </w:rPr>
        <w:t>）</w:t>
      </w:r>
      <w:r>
        <w:rPr/>
        <w:t>未配齐或者随身携带具有矿用产品安全标志</w:t>
      </w:r>
      <w:r>
        <w:rPr>
          <w:spacing w:val="-1"/>
        </w:rPr>
        <w:t>的便携式气体检测报警仪和自救器，或者从业人员不能正确使用自救器。</w:t>
      </w:r>
    </w:p>
    <w:p>
      <w:pPr>
        <w:pStyle w:val="BodyText"/>
        <w:spacing w:line="326" w:lineRule="auto" w:before="7"/>
        <w:ind w:right="375" w:firstLine="640"/>
      </w:pPr>
      <w:r>
        <w:rPr/>
        <w:t>（二十二）担负提升人员的提升系统，存在下列情形之一的：</w:t>
      </w:r>
    </w:p>
    <w:p>
      <w:pPr>
        <w:pStyle w:val="ListParagraph"/>
        <w:numPr>
          <w:ilvl w:val="0"/>
          <w:numId w:val="13"/>
        </w:numPr>
        <w:tabs>
          <w:tab w:pos="1463" w:val="left" w:leader="none"/>
        </w:tabs>
        <w:spacing w:line="328" w:lineRule="auto" w:before="4" w:after="0"/>
        <w:ind w:left="500" w:right="417" w:firstLine="640"/>
        <w:jc w:val="both"/>
        <w:rPr>
          <w:sz w:val="32"/>
        </w:rPr>
      </w:pPr>
      <w:r>
        <w:rPr>
          <w:spacing w:val="-3"/>
          <w:sz w:val="32"/>
        </w:rPr>
        <w:t>提升机、防坠器、钢丝绳、连接装置、提升容器未按</w:t>
      </w:r>
      <w:r>
        <w:rPr>
          <w:spacing w:val="-4"/>
          <w:sz w:val="32"/>
        </w:rPr>
        <w:t>国家规定进行定期检测检验，或者提升设备的安全保护装置失效；</w:t>
      </w:r>
    </w:p>
    <w:p>
      <w:pPr>
        <w:pStyle w:val="ListParagraph"/>
        <w:numPr>
          <w:ilvl w:val="0"/>
          <w:numId w:val="13"/>
        </w:numPr>
        <w:tabs>
          <w:tab w:pos="1472" w:val="left" w:leader="none"/>
        </w:tabs>
        <w:spacing w:line="328" w:lineRule="auto" w:before="0" w:after="0"/>
        <w:ind w:left="500" w:right="420" w:firstLine="640"/>
        <w:jc w:val="left"/>
        <w:rPr>
          <w:sz w:val="32"/>
        </w:rPr>
      </w:pPr>
      <w:r>
        <w:rPr>
          <w:spacing w:val="13"/>
          <w:w w:val="95"/>
          <w:sz w:val="32"/>
        </w:rPr>
        <w:t>竖井井口和井下各中段马头门设置的安全门或者摇 </w:t>
      </w:r>
      <w:r>
        <w:rPr>
          <w:spacing w:val="13"/>
          <w:sz w:val="32"/>
        </w:rPr>
        <w:t>台与提升机未实现联锁；</w:t>
      </w:r>
    </w:p>
    <w:p>
      <w:pPr>
        <w:pStyle w:val="ListParagraph"/>
        <w:numPr>
          <w:ilvl w:val="0"/>
          <w:numId w:val="13"/>
        </w:numPr>
        <w:tabs>
          <w:tab w:pos="1472" w:val="left" w:leader="none"/>
        </w:tabs>
        <w:spacing w:line="328" w:lineRule="auto" w:before="0" w:after="0"/>
        <w:ind w:left="500" w:right="417" w:firstLine="640"/>
        <w:jc w:val="both"/>
        <w:rPr>
          <w:sz w:val="32"/>
        </w:rPr>
      </w:pPr>
      <w:r>
        <w:rPr>
          <w:spacing w:val="13"/>
          <w:w w:val="95"/>
          <w:sz w:val="32"/>
        </w:rPr>
        <w:t>竖井提升系统过卷段未按国家规定设置过卷缓冲装 </w:t>
      </w:r>
      <w:r>
        <w:rPr>
          <w:spacing w:val="-2"/>
          <w:w w:val="95"/>
          <w:sz w:val="32"/>
        </w:rPr>
        <w:t>置、楔形罐道、过卷挡梁或者不能正常使用，或者提升人员 </w:t>
      </w:r>
      <w:r>
        <w:rPr>
          <w:spacing w:val="11"/>
          <w:w w:val="95"/>
          <w:sz w:val="32"/>
        </w:rPr>
        <w:t>的罐笼提升系统未按国家规定在井架或者井塔的过卷段内 </w:t>
      </w:r>
      <w:r>
        <w:rPr>
          <w:spacing w:val="11"/>
          <w:sz w:val="32"/>
        </w:rPr>
        <w:t>设置罐笼防坠装置；</w:t>
      </w:r>
    </w:p>
    <w:p>
      <w:pPr>
        <w:pStyle w:val="ListParagraph"/>
        <w:numPr>
          <w:ilvl w:val="0"/>
          <w:numId w:val="13"/>
        </w:numPr>
        <w:tabs>
          <w:tab w:pos="1472" w:val="left" w:leader="none"/>
        </w:tabs>
        <w:spacing w:line="402" w:lineRule="exact" w:before="0" w:after="0"/>
        <w:ind w:left="1472" w:right="0" w:hanging="332"/>
        <w:jc w:val="left"/>
        <w:rPr>
          <w:sz w:val="32"/>
        </w:rPr>
      </w:pPr>
      <w:r>
        <w:rPr>
          <w:spacing w:val="13"/>
          <w:sz w:val="32"/>
        </w:rPr>
        <w:t>斜井串车提升系统未按国家规定设置常闭式防跑车</w:t>
      </w:r>
    </w:p>
    <w:p>
      <w:pPr>
        <w:spacing w:after="0" w:line="402" w:lineRule="exact"/>
        <w:jc w:val="left"/>
        <w:rPr>
          <w:sz w:val="32"/>
        </w:rPr>
        <w:sectPr>
          <w:pgSz w:w="11910" w:h="16840"/>
          <w:pgMar w:header="0" w:footer="1000" w:top="1520" w:bottom="1180" w:left="1300" w:right="1380"/>
        </w:sectPr>
      </w:pPr>
    </w:p>
    <w:p>
      <w:pPr>
        <w:pStyle w:val="BodyText"/>
        <w:spacing w:line="326" w:lineRule="auto" w:before="32"/>
        <w:ind w:right="373"/>
      </w:pPr>
      <w:r>
        <w:rPr/>
        <w:t>装置、阻车器、挡车栏，或者连接链、连接插销不符合国家规定；</w:t>
      </w:r>
    </w:p>
    <w:p>
      <w:pPr>
        <w:pStyle w:val="ListParagraph"/>
        <w:numPr>
          <w:ilvl w:val="0"/>
          <w:numId w:val="13"/>
        </w:numPr>
        <w:tabs>
          <w:tab w:pos="1463" w:val="left" w:leader="none"/>
        </w:tabs>
        <w:spacing w:line="240" w:lineRule="auto" w:before="3" w:after="0"/>
        <w:ind w:left="1462" w:right="0" w:hanging="323"/>
        <w:jc w:val="left"/>
        <w:rPr>
          <w:sz w:val="32"/>
        </w:rPr>
      </w:pPr>
      <w:r>
        <w:rPr>
          <w:sz w:val="32"/>
        </w:rPr>
        <w:t>斜井提升信号系统与提升机之间未实现闭锁。</w:t>
      </w:r>
    </w:p>
    <w:p>
      <w:pPr>
        <w:pStyle w:val="BodyText"/>
        <w:spacing w:before="151"/>
        <w:ind w:left="1140"/>
      </w:pPr>
      <w:r>
        <w:rPr/>
        <w:t>（二十三）井下无轨运人车辆存在下列情形之一的：</w:t>
      </w:r>
    </w:p>
    <w:p>
      <w:pPr>
        <w:pStyle w:val="ListParagraph"/>
        <w:numPr>
          <w:ilvl w:val="0"/>
          <w:numId w:val="14"/>
        </w:numPr>
        <w:tabs>
          <w:tab w:pos="1463" w:val="left" w:leader="none"/>
        </w:tabs>
        <w:spacing w:line="240" w:lineRule="auto" w:before="149" w:after="0"/>
        <w:ind w:left="1462" w:right="0" w:hanging="323"/>
        <w:jc w:val="left"/>
        <w:rPr>
          <w:sz w:val="32"/>
        </w:rPr>
      </w:pPr>
      <w:r>
        <w:rPr>
          <w:sz w:val="32"/>
        </w:rPr>
        <w:t>未取得金属非金属矿山矿用产品安全标志；</w:t>
      </w:r>
    </w:p>
    <w:p>
      <w:pPr>
        <w:pStyle w:val="ListParagraph"/>
        <w:numPr>
          <w:ilvl w:val="0"/>
          <w:numId w:val="14"/>
        </w:numPr>
        <w:tabs>
          <w:tab w:pos="1463" w:val="left" w:leader="none"/>
        </w:tabs>
        <w:spacing w:line="240" w:lineRule="auto" w:before="150" w:after="0"/>
        <w:ind w:left="1462" w:right="0" w:hanging="323"/>
        <w:jc w:val="left"/>
        <w:rPr>
          <w:sz w:val="32"/>
        </w:rPr>
      </w:pPr>
      <w:r>
        <w:rPr>
          <w:spacing w:val="-12"/>
          <w:sz w:val="32"/>
        </w:rPr>
        <w:t>载人数量超过 </w:t>
      </w:r>
      <w:r>
        <w:rPr>
          <w:sz w:val="32"/>
        </w:rPr>
        <w:t>25</w:t>
      </w:r>
      <w:r>
        <w:rPr>
          <w:spacing w:val="-10"/>
          <w:sz w:val="32"/>
        </w:rPr>
        <w:t> 人或者超过核载人数；</w:t>
      </w:r>
    </w:p>
    <w:p>
      <w:pPr>
        <w:pStyle w:val="ListParagraph"/>
        <w:numPr>
          <w:ilvl w:val="0"/>
          <w:numId w:val="14"/>
        </w:numPr>
        <w:tabs>
          <w:tab w:pos="1463" w:val="left" w:leader="none"/>
        </w:tabs>
        <w:spacing w:line="326" w:lineRule="auto" w:before="151" w:after="0"/>
        <w:ind w:left="500" w:right="420" w:firstLine="640"/>
        <w:jc w:val="left"/>
        <w:rPr>
          <w:sz w:val="32"/>
        </w:rPr>
      </w:pPr>
      <w:r>
        <w:rPr>
          <w:spacing w:val="-2"/>
          <w:w w:val="95"/>
          <w:sz w:val="32"/>
        </w:rPr>
        <w:t>制动系统采用干式制动器，或者未同时配备行车制动 </w:t>
      </w:r>
      <w:r>
        <w:rPr>
          <w:spacing w:val="-2"/>
          <w:sz w:val="32"/>
        </w:rPr>
        <w:t>系统、驻车制动系统和应急制动系统；</w:t>
      </w:r>
    </w:p>
    <w:p>
      <w:pPr>
        <w:pStyle w:val="ListParagraph"/>
        <w:numPr>
          <w:ilvl w:val="0"/>
          <w:numId w:val="14"/>
        </w:numPr>
        <w:tabs>
          <w:tab w:pos="1463" w:val="left" w:leader="none"/>
        </w:tabs>
        <w:spacing w:line="240" w:lineRule="auto" w:before="3" w:after="0"/>
        <w:ind w:left="1462" w:right="0" w:hanging="323"/>
        <w:jc w:val="left"/>
        <w:rPr>
          <w:sz w:val="32"/>
        </w:rPr>
      </w:pPr>
      <w:r>
        <w:rPr>
          <w:sz w:val="32"/>
        </w:rPr>
        <w:t>未按国家规定对车辆进行检测检验。</w:t>
      </w:r>
    </w:p>
    <w:p>
      <w:pPr>
        <w:pStyle w:val="BodyText"/>
        <w:spacing w:line="326" w:lineRule="auto" w:before="152"/>
        <w:ind w:right="375" w:firstLine="640"/>
      </w:pPr>
      <w:r>
        <w:rPr/>
        <w:t>（二十四）一级负荷未采用双重电源供电，或者双重电源中的任一电源不能满足全部一级负荷需要。</w:t>
      </w:r>
    </w:p>
    <w:p>
      <w:pPr>
        <w:pStyle w:val="BodyText"/>
        <w:spacing w:line="328" w:lineRule="auto" w:before="3"/>
        <w:ind w:right="417" w:firstLine="640"/>
      </w:pPr>
      <w:r>
        <w:rPr/>
        <w:t>（二十五</w:t>
      </w:r>
      <w:r>
        <w:rPr>
          <w:spacing w:val="-15"/>
        </w:rPr>
        <w:t>）</w:t>
      </w:r>
      <w:r>
        <w:rPr>
          <w:spacing w:val="-10"/>
        </w:rPr>
        <w:t>向井下采场供电的 </w:t>
      </w:r>
      <w:r>
        <w:rPr/>
        <w:t>6kV～35kV</w:t>
      </w:r>
      <w:r>
        <w:rPr>
          <w:spacing w:val="-13"/>
        </w:rPr>
        <w:t> 系统的中性点采用直接接地。</w:t>
      </w:r>
    </w:p>
    <w:p>
      <w:pPr>
        <w:pStyle w:val="BodyText"/>
        <w:spacing w:line="328" w:lineRule="auto"/>
        <w:ind w:right="420" w:firstLine="640"/>
        <w:jc w:val="both"/>
      </w:pPr>
      <w:r>
        <w:rPr/>
        <w:t>（二十六</w:t>
      </w:r>
      <w:r>
        <w:rPr>
          <w:spacing w:val="-7"/>
        </w:rPr>
        <w:t>）</w:t>
      </w:r>
      <w:r>
        <w:rPr>
          <w:spacing w:val="-2"/>
        </w:rPr>
        <w:t>工程地质或者水文地质类型复杂的矿山，井</w:t>
      </w:r>
      <w:r>
        <w:rPr>
          <w:spacing w:val="-1"/>
        </w:rPr>
        <w:t>巷工程施工未进行施工组织设计，或者未按施工组织设计落实安全措施。</w:t>
      </w:r>
    </w:p>
    <w:p>
      <w:pPr>
        <w:pStyle w:val="BodyText"/>
        <w:spacing w:line="405" w:lineRule="exact"/>
        <w:ind w:left="1140"/>
      </w:pPr>
      <w:r>
        <w:rPr/>
        <w:t>（二十七）新建、改扩建矿山建设项目有下列行为之一</w:t>
      </w:r>
    </w:p>
    <w:p>
      <w:pPr>
        <w:pStyle w:val="BodyText"/>
        <w:spacing w:before="147"/>
      </w:pPr>
      <w:r>
        <w:rPr/>
        <w:t>的：</w:t>
      </w:r>
    </w:p>
    <w:p>
      <w:pPr>
        <w:pStyle w:val="ListParagraph"/>
        <w:numPr>
          <w:ilvl w:val="0"/>
          <w:numId w:val="15"/>
        </w:numPr>
        <w:tabs>
          <w:tab w:pos="1463" w:val="left" w:leader="none"/>
        </w:tabs>
        <w:spacing w:line="240" w:lineRule="auto" w:before="151" w:after="0"/>
        <w:ind w:left="1462" w:right="0" w:hanging="323"/>
        <w:jc w:val="left"/>
        <w:rPr>
          <w:sz w:val="32"/>
        </w:rPr>
      </w:pPr>
      <w:r>
        <w:rPr>
          <w:spacing w:val="-2"/>
          <w:sz w:val="32"/>
        </w:rPr>
        <w:t>安全设施设计未经批准，或者批准后出现重大变更未</w:t>
      </w:r>
    </w:p>
    <w:p>
      <w:pPr>
        <w:pStyle w:val="BodyText"/>
        <w:spacing w:before="150"/>
      </w:pPr>
      <w:r>
        <w:rPr/>
        <w:t>经再次批准擅自组织施工；</w:t>
      </w:r>
    </w:p>
    <w:p>
      <w:pPr>
        <w:pStyle w:val="ListParagraph"/>
        <w:numPr>
          <w:ilvl w:val="0"/>
          <w:numId w:val="15"/>
        </w:numPr>
        <w:tabs>
          <w:tab w:pos="1463" w:val="left" w:leader="none"/>
        </w:tabs>
        <w:spacing w:line="240" w:lineRule="auto" w:before="149" w:after="0"/>
        <w:ind w:left="1462" w:right="0" w:hanging="323"/>
        <w:jc w:val="left"/>
        <w:rPr>
          <w:sz w:val="32"/>
        </w:rPr>
      </w:pPr>
      <w:r>
        <w:rPr>
          <w:sz w:val="32"/>
        </w:rPr>
        <w:t>在竣工验收前组织生产，经批准的联合试运转除外。</w:t>
      </w:r>
    </w:p>
    <w:p>
      <w:pPr>
        <w:pStyle w:val="BodyText"/>
        <w:spacing w:line="326" w:lineRule="auto" w:before="151"/>
        <w:ind w:right="405" w:firstLine="640"/>
      </w:pPr>
      <w:r>
        <w:rPr/>
        <w:t>（二十八）矿山企业违反国家有关工程项目发包规定， 有下列行为之一的：</w:t>
      </w:r>
    </w:p>
    <w:p>
      <w:pPr>
        <w:pStyle w:val="ListParagraph"/>
        <w:numPr>
          <w:ilvl w:val="0"/>
          <w:numId w:val="16"/>
        </w:numPr>
        <w:tabs>
          <w:tab w:pos="1463" w:val="left" w:leader="none"/>
        </w:tabs>
        <w:spacing w:line="240" w:lineRule="auto" w:before="4" w:after="0"/>
        <w:ind w:left="1462" w:right="0" w:hanging="323"/>
        <w:jc w:val="left"/>
        <w:rPr>
          <w:sz w:val="32"/>
        </w:rPr>
      </w:pPr>
      <w:r>
        <w:rPr>
          <w:spacing w:val="-1"/>
          <w:sz w:val="32"/>
        </w:rPr>
        <w:t>将工程项目发包给不具有法定资质和条件的单位，或</w:t>
      </w:r>
    </w:p>
    <w:p>
      <w:pPr>
        <w:spacing w:after="0" w:line="240" w:lineRule="auto"/>
        <w:jc w:val="left"/>
        <w:rPr>
          <w:sz w:val="32"/>
        </w:rPr>
        <w:sectPr>
          <w:pgSz w:w="11910" w:h="16840"/>
          <w:pgMar w:header="0" w:footer="1000" w:top="1520" w:bottom="1180" w:left="1300" w:right="1380"/>
        </w:sectPr>
      </w:pPr>
    </w:p>
    <w:p>
      <w:pPr>
        <w:pStyle w:val="BodyText"/>
        <w:spacing w:before="32"/>
      </w:pPr>
      <w:r>
        <w:rPr/>
        <w:t>者承包单位数量超过国家规定的数量；</w:t>
      </w:r>
    </w:p>
    <w:p>
      <w:pPr>
        <w:pStyle w:val="ListParagraph"/>
        <w:numPr>
          <w:ilvl w:val="0"/>
          <w:numId w:val="16"/>
        </w:numPr>
        <w:tabs>
          <w:tab w:pos="1463" w:val="left" w:leader="none"/>
        </w:tabs>
        <w:spacing w:line="328" w:lineRule="auto" w:before="149" w:after="0"/>
        <w:ind w:left="500" w:right="420" w:firstLine="640"/>
        <w:jc w:val="both"/>
        <w:rPr>
          <w:sz w:val="32"/>
        </w:rPr>
      </w:pPr>
      <w:r>
        <w:rPr>
          <w:spacing w:val="-2"/>
          <w:w w:val="95"/>
          <w:sz w:val="32"/>
        </w:rPr>
        <w:t>承包单位项目部的负责人、安全生产管理人员、专业 </w:t>
      </w:r>
      <w:r>
        <w:rPr>
          <w:spacing w:val="-5"/>
          <w:sz w:val="32"/>
        </w:rPr>
        <w:t>技术人员、特种作业人员不符合国家规定的数量、条件或者</w:t>
      </w:r>
      <w:r>
        <w:rPr>
          <w:sz w:val="32"/>
        </w:rPr>
        <w:t>不属于承包单位正式职工。</w:t>
      </w:r>
    </w:p>
    <w:p>
      <w:pPr>
        <w:pStyle w:val="BodyText"/>
        <w:spacing w:line="326" w:lineRule="auto"/>
        <w:ind w:right="375" w:firstLine="640"/>
      </w:pPr>
      <w:r>
        <w:rPr/>
        <w:t>（二十九）井下或者井口动火作业未按国家规定落实审批制度或者安全措施。</w:t>
      </w:r>
    </w:p>
    <w:p>
      <w:pPr>
        <w:pStyle w:val="BodyText"/>
        <w:spacing w:line="326" w:lineRule="auto"/>
        <w:ind w:right="420" w:firstLine="640"/>
        <w:jc w:val="both"/>
      </w:pPr>
      <w:r>
        <w:rPr>
          <w:spacing w:val="14"/>
          <w:w w:val="95"/>
        </w:rPr>
        <w:t>（三十</w:t>
      </w:r>
      <w:r>
        <w:rPr>
          <w:spacing w:val="17"/>
          <w:w w:val="95"/>
        </w:rPr>
        <w:t>）</w:t>
      </w:r>
      <w:r>
        <w:rPr>
          <w:spacing w:val="12"/>
          <w:w w:val="95"/>
        </w:rPr>
        <w:t>矿山年产量超过矿山设计年生产能力幅度在</w:t>
      </w:r>
      <w:r>
        <w:rPr>
          <w:spacing w:val="12"/>
        </w:rPr>
        <w:t>20</w:t>
      </w:r>
      <w:r>
        <w:rPr>
          <w:spacing w:val="-11"/>
        </w:rPr>
        <w:t>%及以上，或者月产量大于矿山设计年生产能力的 </w:t>
      </w:r>
      <w:r>
        <w:rPr/>
        <w:t>20%及以上。</w:t>
      </w:r>
    </w:p>
    <w:p>
      <w:pPr>
        <w:pStyle w:val="BodyText"/>
        <w:spacing w:line="328" w:lineRule="auto" w:before="7"/>
        <w:ind w:right="420" w:firstLine="640"/>
        <w:jc w:val="both"/>
      </w:pPr>
      <w:r>
        <w:rPr/>
        <w:t>（三十一</w:t>
      </w:r>
      <w:r>
        <w:rPr>
          <w:spacing w:val="-7"/>
        </w:rPr>
        <w:t>）</w:t>
      </w:r>
      <w:r>
        <w:rPr>
          <w:spacing w:val="-2"/>
        </w:rPr>
        <w:t>矿井未建立安全监测监控系统、人员定位系</w:t>
      </w:r>
      <w:r>
        <w:rPr>
          <w:spacing w:val="-4"/>
        </w:rPr>
        <w:t>统、通信联络系统，或者已经建立的系统不符合国家有关规</w:t>
      </w:r>
      <w:r>
        <w:rPr>
          <w:spacing w:val="-4"/>
          <w:w w:val="95"/>
        </w:rPr>
        <w:t>定，或者系统运行不正常未及时修复，或者关闭、破坏该系 </w:t>
      </w:r>
      <w:r>
        <w:rPr>
          <w:spacing w:val="-4"/>
        </w:rPr>
        <w:t>统，或者篡改、隐瞒、销毁其相关数据、信息。</w:t>
      </w:r>
    </w:p>
    <w:p>
      <w:pPr>
        <w:pStyle w:val="BodyText"/>
        <w:spacing w:line="328" w:lineRule="auto"/>
        <w:ind w:right="420" w:firstLine="640"/>
        <w:jc w:val="both"/>
      </w:pPr>
      <w:r>
        <w:rPr/>
        <w:t>（三十二</w:t>
      </w:r>
      <w:r>
        <w:rPr>
          <w:spacing w:val="-7"/>
        </w:rPr>
        <w:t>）</w:t>
      </w:r>
      <w:r>
        <w:rPr>
          <w:spacing w:val="-2"/>
        </w:rPr>
        <w:t>未配备具有矿山相关专业的专职矿长、总工</w:t>
      </w:r>
      <w:r>
        <w:rPr>
          <w:spacing w:val="-3"/>
        </w:rPr>
        <w:t>程师以及分管安全、生产、机电的副矿长，或者未配备具有采矿、地质、测量、机电等专业的技术人员。</w:t>
      </w:r>
    </w:p>
    <w:p>
      <w:pPr>
        <w:pStyle w:val="BodyText"/>
        <w:spacing w:before="144"/>
        <w:rPr>
          <w:rFonts w:ascii="黑体" w:eastAsia="黑体" w:hint="eastAsia"/>
        </w:rPr>
      </w:pPr>
      <w:r>
        <w:rPr>
          <w:rFonts w:ascii="黑体" w:eastAsia="黑体" w:hint="eastAsia"/>
        </w:rPr>
        <w:t>二、金属非金属露天矿山重大事故隐患</w:t>
      </w:r>
    </w:p>
    <w:p>
      <w:pPr>
        <w:pStyle w:val="BodyText"/>
        <w:spacing w:before="10"/>
        <w:ind w:left="0"/>
        <w:rPr>
          <w:rFonts w:ascii="黑体"/>
          <w:sz w:val="23"/>
        </w:rPr>
      </w:pPr>
    </w:p>
    <w:p>
      <w:pPr>
        <w:pStyle w:val="BodyText"/>
        <w:spacing w:line="328" w:lineRule="auto"/>
        <w:ind w:right="405" w:firstLine="640"/>
      </w:pPr>
      <w:r>
        <w:rPr/>
        <w:t>（一）地下开采转露天开采前，未探明采空区和溶洞， </w:t>
      </w:r>
      <w:r>
        <w:rPr>
          <w:w w:val="95"/>
        </w:rPr>
        <w:t>或者未按设计处理对露天开采安全有威胁的采空区和溶洞。</w:t>
      </w:r>
    </w:p>
    <w:p>
      <w:pPr>
        <w:pStyle w:val="BodyText"/>
        <w:spacing w:line="407" w:lineRule="exact"/>
        <w:ind w:left="1140"/>
      </w:pPr>
      <w:r>
        <w:rPr>
          <w:w w:val="95"/>
        </w:rPr>
        <w:t>（二）使用国家明令禁止使用的设备、材料或者工艺。</w:t>
      </w:r>
    </w:p>
    <w:p>
      <w:pPr>
        <w:pStyle w:val="BodyText"/>
        <w:spacing w:before="149"/>
        <w:ind w:left="1140"/>
      </w:pPr>
      <w:r>
        <w:rPr>
          <w:spacing w:val="14"/>
          <w:w w:val="95"/>
        </w:rPr>
        <w:t>（三）</w:t>
      </w:r>
      <w:r>
        <w:rPr>
          <w:spacing w:val="13"/>
          <w:w w:val="95"/>
        </w:rPr>
        <w:t>未采用自上而下的开采顺序分台阶或者分层开</w:t>
      </w:r>
    </w:p>
    <w:p>
      <w:pPr>
        <w:pStyle w:val="BodyText"/>
        <w:spacing w:before="152"/>
      </w:pPr>
      <w:r>
        <w:rPr/>
        <w:t>采。</w:t>
      </w:r>
    </w:p>
    <w:p>
      <w:pPr>
        <w:pStyle w:val="BodyText"/>
        <w:spacing w:before="149"/>
        <w:ind w:left="1140"/>
      </w:pPr>
      <w:r>
        <w:rPr/>
        <w:t>（四）工作帮坡角大于设计工作帮坡角，或者最终边坡</w:t>
      </w:r>
    </w:p>
    <w:p>
      <w:pPr>
        <w:pStyle w:val="BodyText"/>
        <w:spacing w:before="149"/>
      </w:pPr>
      <w:r>
        <w:rPr/>
        <w:t>台阶高度超过设计高度。</w:t>
      </w:r>
    </w:p>
    <w:p>
      <w:pPr>
        <w:spacing w:after="0"/>
        <w:sectPr>
          <w:pgSz w:w="11910" w:h="16840"/>
          <w:pgMar w:header="0" w:footer="1000" w:top="1520" w:bottom="1180" w:left="1300" w:right="1380"/>
        </w:sectPr>
      </w:pPr>
    </w:p>
    <w:p>
      <w:pPr>
        <w:pStyle w:val="BodyText"/>
        <w:spacing w:line="326" w:lineRule="auto" w:before="32"/>
        <w:ind w:right="420" w:firstLine="640"/>
      </w:pPr>
      <w:r>
        <w:rPr>
          <w:w w:val="95"/>
        </w:rPr>
        <w:t>（五</w:t>
      </w:r>
      <w:r>
        <w:rPr>
          <w:spacing w:val="-3"/>
          <w:w w:val="95"/>
        </w:rPr>
        <w:t>）</w:t>
      </w:r>
      <w:r>
        <w:rPr>
          <w:spacing w:val="-1"/>
          <w:w w:val="95"/>
        </w:rPr>
        <w:t>开采或者破坏设计要求保留的矿</w:t>
      </w:r>
      <w:r>
        <w:rPr>
          <w:spacing w:val="-3"/>
          <w:w w:val="95"/>
        </w:rPr>
        <w:t>（</w:t>
      </w:r>
      <w:r>
        <w:rPr>
          <w:w w:val="95"/>
        </w:rPr>
        <w:t>岩</w:t>
      </w:r>
      <w:r>
        <w:rPr>
          <w:spacing w:val="-5"/>
          <w:w w:val="95"/>
        </w:rPr>
        <w:t>）</w:t>
      </w:r>
      <w:r>
        <w:rPr>
          <w:w w:val="95"/>
        </w:rPr>
        <w:t>柱或者挂 </w:t>
      </w:r>
      <w:r>
        <w:rPr/>
        <w:t>帮矿体。</w:t>
      </w:r>
    </w:p>
    <w:p>
      <w:pPr>
        <w:pStyle w:val="BodyText"/>
        <w:spacing w:line="328" w:lineRule="auto" w:before="3"/>
        <w:ind w:right="375" w:firstLine="640"/>
      </w:pPr>
      <w:r>
        <w:rPr/>
        <w:t>（六）未按有关国家标准或者行业标准对采场边坡、排土场边坡进行稳定性分析。</w:t>
      </w:r>
    </w:p>
    <w:p>
      <w:pPr>
        <w:pStyle w:val="BodyText"/>
        <w:spacing w:line="407" w:lineRule="exact"/>
        <w:ind w:left="1140"/>
      </w:pPr>
      <w:r>
        <w:rPr/>
        <w:t>（七）边坡存在下列情形之一的：</w:t>
      </w:r>
    </w:p>
    <w:p>
      <w:pPr>
        <w:pStyle w:val="ListParagraph"/>
        <w:numPr>
          <w:ilvl w:val="0"/>
          <w:numId w:val="17"/>
        </w:numPr>
        <w:tabs>
          <w:tab w:pos="1463" w:val="left" w:leader="none"/>
        </w:tabs>
        <w:spacing w:line="240" w:lineRule="auto" w:before="149" w:after="0"/>
        <w:ind w:left="1462" w:right="0" w:hanging="323"/>
        <w:jc w:val="left"/>
        <w:rPr>
          <w:sz w:val="32"/>
        </w:rPr>
      </w:pPr>
      <w:r>
        <w:rPr>
          <w:spacing w:val="-27"/>
          <w:sz w:val="32"/>
        </w:rPr>
        <w:t>高度 </w:t>
      </w:r>
      <w:r>
        <w:rPr>
          <w:sz w:val="32"/>
        </w:rPr>
        <w:t>200</w:t>
      </w:r>
      <w:r>
        <w:rPr>
          <w:spacing w:val="-10"/>
          <w:sz w:val="32"/>
        </w:rPr>
        <w:t> 米及以上的采场边坡未进行在线监测；</w:t>
      </w:r>
    </w:p>
    <w:p>
      <w:pPr>
        <w:pStyle w:val="ListParagraph"/>
        <w:numPr>
          <w:ilvl w:val="0"/>
          <w:numId w:val="17"/>
        </w:numPr>
        <w:tabs>
          <w:tab w:pos="1463" w:val="left" w:leader="none"/>
        </w:tabs>
        <w:spacing w:line="326" w:lineRule="auto" w:before="151" w:after="0"/>
        <w:ind w:left="500" w:right="420" w:firstLine="640"/>
        <w:jc w:val="left"/>
        <w:rPr>
          <w:sz w:val="32"/>
        </w:rPr>
      </w:pPr>
      <w:r>
        <w:rPr>
          <w:spacing w:val="-31"/>
          <w:sz w:val="32"/>
        </w:rPr>
        <w:t>高度 </w:t>
      </w:r>
      <w:r>
        <w:rPr>
          <w:sz w:val="32"/>
        </w:rPr>
        <w:t>200</w:t>
      </w:r>
      <w:r>
        <w:rPr>
          <w:spacing w:val="-11"/>
          <w:sz w:val="32"/>
        </w:rPr>
        <w:t> 米及以上的排土场边坡未建立边坡稳定监测系统；</w:t>
      </w:r>
    </w:p>
    <w:p>
      <w:pPr>
        <w:pStyle w:val="ListParagraph"/>
        <w:numPr>
          <w:ilvl w:val="0"/>
          <w:numId w:val="17"/>
        </w:numPr>
        <w:tabs>
          <w:tab w:pos="1463" w:val="left" w:leader="none"/>
        </w:tabs>
        <w:spacing w:line="328" w:lineRule="auto" w:before="4" w:after="0"/>
        <w:ind w:left="500" w:right="417" w:firstLine="640"/>
        <w:jc w:val="left"/>
        <w:rPr>
          <w:sz w:val="32"/>
        </w:rPr>
      </w:pPr>
      <w:r>
        <w:rPr>
          <w:spacing w:val="-3"/>
          <w:w w:val="95"/>
          <w:sz w:val="32"/>
        </w:rPr>
        <w:t>关闭、破坏监测系统或者隐瞒、篡改、销毁其相关数 </w:t>
      </w:r>
      <w:r>
        <w:rPr>
          <w:spacing w:val="-3"/>
          <w:sz w:val="32"/>
        </w:rPr>
        <w:t>据、信息。</w:t>
      </w:r>
    </w:p>
    <w:p>
      <w:pPr>
        <w:pStyle w:val="BodyText"/>
        <w:spacing w:line="407" w:lineRule="exact"/>
        <w:ind w:left="1140"/>
      </w:pPr>
      <w:r>
        <w:rPr/>
        <w:t>（八）边坡出现滑移现象，存在下列情形之一的：</w:t>
      </w:r>
    </w:p>
    <w:p>
      <w:pPr>
        <w:pStyle w:val="ListParagraph"/>
        <w:numPr>
          <w:ilvl w:val="0"/>
          <w:numId w:val="18"/>
        </w:numPr>
        <w:tabs>
          <w:tab w:pos="1463" w:val="left" w:leader="none"/>
        </w:tabs>
        <w:spacing w:line="240" w:lineRule="auto" w:before="149" w:after="0"/>
        <w:ind w:left="1462" w:right="0" w:hanging="323"/>
        <w:jc w:val="left"/>
        <w:rPr>
          <w:sz w:val="32"/>
        </w:rPr>
      </w:pPr>
      <w:r>
        <w:rPr>
          <w:sz w:val="32"/>
        </w:rPr>
        <w:t>边坡出现横向及纵向放射状裂缝；</w:t>
      </w:r>
    </w:p>
    <w:p>
      <w:pPr>
        <w:pStyle w:val="ListParagraph"/>
        <w:numPr>
          <w:ilvl w:val="0"/>
          <w:numId w:val="18"/>
        </w:numPr>
        <w:tabs>
          <w:tab w:pos="1463" w:val="left" w:leader="none"/>
        </w:tabs>
        <w:spacing w:line="326" w:lineRule="auto" w:before="151" w:after="0"/>
        <w:ind w:left="500" w:right="420" w:firstLine="640"/>
        <w:jc w:val="left"/>
        <w:rPr>
          <w:sz w:val="32"/>
        </w:rPr>
      </w:pPr>
      <w:r>
        <w:rPr>
          <w:spacing w:val="-1"/>
          <w:w w:val="95"/>
          <w:sz w:val="32"/>
        </w:rPr>
        <w:t>坡体前缘坡脚处出现上隆</w:t>
      </w:r>
      <w:r>
        <w:rPr>
          <w:w w:val="95"/>
          <w:sz w:val="32"/>
        </w:rPr>
        <w:t>（凸起</w:t>
      </w:r>
      <w:r>
        <w:rPr>
          <w:spacing w:val="-5"/>
          <w:w w:val="95"/>
          <w:sz w:val="32"/>
        </w:rPr>
        <w:t>）</w:t>
      </w:r>
      <w:r>
        <w:rPr>
          <w:spacing w:val="-1"/>
          <w:w w:val="95"/>
          <w:sz w:val="32"/>
        </w:rPr>
        <w:t>现象，后缘的裂缝 </w:t>
      </w:r>
      <w:r>
        <w:rPr>
          <w:spacing w:val="-1"/>
          <w:sz w:val="32"/>
        </w:rPr>
        <w:t>急剧扩展；</w:t>
      </w:r>
    </w:p>
    <w:p>
      <w:pPr>
        <w:pStyle w:val="ListParagraph"/>
        <w:numPr>
          <w:ilvl w:val="0"/>
          <w:numId w:val="18"/>
        </w:numPr>
        <w:tabs>
          <w:tab w:pos="1472" w:val="left" w:leader="none"/>
        </w:tabs>
        <w:spacing w:line="328" w:lineRule="auto" w:before="4" w:after="0"/>
        <w:ind w:left="500" w:right="420" w:firstLine="640"/>
        <w:jc w:val="left"/>
        <w:rPr>
          <w:sz w:val="32"/>
        </w:rPr>
      </w:pPr>
      <w:r>
        <w:rPr>
          <w:spacing w:val="13"/>
          <w:w w:val="95"/>
          <w:sz w:val="32"/>
        </w:rPr>
        <w:t>位移观测资料显示的水平位移量或者垂直位移量出 </w:t>
      </w:r>
      <w:r>
        <w:rPr>
          <w:spacing w:val="13"/>
          <w:sz w:val="32"/>
        </w:rPr>
        <w:t>现加速变化的趋势。</w:t>
      </w:r>
    </w:p>
    <w:p>
      <w:pPr>
        <w:pStyle w:val="BodyText"/>
        <w:spacing w:line="407" w:lineRule="exact"/>
        <w:ind w:left="1140"/>
      </w:pPr>
      <w:r>
        <w:rPr/>
        <w:t>（九）运输道路坡度大于设计坡度 10%以上。</w:t>
      </w:r>
    </w:p>
    <w:p>
      <w:pPr>
        <w:pStyle w:val="BodyText"/>
        <w:spacing w:before="149"/>
        <w:ind w:left="1140"/>
      </w:pPr>
      <w:r>
        <w:rPr/>
        <w:t>（十）凹陷露天矿山未按设计建设防洪、排洪设施。</w:t>
      </w:r>
    </w:p>
    <w:p>
      <w:pPr>
        <w:pStyle w:val="BodyText"/>
        <w:spacing w:before="151"/>
        <w:ind w:left="1140"/>
      </w:pPr>
      <w:r>
        <w:rPr/>
        <w:t>（十一）排土场存在下列情形之一的：</w:t>
      </w:r>
    </w:p>
    <w:p>
      <w:pPr>
        <w:pStyle w:val="ListParagraph"/>
        <w:numPr>
          <w:ilvl w:val="0"/>
          <w:numId w:val="19"/>
        </w:numPr>
        <w:tabs>
          <w:tab w:pos="1463" w:val="left" w:leader="none"/>
        </w:tabs>
        <w:spacing w:line="326" w:lineRule="auto" w:before="150" w:after="0"/>
        <w:ind w:left="500" w:right="420" w:firstLine="640"/>
        <w:jc w:val="left"/>
        <w:rPr>
          <w:sz w:val="32"/>
        </w:rPr>
      </w:pPr>
      <w:r>
        <w:rPr>
          <w:spacing w:val="-11"/>
          <w:sz w:val="32"/>
        </w:rPr>
        <w:t>在平均坡度大于 </w:t>
      </w:r>
      <w:r>
        <w:rPr>
          <w:sz w:val="32"/>
        </w:rPr>
        <w:t>1:5</w:t>
      </w:r>
      <w:r>
        <w:rPr>
          <w:spacing w:val="-11"/>
          <w:sz w:val="32"/>
        </w:rPr>
        <w:t> 的地基上顺坡排土，未按设计采取安全措施；</w:t>
      </w:r>
    </w:p>
    <w:p>
      <w:pPr>
        <w:pStyle w:val="ListParagraph"/>
        <w:numPr>
          <w:ilvl w:val="0"/>
          <w:numId w:val="19"/>
        </w:numPr>
        <w:tabs>
          <w:tab w:pos="1463" w:val="left" w:leader="none"/>
        </w:tabs>
        <w:spacing w:line="326" w:lineRule="auto" w:before="5" w:after="0"/>
        <w:ind w:left="500" w:right="420" w:firstLine="640"/>
        <w:jc w:val="left"/>
        <w:rPr>
          <w:sz w:val="32"/>
        </w:rPr>
      </w:pPr>
      <w:r>
        <w:rPr>
          <w:spacing w:val="-10"/>
          <w:sz w:val="32"/>
        </w:rPr>
        <w:t>排土场总堆置高度 </w:t>
      </w:r>
      <w:r>
        <w:rPr>
          <w:sz w:val="32"/>
        </w:rPr>
        <w:t>2</w:t>
      </w:r>
      <w:r>
        <w:rPr>
          <w:spacing w:val="-11"/>
          <w:sz w:val="32"/>
        </w:rPr>
        <w:t> 倍范围以内有人员密集场所，未按设计采取安全措施；</w:t>
      </w:r>
    </w:p>
    <w:p>
      <w:pPr>
        <w:pStyle w:val="ListParagraph"/>
        <w:numPr>
          <w:ilvl w:val="0"/>
          <w:numId w:val="19"/>
        </w:numPr>
        <w:tabs>
          <w:tab w:pos="1463" w:val="left" w:leader="none"/>
        </w:tabs>
        <w:spacing w:line="240" w:lineRule="auto" w:before="3" w:after="0"/>
        <w:ind w:left="1462" w:right="0" w:hanging="323"/>
        <w:jc w:val="left"/>
        <w:rPr>
          <w:sz w:val="32"/>
        </w:rPr>
      </w:pPr>
      <w:r>
        <w:rPr>
          <w:sz w:val="32"/>
        </w:rPr>
        <w:t>山坡排土场周围未按设计修筑截、排水设施。</w:t>
      </w:r>
    </w:p>
    <w:p>
      <w:pPr>
        <w:spacing w:after="0" w:line="240" w:lineRule="auto"/>
        <w:jc w:val="left"/>
        <w:rPr>
          <w:sz w:val="32"/>
        </w:rPr>
        <w:sectPr>
          <w:pgSz w:w="11910" w:h="16840"/>
          <w:pgMar w:header="0" w:footer="1000" w:top="1520" w:bottom="1180" w:left="1300" w:right="1380"/>
        </w:sectPr>
      </w:pPr>
    </w:p>
    <w:p>
      <w:pPr>
        <w:pStyle w:val="BodyText"/>
        <w:spacing w:before="32"/>
        <w:ind w:left="1140"/>
      </w:pPr>
      <w:r>
        <w:rPr/>
        <w:t>（十二）露天采场未按设计设置安全平台和清扫平台。</w:t>
      </w:r>
    </w:p>
    <w:p>
      <w:pPr>
        <w:pStyle w:val="BodyText"/>
        <w:spacing w:before="149"/>
        <w:ind w:left="1140"/>
      </w:pPr>
      <w:r>
        <w:rPr/>
        <w:t>（十三）擅自对在用排土场进行回采作业。</w:t>
      </w:r>
    </w:p>
    <w:p>
      <w:pPr>
        <w:pStyle w:val="BodyText"/>
        <w:spacing w:before="10"/>
        <w:ind w:left="0"/>
        <w:rPr>
          <w:sz w:val="23"/>
        </w:rPr>
      </w:pPr>
    </w:p>
    <w:p>
      <w:pPr>
        <w:pStyle w:val="BodyText"/>
        <w:rPr>
          <w:rFonts w:ascii="黑体" w:eastAsia="黑体" w:hint="eastAsia"/>
        </w:rPr>
      </w:pPr>
      <w:r>
        <w:rPr>
          <w:rFonts w:ascii="黑体" w:eastAsia="黑体" w:hint="eastAsia"/>
        </w:rPr>
        <w:t>三、尾矿库重大事故隐患</w:t>
      </w:r>
    </w:p>
    <w:p>
      <w:pPr>
        <w:pStyle w:val="BodyText"/>
        <w:ind w:left="0"/>
        <w:rPr>
          <w:rFonts w:ascii="黑体"/>
          <w:sz w:val="24"/>
        </w:rPr>
      </w:pPr>
    </w:p>
    <w:p>
      <w:pPr>
        <w:pStyle w:val="BodyText"/>
        <w:spacing w:line="326" w:lineRule="auto"/>
        <w:ind w:right="259" w:firstLine="640"/>
      </w:pPr>
      <w:r>
        <w:rPr>
          <w:w w:val="95"/>
        </w:rPr>
        <w:t>（一</w:t>
      </w:r>
      <w:r>
        <w:rPr>
          <w:spacing w:val="-87"/>
          <w:w w:val="95"/>
        </w:rPr>
        <w:t>）</w:t>
      </w:r>
      <w:r>
        <w:rPr>
          <w:spacing w:val="-5"/>
          <w:w w:val="95"/>
        </w:rPr>
        <w:t>库区或者尾矿坝上存在未按设计进行开采、挖掘、 </w:t>
      </w:r>
      <w:r>
        <w:rPr>
          <w:spacing w:val="-5"/>
        </w:rPr>
        <w:t>爆破等危及尾矿库安全的活动。</w:t>
      </w:r>
    </w:p>
    <w:p>
      <w:pPr>
        <w:pStyle w:val="BodyText"/>
        <w:spacing w:before="3"/>
        <w:ind w:left="1140"/>
      </w:pPr>
      <w:r>
        <w:rPr/>
        <w:t>（二）坝体存在下列情形之一的：</w:t>
      </w:r>
    </w:p>
    <w:p>
      <w:pPr>
        <w:pStyle w:val="ListParagraph"/>
        <w:numPr>
          <w:ilvl w:val="0"/>
          <w:numId w:val="20"/>
        </w:numPr>
        <w:tabs>
          <w:tab w:pos="1463" w:val="left" w:leader="none"/>
        </w:tabs>
        <w:spacing w:line="240" w:lineRule="auto" w:before="152" w:after="0"/>
        <w:ind w:left="1462" w:right="0" w:hanging="323"/>
        <w:jc w:val="left"/>
        <w:rPr>
          <w:sz w:val="32"/>
        </w:rPr>
      </w:pPr>
      <w:r>
        <w:rPr>
          <w:w w:val="95"/>
          <w:sz w:val="32"/>
        </w:rPr>
        <w:t>坝体出现严重的管涌、流土变形等现象；</w:t>
      </w:r>
    </w:p>
    <w:p>
      <w:pPr>
        <w:pStyle w:val="ListParagraph"/>
        <w:numPr>
          <w:ilvl w:val="0"/>
          <w:numId w:val="20"/>
        </w:numPr>
        <w:tabs>
          <w:tab w:pos="1463" w:val="left" w:leader="none"/>
        </w:tabs>
        <w:spacing w:line="240" w:lineRule="auto" w:before="149" w:after="0"/>
        <w:ind w:left="1462" w:right="0" w:hanging="323"/>
        <w:jc w:val="left"/>
        <w:rPr>
          <w:sz w:val="32"/>
        </w:rPr>
      </w:pPr>
      <w:r>
        <w:rPr>
          <w:w w:val="95"/>
          <w:sz w:val="32"/>
        </w:rPr>
        <w:t>坝体出现贯穿性裂缝、坍塌、滑动迹象；</w:t>
      </w:r>
    </w:p>
    <w:p>
      <w:pPr>
        <w:pStyle w:val="ListParagraph"/>
        <w:numPr>
          <w:ilvl w:val="0"/>
          <w:numId w:val="20"/>
        </w:numPr>
        <w:tabs>
          <w:tab w:pos="1463" w:val="left" w:leader="none"/>
        </w:tabs>
        <w:spacing w:line="328" w:lineRule="auto" w:before="149" w:after="0"/>
        <w:ind w:left="500" w:right="420" w:firstLine="640"/>
        <w:jc w:val="left"/>
        <w:rPr>
          <w:sz w:val="32"/>
        </w:rPr>
      </w:pPr>
      <w:r>
        <w:rPr>
          <w:spacing w:val="-2"/>
          <w:w w:val="95"/>
          <w:sz w:val="32"/>
        </w:rPr>
        <w:t>坝体出现大面积纵向裂缝，且出现较大范围渗透水高 </w:t>
      </w:r>
      <w:r>
        <w:rPr>
          <w:spacing w:val="-2"/>
          <w:sz w:val="32"/>
        </w:rPr>
        <w:t>位出逸或者大面积沼泽化。</w:t>
      </w:r>
    </w:p>
    <w:p>
      <w:pPr>
        <w:pStyle w:val="BodyText"/>
        <w:spacing w:line="326" w:lineRule="auto"/>
        <w:ind w:right="374" w:firstLine="640"/>
      </w:pPr>
      <w:r>
        <w:rPr/>
        <w:t>（三）坝体的平均外坡比或者堆积子坝的外坡比陡于设计坡比。</w:t>
      </w:r>
    </w:p>
    <w:p>
      <w:pPr>
        <w:pStyle w:val="BodyText"/>
        <w:spacing w:line="326" w:lineRule="auto" w:before="4"/>
        <w:ind w:right="417" w:firstLine="640"/>
      </w:pPr>
      <w:r>
        <w:rPr>
          <w:w w:val="95"/>
        </w:rPr>
        <w:t>（四</w:t>
      </w:r>
      <w:r>
        <w:rPr>
          <w:spacing w:val="-5"/>
          <w:w w:val="95"/>
        </w:rPr>
        <w:t>）</w:t>
      </w:r>
      <w:r>
        <w:rPr>
          <w:spacing w:val="-1"/>
          <w:w w:val="95"/>
        </w:rPr>
        <w:t>坝体高度超过设计总坝高，或者尾矿库超过设计 </w:t>
      </w:r>
      <w:r>
        <w:rPr>
          <w:spacing w:val="-1"/>
        </w:rPr>
        <w:t>库容贮存尾矿。</w:t>
      </w:r>
    </w:p>
    <w:p>
      <w:pPr>
        <w:pStyle w:val="BodyText"/>
        <w:spacing w:before="3"/>
        <w:ind w:left="1140"/>
      </w:pPr>
      <w:r>
        <w:rPr/>
        <w:t>（五）尾矿堆积坝上升速率大于设计堆积上升速率。</w:t>
      </w:r>
    </w:p>
    <w:p>
      <w:pPr>
        <w:pStyle w:val="BodyText"/>
        <w:spacing w:before="151"/>
        <w:ind w:left="1140"/>
      </w:pPr>
      <w:r>
        <w:rPr/>
        <w:t>（六</w:t>
      </w:r>
      <w:r>
        <w:rPr>
          <w:spacing w:val="-58"/>
        </w:rPr>
        <w:t>）</w:t>
      </w:r>
      <w:r>
        <w:rPr>
          <w:spacing w:val="-10"/>
        </w:rPr>
        <w:t>采用尾矿堆坝的尾矿库，未按《尾矿库安全规程》</w:t>
      </w:r>
    </w:p>
    <w:p>
      <w:pPr>
        <w:pStyle w:val="BodyText"/>
        <w:spacing w:line="326" w:lineRule="auto" w:before="150"/>
        <w:ind w:right="420"/>
      </w:pPr>
      <w:r>
        <w:rPr/>
        <w:t>（GB39496-2020）</w:t>
      </w:r>
      <w:r>
        <w:rPr>
          <w:spacing w:val="-47"/>
        </w:rPr>
        <w:t>第 </w:t>
      </w:r>
      <w:r>
        <w:rPr/>
        <w:t>6.1.9</w:t>
      </w:r>
      <w:r>
        <w:rPr>
          <w:spacing w:val="-11"/>
        </w:rPr>
        <w:t> 条规定对尾矿坝做全面的安全性复核。</w:t>
      </w:r>
    </w:p>
    <w:p>
      <w:pPr>
        <w:pStyle w:val="BodyText"/>
        <w:spacing w:before="5"/>
        <w:ind w:left="1140"/>
      </w:pPr>
      <w:r>
        <w:rPr/>
        <w:t>（七）浸润线埋深小于控制浸润线埋深。</w:t>
      </w:r>
    </w:p>
    <w:p>
      <w:pPr>
        <w:pStyle w:val="BodyText"/>
        <w:spacing w:line="328" w:lineRule="auto" w:before="149"/>
        <w:ind w:right="405" w:firstLine="640"/>
        <w:jc w:val="both"/>
      </w:pPr>
      <w:r>
        <w:rPr/>
        <w:t>（八）汛前未按国家有关规定对尾矿库进行调洪演算， 或者湿式尾矿库防洪高度和干滩长度小于设计值，或者干式尾矿库防洪高度和防洪宽度小于设计值。</w:t>
      </w:r>
    </w:p>
    <w:p>
      <w:pPr>
        <w:pStyle w:val="BodyText"/>
        <w:spacing w:line="405" w:lineRule="exact"/>
        <w:ind w:left="1140"/>
      </w:pPr>
      <w:r>
        <w:rPr/>
        <w:t>（九）排洪系统存在下列情形之一的：</w:t>
      </w:r>
    </w:p>
    <w:p>
      <w:pPr>
        <w:pStyle w:val="ListParagraph"/>
        <w:numPr>
          <w:ilvl w:val="0"/>
          <w:numId w:val="21"/>
        </w:numPr>
        <w:tabs>
          <w:tab w:pos="1463" w:val="left" w:leader="none"/>
        </w:tabs>
        <w:spacing w:line="240" w:lineRule="auto" w:before="149" w:after="0"/>
        <w:ind w:left="1462" w:right="0" w:hanging="323"/>
        <w:jc w:val="left"/>
        <w:rPr>
          <w:sz w:val="32"/>
        </w:rPr>
      </w:pPr>
      <w:r>
        <w:rPr>
          <w:spacing w:val="-3"/>
          <w:sz w:val="32"/>
        </w:rPr>
        <w:t>排水井、排水斜槽、排水管、排水隧洞、拱板、盖板</w:t>
      </w:r>
    </w:p>
    <w:p>
      <w:pPr>
        <w:spacing w:after="0" w:line="240" w:lineRule="auto"/>
        <w:jc w:val="left"/>
        <w:rPr>
          <w:sz w:val="32"/>
        </w:rPr>
        <w:sectPr>
          <w:footerReference w:type="default" r:id="rId7"/>
          <w:pgSz w:w="11910" w:h="16840"/>
          <w:pgMar w:footer="1000" w:header="0" w:top="1520" w:bottom="1180" w:left="1300" w:right="1380"/>
          <w:pgNumType w:start="20"/>
        </w:sectPr>
      </w:pPr>
    </w:p>
    <w:p>
      <w:pPr>
        <w:pStyle w:val="BodyText"/>
        <w:spacing w:line="326" w:lineRule="auto" w:before="32"/>
        <w:ind w:right="420"/>
      </w:pPr>
      <w:r>
        <w:rPr>
          <w:spacing w:val="11"/>
          <w:w w:val="95"/>
        </w:rPr>
        <w:t>等排洪建构筑物混凝土厚度、强度或者型式不满足设计要 </w:t>
      </w:r>
      <w:r>
        <w:rPr>
          <w:spacing w:val="11"/>
        </w:rPr>
        <w:t>求；</w:t>
      </w:r>
    </w:p>
    <w:p>
      <w:pPr>
        <w:pStyle w:val="ListParagraph"/>
        <w:numPr>
          <w:ilvl w:val="0"/>
          <w:numId w:val="21"/>
        </w:numPr>
        <w:tabs>
          <w:tab w:pos="1463" w:val="left" w:leader="none"/>
        </w:tabs>
        <w:spacing w:line="328" w:lineRule="auto" w:before="3" w:after="0"/>
        <w:ind w:left="500" w:right="420" w:firstLine="640"/>
        <w:jc w:val="left"/>
        <w:rPr>
          <w:sz w:val="32"/>
        </w:rPr>
      </w:pPr>
      <w:r>
        <w:rPr>
          <w:spacing w:val="-2"/>
          <w:w w:val="95"/>
          <w:sz w:val="32"/>
        </w:rPr>
        <w:t>排洪设施部分堵塞或者坍塌、排水井有所倾斜，排水 </w:t>
      </w:r>
      <w:r>
        <w:rPr>
          <w:spacing w:val="-2"/>
          <w:sz w:val="32"/>
        </w:rPr>
        <w:t>能力有所降低，达不到设计要求；</w:t>
      </w:r>
    </w:p>
    <w:p>
      <w:pPr>
        <w:pStyle w:val="ListParagraph"/>
        <w:numPr>
          <w:ilvl w:val="0"/>
          <w:numId w:val="21"/>
        </w:numPr>
        <w:tabs>
          <w:tab w:pos="1463" w:val="left" w:leader="none"/>
        </w:tabs>
        <w:spacing w:line="407" w:lineRule="exact" w:before="0" w:after="0"/>
        <w:ind w:left="1462" w:right="0" w:hanging="323"/>
        <w:jc w:val="left"/>
        <w:rPr>
          <w:sz w:val="32"/>
        </w:rPr>
      </w:pPr>
      <w:r>
        <w:rPr>
          <w:sz w:val="32"/>
        </w:rPr>
        <w:t>排洪构筑物终止使用时，封堵措施不满足设计要求。</w:t>
      </w:r>
    </w:p>
    <w:p>
      <w:pPr>
        <w:pStyle w:val="BodyText"/>
        <w:spacing w:before="149"/>
        <w:ind w:left="1140"/>
      </w:pPr>
      <w:r>
        <w:rPr/>
        <w:t>（十）设计以外的尾矿、废料或者废水进库。</w:t>
      </w:r>
    </w:p>
    <w:p>
      <w:pPr>
        <w:pStyle w:val="BodyText"/>
        <w:spacing w:line="326" w:lineRule="auto" w:before="151"/>
        <w:ind w:right="373" w:firstLine="640"/>
      </w:pPr>
      <w:r>
        <w:rPr/>
        <w:t>（十一）多种矿石性质不同的尾砂混合排放时，未按设计进行排放。</w:t>
      </w:r>
    </w:p>
    <w:p>
      <w:pPr>
        <w:pStyle w:val="BodyText"/>
        <w:spacing w:before="4"/>
        <w:ind w:left="1140"/>
      </w:pPr>
      <w:r>
        <w:rPr/>
        <w:t>（十二）冬季未按设计要求的冰下放矿方式进行放矿作</w:t>
      </w:r>
    </w:p>
    <w:p>
      <w:pPr>
        <w:pStyle w:val="BodyText"/>
        <w:spacing w:before="151"/>
      </w:pPr>
      <w:r>
        <w:rPr/>
        <w:t>业。</w:t>
      </w:r>
    </w:p>
    <w:p>
      <w:pPr>
        <w:pStyle w:val="BodyText"/>
        <w:spacing w:before="149"/>
        <w:ind w:left="1140"/>
      </w:pPr>
      <w:r>
        <w:rPr/>
        <w:t>（十三）安全监测系统存在下列情形之一的：</w:t>
      </w:r>
    </w:p>
    <w:p>
      <w:pPr>
        <w:pStyle w:val="ListParagraph"/>
        <w:numPr>
          <w:ilvl w:val="0"/>
          <w:numId w:val="22"/>
        </w:numPr>
        <w:tabs>
          <w:tab w:pos="1463" w:val="left" w:leader="none"/>
        </w:tabs>
        <w:spacing w:line="240" w:lineRule="auto" w:before="150" w:after="0"/>
        <w:ind w:left="1462" w:right="0" w:hanging="323"/>
        <w:jc w:val="left"/>
        <w:rPr>
          <w:sz w:val="32"/>
        </w:rPr>
      </w:pPr>
      <w:r>
        <w:rPr>
          <w:sz w:val="32"/>
        </w:rPr>
        <w:t>未按设计设置安全监测系统；</w:t>
      </w:r>
    </w:p>
    <w:p>
      <w:pPr>
        <w:pStyle w:val="ListParagraph"/>
        <w:numPr>
          <w:ilvl w:val="0"/>
          <w:numId w:val="22"/>
        </w:numPr>
        <w:tabs>
          <w:tab w:pos="1463" w:val="left" w:leader="none"/>
        </w:tabs>
        <w:spacing w:line="240" w:lineRule="auto" w:before="151" w:after="0"/>
        <w:ind w:left="1462" w:right="0" w:hanging="323"/>
        <w:jc w:val="left"/>
        <w:rPr>
          <w:sz w:val="32"/>
        </w:rPr>
      </w:pPr>
      <w:r>
        <w:rPr>
          <w:sz w:val="32"/>
        </w:rPr>
        <w:t>安全监测系统运行不正常未及时修复；</w:t>
      </w:r>
    </w:p>
    <w:p>
      <w:pPr>
        <w:pStyle w:val="ListParagraph"/>
        <w:numPr>
          <w:ilvl w:val="0"/>
          <w:numId w:val="22"/>
        </w:numPr>
        <w:tabs>
          <w:tab w:pos="1463" w:val="left" w:leader="none"/>
        </w:tabs>
        <w:spacing w:line="240" w:lineRule="auto" w:before="149" w:after="0"/>
        <w:ind w:left="1462" w:right="0" w:hanging="323"/>
        <w:jc w:val="left"/>
        <w:rPr>
          <w:sz w:val="32"/>
        </w:rPr>
      </w:pPr>
      <w:r>
        <w:rPr>
          <w:spacing w:val="-3"/>
          <w:sz w:val="32"/>
        </w:rPr>
        <w:t>关闭、破坏安全监测系统，或者篡改、隐瞒、销毁其</w:t>
      </w:r>
    </w:p>
    <w:p>
      <w:pPr>
        <w:pStyle w:val="BodyText"/>
        <w:spacing w:before="150"/>
      </w:pPr>
      <w:r>
        <w:rPr/>
        <w:t>相关数据、信息。</w:t>
      </w:r>
    </w:p>
    <w:p>
      <w:pPr>
        <w:pStyle w:val="BodyText"/>
        <w:spacing w:before="151"/>
        <w:ind w:left="1140"/>
      </w:pPr>
      <w:r>
        <w:rPr/>
        <w:t>（十四）干式尾矿库存在下列情形之一的：</w:t>
      </w:r>
    </w:p>
    <w:p>
      <w:pPr>
        <w:pStyle w:val="ListParagraph"/>
        <w:numPr>
          <w:ilvl w:val="0"/>
          <w:numId w:val="23"/>
        </w:numPr>
        <w:tabs>
          <w:tab w:pos="1463" w:val="left" w:leader="none"/>
        </w:tabs>
        <w:spacing w:line="326" w:lineRule="auto" w:before="149" w:after="0"/>
        <w:ind w:left="500" w:right="417" w:firstLine="640"/>
        <w:jc w:val="left"/>
        <w:rPr>
          <w:sz w:val="32"/>
        </w:rPr>
      </w:pPr>
      <w:r>
        <w:rPr>
          <w:spacing w:val="-1"/>
          <w:w w:val="95"/>
          <w:sz w:val="32"/>
        </w:rPr>
        <w:t>入库尾矿的含水率大于设计值，无法进行正常碾压且 </w:t>
      </w:r>
      <w:r>
        <w:rPr>
          <w:spacing w:val="-1"/>
          <w:sz w:val="32"/>
        </w:rPr>
        <w:t>未设置可靠的防范措施；</w:t>
      </w:r>
    </w:p>
    <w:p>
      <w:pPr>
        <w:pStyle w:val="ListParagraph"/>
        <w:numPr>
          <w:ilvl w:val="0"/>
          <w:numId w:val="23"/>
        </w:numPr>
        <w:tabs>
          <w:tab w:pos="1463" w:val="left" w:leader="none"/>
        </w:tabs>
        <w:spacing w:line="240" w:lineRule="auto" w:before="6" w:after="0"/>
        <w:ind w:left="1462" w:right="0" w:hanging="323"/>
        <w:jc w:val="left"/>
        <w:rPr>
          <w:sz w:val="32"/>
        </w:rPr>
      </w:pPr>
      <w:r>
        <w:rPr>
          <w:sz w:val="32"/>
        </w:rPr>
        <w:t>堆存推进方向与设计不一致；</w:t>
      </w:r>
    </w:p>
    <w:p>
      <w:pPr>
        <w:pStyle w:val="ListParagraph"/>
        <w:numPr>
          <w:ilvl w:val="0"/>
          <w:numId w:val="23"/>
        </w:numPr>
        <w:tabs>
          <w:tab w:pos="1463" w:val="left" w:leader="none"/>
        </w:tabs>
        <w:spacing w:line="240" w:lineRule="auto" w:before="149" w:after="0"/>
        <w:ind w:left="1462" w:right="0" w:hanging="323"/>
        <w:jc w:val="left"/>
        <w:rPr>
          <w:sz w:val="32"/>
        </w:rPr>
      </w:pPr>
      <w:r>
        <w:rPr>
          <w:sz w:val="32"/>
        </w:rPr>
        <w:t>分层厚度或者台阶高度大于设计值；</w:t>
      </w:r>
    </w:p>
    <w:p>
      <w:pPr>
        <w:pStyle w:val="ListParagraph"/>
        <w:numPr>
          <w:ilvl w:val="0"/>
          <w:numId w:val="23"/>
        </w:numPr>
        <w:tabs>
          <w:tab w:pos="1463" w:val="left" w:leader="none"/>
        </w:tabs>
        <w:spacing w:line="240" w:lineRule="auto" w:before="149" w:after="0"/>
        <w:ind w:left="1462" w:right="0" w:hanging="323"/>
        <w:jc w:val="left"/>
        <w:rPr>
          <w:sz w:val="32"/>
        </w:rPr>
      </w:pPr>
      <w:r>
        <w:rPr>
          <w:sz w:val="32"/>
        </w:rPr>
        <w:t>未按设计要求进行碾压。</w:t>
      </w:r>
    </w:p>
    <w:p>
      <w:pPr>
        <w:pStyle w:val="BodyText"/>
        <w:spacing w:line="326" w:lineRule="auto" w:before="152"/>
        <w:ind w:right="375" w:firstLine="640"/>
      </w:pPr>
      <w:r>
        <w:rPr/>
        <w:t>（十五）经验算，坝体抗滑稳定最小安全系数小于国家标准规定值的 0.98 倍。</w:t>
      </w:r>
    </w:p>
    <w:p>
      <w:pPr>
        <w:pStyle w:val="BodyText"/>
        <w:spacing w:before="3"/>
        <w:ind w:left="1140"/>
      </w:pPr>
      <w:r>
        <w:rPr/>
        <w:t>（十六）三等及以上尾矿库及“头顶库”未按设计设置</w:t>
      </w:r>
    </w:p>
    <w:p>
      <w:pPr>
        <w:spacing w:after="0"/>
        <w:sectPr>
          <w:pgSz w:w="11910" w:h="16840"/>
          <w:pgMar w:header="0" w:footer="1000" w:top="1520" w:bottom="1180" w:left="1300" w:right="1380"/>
        </w:sectPr>
      </w:pPr>
    </w:p>
    <w:p>
      <w:pPr>
        <w:pStyle w:val="BodyText"/>
        <w:spacing w:line="326" w:lineRule="auto" w:before="32"/>
        <w:ind w:right="417"/>
      </w:pPr>
      <w:bookmarkStart w:name="化工和危险化学品生产经营单位" w:id="5"/>
      <w:bookmarkEnd w:id="5"/>
      <w:r>
        <w:rPr/>
      </w:r>
      <w:r>
        <w:rPr>
          <w:spacing w:val="-2"/>
          <w:w w:val="95"/>
        </w:rPr>
        <w:t>通往坝顶、排洪系统附近的应急道路，或者应急道路无法满 </w:t>
      </w:r>
      <w:r>
        <w:rPr>
          <w:spacing w:val="-2"/>
        </w:rPr>
        <w:t>足应急抢险时通行和运送应急物资的需求。</w:t>
      </w:r>
    </w:p>
    <w:p>
      <w:pPr>
        <w:pStyle w:val="BodyText"/>
        <w:spacing w:before="3"/>
        <w:ind w:left="1140"/>
      </w:pPr>
      <w:r>
        <w:rPr/>
        <w:t>（十七）尾矿库回采存在下列情形之一的：</w:t>
      </w:r>
    </w:p>
    <w:p>
      <w:pPr>
        <w:pStyle w:val="ListParagraph"/>
        <w:numPr>
          <w:ilvl w:val="0"/>
          <w:numId w:val="24"/>
        </w:numPr>
        <w:tabs>
          <w:tab w:pos="1463" w:val="left" w:leader="none"/>
        </w:tabs>
        <w:spacing w:line="240" w:lineRule="auto" w:before="151" w:after="0"/>
        <w:ind w:left="1462" w:right="0" w:hanging="323"/>
        <w:jc w:val="left"/>
        <w:rPr>
          <w:sz w:val="32"/>
        </w:rPr>
      </w:pPr>
      <w:r>
        <w:rPr>
          <w:sz w:val="32"/>
        </w:rPr>
        <w:t>未经批准擅自回采；</w:t>
      </w:r>
    </w:p>
    <w:p>
      <w:pPr>
        <w:pStyle w:val="ListParagraph"/>
        <w:numPr>
          <w:ilvl w:val="0"/>
          <w:numId w:val="24"/>
        </w:numPr>
        <w:tabs>
          <w:tab w:pos="1463" w:val="left" w:leader="none"/>
        </w:tabs>
        <w:spacing w:line="326" w:lineRule="auto" w:before="149" w:after="0"/>
        <w:ind w:left="500" w:right="420" w:firstLine="640"/>
        <w:jc w:val="left"/>
        <w:rPr>
          <w:sz w:val="32"/>
        </w:rPr>
      </w:pPr>
      <w:r>
        <w:rPr>
          <w:spacing w:val="-3"/>
          <w:w w:val="95"/>
          <w:sz w:val="32"/>
        </w:rPr>
        <w:t>回采方式、顺序、单层开采高度、台阶坡面角不符合 </w:t>
      </w:r>
      <w:r>
        <w:rPr>
          <w:spacing w:val="-3"/>
          <w:sz w:val="32"/>
        </w:rPr>
        <w:t>设计要求；</w:t>
      </w:r>
    </w:p>
    <w:p>
      <w:pPr>
        <w:pStyle w:val="ListParagraph"/>
        <w:numPr>
          <w:ilvl w:val="0"/>
          <w:numId w:val="24"/>
        </w:numPr>
        <w:tabs>
          <w:tab w:pos="1463" w:val="left" w:leader="none"/>
        </w:tabs>
        <w:spacing w:line="240" w:lineRule="auto" w:before="6" w:after="0"/>
        <w:ind w:left="1462" w:right="0" w:hanging="323"/>
        <w:jc w:val="left"/>
        <w:rPr>
          <w:sz w:val="32"/>
        </w:rPr>
      </w:pPr>
      <w:r>
        <w:rPr>
          <w:sz w:val="32"/>
        </w:rPr>
        <w:t>同时进行回采和排放。</w:t>
      </w:r>
    </w:p>
    <w:p>
      <w:pPr>
        <w:pStyle w:val="BodyText"/>
        <w:spacing w:line="326" w:lineRule="auto" w:before="149"/>
        <w:ind w:right="375" w:firstLine="640"/>
      </w:pPr>
      <w:r>
        <w:rPr/>
        <w:t>（十八）用以贮存独立选矿厂进行矿石选别后排出尾矿的场所，未按尾矿库实施安全管理的。</w:t>
      </w:r>
    </w:p>
    <w:p>
      <w:pPr>
        <w:pStyle w:val="BodyText"/>
        <w:spacing w:line="326" w:lineRule="auto" w:before="6"/>
        <w:ind w:right="375" w:firstLine="640"/>
      </w:pPr>
      <w:r>
        <w:rPr/>
        <w:t>（十九）未按国家规定配备专职安全生产管理人员、专业技术人员和特种作业人员。</w:t>
      </w:r>
    </w:p>
    <w:p>
      <w:pPr>
        <w:spacing w:after="0" w:line="326" w:lineRule="auto"/>
        <w:sectPr>
          <w:pgSz w:w="11910" w:h="16840"/>
          <w:pgMar w:header="0" w:footer="1000" w:top="1520" w:bottom="1180" w:left="1300" w:right="1380"/>
        </w:sectPr>
      </w:pPr>
    </w:p>
    <w:p>
      <w:pPr>
        <w:pStyle w:val="BodyText"/>
        <w:ind w:left="0"/>
        <w:rPr>
          <w:sz w:val="20"/>
        </w:rPr>
      </w:pPr>
    </w:p>
    <w:p>
      <w:pPr>
        <w:pStyle w:val="Heading2"/>
        <w:spacing w:line="561" w:lineRule="exact" w:before="217"/>
      </w:pPr>
      <w:bookmarkStart w:name="重大生产安全事故隐患判定标准（试行）" w:id="6"/>
      <w:bookmarkEnd w:id="6"/>
      <w:r>
        <w:rPr/>
      </w:r>
      <w:bookmarkStart w:name="_bookmark2" w:id="7"/>
      <w:bookmarkEnd w:id="7"/>
      <w:r>
        <w:rPr/>
      </w:r>
      <w:bookmarkStart w:name="_bookmark3" w:id="8"/>
      <w:bookmarkEnd w:id="8"/>
      <w:r>
        <w:rPr/>
      </w:r>
      <w:r>
        <w:rPr/>
        <w:t>化工和危险化学品生产经营单位</w:t>
      </w:r>
    </w:p>
    <w:p>
      <w:pPr>
        <w:spacing w:line="561" w:lineRule="exact" w:before="0"/>
        <w:ind w:left="77" w:right="0" w:firstLine="0"/>
        <w:jc w:val="center"/>
        <w:rPr>
          <w:sz w:val="44"/>
        </w:rPr>
      </w:pPr>
      <w:r>
        <w:rPr>
          <w:sz w:val="44"/>
        </w:rPr>
        <w:t>重大生产安全事故隐患判定标准（试行）</w:t>
      </w:r>
    </w:p>
    <w:p>
      <w:pPr>
        <w:pStyle w:val="BodyText"/>
        <w:spacing w:before="6"/>
        <w:ind w:left="0"/>
        <w:rPr>
          <w:sz w:val="60"/>
        </w:rPr>
      </w:pPr>
    </w:p>
    <w:p>
      <w:pPr>
        <w:pStyle w:val="BodyText"/>
        <w:spacing w:line="350" w:lineRule="auto" w:before="1"/>
        <w:ind w:right="375" w:firstLine="640"/>
      </w:pPr>
      <w:r>
        <w:rPr/>
        <w:t>依据有关法律法规、部门规章和国家标准，以下情形应当判定为重大事故隐患：</w:t>
      </w:r>
    </w:p>
    <w:p>
      <w:pPr>
        <w:pStyle w:val="BodyText"/>
        <w:spacing w:line="350" w:lineRule="auto" w:before="2"/>
        <w:ind w:right="375" w:firstLine="640"/>
      </w:pPr>
      <w:r>
        <w:rPr/>
        <w:t>一、危险化学品生产、经营单位主要负责人和安全生产管理人员未依法经考核合格。</w:t>
      </w:r>
    </w:p>
    <w:p>
      <w:pPr>
        <w:pStyle w:val="BodyText"/>
        <w:spacing w:before="3"/>
        <w:ind w:left="1140"/>
      </w:pPr>
      <w:r>
        <w:rPr>
          <w:w w:val="95"/>
        </w:rPr>
        <w:t>二、特种作业人员未持证上岗。</w:t>
      </w:r>
    </w:p>
    <w:p>
      <w:pPr>
        <w:pStyle w:val="BodyText"/>
        <w:spacing w:line="350" w:lineRule="auto" w:before="190"/>
        <w:ind w:right="417" w:firstLine="640"/>
      </w:pPr>
      <w:r>
        <w:rPr>
          <w:spacing w:val="-3"/>
          <w:w w:val="95"/>
        </w:rPr>
        <w:t>三、涉及“两重点一重大”的生产装置、储存设施外部 </w:t>
      </w:r>
      <w:r>
        <w:rPr>
          <w:spacing w:val="-3"/>
        </w:rPr>
        <w:t>安全防护距离不符合国家标准要求。</w:t>
      </w:r>
    </w:p>
    <w:p>
      <w:pPr>
        <w:pStyle w:val="BodyText"/>
        <w:spacing w:line="350" w:lineRule="auto" w:before="3"/>
        <w:ind w:right="420" w:firstLine="640"/>
        <w:jc w:val="both"/>
      </w:pPr>
      <w:r>
        <w:rPr>
          <w:spacing w:val="-4"/>
        </w:rPr>
        <w:t>四、涉及重点监管危险化工工艺的装置未实现自动化控</w:t>
      </w:r>
      <w:r>
        <w:rPr>
          <w:spacing w:val="-5"/>
          <w:w w:val="95"/>
        </w:rPr>
        <w:t>制，系统未实现紧急停车功能，装备的自动化控制系统、紧 </w:t>
      </w:r>
      <w:r>
        <w:rPr>
          <w:spacing w:val="-5"/>
        </w:rPr>
        <w:t>急停车系统未投入使用。</w:t>
      </w:r>
    </w:p>
    <w:p>
      <w:pPr>
        <w:pStyle w:val="BodyText"/>
        <w:spacing w:line="350" w:lineRule="auto" w:before="4"/>
        <w:ind w:right="417" w:firstLine="640"/>
        <w:jc w:val="both"/>
      </w:pPr>
      <w:r>
        <w:rPr>
          <w:spacing w:val="-4"/>
        </w:rPr>
        <w:t>五、构成一级、二级重大危险源的危险化学品罐区未实</w:t>
      </w:r>
      <w:r>
        <w:rPr>
          <w:spacing w:val="-5"/>
          <w:w w:val="95"/>
        </w:rPr>
        <w:t>现紧急切断功能；涉及毒性气体、液化气体、剧毒液体的一 </w:t>
      </w:r>
      <w:r>
        <w:rPr>
          <w:spacing w:val="-4"/>
        </w:rPr>
        <w:t>级、二级重大危险源的危险化学品罐区未配备独立的安全仪表系统。</w:t>
      </w:r>
    </w:p>
    <w:p>
      <w:pPr>
        <w:pStyle w:val="BodyText"/>
        <w:spacing w:line="350" w:lineRule="auto" w:before="6"/>
        <w:ind w:left="1140" w:right="405"/>
      </w:pPr>
      <w:r>
        <w:rPr/>
        <w:t>六、全压力式液化烃储罐未按国家标准设置注水措施。七、液化烃、液氨、液氯等易燃易爆、有毒有害液化气</w:t>
      </w:r>
    </w:p>
    <w:p>
      <w:pPr>
        <w:pStyle w:val="BodyText"/>
        <w:spacing w:before="3"/>
      </w:pPr>
      <w:r>
        <w:rPr/>
        <w:t>体的充装未使用万向管道充装系统。</w:t>
      </w:r>
    </w:p>
    <w:p>
      <w:pPr>
        <w:pStyle w:val="BodyText"/>
        <w:spacing w:line="350" w:lineRule="auto" w:before="190"/>
        <w:ind w:right="375" w:firstLine="640"/>
      </w:pPr>
      <w:r>
        <w:rPr/>
        <w:t>八、光气、氯气等剧毒气体及硫化氢气体管道穿越除厂区(包括化工园区、工业园区）外的公共区域。</w:t>
      </w:r>
    </w:p>
    <w:p>
      <w:pPr>
        <w:spacing w:after="0" w:line="350" w:lineRule="auto"/>
        <w:sectPr>
          <w:pgSz w:w="11910" w:h="16840"/>
          <w:pgMar w:header="0" w:footer="1000" w:top="1580" w:bottom="1180" w:left="1300" w:right="1380"/>
        </w:sectPr>
      </w:pPr>
    </w:p>
    <w:p>
      <w:pPr>
        <w:pStyle w:val="BodyText"/>
        <w:spacing w:before="43"/>
        <w:ind w:left="1140"/>
      </w:pPr>
      <w:r>
        <w:rPr/>
        <w:t>九、地区架空电力线路穿越生产区且不符合国家标准要</w:t>
      </w:r>
    </w:p>
    <w:p>
      <w:pPr>
        <w:pStyle w:val="BodyText"/>
        <w:spacing w:before="190"/>
      </w:pPr>
      <w:r>
        <w:rPr/>
        <w:t>求。</w:t>
      </w:r>
    </w:p>
    <w:p>
      <w:pPr>
        <w:pStyle w:val="BodyText"/>
        <w:spacing w:before="190"/>
        <w:ind w:left="1140"/>
      </w:pPr>
      <w:r>
        <w:rPr/>
        <w:t>十、在役化工装置未经正规设计且未进行安全设计诊</w:t>
      </w:r>
    </w:p>
    <w:p>
      <w:pPr>
        <w:pStyle w:val="BodyText"/>
        <w:spacing w:before="190"/>
      </w:pPr>
      <w:r>
        <w:rPr/>
        <w:t>断。</w:t>
      </w:r>
    </w:p>
    <w:p>
      <w:pPr>
        <w:pStyle w:val="BodyText"/>
        <w:spacing w:before="190"/>
        <w:ind w:left="1140"/>
      </w:pPr>
      <w:r>
        <w:rPr/>
        <w:t>十一、使用淘汰落后安全技术工艺、设备目录列出的工</w:t>
      </w:r>
    </w:p>
    <w:p>
      <w:pPr>
        <w:pStyle w:val="BodyText"/>
        <w:spacing w:before="7"/>
        <w:ind w:left="0"/>
        <w:rPr>
          <w:sz w:val="10"/>
        </w:rPr>
      </w:pPr>
    </w:p>
    <w:p>
      <w:pPr>
        <w:pStyle w:val="BodyText"/>
        <w:spacing w:before="55"/>
      </w:pPr>
      <w:r>
        <w:rPr/>
        <w:t>艺、设备。</w:t>
      </w:r>
    </w:p>
    <w:p>
      <w:pPr>
        <w:pStyle w:val="BodyText"/>
        <w:spacing w:line="350" w:lineRule="auto" w:before="190"/>
        <w:ind w:right="419" w:firstLine="640"/>
        <w:jc w:val="both"/>
      </w:pPr>
      <w:r>
        <w:rPr>
          <w:spacing w:val="-4"/>
        </w:rPr>
        <w:t>十二、涉及可燃和有毒有害气体泄漏的场所未按国家标</w:t>
      </w:r>
      <w:r>
        <w:rPr>
          <w:spacing w:val="-2"/>
        </w:rPr>
        <w:t>准设置检测报警装置，爆炸危险场所未按国家标准安装使用防爆电气设备。</w:t>
      </w:r>
    </w:p>
    <w:p>
      <w:pPr>
        <w:pStyle w:val="BodyText"/>
        <w:spacing w:line="350" w:lineRule="auto" w:before="4"/>
        <w:ind w:right="375" w:firstLine="640"/>
      </w:pPr>
      <w:r>
        <w:rPr/>
        <w:t>十三、控制室或机柜间面向具有火灾、爆炸危险性装置一侧不满足国家标准关于防火防爆的要求。</w:t>
      </w:r>
    </w:p>
    <w:p>
      <w:pPr>
        <w:pStyle w:val="BodyText"/>
        <w:spacing w:line="350" w:lineRule="auto" w:before="3"/>
        <w:ind w:right="374" w:firstLine="640"/>
      </w:pPr>
      <w:r>
        <w:rPr/>
        <w:t>十四、化工生产装置未按国家标准要求设置双重电源供电，自动化控制系统未设置不间断电源。</w:t>
      </w:r>
    </w:p>
    <w:p>
      <w:pPr>
        <w:pStyle w:val="BodyText"/>
        <w:spacing w:before="2"/>
        <w:ind w:left="1140"/>
      </w:pPr>
      <w:r>
        <w:rPr/>
        <w:t>十五、安全阀、爆破片等安全附件未正常投用。</w:t>
      </w:r>
    </w:p>
    <w:p>
      <w:pPr>
        <w:pStyle w:val="BodyText"/>
        <w:spacing w:line="350" w:lineRule="auto" w:before="190"/>
        <w:ind w:right="419" w:firstLine="640"/>
      </w:pPr>
      <w:r>
        <w:rPr>
          <w:spacing w:val="-4"/>
        </w:rPr>
        <w:t>十六、未建立与岗位相匹配的全员安全生产责任制或者</w:t>
      </w:r>
      <w:r>
        <w:rPr/>
        <w:t>未制定实施生产安全事故隐患排查治理制度。</w:t>
      </w:r>
    </w:p>
    <w:p>
      <w:pPr>
        <w:pStyle w:val="BodyText"/>
        <w:spacing w:before="3"/>
        <w:ind w:left="1140"/>
      </w:pPr>
      <w:r>
        <w:rPr>
          <w:w w:val="95"/>
        </w:rPr>
        <w:t>十七、未制定操作规程和工艺控制指标。</w:t>
      </w:r>
    </w:p>
    <w:p>
      <w:pPr>
        <w:pStyle w:val="BodyText"/>
        <w:spacing w:line="350" w:lineRule="auto" w:before="190"/>
        <w:ind w:right="417" w:firstLine="640"/>
      </w:pPr>
      <w:r>
        <w:rPr>
          <w:spacing w:val="-3"/>
          <w:w w:val="95"/>
        </w:rPr>
        <w:t>十八、未按照国家标准制定动火、进入受限空间等特殊 </w:t>
      </w:r>
      <w:r>
        <w:rPr>
          <w:spacing w:val="-3"/>
        </w:rPr>
        <w:t>作业管理制度，或者制度未有效执行。</w:t>
      </w:r>
    </w:p>
    <w:p>
      <w:pPr>
        <w:pStyle w:val="BodyText"/>
        <w:spacing w:line="350" w:lineRule="auto" w:before="3"/>
        <w:ind w:right="405" w:firstLine="640"/>
        <w:jc w:val="both"/>
      </w:pPr>
      <w:r>
        <w:rPr/>
        <w:t>十九、新开发的危险化学品生产工艺未经小试、中试、工业化试验直接进行工业化生产；国内首次使用的化工工艺未经过省级人民政府有关部门组织的安全可靠性论证；新建装置未制定试生产方案投料开车；精细化工企业未按规范性</w:t>
      </w:r>
    </w:p>
    <w:p>
      <w:pPr>
        <w:spacing w:after="0" w:line="350" w:lineRule="auto"/>
        <w:jc w:val="both"/>
        <w:sectPr>
          <w:pgSz w:w="11910" w:h="16840"/>
          <w:pgMar w:header="0" w:footer="1000" w:top="1540" w:bottom="1180" w:left="1300" w:right="1380"/>
        </w:sectPr>
      </w:pPr>
    </w:p>
    <w:p>
      <w:pPr>
        <w:pStyle w:val="BodyText"/>
        <w:spacing w:before="43"/>
      </w:pPr>
      <w:r>
        <w:rPr/>
        <w:t>文件要求开展反应安全风险评估。</w:t>
      </w:r>
    </w:p>
    <w:p>
      <w:pPr>
        <w:pStyle w:val="BodyText"/>
        <w:spacing w:line="350" w:lineRule="auto" w:before="190"/>
        <w:ind w:right="405" w:firstLine="640"/>
      </w:pPr>
      <w:r>
        <w:rPr/>
        <w:t>二十、未按国家标准分区分类储存危险化学品，超量、超品种储存危险化学品，相互禁配物质混放混存。</w:t>
      </w:r>
    </w:p>
    <w:p>
      <w:pPr>
        <w:spacing w:after="0" w:line="350" w:lineRule="auto"/>
        <w:sectPr>
          <w:pgSz w:w="11910" w:h="16840"/>
          <w:pgMar w:header="0" w:footer="1000" w:top="1540" w:bottom="1180" w:left="1300" w:right="1380"/>
        </w:sectPr>
      </w:pPr>
    </w:p>
    <w:p>
      <w:pPr>
        <w:pStyle w:val="BodyText"/>
        <w:ind w:left="0"/>
        <w:rPr>
          <w:sz w:val="20"/>
        </w:rPr>
      </w:pPr>
    </w:p>
    <w:p>
      <w:pPr>
        <w:pStyle w:val="Heading2"/>
        <w:spacing w:line="561" w:lineRule="exact" w:before="193"/>
        <w:ind w:left="80"/>
      </w:pPr>
      <w:bookmarkStart w:name="烟花爆竹生产经营单位" w:id="9"/>
      <w:bookmarkEnd w:id="9"/>
      <w:r>
        <w:rPr/>
      </w:r>
      <w:bookmarkStart w:name="重大生产安全事故隐患判定标准（试行）" w:id="10"/>
      <w:bookmarkEnd w:id="10"/>
      <w:r>
        <w:rPr/>
      </w:r>
      <w:bookmarkStart w:name="_bookmark4" w:id="11"/>
      <w:bookmarkEnd w:id="11"/>
      <w:r>
        <w:rPr/>
      </w:r>
      <w:bookmarkStart w:name="_bookmark5" w:id="12"/>
      <w:bookmarkEnd w:id="12"/>
      <w:r>
        <w:rPr/>
      </w:r>
      <w:r>
        <w:rPr/>
        <w:t>烟花爆竹生产经营单位</w:t>
      </w:r>
    </w:p>
    <w:p>
      <w:pPr>
        <w:spacing w:line="561" w:lineRule="exact" w:before="0"/>
        <w:ind w:left="77" w:right="0" w:firstLine="0"/>
        <w:jc w:val="center"/>
        <w:rPr>
          <w:sz w:val="44"/>
        </w:rPr>
      </w:pPr>
      <w:r>
        <w:rPr>
          <w:sz w:val="44"/>
        </w:rPr>
        <w:t>重大生产安全事故隐患判定标准（试行）</w:t>
      </w:r>
    </w:p>
    <w:p>
      <w:pPr>
        <w:pStyle w:val="BodyText"/>
        <w:spacing w:before="11"/>
        <w:ind w:left="0"/>
        <w:rPr>
          <w:sz w:val="57"/>
        </w:rPr>
      </w:pPr>
    </w:p>
    <w:p>
      <w:pPr>
        <w:pStyle w:val="BodyText"/>
        <w:spacing w:line="328" w:lineRule="auto"/>
        <w:ind w:right="375" w:firstLine="960"/>
      </w:pPr>
      <w:r>
        <w:rPr/>
        <w:t>依据有关法律法规、部门规章和国家标准，以下情形应当判定为重大事故隐患：</w:t>
      </w:r>
    </w:p>
    <w:p>
      <w:pPr>
        <w:pStyle w:val="BodyText"/>
        <w:spacing w:line="326" w:lineRule="auto"/>
        <w:ind w:left="1140" w:right="259"/>
      </w:pPr>
      <w:r>
        <w:rPr>
          <w:spacing w:val="-15"/>
          <w:w w:val="95"/>
        </w:rPr>
        <w:t>一、主要负责人、安全生产管理人员未依法经考核合格。 </w:t>
      </w:r>
      <w:r>
        <w:rPr>
          <w:spacing w:val="-6"/>
        </w:rPr>
        <w:t>二、特种作业人员未持证上岗，作业人员带药检维修设</w:t>
      </w:r>
    </w:p>
    <w:p>
      <w:pPr>
        <w:pStyle w:val="BodyText"/>
        <w:spacing w:before="3"/>
      </w:pPr>
      <w:r>
        <w:rPr/>
        <w:t>备设施。</w:t>
      </w:r>
    </w:p>
    <w:p>
      <w:pPr>
        <w:pStyle w:val="BodyText"/>
        <w:spacing w:line="326" w:lineRule="auto" w:before="150"/>
        <w:ind w:left="1140" w:right="259"/>
      </w:pPr>
      <w:r>
        <w:rPr>
          <w:spacing w:val="-14"/>
          <w:w w:val="95"/>
        </w:rPr>
        <w:t>三、职工自行携带工器具、机器设备进厂进行涉药作业。 </w:t>
      </w:r>
      <w:r>
        <w:rPr>
          <w:spacing w:val="-14"/>
        </w:rPr>
        <w:t>四、工（库）房实际作业人员数量超过核定人数。</w:t>
      </w:r>
    </w:p>
    <w:p>
      <w:pPr>
        <w:pStyle w:val="BodyText"/>
        <w:spacing w:line="326" w:lineRule="auto" w:before="5"/>
        <w:ind w:left="1140" w:right="417"/>
      </w:pPr>
      <w:r>
        <w:rPr/>
        <w:t>五、工（库）房实际滞留、存储药量超过核定药量。 </w:t>
      </w:r>
      <w:r>
        <w:rPr>
          <w:spacing w:val="-2"/>
          <w:w w:val="95"/>
        </w:rPr>
        <w:t>六、工</w:t>
      </w:r>
      <w:r>
        <w:rPr>
          <w:spacing w:val="-3"/>
          <w:w w:val="95"/>
        </w:rPr>
        <w:t>（</w:t>
      </w:r>
      <w:r>
        <w:rPr>
          <w:w w:val="95"/>
        </w:rPr>
        <w:t>库</w:t>
      </w:r>
      <w:r>
        <w:rPr>
          <w:spacing w:val="-3"/>
          <w:w w:val="95"/>
        </w:rPr>
        <w:t>）</w:t>
      </w:r>
      <w:r>
        <w:rPr>
          <w:spacing w:val="-1"/>
          <w:w w:val="95"/>
        </w:rPr>
        <w:t>房内、外部安全距离不足，防护屏障缺失</w:t>
      </w:r>
    </w:p>
    <w:p>
      <w:pPr>
        <w:pStyle w:val="BodyText"/>
        <w:spacing w:before="3"/>
      </w:pPr>
      <w:r>
        <w:rPr/>
        <w:t>或者不符合要求。</w:t>
      </w:r>
    </w:p>
    <w:p>
      <w:pPr>
        <w:pStyle w:val="BodyText"/>
        <w:spacing w:line="326" w:lineRule="auto" w:before="152"/>
        <w:ind w:left="1140" w:right="1044"/>
        <w:jc w:val="both"/>
      </w:pPr>
      <w:r>
        <w:rPr/>
        <w:t>七、防静电、防火、防雷设备设施缺失或者失效。八、擅自改变工（库）房用途或者违规私搭乱建。九、工厂围墙缺失或者分区设置不符合国家标准。</w:t>
      </w:r>
    </w:p>
    <w:p>
      <w:pPr>
        <w:pStyle w:val="BodyText"/>
        <w:spacing w:line="326" w:lineRule="auto" w:before="7"/>
        <w:ind w:right="373" w:firstLine="640"/>
      </w:pPr>
      <w:r>
        <w:rPr/>
        <w:t>十、将氧化剂、还原剂同库储存、违规预混或者在同一工房内粉碎、称量。</w:t>
      </w:r>
    </w:p>
    <w:p>
      <w:pPr>
        <w:pStyle w:val="BodyText"/>
        <w:spacing w:line="328" w:lineRule="auto" w:before="3"/>
        <w:ind w:right="417" w:firstLine="640"/>
      </w:pPr>
      <w:r>
        <w:rPr>
          <w:spacing w:val="13"/>
          <w:w w:val="95"/>
        </w:rPr>
        <w:t>十一、在用涉药机械设备未经安全性论证或者擅自更 </w:t>
      </w:r>
      <w:r>
        <w:rPr>
          <w:spacing w:val="13"/>
        </w:rPr>
        <w:t>改、改变用途。</w:t>
      </w:r>
    </w:p>
    <w:p>
      <w:pPr>
        <w:pStyle w:val="BodyText"/>
        <w:spacing w:line="326" w:lineRule="auto"/>
        <w:ind w:right="375" w:firstLine="640"/>
      </w:pPr>
      <w:r>
        <w:rPr/>
        <w:t>十二、中转库、药物总库和成品总库的存储能力与设计产能不匹配。</w:t>
      </w:r>
    </w:p>
    <w:p>
      <w:pPr>
        <w:pStyle w:val="BodyText"/>
        <w:spacing w:before="3"/>
        <w:ind w:left="1140"/>
      </w:pPr>
      <w:r>
        <w:rPr/>
        <w:t>十三、未建立与岗位相匹配的全员安全生产责任制或者</w:t>
      </w:r>
    </w:p>
    <w:p>
      <w:pPr>
        <w:spacing w:after="0"/>
        <w:sectPr>
          <w:pgSz w:w="11910" w:h="16840"/>
          <w:pgMar w:header="0" w:footer="1000" w:top="1580" w:bottom="1180" w:left="1300" w:right="1380"/>
        </w:sectPr>
      </w:pPr>
    </w:p>
    <w:p>
      <w:pPr>
        <w:pStyle w:val="BodyText"/>
        <w:spacing w:before="32"/>
      </w:pPr>
      <w:bookmarkStart w:name="工贸企业重大事故隐患判定标准" w:id="13"/>
      <w:bookmarkEnd w:id="13"/>
      <w:r>
        <w:rPr/>
      </w:r>
      <w:r>
        <w:rPr/>
        <w:t>未制定实施生产安全事故隐患排查治理制度。</w:t>
      </w:r>
    </w:p>
    <w:p>
      <w:pPr>
        <w:pStyle w:val="BodyText"/>
        <w:spacing w:line="326" w:lineRule="auto" w:before="149"/>
        <w:ind w:left="1140" w:right="259"/>
      </w:pPr>
      <w:r>
        <w:rPr>
          <w:spacing w:val="-15"/>
          <w:w w:val="95"/>
        </w:rPr>
        <w:t>十四、出租、出借、转让、买卖、冒用或者伪造许可证。 </w:t>
      </w:r>
      <w:r>
        <w:rPr>
          <w:spacing w:val="-7"/>
        </w:rPr>
        <w:t>十五、生产经营的产品种类、危险等级超许可范围或者</w:t>
      </w:r>
    </w:p>
    <w:p>
      <w:pPr>
        <w:pStyle w:val="BodyText"/>
        <w:spacing w:before="5"/>
      </w:pPr>
      <w:r>
        <w:rPr/>
        <w:t>生产使用违禁药物。</w:t>
      </w:r>
    </w:p>
    <w:p>
      <w:pPr>
        <w:pStyle w:val="BodyText"/>
        <w:spacing w:line="328" w:lineRule="auto" w:before="149"/>
        <w:ind w:left="1140" w:right="420"/>
      </w:pPr>
      <w:r>
        <w:rPr/>
        <w:t>十六、分包转包生产线、工房、库房组织生产经营。十七、一证多厂或者多股东各自独立组织生产经营。 </w:t>
      </w:r>
      <w:r>
        <w:rPr>
          <w:spacing w:val="-3"/>
          <w:w w:val="95"/>
        </w:rPr>
        <w:t>十八、许可证过期、整顿改造、恶劣天气等停产停业期</w:t>
      </w:r>
    </w:p>
    <w:p>
      <w:pPr>
        <w:pStyle w:val="BodyText"/>
        <w:spacing w:line="405" w:lineRule="exact"/>
      </w:pPr>
      <w:r>
        <w:rPr/>
        <w:t>间组织生产经营。</w:t>
      </w:r>
    </w:p>
    <w:p>
      <w:pPr>
        <w:pStyle w:val="BodyText"/>
        <w:spacing w:line="328" w:lineRule="auto" w:before="150"/>
        <w:ind w:right="419" w:firstLine="640"/>
      </w:pPr>
      <w:r>
        <w:rPr>
          <w:spacing w:val="-4"/>
        </w:rPr>
        <w:t>十九、烟花爆竹仓库存放其它爆炸物等危险物品或者生</w:t>
      </w:r>
      <w:r>
        <w:rPr/>
        <w:t>产经营违禁超标产品。</w:t>
      </w:r>
    </w:p>
    <w:p>
      <w:pPr>
        <w:pStyle w:val="BodyText"/>
        <w:spacing w:line="326" w:lineRule="auto"/>
        <w:ind w:right="419" w:firstLine="640"/>
      </w:pPr>
      <w:r>
        <w:rPr>
          <w:spacing w:val="-4"/>
        </w:rPr>
        <w:t>二十、零售点与居民居住场所设置在同一建筑物内或者</w:t>
      </w:r>
      <w:r>
        <w:rPr/>
        <w:t>在零售场所使用明火。</w:t>
      </w:r>
    </w:p>
    <w:p>
      <w:pPr>
        <w:spacing w:after="0" w:line="326" w:lineRule="auto"/>
        <w:sectPr>
          <w:pgSz w:w="11910" w:h="16840"/>
          <w:pgMar w:header="0" w:footer="1000" w:top="1520" w:bottom="1180" w:left="1300" w:right="1380"/>
        </w:sectPr>
      </w:pPr>
    </w:p>
    <w:p>
      <w:pPr>
        <w:pStyle w:val="BodyText"/>
        <w:ind w:left="0"/>
        <w:rPr>
          <w:sz w:val="20"/>
        </w:rPr>
      </w:pPr>
    </w:p>
    <w:p>
      <w:pPr>
        <w:pStyle w:val="Heading2"/>
        <w:spacing w:before="217"/>
      </w:pPr>
      <w:bookmarkStart w:name="_bookmark6" w:id="14"/>
      <w:bookmarkEnd w:id="14"/>
      <w:r>
        <w:rPr/>
      </w:r>
      <w:r>
        <w:rPr/>
        <w:t>工贸企业重大事故隐患判定标准</w:t>
      </w:r>
    </w:p>
    <w:p>
      <w:pPr>
        <w:pStyle w:val="BodyText"/>
        <w:spacing w:before="7"/>
        <w:ind w:left="0"/>
        <w:rPr>
          <w:sz w:val="41"/>
        </w:rPr>
      </w:pPr>
    </w:p>
    <w:p>
      <w:pPr>
        <w:pStyle w:val="BodyText"/>
        <w:spacing w:line="328" w:lineRule="auto" w:before="1"/>
        <w:ind w:right="420" w:firstLine="640"/>
        <w:jc w:val="both"/>
      </w:pPr>
      <w:r>
        <w:rPr>
          <w:rFonts w:ascii="黑体" w:eastAsia="黑体" w:hint="eastAsia"/>
          <w:spacing w:val="37"/>
        </w:rPr>
        <w:t>第一条 </w:t>
      </w:r>
      <w:r>
        <w:rPr>
          <w:spacing w:val="-3"/>
        </w:rPr>
        <w:t>为了准确判定、及时消除工贸企业重大事故隐</w:t>
      </w:r>
      <w:r>
        <w:rPr>
          <w:spacing w:val="7"/>
          <w:w w:val="99"/>
        </w:rPr>
        <w:t>患（</w:t>
      </w:r>
      <w:r>
        <w:rPr>
          <w:spacing w:val="5"/>
          <w:w w:val="99"/>
        </w:rPr>
        <w:t>以下简称重大事故隐患</w:t>
      </w:r>
      <w:r>
        <w:rPr>
          <w:spacing w:val="-154"/>
          <w:w w:val="99"/>
        </w:rPr>
        <w:t>）</w:t>
      </w:r>
      <w:r>
        <w:rPr>
          <w:spacing w:val="3"/>
          <w:w w:val="99"/>
        </w:rPr>
        <w:t>，根据《中华人民共和国安全</w:t>
      </w:r>
      <w:r>
        <w:rPr/>
        <w:t>生产法》等法律、行政法规，制定本标准。</w:t>
      </w:r>
    </w:p>
    <w:p>
      <w:pPr>
        <w:pStyle w:val="BodyText"/>
        <w:spacing w:line="328" w:lineRule="auto"/>
        <w:ind w:right="405" w:firstLine="640"/>
        <w:jc w:val="both"/>
      </w:pPr>
      <w:r>
        <w:rPr>
          <w:rFonts w:ascii="黑体" w:eastAsia="黑体" w:hint="eastAsia"/>
          <w:spacing w:val="37"/>
        </w:rPr>
        <w:t>第二条 </w:t>
      </w:r>
      <w:r>
        <w:rPr/>
        <w:t>本标准适用于判定冶金、有色、建材、机械、</w:t>
      </w:r>
      <w:r>
        <w:rPr>
          <w:spacing w:val="-4"/>
        </w:rPr>
        <w:t>轻工、纺织、烟草、商贸等工贸企业重大事故隐患。工贸企</w:t>
      </w:r>
      <w:r>
        <w:rPr>
          <w:spacing w:val="5"/>
          <w:w w:val="95"/>
        </w:rPr>
        <w:t>业内涉及危险化学品、消防</w:t>
      </w:r>
      <w:r>
        <w:rPr>
          <w:spacing w:val="7"/>
          <w:w w:val="95"/>
        </w:rPr>
        <w:t>（</w:t>
      </w:r>
      <w:r>
        <w:rPr>
          <w:spacing w:val="6"/>
          <w:w w:val="95"/>
        </w:rPr>
        <w:t>火灾</w:t>
      </w:r>
      <w:r>
        <w:rPr>
          <w:spacing w:val="-154"/>
          <w:w w:val="95"/>
        </w:rPr>
        <w:t>）</w:t>
      </w:r>
      <w:r>
        <w:rPr>
          <w:spacing w:val="4"/>
          <w:w w:val="95"/>
        </w:rPr>
        <w:t>、燃气、特种设备等方 </w:t>
      </w:r>
      <w:r>
        <w:rPr>
          <w:spacing w:val="4"/>
        </w:rPr>
        <w:t>面的重大事故隐患判定另有规定的，适用其规定。</w:t>
      </w:r>
    </w:p>
    <w:p>
      <w:pPr>
        <w:pStyle w:val="BodyText"/>
        <w:spacing w:line="328" w:lineRule="auto"/>
        <w:ind w:right="420" w:firstLine="640"/>
        <w:jc w:val="both"/>
      </w:pPr>
      <w:r>
        <w:rPr>
          <w:rFonts w:ascii="黑体" w:eastAsia="黑体" w:hint="eastAsia"/>
        </w:rPr>
        <w:t>第三条 </w:t>
      </w:r>
      <w:r>
        <w:rPr/>
        <w:t>工贸企业有下列情形之一的，应当判定为重大事故隐患：</w:t>
      </w:r>
    </w:p>
    <w:p>
      <w:pPr>
        <w:pStyle w:val="BodyText"/>
        <w:spacing w:line="326" w:lineRule="auto"/>
        <w:ind w:right="375" w:firstLine="640"/>
      </w:pPr>
      <w:r>
        <w:rPr/>
        <w:t>（一）未对承包单位、承租单位的安全生产工作统一协调、管理，或者未定期进行安全检查的；</w:t>
      </w:r>
    </w:p>
    <w:p>
      <w:pPr>
        <w:pStyle w:val="BodyText"/>
        <w:spacing w:line="326" w:lineRule="auto"/>
        <w:ind w:right="374" w:firstLine="640"/>
      </w:pPr>
      <w:r>
        <w:rPr/>
        <w:t>（二）特种作业人员未按照规定经专门的安全作业培训并取得相应资格，上岗作业的；</w:t>
      </w:r>
    </w:p>
    <w:p>
      <w:pPr>
        <w:pStyle w:val="BodyText"/>
        <w:spacing w:line="328" w:lineRule="auto"/>
        <w:ind w:right="417" w:firstLine="640"/>
      </w:pPr>
      <w:r>
        <w:rPr>
          <w:w w:val="95"/>
        </w:rPr>
        <w:t>（三</w:t>
      </w:r>
      <w:r>
        <w:rPr>
          <w:spacing w:val="-5"/>
          <w:w w:val="95"/>
        </w:rPr>
        <w:t>）</w:t>
      </w:r>
      <w:r>
        <w:rPr>
          <w:spacing w:val="-1"/>
          <w:w w:val="95"/>
        </w:rPr>
        <w:t>金属冶炼企业主要负责人、安全生产管理人员未 </w:t>
      </w:r>
      <w:r>
        <w:rPr>
          <w:spacing w:val="-1"/>
        </w:rPr>
        <w:t>按照规定经考核合格的。</w:t>
      </w:r>
    </w:p>
    <w:p>
      <w:pPr>
        <w:pStyle w:val="BodyText"/>
        <w:tabs>
          <w:tab w:pos="2419" w:val="left" w:leader="none"/>
        </w:tabs>
        <w:spacing w:line="326" w:lineRule="auto"/>
        <w:ind w:right="420" w:firstLine="640"/>
      </w:pPr>
      <w:r>
        <w:rPr>
          <w:rFonts w:ascii="黑体" w:eastAsia="黑体" w:hint="eastAsia"/>
        </w:rPr>
        <w:t>第四条</w:t>
        <w:tab/>
      </w:r>
      <w:r>
        <w:rPr/>
        <w:t>冶金企业有下列情形之一的</w:t>
      </w:r>
      <w:r>
        <w:rPr>
          <w:spacing w:val="-15"/>
        </w:rPr>
        <w:t>，</w:t>
      </w:r>
      <w:r>
        <w:rPr/>
        <w:t>应当判定为重</w:t>
      </w:r>
      <w:r>
        <w:rPr>
          <w:spacing w:val="-11"/>
        </w:rPr>
        <w:t>大</w:t>
      </w:r>
      <w:r>
        <w:rPr/>
        <w:t>事故隐患：</w:t>
      </w:r>
    </w:p>
    <w:p>
      <w:pPr>
        <w:pStyle w:val="BodyText"/>
        <w:spacing w:line="326" w:lineRule="auto"/>
        <w:ind w:right="259" w:firstLine="640"/>
      </w:pPr>
      <w:r>
        <w:rPr/>
        <w:t>（一）会议室、活动室、休息室、操作室、交接班室、</w:t>
      </w:r>
      <w:r>
        <w:rPr>
          <w:spacing w:val="-37"/>
        </w:rPr>
        <w:t>更衣室</w:t>
      </w:r>
      <w:r>
        <w:rPr/>
        <w:t>（含澡堂</w:t>
      </w:r>
      <w:r>
        <w:rPr>
          <w:spacing w:val="-111"/>
        </w:rPr>
        <w:t>）</w:t>
      </w:r>
      <w:r>
        <w:rPr>
          <w:spacing w:val="-44"/>
        </w:rPr>
        <w:t>等 </w:t>
      </w:r>
      <w:r>
        <w:rPr/>
        <w:t>6</w:t>
      </w:r>
      <w:r>
        <w:rPr>
          <w:spacing w:val="-17"/>
        </w:rPr>
        <w:t> 类人员聚集场所,以及钢铁水罐冷</w:t>
      </w:r>
      <w:r>
        <w:rPr/>
        <w:t>（热） 修工位设置在铁水、钢水、液渣吊运跨的地坪区域内的；</w:t>
      </w:r>
    </w:p>
    <w:p>
      <w:pPr>
        <w:pStyle w:val="BodyText"/>
        <w:spacing w:line="326" w:lineRule="auto" w:before="3"/>
        <w:ind w:right="405" w:firstLine="640"/>
      </w:pPr>
      <w:r>
        <w:rPr/>
        <w:t>（二）生产期间冶炼、精炼和铸造生产区域的事故坑、</w:t>
      </w:r>
      <w:r>
        <w:rPr>
          <w:w w:val="95"/>
        </w:rPr>
        <w:t>炉下渣坑，以及熔融金属泄漏和喷溅影响范围内的炉前平</w:t>
      </w:r>
    </w:p>
    <w:p>
      <w:pPr>
        <w:spacing w:after="0" w:line="326" w:lineRule="auto"/>
        <w:sectPr>
          <w:pgSz w:w="11910" w:h="16840"/>
          <w:pgMar w:header="0" w:footer="1000" w:top="1580" w:bottom="1180" w:left="1300" w:right="1380"/>
        </w:sectPr>
      </w:pPr>
    </w:p>
    <w:p>
      <w:pPr>
        <w:pStyle w:val="BodyText"/>
        <w:spacing w:line="326" w:lineRule="auto" w:before="32"/>
        <w:ind w:right="420"/>
      </w:pPr>
      <w:r>
        <w:rPr>
          <w:spacing w:val="-7"/>
        </w:rPr>
        <w:t>台、炉基区域、厂房内吊运和地面运输通道等 </w:t>
      </w:r>
      <w:r>
        <w:rPr/>
        <w:t>6</w:t>
      </w:r>
      <w:r>
        <w:rPr>
          <w:spacing w:val="-15"/>
        </w:rPr>
        <w:t> 类区域存在积水的；</w:t>
      </w:r>
    </w:p>
    <w:p>
      <w:pPr>
        <w:pStyle w:val="BodyText"/>
        <w:spacing w:before="3"/>
        <w:ind w:left="1140"/>
      </w:pPr>
      <w:r>
        <w:rPr/>
        <w:t>（三）炼钢连铸流程未设置事故钢水罐、中间罐漏钢坑</w:t>
      </w:r>
    </w:p>
    <w:p>
      <w:pPr>
        <w:pStyle w:val="BodyText"/>
        <w:spacing w:line="326" w:lineRule="auto" w:before="151"/>
        <w:ind w:right="417"/>
      </w:pPr>
      <w:r>
        <w:rPr>
          <w:w w:val="95"/>
        </w:rPr>
        <w:t>（槽</w:t>
      </w:r>
      <w:r>
        <w:rPr>
          <w:spacing w:val="-161"/>
          <w:w w:val="95"/>
        </w:rPr>
        <w:t>）</w:t>
      </w:r>
      <w:r>
        <w:rPr>
          <w:spacing w:val="-3"/>
          <w:w w:val="95"/>
        </w:rPr>
        <w:t>、中间罐溢流坑</w:t>
      </w:r>
      <w:r>
        <w:rPr>
          <w:w w:val="95"/>
        </w:rPr>
        <w:t>（槽</w:t>
      </w:r>
      <w:r>
        <w:rPr>
          <w:spacing w:val="-159"/>
          <w:w w:val="95"/>
        </w:rPr>
        <w:t>）</w:t>
      </w:r>
      <w:r>
        <w:rPr>
          <w:spacing w:val="-3"/>
          <w:w w:val="95"/>
        </w:rPr>
        <w:t>、漏钢回转溜槽，或者模铸流程 </w:t>
      </w:r>
      <w:r>
        <w:rPr>
          <w:spacing w:val="-3"/>
        </w:rPr>
        <w:t>未设置事故钢水罐（坑、槽）的；</w:t>
      </w:r>
    </w:p>
    <w:p>
      <w:pPr>
        <w:pStyle w:val="BodyText"/>
        <w:spacing w:line="328" w:lineRule="auto" w:before="3"/>
        <w:ind w:right="417" w:firstLine="640"/>
        <w:jc w:val="both"/>
      </w:pPr>
      <w:r>
        <w:rPr/>
        <w:t>（四</w:t>
      </w:r>
      <w:r>
        <w:rPr>
          <w:spacing w:val="-3"/>
        </w:rPr>
        <w:t>）</w:t>
      </w:r>
      <w:r>
        <w:rPr>
          <w:spacing w:val="-1"/>
        </w:rPr>
        <w:t>转炉、电弧炉、</w:t>
      </w:r>
      <w:r>
        <w:rPr/>
        <w:t>AOD</w:t>
      </w:r>
      <w:r>
        <w:rPr>
          <w:spacing w:val="-30"/>
        </w:rPr>
        <w:t> 炉、</w:t>
      </w:r>
      <w:r>
        <w:rPr/>
        <w:t>LF</w:t>
      </w:r>
      <w:r>
        <w:rPr>
          <w:spacing w:val="-29"/>
        </w:rPr>
        <w:t> 炉、</w:t>
      </w:r>
      <w:r>
        <w:rPr/>
        <w:t>RH</w:t>
      </w:r>
      <w:r>
        <w:rPr>
          <w:spacing w:val="-28"/>
        </w:rPr>
        <w:t> 炉、</w:t>
      </w:r>
      <w:r>
        <w:rPr/>
        <w:t>VOD</w:t>
      </w:r>
      <w:r>
        <w:rPr>
          <w:spacing w:val="-28"/>
        </w:rPr>
        <w:t> 炉等</w:t>
      </w:r>
      <w:r>
        <w:rPr>
          <w:spacing w:val="-22"/>
        </w:rPr>
        <w:t>炼钢炉的水冷元件未设置出水温度、进出水流量差等监测报</w:t>
      </w:r>
      <w:r>
        <w:rPr>
          <w:spacing w:val="-9"/>
          <w:w w:val="95"/>
        </w:rPr>
        <w:t>警装置，或者监测报警装置未与炉体倾动、氧</w:t>
      </w:r>
      <w:r>
        <w:rPr>
          <w:w w:val="95"/>
        </w:rPr>
        <w:t>（副</w:t>
      </w:r>
      <w:r>
        <w:rPr>
          <w:spacing w:val="-3"/>
          <w:w w:val="95"/>
        </w:rPr>
        <w:t>）</w:t>
      </w:r>
      <w:r>
        <w:rPr>
          <w:w w:val="95"/>
        </w:rPr>
        <w:t>枪自动 </w:t>
      </w:r>
      <w:r>
        <w:rPr/>
        <w:t>提升、电极自动断电和升起装置联锁的；</w:t>
      </w:r>
    </w:p>
    <w:p>
      <w:pPr>
        <w:pStyle w:val="BodyText"/>
        <w:spacing w:line="328" w:lineRule="auto"/>
        <w:ind w:right="419" w:firstLine="640"/>
        <w:jc w:val="both"/>
      </w:pPr>
      <w:r>
        <w:rPr/>
        <w:t>（五</w:t>
      </w:r>
      <w:r>
        <w:rPr>
          <w:spacing w:val="-12"/>
        </w:rPr>
        <w:t>）</w:t>
      </w:r>
      <w:r>
        <w:rPr>
          <w:spacing w:val="-1"/>
        </w:rPr>
        <w:t>高炉生产期间炉顶工作压力设定值超过设计文件</w:t>
      </w:r>
      <w:r>
        <w:rPr>
          <w:spacing w:val="-2"/>
        </w:rPr>
        <w:t>规定的最高工作压力，或者炉顶工作压力监测装置未与炉顶</w:t>
      </w:r>
      <w:r>
        <w:rPr>
          <w:spacing w:val="-5"/>
        </w:rPr>
        <w:t>放散阀联锁，或者炉顶放散阀的联锁放散压力设定值超过设备设计压力值的；</w:t>
      </w:r>
    </w:p>
    <w:p>
      <w:pPr>
        <w:pStyle w:val="BodyText"/>
        <w:spacing w:line="328" w:lineRule="auto"/>
        <w:ind w:right="417" w:firstLine="640"/>
        <w:jc w:val="both"/>
      </w:pPr>
      <w:r>
        <w:rPr>
          <w:w w:val="95"/>
        </w:rPr>
        <w:t>（六</w:t>
      </w:r>
      <w:r>
        <w:rPr>
          <w:spacing w:val="-3"/>
          <w:w w:val="95"/>
        </w:rPr>
        <w:t>）煤气生产、回收净化、加压混合、储存、使用设 施附近的会议室、活动室、休息室、操作室、交接班室、更 </w:t>
      </w:r>
      <w:r>
        <w:rPr>
          <w:spacing w:val="-24"/>
        </w:rPr>
        <w:t>衣室等 </w:t>
      </w:r>
      <w:r>
        <w:rPr/>
        <w:t>6</w:t>
      </w:r>
      <w:r>
        <w:rPr>
          <w:spacing w:val="-10"/>
        </w:rPr>
        <w:t> 类人员聚集场所，以及可能发生煤气泄漏、积聚的</w:t>
      </w:r>
      <w:r>
        <w:rPr>
          <w:spacing w:val="-11"/>
        </w:rPr>
        <w:t>场所和部位未设置固定式一氧化碳浓度监测报警装置，或者</w:t>
      </w:r>
      <w:r>
        <w:rPr>
          <w:spacing w:val="-20"/>
        </w:rPr>
        <w:t>监测数据未接入 </w:t>
      </w:r>
      <w:r>
        <w:rPr/>
        <w:t>24</w:t>
      </w:r>
      <w:r>
        <w:rPr>
          <w:spacing w:val="-10"/>
        </w:rPr>
        <w:t> 小时有人值守场所的；</w:t>
      </w:r>
    </w:p>
    <w:p>
      <w:pPr>
        <w:pStyle w:val="BodyText"/>
        <w:spacing w:line="326" w:lineRule="auto"/>
        <w:ind w:right="420" w:firstLine="640"/>
      </w:pPr>
      <w:r>
        <w:rPr>
          <w:w w:val="95"/>
        </w:rPr>
        <w:t>（七</w:t>
      </w:r>
      <w:r>
        <w:rPr>
          <w:spacing w:val="-3"/>
          <w:w w:val="95"/>
        </w:rPr>
        <w:t>）加热炉、煤气柜、除尘器、加压机、烘烤器等设 </w:t>
      </w:r>
      <w:r>
        <w:rPr>
          <w:spacing w:val="-3"/>
        </w:rPr>
        <w:t>施，以及进入车间前的煤气管道未安装隔断装置的；</w:t>
      </w:r>
    </w:p>
    <w:p>
      <w:pPr>
        <w:pStyle w:val="BodyText"/>
        <w:spacing w:line="328" w:lineRule="auto"/>
        <w:ind w:right="417" w:firstLine="640"/>
        <w:jc w:val="both"/>
      </w:pPr>
      <w:r>
        <w:rPr/>
        <w:t>（八</w:t>
      </w:r>
      <w:r>
        <w:rPr>
          <w:spacing w:val="-12"/>
        </w:rPr>
        <w:t>）</w:t>
      </w:r>
      <w:r>
        <w:rPr/>
        <w:t>正压煤气输配管线水封式排水器的最高封堵煤气</w:t>
      </w:r>
      <w:r>
        <w:rPr>
          <w:spacing w:val="-14"/>
        </w:rPr>
        <w:t>压力小于 </w:t>
      </w:r>
      <w:r>
        <w:rPr/>
        <w:t>30kPa，或者同一煤气管道隔断装置的两侧共用一</w:t>
      </w:r>
      <w:r>
        <w:rPr>
          <w:spacing w:val="-2"/>
          <w:w w:val="95"/>
        </w:rPr>
        <w:t>个排水器，或者不同煤气管道排水器上部的排水管连通，或 </w:t>
      </w:r>
      <w:r>
        <w:rPr>
          <w:spacing w:val="-2"/>
        </w:rPr>
        <w:t>者不同介质的煤气管道共用一个排水器的。</w:t>
      </w:r>
    </w:p>
    <w:p>
      <w:pPr>
        <w:spacing w:after="0" w:line="328" w:lineRule="auto"/>
        <w:jc w:val="both"/>
        <w:sectPr>
          <w:pgSz w:w="11910" w:h="16840"/>
          <w:pgMar w:header="0" w:footer="1000" w:top="1520" w:bottom="1180" w:left="1300" w:right="1380"/>
        </w:sectPr>
      </w:pPr>
    </w:p>
    <w:p>
      <w:pPr>
        <w:pStyle w:val="BodyText"/>
        <w:spacing w:line="326" w:lineRule="auto" w:before="32"/>
        <w:ind w:right="420" w:firstLine="640"/>
        <w:jc w:val="both"/>
      </w:pPr>
      <w:r>
        <w:rPr>
          <w:rFonts w:ascii="黑体" w:eastAsia="黑体" w:hint="eastAsia"/>
        </w:rPr>
        <w:t>第五条 </w:t>
      </w:r>
      <w:r>
        <w:rPr/>
        <w:t>有色企业有下列情形之一的，应当判定为重大事故隐患：</w:t>
      </w:r>
    </w:p>
    <w:p>
      <w:pPr>
        <w:pStyle w:val="BodyText"/>
        <w:spacing w:line="328" w:lineRule="auto" w:before="3"/>
        <w:ind w:right="405" w:firstLine="640"/>
        <w:jc w:val="both"/>
      </w:pPr>
      <w:r>
        <w:rPr/>
        <w:t>（一）会议室、活动室、休息室、操作室、交接班室、</w:t>
      </w:r>
      <w:r>
        <w:rPr>
          <w:spacing w:val="-3"/>
        </w:rPr>
        <w:t>更衣室</w:t>
      </w:r>
      <w:r>
        <w:rPr/>
        <w:t>（含澡堂</w:t>
      </w:r>
      <w:r>
        <w:rPr>
          <w:spacing w:val="-5"/>
        </w:rPr>
        <w:t>）</w:t>
      </w:r>
      <w:r>
        <w:rPr>
          <w:spacing w:val="-43"/>
        </w:rPr>
        <w:t>等 </w:t>
      </w:r>
      <w:r>
        <w:rPr/>
        <w:t>6</w:t>
      </w:r>
      <w:r>
        <w:rPr>
          <w:spacing w:val="-10"/>
        </w:rPr>
        <w:t> 类人员聚集场所设置在熔融金属吊运跨的地坪区域内的；</w:t>
      </w:r>
    </w:p>
    <w:p>
      <w:pPr>
        <w:pStyle w:val="BodyText"/>
        <w:spacing w:line="328" w:lineRule="auto"/>
        <w:ind w:right="259" w:firstLine="640"/>
      </w:pPr>
      <w:r>
        <w:rPr/>
        <w:t>（二）生产期间冶炼、精炼、铸造生产区域的事故坑、</w:t>
      </w:r>
      <w:r>
        <w:rPr>
          <w:spacing w:val="-15"/>
          <w:w w:val="95"/>
        </w:rPr>
        <w:t>炉下渣坑，以及熔融金属泄漏、喷溅影响范围内的炉前平台、 </w:t>
      </w:r>
      <w:r>
        <w:rPr>
          <w:spacing w:val="-13"/>
        </w:rPr>
        <w:t>炉基区域、厂房内吊运和地面运输通道等 </w:t>
      </w:r>
      <w:r>
        <w:rPr/>
        <w:t>6</w:t>
      </w:r>
      <w:r>
        <w:rPr>
          <w:spacing w:val="-12"/>
        </w:rPr>
        <w:t> 类区域存在非生产性积水的；</w:t>
      </w:r>
    </w:p>
    <w:p>
      <w:pPr>
        <w:pStyle w:val="BodyText"/>
        <w:spacing w:line="326" w:lineRule="auto"/>
        <w:ind w:right="405" w:firstLine="640"/>
        <w:jc w:val="both"/>
      </w:pPr>
      <w:r>
        <w:rPr/>
        <w:t>（三</w:t>
      </w:r>
      <w:r>
        <w:rPr>
          <w:spacing w:val="-12"/>
        </w:rPr>
        <w:t>）</w:t>
      </w:r>
      <w:r>
        <w:rPr/>
        <w:t>熔融金属铸造环节未设置紧急排放和应急储存设施的（倾动式熔炼炉、倾动式保温炉、倾动式熔保一体炉、</w:t>
      </w:r>
      <w:r>
        <w:rPr>
          <w:w w:val="99"/>
        </w:rPr>
        <w:t>带保温炉的固定式熔炼炉除外</w:t>
      </w:r>
      <w:r>
        <w:rPr>
          <w:spacing w:val="-159"/>
          <w:w w:val="99"/>
        </w:rPr>
        <w:t>）</w:t>
      </w:r>
      <w:r>
        <w:rPr>
          <w:w w:val="99"/>
        </w:rPr>
        <w:t>；</w:t>
      </w:r>
    </w:p>
    <w:p>
      <w:pPr>
        <w:pStyle w:val="BodyText"/>
        <w:spacing w:line="326" w:lineRule="auto"/>
        <w:ind w:right="420" w:firstLine="640"/>
      </w:pPr>
      <w:r>
        <w:rPr>
          <w:w w:val="95"/>
        </w:rPr>
        <w:t>（四</w:t>
      </w:r>
      <w:r>
        <w:rPr>
          <w:spacing w:val="-3"/>
          <w:w w:val="95"/>
        </w:rPr>
        <w:t>）</w:t>
      </w:r>
      <w:r>
        <w:rPr>
          <w:spacing w:val="-2"/>
          <w:w w:val="95"/>
        </w:rPr>
        <w:t>采用水冷冷却的冶炼炉窑、铸造机</w:t>
      </w:r>
      <w:r>
        <w:rPr>
          <w:w w:val="95"/>
        </w:rPr>
        <w:t>（铝加工深井 </w:t>
      </w:r>
      <w:r>
        <w:rPr/>
        <w:t>铸造工艺的结晶器除外</w:t>
      </w:r>
      <w:r>
        <w:rPr>
          <w:spacing w:val="-159"/>
        </w:rPr>
        <w:t>）</w:t>
      </w:r>
      <w:r>
        <w:rPr/>
        <w:t>、加热炉未设置应急水源的；</w:t>
      </w:r>
    </w:p>
    <w:p>
      <w:pPr>
        <w:pStyle w:val="BodyText"/>
        <w:spacing w:line="328" w:lineRule="auto"/>
        <w:ind w:right="417" w:firstLine="640"/>
        <w:jc w:val="both"/>
      </w:pPr>
      <w:r>
        <w:rPr/>
        <w:t>（五</w:t>
      </w:r>
      <w:r>
        <w:rPr>
          <w:spacing w:val="-12"/>
        </w:rPr>
        <w:t>）</w:t>
      </w:r>
      <w:r>
        <w:rPr/>
        <w:t>熔融金属冶炼炉窑的闭路循环水冷元件未设置出</w:t>
      </w:r>
      <w:r>
        <w:rPr>
          <w:spacing w:val="-3"/>
        </w:rPr>
        <w:t>水温度、进出水流量差监测报警装置，或者开路水冷元件未</w:t>
      </w:r>
      <w:r>
        <w:rPr>
          <w:spacing w:val="-5"/>
        </w:rPr>
        <w:t>设置进水流量、压力监测报警装置，或者未监测开路水冷元件出水温度的；</w:t>
      </w:r>
    </w:p>
    <w:p>
      <w:pPr>
        <w:pStyle w:val="BodyText"/>
        <w:spacing w:line="328" w:lineRule="auto"/>
        <w:ind w:right="419" w:firstLine="640"/>
        <w:jc w:val="both"/>
      </w:pPr>
      <w:r>
        <w:rPr/>
        <w:t>（六</w:t>
      </w:r>
      <w:r>
        <w:rPr>
          <w:spacing w:val="-12"/>
        </w:rPr>
        <w:t>）</w:t>
      </w:r>
      <w:r>
        <w:rPr>
          <w:spacing w:val="-1"/>
        </w:rPr>
        <w:t>铝加工深井铸造工艺的结晶器冷却水系统未设置</w:t>
      </w:r>
      <w:r>
        <w:rPr>
          <w:spacing w:val="-2"/>
          <w:w w:val="95"/>
        </w:rPr>
        <w:t>进水压力、进水流量监测报警装置，或者监测报警装置未与 </w:t>
      </w:r>
      <w:r>
        <w:rPr>
          <w:spacing w:val="-4"/>
          <w:w w:val="95"/>
        </w:rPr>
        <w:t>快速切断阀、紧急排放阀、流槽断开装置联锁，或者监测报 </w:t>
      </w:r>
      <w:r>
        <w:rPr>
          <w:spacing w:val="-4"/>
        </w:rPr>
        <w:t>警装置未与倾动式浇铸炉控制系统联锁的；</w:t>
      </w:r>
    </w:p>
    <w:p>
      <w:pPr>
        <w:pStyle w:val="BodyText"/>
        <w:spacing w:line="326" w:lineRule="auto"/>
        <w:ind w:right="259" w:firstLine="640"/>
      </w:pPr>
      <w:r>
        <w:rPr/>
        <w:t>（七</w:t>
      </w:r>
      <w:r>
        <w:rPr>
          <w:spacing w:val="-5"/>
        </w:rPr>
        <w:t>）</w:t>
      </w:r>
      <w:r>
        <w:rPr>
          <w:spacing w:val="-1"/>
        </w:rPr>
        <w:t>铝加工深井铸造工艺的浇铸炉铝液出口流槽、流</w:t>
      </w:r>
      <w:r>
        <w:rPr>
          <w:spacing w:val="-23"/>
          <w:w w:val="95"/>
        </w:rPr>
        <w:t>槽与模盘</w:t>
      </w:r>
      <w:r>
        <w:rPr>
          <w:w w:val="95"/>
        </w:rPr>
        <w:t>（分配流槽</w:t>
      </w:r>
      <w:r>
        <w:rPr>
          <w:spacing w:val="-87"/>
          <w:w w:val="95"/>
        </w:rPr>
        <w:t>）</w:t>
      </w:r>
      <w:r>
        <w:rPr>
          <w:w w:val="95"/>
        </w:rPr>
        <w:t>入口连接处未设置液位监测报警装置，</w:t>
      </w:r>
    </w:p>
    <w:p>
      <w:pPr>
        <w:spacing w:after="0" w:line="326" w:lineRule="auto"/>
        <w:sectPr>
          <w:footerReference w:type="default" r:id="rId8"/>
          <w:pgSz w:w="11910" w:h="16840"/>
          <w:pgMar w:footer="1000" w:header="0" w:top="1520" w:bottom="1180" w:left="1300" w:right="1380"/>
          <w:pgNumType w:start="30"/>
        </w:sectPr>
      </w:pPr>
    </w:p>
    <w:p>
      <w:pPr>
        <w:pStyle w:val="BodyText"/>
        <w:spacing w:before="32"/>
      </w:pPr>
      <w:r>
        <w:rPr/>
        <w:t>或者固定式浇铸炉的铝液出口未设置机械锁紧装置的；</w:t>
      </w:r>
    </w:p>
    <w:p>
      <w:pPr>
        <w:pStyle w:val="BodyText"/>
        <w:spacing w:line="328" w:lineRule="auto" w:before="149"/>
        <w:ind w:right="417" w:firstLine="640"/>
        <w:jc w:val="both"/>
      </w:pPr>
      <w:r>
        <w:rPr/>
        <w:t>（八</w:t>
      </w:r>
      <w:r>
        <w:rPr>
          <w:spacing w:val="-12"/>
        </w:rPr>
        <w:t>）</w:t>
      </w:r>
      <w:r>
        <w:rPr/>
        <w:t>铝加工深井铸造工艺的固定式浇铸炉的铝液流槽</w:t>
      </w:r>
      <w:r>
        <w:rPr>
          <w:spacing w:val="-2"/>
        </w:rPr>
        <w:t>未设置紧急排放阀，或者流槽与模盘</w:t>
      </w:r>
      <w:r>
        <w:rPr>
          <w:spacing w:val="-3"/>
        </w:rPr>
        <w:t>（</w:t>
      </w:r>
      <w:r>
        <w:rPr/>
        <w:t>分配流槽</w:t>
      </w:r>
      <w:r>
        <w:rPr>
          <w:spacing w:val="-5"/>
        </w:rPr>
        <w:t>）</w:t>
      </w:r>
      <w:r>
        <w:rPr/>
        <w:t>入口连接</w:t>
      </w:r>
      <w:r>
        <w:rPr>
          <w:spacing w:val="5"/>
          <w:w w:val="99"/>
        </w:rPr>
        <w:t>处未设置快速切断阀</w:t>
      </w:r>
      <w:r>
        <w:rPr>
          <w:spacing w:val="7"/>
          <w:w w:val="99"/>
        </w:rPr>
        <w:t>（</w:t>
      </w:r>
      <w:r>
        <w:rPr>
          <w:spacing w:val="5"/>
          <w:w w:val="99"/>
        </w:rPr>
        <w:t>断开装置</w:t>
      </w:r>
      <w:r>
        <w:rPr>
          <w:spacing w:val="-151"/>
          <w:w w:val="99"/>
        </w:rPr>
        <w:t>）</w:t>
      </w:r>
      <w:r>
        <w:rPr>
          <w:spacing w:val="5"/>
          <w:w w:val="99"/>
        </w:rPr>
        <w:t>，或者流槽与模盘</w:t>
      </w:r>
      <w:r>
        <w:rPr>
          <w:spacing w:val="7"/>
          <w:w w:val="99"/>
        </w:rPr>
        <w:t>（</w:t>
      </w:r>
      <w:r>
        <w:rPr>
          <w:spacing w:val="-2"/>
          <w:w w:val="99"/>
        </w:rPr>
        <w:t>分配</w:t>
      </w:r>
      <w:r>
        <w:rPr/>
        <w:t>流槽</w:t>
      </w:r>
      <w:r>
        <w:rPr>
          <w:spacing w:val="-7"/>
        </w:rPr>
        <w:t>）</w:t>
      </w:r>
      <w:r>
        <w:rPr>
          <w:spacing w:val="-1"/>
        </w:rPr>
        <w:t>入口连接处的液位监测报警装置未与快速切断阀</w:t>
      </w:r>
      <w:r>
        <w:rPr/>
        <w:t>（断开装置</w:t>
      </w:r>
      <w:r>
        <w:rPr>
          <w:spacing w:val="-159"/>
        </w:rPr>
        <w:t>）</w:t>
      </w:r>
      <w:r>
        <w:rPr/>
        <w:t>、紧急排放阀联锁的；</w:t>
      </w:r>
    </w:p>
    <w:p>
      <w:pPr>
        <w:pStyle w:val="BodyText"/>
        <w:spacing w:line="402" w:lineRule="exact"/>
        <w:ind w:left="1140"/>
      </w:pPr>
      <w:r>
        <w:rPr/>
        <w:t>（九）铝加工深井铸造工艺的倾动式浇铸炉流槽与模盘</w:t>
      </w:r>
    </w:p>
    <w:p>
      <w:pPr>
        <w:pStyle w:val="BodyText"/>
        <w:spacing w:line="328" w:lineRule="auto" w:before="149"/>
        <w:ind w:right="420"/>
        <w:jc w:val="both"/>
      </w:pPr>
      <w:r>
        <w:rPr>
          <w:spacing w:val="7"/>
          <w:w w:val="99"/>
        </w:rPr>
        <w:t>（</w:t>
      </w:r>
      <w:r>
        <w:rPr>
          <w:spacing w:val="6"/>
          <w:w w:val="99"/>
        </w:rPr>
        <w:t>分配流槽</w:t>
      </w:r>
      <w:r>
        <w:rPr>
          <w:spacing w:val="7"/>
          <w:w w:val="99"/>
        </w:rPr>
        <w:t>）</w:t>
      </w:r>
      <w:r>
        <w:rPr>
          <w:spacing w:val="5"/>
          <w:w w:val="99"/>
        </w:rPr>
        <w:t>入口连接处未设置快速切断阀（</w:t>
      </w:r>
      <w:r>
        <w:rPr>
          <w:spacing w:val="6"/>
          <w:w w:val="99"/>
        </w:rPr>
        <w:t>断开装置</w:t>
      </w:r>
      <w:r>
        <w:rPr>
          <w:spacing w:val="-160"/>
          <w:w w:val="99"/>
        </w:rPr>
        <w:t>）</w:t>
      </w:r>
      <w:r>
        <w:rPr>
          <w:spacing w:val="-6"/>
          <w:w w:val="99"/>
        </w:rPr>
        <w:t>，</w:t>
      </w:r>
      <w:r>
        <w:rPr>
          <w:spacing w:val="-1"/>
        </w:rPr>
        <w:t>或者流槽与模盘</w:t>
      </w:r>
      <w:r>
        <w:rPr/>
        <w:t>（分配流槽</w:t>
      </w:r>
      <w:r>
        <w:rPr>
          <w:spacing w:val="-7"/>
        </w:rPr>
        <w:t>）</w:t>
      </w:r>
      <w:r>
        <w:rPr>
          <w:spacing w:val="-1"/>
        </w:rPr>
        <w:t>入口连接处的液位监测报警装</w:t>
      </w:r>
      <w:r>
        <w:rPr>
          <w:spacing w:val="-2"/>
          <w:w w:val="95"/>
        </w:rPr>
        <w:t>置未与浇铸炉倾动控制系统、快速切断阀</w:t>
      </w:r>
      <w:r>
        <w:rPr>
          <w:w w:val="95"/>
        </w:rPr>
        <w:t>（断开装置</w:t>
      </w:r>
      <w:r>
        <w:rPr>
          <w:spacing w:val="-3"/>
          <w:w w:val="95"/>
        </w:rPr>
        <w:t>）</w:t>
      </w:r>
      <w:r>
        <w:rPr>
          <w:w w:val="95"/>
        </w:rPr>
        <w:t>联锁 </w:t>
      </w:r>
      <w:r>
        <w:rPr/>
        <w:t>的；</w:t>
      </w:r>
    </w:p>
    <w:p>
      <w:pPr>
        <w:pStyle w:val="BodyText"/>
        <w:spacing w:line="328" w:lineRule="auto"/>
        <w:ind w:right="374" w:firstLine="640"/>
      </w:pPr>
      <w:r>
        <w:rPr/>
        <w:t>（十）铝加工深井铸造机钢丝卷扬系统选用非钢芯钢丝绳，或者未落实钢丝绳定期检查、更换制度的；</w:t>
      </w:r>
    </w:p>
    <w:p>
      <w:pPr>
        <w:pStyle w:val="BodyText"/>
        <w:spacing w:line="407" w:lineRule="exact"/>
        <w:ind w:left="1140"/>
      </w:pPr>
      <w:r>
        <w:rPr>
          <w:w w:val="95"/>
        </w:rPr>
        <w:t>（十一</w:t>
      </w:r>
      <w:r>
        <w:rPr>
          <w:spacing w:val="-5"/>
          <w:w w:val="95"/>
        </w:rPr>
        <w:t>）</w:t>
      </w:r>
      <w:r>
        <w:rPr>
          <w:spacing w:val="-3"/>
          <w:w w:val="95"/>
        </w:rPr>
        <w:t>可能发生一氧化碳、砷化氢、氯气、硫化氢等</w:t>
      </w:r>
    </w:p>
    <w:p>
      <w:pPr>
        <w:pStyle w:val="BodyText"/>
        <w:spacing w:before="141"/>
      </w:pPr>
      <w:r>
        <w:rPr/>
        <w:t>4</w:t>
      </w:r>
      <w:r>
        <w:rPr>
          <w:spacing w:val="-6"/>
        </w:rPr>
        <w:t> 种有毒气体泄漏、积聚的场所和部位未设置固定式气体浓</w:t>
      </w:r>
    </w:p>
    <w:p>
      <w:pPr>
        <w:pStyle w:val="BodyText"/>
        <w:spacing w:line="326" w:lineRule="auto" w:before="152"/>
        <w:ind w:right="418"/>
        <w:jc w:val="both"/>
      </w:pPr>
      <w:r>
        <w:rPr>
          <w:spacing w:val="-1"/>
        </w:rPr>
        <w:t>度监测报警装置，或者监测数据未接入 </w:t>
      </w:r>
      <w:r>
        <w:rPr/>
        <w:t>24</w:t>
      </w:r>
      <w:r>
        <w:rPr>
          <w:spacing w:val="-7"/>
        </w:rPr>
        <w:t> 小时有人值守场</w:t>
      </w:r>
      <w:r>
        <w:rPr>
          <w:spacing w:val="-6"/>
        </w:rPr>
        <w:t>所，或者未对可能有砷化氢气体的场所和部位采取同等效果</w:t>
      </w:r>
      <w:r>
        <w:rPr/>
        <w:t>的检测措施的；</w:t>
      </w:r>
    </w:p>
    <w:p>
      <w:pPr>
        <w:pStyle w:val="BodyText"/>
        <w:spacing w:line="326" w:lineRule="auto" w:before="7"/>
        <w:ind w:right="420" w:firstLine="640"/>
        <w:jc w:val="both"/>
      </w:pPr>
      <w:r>
        <w:rPr>
          <w:w w:val="95"/>
        </w:rPr>
        <w:t>（十二</w:t>
      </w:r>
      <w:r>
        <w:rPr>
          <w:spacing w:val="-5"/>
          <w:w w:val="95"/>
        </w:rPr>
        <w:t>）</w:t>
      </w:r>
      <w:r>
        <w:rPr>
          <w:spacing w:val="-1"/>
          <w:w w:val="95"/>
        </w:rPr>
        <w:t>使用煤气</w:t>
      </w:r>
      <w:r>
        <w:rPr>
          <w:spacing w:val="-3"/>
          <w:w w:val="95"/>
        </w:rPr>
        <w:t>（</w:t>
      </w:r>
      <w:r>
        <w:rPr>
          <w:w w:val="95"/>
        </w:rPr>
        <w:t>天然气</w:t>
      </w:r>
      <w:r>
        <w:rPr>
          <w:spacing w:val="-3"/>
          <w:w w:val="95"/>
        </w:rPr>
        <w:t>）</w:t>
      </w:r>
      <w:r>
        <w:rPr>
          <w:w w:val="95"/>
        </w:rPr>
        <w:t>并强制送风的燃烧装置的 </w:t>
      </w:r>
      <w:r>
        <w:rPr>
          <w:spacing w:val="-1"/>
        </w:rPr>
        <w:t>燃气总管未设置压力监测报警装置，或者监测报警装置未与紧急自动切断装置联锁的；</w:t>
      </w:r>
    </w:p>
    <w:p>
      <w:pPr>
        <w:pStyle w:val="BodyText"/>
        <w:spacing w:line="326" w:lineRule="auto" w:before="7"/>
        <w:ind w:right="405" w:firstLine="640"/>
        <w:jc w:val="both"/>
      </w:pPr>
      <w:r>
        <w:rPr/>
        <w:t>（十三）正压煤气输配管线水封式排水器的最高封堵煤气压力小于 30kPa，或者同一煤气管道隔断装置的两侧共用一个排水器，或者不同煤气管道排水器上部的排水管连通，</w:t>
      </w:r>
    </w:p>
    <w:p>
      <w:pPr>
        <w:spacing w:after="0" w:line="326" w:lineRule="auto"/>
        <w:jc w:val="both"/>
        <w:sectPr>
          <w:pgSz w:w="11910" w:h="16840"/>
          <w:pgMar w:header="0" w:footer="1000" w:top="1520" w:bottom="1180" w:left="1300" w:right="1380"/>
        </w:sectPr>
      </w:pPr>
    </w:p>
    <w:p>
      <w:pPr>
        <w:pStyle w:val="BodyText"/>
        <w:spacing w:before="32"/>
      </w:pPr>
      <w:r>
        <w:rPr/>
        <w:t>或者不同介质的煤气管道共用一个排水器的。</w:t>
      </w:r>
    </w:p>
    <w:p>
      <w:pPr>
        <w:pStyle w:val="BodyText"/>
        <w:tabs>
          <w:tab w:pos="2419" w:val="left" w:leader="none"/>
        </w:tabs>
        <w:spacing w:line="326" w:lineRule="auto" w:before="149"/>
        <w:ind w:right="420" w:firstLine="640"/>
      </w:pPr>
      <w:r>
        <w:rPr>
          <w:rFonts w:ascii="黑体" w:eastAsia="黑体" w:hint="eastAsia"/>
        </w:rPr>
        <w:t>第六条</w:t>
        <w:tab/>
      </w:r>
      <w:r>
        <w:rPr/>
        <w:t>建材企业有下列情形之一的</w:t>
      </w:r>
      <w:r>
        <w:rPr>
          <w:spacing w:val="-15"/>
        </w:rPr>
        <w:t>，</w:t>
      </w:r>
      <w:r>
        <w:rPr/>
        <w:t>应当判定为重</w:t>
      </w:r>
      <w:r>
        <w:rPr>
          <w:spacing w:val="-11"/>
        </w:rPr>
        <w:t>大</w:t>
      </w:r>
      <w:r>
        <w:rPr/>
        <w:t>事故隐患：</w:t>
      </w:r>
    </w:p>
    <w:p>
      <w:pPr>
        <w:pStyle w:val="BodyText"/>
        <w:spacing w:line="326" w:lineRule="auto" w:before="5"/>
        <w:ind w:right="375" w:firstLine="640"/>
      </w:pPr>
      <w:r>
        <w:rPr/>
        <w:t>（一）煤磨袋式收尘器、煤粉仓未设置温度和固定式一氧化碳浓度监测报警装置，或者未设置气体灭火装置的；</w:t>
      </w:r>
    </w:p>
    <w:p>
      <w:pPr>
        <w:pStyle w:val="BodyText"/>
        <w:spacing w:line="328" w:lineRule="auto" w:before="3"/>
        <w:ind w:right="373" w:firstLine="640"/>
      </w:pPr>
      <w:r>
        <w:rPr/>
        <w:t>（二）筒型储库人工清库作业未落实清库方案中防止高处坠落、坍塌等安全措施的；</w:t>
      </w:r>
    </w:p>
    <w:p>
      <w:pPr>
        <w:pStyle w:val="BodyText"/>
        <w:spacing w:line="328" w:lineRule="auto"/>
        <w:ind w:right="417" w:firstLine="640"/>
        <w:jc w:val="both"/>
      </w:pPr>
      <w:r>
        <w:rPr/>
        <w:t>（三</w:t>
      </w:r>
      <w:r>
        <w:rPr>
          <w:spacing w:val="-12"/>
        </w:rPr>
        <w:t>）</w:t>
      </w:r>
      <w:r>
        <w:rPr/>
        <w:t>水泥企业电石渣原料筒型储库未设置固定式可燃</w:t>
      </w:r>
      <w:r>
        <w:rPr>
          <w:spacing w:val="-2"/>
        </w:rPr>
        <w:t>气体浓度监测报警装置，或者监测报警装置未与事故通风装置联锁的；</w:t>
      </w:r>
    </w:p>
    <w:p>
      <w:pPr>
        <w:pStyle w:val="BodyText"/>
        <w:spacing w:line="328" w:lineRule="auto"/>
        <w:ind w:right="259" w:firstLine="640"/>
      </w:pPr>
      <w:r>
        <w:rPr/>
        <w:t>（四</w:t>
      </w:r>
      <w:r>
        <w:rPr>
          <w:spacing w:val="-43"/>
        </w:rPr>
        <w:t>）</w:t>
      </w:r>
      <w:r>
        <w:rPr>
          <w:spacing w:val="-12"/>
        </w:rPr>
        <w:t>进入筒型储库、焙烧窑、预热器旋风筒、分解炉、</w:t>
      </w:r>
      <w:r>
        <w:rPr>
          <w:spacing w:val="-3"/>
        </w:rPr>
        <w:t>竖炉、篦冷机、磨机、破碎机前，未对可能意外启动的设备和涌入的物料、高温气体、有毒有害气体等采取隔离措施， 或者未落实防止高处坠落、坍塌等安全措施的；</w:t>
      </w:r>
    </w:p>
    <w:p>
      <w:pPr>
        <w:pStyle w:val="BodyText"/>
        <w:spacing w:line="328" w:lineRule="auto"/>
        <w:ind w:right="420" w:firstLine="640"/>
        <w:jc w:val="both"/>
      </w:pPr>
      <w:r>
        <w:rPr/>
        <w:t>（五</w:t>
      </w:r>
      <w:r>
        <w:rPr>
          <w:spacing w:val="-5"/>
        </w:rPr>
        <w:t>）</w:t>
      </w:r>
      <w:r>
        <w:rPr>
          <w:spacing w:val="-1"/>
        </w:rPr>
        <w:t>采用预混燃烧方式的燃气窑炉</w:t>
      </w:r>
      <w:r>
        <w:rPr/>
        <w:t>（</w:t>
      </w:r>
      <w:r>
        <w:rPr>
          <w:spacing w:val="-2"/>
        </w:rPr>
        <w:t>热发生炉煤气窑</w:t>
      </w:r>
      <w:r>
        <w:rPr/>
        <w:t>炉除外</w:t>
      </w:r>
      <w:r>
        <w:rPr>
          <w:spacing w:val="-7"/>
        </w:rPr>
        <w:t>）</w:t>
      </w:r>
      <w:r>
        <w:rPr>
          <w:spacing w:val="-2"/>
        </w:rPr>
        <w:t>的燃气总管未设置管道压力监测报警装置，或者监</w:t>
      </w:r>
      <w:r>
        <w:rPr/>
        <w:t>测报警装置未与紧急自动切断装置联锁的；</w:t>
      </w:r>
    </w:p>
    <w:p>
      <w:pPr>
        <w:pStyle w:val="BodyText"/>
        <w:spacing w:line="405" w:lineRule="exact"/>
        <w:ind w:left="1140"/>
        <w:jc w:val="both"/>
      </w:pPr>
      <w:r>
        <w:rPr/>
        <w:t>（六）制氢站、氮氢保护气体配气间、燃气配气间等 3</w:t>
      </w:r>
    </w:p>
    <w:p>
      <w:pPr>
        <w:pStyle w:val="BodyText"/>
        <w:spacing w:before="137"/>
      </w:pPr>
      <w:r>
        <w:rPr/>
        <w:t>类场所未设置固定式可燃气体浓度监测报警装置的；</w:t>
      </w:r>
    </w:p>
    <w:p>
      <w:pPr>
        <w:pStyle w:val="BodyText"/>
        <w:spacing w:before="149"/>
        <w:ind w:left="1140"/>
      </w:pPr>
      <w:r>
        <w:rPr/>
        <w:t>（七）电熔制品电炉的水冷设备失效的；</w:t>
      </w:r>
    </w:p>
    <w:p>
      <w:pPr>
        <w:pStyle w:val="BodyText"/>
        <w:spacing w:line="328" w:lineRule="auto" w:before="149"/>
        <w:ind w:right="375" w:firstLine="640"/>
      </w:pPr>
      <w:r>
        <w:rPr/>
        <w:t>（八）玻璃窑炉、玻璃锡槽等设备未设置水冷和风冷保护系统的监测报警装置的。</w:t>
      </w:r>
    </w:p>
    <w:p>
      <w:pPr>
        <w:pStyle w:val="BodyText"/>
        <w:tabs>
          <w:tab w:pos="2419" w:val="left" w:leader="none"/>
        </w:tabs>
        <w:spacing w:line="326" w:lineRule="auto"/>
        <w:ind w:right="420" w:firstLine="640"/>
      </w:pPr>
      <w:r>
        <w:rPr>
          <w:rFonts w:ascii="黑体" w:eastAsia="黑体" w:hint="eastAsia"/>
        </w:rPr>
        <w:t>第七条</w:t>
        <w:tab/>
      </w:r>
      <w:r>
        <w:rPr/>
        <w:t>机械企业有下列情形之一的</w:t>
      </w:r>
      <w:r>
        <w:rPr>
          <w:spacing w:val="-15"/>
        </w:rPr>
        <w:t>，</w:t>
      </w:r>
      <w:r>
        <w:rPr/>
        <w:t>应当判定为重</w:t>
      </w:r>
      <w:r>
        <w:rPr>
          <w:spacing w:val="-11"/>
        </w:rPr>
        <w:t>大</w:t>
      </w:r>
      <w:r>
        <w:rPr/>
        <w:t>事故隐患：</w:t>
      </w:r>
    </w:p>
    <w:p>
      <w:pPr>
        <w:spacing w:after="0" w:line="326" w:lineRule="auto"/>
        <w:sectPr>
          <w:pgSz w:w="11910" w:h="16840"/>
          <w:pgMar w:header="0" w:footer="1000" w:top="1520" w:bottom="1180" w:left="1300" w:right="1380"/>
        </w:sectPr>
      </w:pPr>
    </w:p>
    <w:p>
      <w:pPr>
        <w:pStyle w:val="BodyText"/>
        <w:spacing w:line="326" w:lineRule="auto" w:before="32"/>
        <w:ind w:right="420" w:firstLine="640"/>
        <w:jc w:val="both"/>
      </w:pPr>
      <w:r>
        <w:rPr>
          <w:w w:val="95"/>
        </w:rPr>
        <w:t>（一</w:t>
      </w:r>
      <w:r>
        <w:rPr>
          <w:spacing w:val="-3"/>
          <w:w w:val="95"/>
        </w:rPr>
        <w:t>）会议室、活动室、休息室、更衣室、交接班室等  </w:t>
      </w:r>
      <w:r>
        <w:rPr>
          <w:spacing w:val="-3"/>
        </w:rPr>
        <w:t>5</w:t>
      </w:r>
      <w:r>
        <w:rPr>
          <w:spacing w:val="-6"/>
        </w:rPr>
        <w:t> 类人员聚集场所设置在熔融金属吊运跨或者浇注跨的地坪区域内的；</w:t>
      </w:r>
    </w:p>
    <w:p>
      <w:pPr>
        <w:pStyle w:val="BodyText"/>
        <w:spacing w:line="326" w:lineRule="auto" w:before="7"/>
        <w:ind w:right="420" w:firstLine="640"/>
      </w:pPr>
      <w:r>
        <w:rPr>
          <w:w w:val="95"/>
        </w:rPr>
        <w:t>（二</w:t>
      </w:r>
      <w:r>
        <w:rPr>
          <w:spacing w:val="-3"/>
          <w:w w:val="95"/>
        </w:rPr>
        <w:t>）</w:t>
      </w:r>
      <w:r>
        <w:rPr>
          <w:spacing w:val="-2"/>
          <w:w w:val="95"/>
        </w:rPr>
        <w:t>铸造用熔炼炉、精炼炉、保温炉未设置紧急排放 </w:t>
      </w:r>
      <w:r>
        <w:rPr>
          <w:spacing w:val="-2"/>
        </w:rPr>
        <w:t>和应急储存设施的；</w:t>
      </w:r>
    </w:p>
    <w:p>
      <w:pPr>
        <w:pStyle w:val="BodyText"/>
        <w:spacing w:line="328" w:lineRule="auto" w:before="3"/>
        <w:ind w:right="259" w:firstLine="640"/>
      </w:pPr>
      <w:r>
        <w:rPr>
          <w:w w:val="95"/>
        </w:rPr>
        <w:t>（三</w:t>
      </w:r>
      <w:r>
        <w:rPr>
          <w:spacing w:val="-58"/>
          <w:w w:val="95"/>
        </w:rPr>
        <w:t>）</w:t>
      </w:r>
      <w:r>
        <w:rPr>
          <w:spacing w:val="-10"/>
          <w:w w:val="95"/>
        </w:rPr>
        <w:t>生产期间铸造用熔炼炉、精炼炉、保温炉的炉底、 </w:t>
      </w:r>
      <w:r>
        <w:rPr>
          <w:spacing w:val="-8"/>
        </w:rPr>
        <w:t>炉坑和事故坑，以及熔融金属泄漏、喷溅影响范围内的炉前</w:t>
      </w:r>
      <w:r>
        <w:rPr>
          <w:spacing w:val="-5"/>
        </w:rPr>
        <w:t>平台、炉基区域、造型地坑、浇注作业坑和熔融金属转运通</w:t>
      </w:r>
      <w:r>
        <w:rPr>
          <w:spacing w:val="-30"/>
        </w:rPr>
        <w:t>道等 </w:t>
      </w:r>
      <w:r>
        <w:rPr/>
        <w:t>8</w:t>
      </w:r>
      <w:r>
        <w:rPr>
          <w:spacing w:val="-10"/>
        </w:rPr>
        <w:t> 类区域存在积水的；</w:t>
      </w:r>
    </w:p>
    <w:p>
      <w:pPr>
        <w:pStyle w:val="BodyText"/>
        <w:spacing w:line="326" w:lineRule="auto"/>
        <w:ind w:right="417" w:firstLine="640"/>
        <w:jc w:val="both"/>
      </w:pPr>
      <w:r>
        <w:rPr>
          <w:w w:val="95"/>
        </w:rPr>
        <w:t>（四</w:t>
      </w:r>
      <w:r>
        <w:rPr>
          <w:spacing w:val="-3"/>
          <w:w w:val="95"/>
        </w:rPr>
        <w:t>）铸造用熔炼炉、精炼炉、压铸机、氧枪的冷却水 </w:t>
      </w:r>
      <w:r>
        <w:rPr>
          <w:spacing w:val="-5"/>
        </w:rPr>
        <w:t>系统未设置出水温度、进出水流量差监测报警装置，或者监测报警装置未与熔融金属加热、输送控制系统联锁的；</w:t>
      </w:r>
    </w:p>
    <w:p>
      <w:pPr>
        <w:pStyle w:val="BodyText"/>
        <w:spacing w:line="328" w:lineRule="auto" w:before="2"/>
        <w:ind w:right="417" w:firstLine="640"/>
        <w:jc w:val="both"/>
      </w:pPr>
      <w:r>
        <w:rPr>
          <w:w w:val="95"/>
        </w:rPr>
        <w:t>（五</w:t>
      </w:r>
      <w:r>
        <w:rPr>
          <w:spacing w:val="-3"/>
          <w:w w:val="95"/>
        </w:rPr>
        <w:t>）</w:t>
      </w:r>
      <w:r>
        <w:rPr>
          <w:spacing w:val="-2"/>
          <w:w w:val="95"/>
        </w:rPr>
        <w:t>使用煤气</w:t>
      </w:r>
      <w:r>
        <w:rPr>
          <w:w w:val="95"/>
        </w:rPr>
        <w:t>（天然气</w:t>
      </w:r>
      <w:r>
        <w:rPr>
          <w:spacing w:val="-3"/>
          <w:w w:val="95"/>
        </w:rPr>
        <w:t>）</w:t>
      </w:r>
      <w:r>
        <w:rPr>
          <w:w w:val="95"/>
        </w:rPr>
        <w:t>的燃烧装置的燃气总管未设 </w:t>
      </w:r>
      <w:r>
        <w:rPr>
          <w:spacing w:val="-2"/>
        </w:rPr>
        <w:t>置管道压力监测报警装置，或者监测报警装置未与紧急自动</w:t>
      </w:r>
      <w:r>
        <w:rPr>
          <w:spacing w:val="-4"/>
        </w:rPr>
        <w:t>切断装置联锁，或者燃烧装置未设置火焰监测和熄火保护系统的；</w:t>
      </w:r>
    </w:p>
    <w:p>
      <w:pPr>
        <w:pStyle w:val="BodyText"/>
        <w:spacing w:line="328" w:lineRule="auto"/>
        <w:ind w:right="405" w:firstLine="640"/>
        <w:jc w:val="both"/>
      </w:pPr>
      <w:r>
        <w:rPr/>
        <w:t>（六）使用可燃性有机溶剂清洗设备设施、工装器具、地面时，未采取防止可燃气体在周边密闭或者半密闭空间内积聚措施的；</w:t>
      </w:r>
    </w:p>
    <w:p>
      <w:pPr>
        <w:pStyle w:val="BodyText"/>
        <w:spacing w:line="326" w:lineRule="auto"/>
        <w:ind w:right="375" w:firstLine="640"/>
      </w:pPr>
      <w:r>
        <w:rPr/>
        <w:t>（七）使用非水性漆的调漆间、喷漆室未设置固定式可燃气体浓度监测报警装置或者通风设施的。</w:t>
      </w:r>
    </w:p>
    <w:p>
      <w:pPr>
        <w:pStyle w:val="BodyText"/>
        <w:tabs>
          <w:tab w:pos="2419" w:val="left" w:leader="none"/>
        </w:tabs>
        <w:spacing w:line="326" w:lineRule="auto"/>
        <w:ind w:right="420" w:firstLine="640"/>
      </w:pPr>
      <w:r>
        <w:rPr>
          <w:rFonts w:ascii="黑体" w:eastAsia="黑体" w:hint="eastAsia"/>
        </w:rPr>
        <w:t>第八条</w:t>
        <w:tab/>
      </w:r>
      <w:r>
        <w:rPr/>
        <w:t>轻工企业有下列情形之一的</w:t>
      </w:r>
      <w:r>
        <w:rPr>
          <w:spacing w:val="-15"/>
        </w:rPr>
        <w:t>，</w:t>
      </w:r>
      <w:r>
        <w:rPr/>
        <w:t>应当判定为重</w:t>
      </w:r>
      <w:r>
        <w:rPr>
          <w:spacing w:val="-11"/>
        </w:rPr>
        <w:t>大</w:t>
      </w:r>
      <w:r>
        <w:rPr/>
        <w:t>事故隐患：</w:t>
      </w:r>
    </w:p>
    <w:p>
      <w:pPr>
        <w:pStyle w:val="BodyText"/>
        <w:ind w:left="1140"/>
      </w:pPr>
      <w:r>
        <w:rPr/>
        <w:t>（一）食品制造企业烘制、油炸设备未设置防过热自动</w:t>
      </w:r>
    </w:p>
    <w:p>
      <w:pPr>
        <w:spacing w:after="0"/>
        <w:sectPr>
          <w:pgSz w:w="11910" w:h="16840"/>
          <w:pgMar w:header="0" w:footer="1000" w:top="1520" w:bottom="1180" w:left="1300" w:right="1380"/>
        </w:sectPr>
      </w:pPr>
    </w:p>
    <w:p>
      <w:pPr>
        <w:pStyle w:val="BodyText"/>
        <w:spacing w:before="32"/>
      </w:pPr>
      <w:r>
        <w:rPr/>
        <w:t>切断装置的；</w:t>
      </w:r>
    </w:p>
    <w:p>
      <w:pPr>
        <w:pStyle w:val="BodyText"/>
        <w:spacing w:line="328" w:lineRule="auto" w:before="149"/>
        <w:ind w:right="420" w:firstLine="640"/>
        <w:jc w:val="both"/>
      </w:pPr>
      <w:r>
        <w:rPr/>
        <w:t>（二</w:t>
      </w:r>
      <w:r>
        <w:rPr>
          <w:spacing w:val="-5"/>
        </w:rPr>
        <w:t>）</w:t>
      </w:r>
      <w:r>
        <w:rPr>
          <w:spacing w:val="-3"/>
        </w:rPr>
        <w:t>白酒勾兑、灌装场所和酒库未设置固定式乙醇蒸</w:t>
      </w:r>
      <w:r>
        <w:rPr>
          <w:spacing w:val="-2"/>
        </w:rPr>
        <w:t>气浓度监测报警装置，或者监测报警装置未与通风设施联锁的；</w:t>
      </w:r>
    </w:p>
    <w:p>
      <w:pPr>
        <w:pStyle w:val="BodyText"/>
        <w:spacing w:line="326" w:lineRule="auto"/>
        <w:ind w:right="420" w:firstLine="640"/>
      </w:pPr>
      <w:r>
        <w:rPr>
          <w:w w:val="95"/>
        </w:rPr>
        <w:t>（三</w:t>
      </w:r>
      <w:r>
        <w:rPr>
          <w:spacing w:val="-3"/>
          <w:w w:val="95"/>
        </w:rPr>
        <w:t>）</w:t>
      </w:r>
      <w:r>
        <w:rPr>
          <w:spacing w:val="-2"/>
          <w:w w:val="95"/>
        </w:rPr>
        <w:t>纸浆制造、造纸企业使用蒸气、明火直接加热钢 </w:t>
      </w:r>
      <w:r>
        <w:rPr>
          <w:spacing w:val="-2"/>
        </w:rPr>
        <w:t>瓶汽化液氯的；</w:t>
      </w:r>
    </w:p>
    <w:p>
      <w:pPr>
        <w:pStyle w:val="BodyText"/>
        <w:spacing w:line="328" w:lineRule="auto"/>
        <w:ind w:right="417" w:firstLine="640"/>
        <w:jc w:val="both"/>
      </w:pPr>
      <w:r>
        <w:rPr>
          <w:w w:val="95"/>
        </w:rPr>
        <w:t>（四</w:t>
      </w:r>
      <w:r>
        <w:rPr>
          <w:spacing w:val="-5"/>
          <w:w w:val="95"/>
        </w:rPr>
        <w:t>）</w:t>
      </w:r>
      <w:r>
        <w:rPr>
          <w:spacing w:val="-2"/>
          <w:w w:val="95"/>
        </w:rPr>
        <w:t>日用玻璃、陶瓷制造企业采用预混燃烧方式的燃 </w:t>
      </w:r>
      <w:r>
        <w:rPr>
          <w:spacing w:val="-4"/>
        </w:rPr>
        <w:t>气窑炉</w:t>
      </w:r>
      <w:r>
        <w:rPr/>
        <w:t>（热发生炉煤气窑炉除外</w:t>
      </w:r>
      <w:r>
        <w:rPr>
          <w:spacing w:val="-7"/>
        </w:rPr>
        <w:t>）</w:t>
      </w:r>
      <w:r>
        <w:rPr/>
        <w:t>的燃气总管未设置管道压</w:t>
      </w:r>
      <w:r>
        <w:rPr>
          <w:spacing w:val="-2"/>
        </w:rPr>
        <w:t>力监测报警装置，或者监测报警装置未与紧急自动切断装置联锁的；</w:t>
      </w:r>
    </w:p>
    <w:p>
      <w:pPr>
        <w:pStyle w:val="BodyText"/>
        <w:spacing w:line="326" w:lineRule="auto"/>
        <w:ind w:right="374" w:firstLine="640"/>
      </w:pPr>
      <w:r>
        <w:rPr/>
        <w:t>（五）日用玻璃制造企业玻璃窑炉的冷却保护系统未设置监测报警装置的；</w:t>
      </w:r>
    </w:p>
    <w:p>
      <w:pPr>
        <w:pStyle w:val="BodyText"/>
        <w:spacing w:line="326" w:lineRule="auto"/>
        <w:ind w:right="375" w:firstLine="640"/>
      </w:pPr>
      <w:r>
        <w:rPr/>
        <w:t>（六）使用非水性漆的调漆间、喷漆室未设置固定式可燃气体浓度监测报警装置或者通风设施的；</w:t>
      </w:r>
    </w:p>
    <w:p>
      <w:pPr>
        <w:pStyle w:val="BodyText"/>
        <w:spacing w:line="328" w:lineRule="auto" w:before="1"/>
        <w:ind w:right="375" w:firstLine="640"/>
      </w:pPr>
      <w:r>
        <w:rPr/>
        <w:t>（七）锂离子电池储存仓库未对故障电池采取有效物理隔离措施的。</w:t>
      </w:r>
    </w:p>
    <w:p>
      <w:pPr>
        <w:pStyle w:val="BodyText"/>
        <w:tabs>
          <w:tab w:pos="2419" w:val="left" w:leader="none"/>
        </w:tabs>
        <w:spacing w:line="326" w:lineRule="auto"/>
        <w:ind w:right="420" w:firstLine="640"/>
      </w:pPr>
      <w:r>
        <w:rPr>
          <w:rFonts w:ascii="黑体" w:eastAsia="黑体" w:hint="eastAsia"/>
        </w:rPr>
        <w:t>第九条</w:t>
        <w:tab/>
      </w:r>
      <w:r>
        <w:rPr/>
        <w:t>纺织企业有下列情形之一的</w:t>
      </w:r>
      <w:r>
        <w:rPr>
          <w:spacing w:val="-15"/>
        </w:rPr>
        <w:t>，</w:t>
      </w:r>
      <w:r>
        <w:rPr/>
        <w:t>应当判定为重</w:t>
      </w:r>
      <w:r>
        <w:rPr>
          <w:spacing w:val="-11"/>
        </w:rPr>
        <w:t>大</w:t>
      </w:r>
      <w:r>
        <w:rPr/>
        <w:t>事故隐患：</w:t>
      </w:r>
    </w:p>
    <w:p>
      <w:pPr>
        <w:pStyle w:val="BodyText"/>
        <w:spacing w:line="326" w:lineRule="auto" w:before="3"/>
        <w:ind w:right="417" w:firstLine="640"/>
        <w:jc w:val="both"/>
      </w:pPr>
      <w:r>
        <w:rPr>
          <w:w w:val="95"/>
        </w:rPr>
        <w:t>（一</w:t>
      </w:r>
      <w:r>
        <w:rPr>
          <w:spacing w:val="-3"/>
          <w:w w:val="95"/>
        </w:rPr>
        <w:t>）纱、线、织物加工的烧毛、开幅、烘干等热定型 工艺的汽化室、燃气贮罐、储油罐、热媒炉，未与生产加工 </w:t>
      </w:r>
      <w:r>
        <w:rPr>
          <w:spacing w:val="-3"/>
        </w:rPr>
        <w:t>等人员聚集场所隔开或者单独设置的；</w:t>
      </w:r>
    </w:p>
    <w:p>
      <w:pPr>
        <w:pStyle w:val="BodyText"/>
        <w:spacing w:before="8"/>
        <w:ind w:left="1140"/>
      </w:pPr>
      <w:r>
        <w:rPr/>
        <w:t>（二）保险粉、双氧水、次氯酸钠、亚氯酸钠、雕白粉</w:t>
      </w:r>
    </w:p>
    <w:p>
      <w:pPr>
        <w:pStyle w:val="BodyText"/>
        <w:spacing w:line="326" w:lineRule="auto" w:before="149"/>
        <w:ind w:right="375"/>
      </w:pPr>
      <w:r>
        <w:rPr/>
        <w:t>（吊白块）与禁忌物料混合储存，或者保险粉储存场所未采取防水防潮措施的。</w:t>
      </w:r>
    </w:p>
    <w:p>
      <w:pPr>
        <w:spacing w:after="0" w:line="326" w:lineRule="auto"/>
        <w:sectPr>
          <w:pgSz w:w="11910" w:h="16840"/>
          <w:pgMar w:header="0" w:footer="1000" w:top="1520" w:bottom="1180" w:left="1300" w:right="1380"/>
        </w:sectPr>
      </w:pPr>
    </w:p>
    <w:p>
      <w:pPr>
        <w:pStyle w:val="BodyText"/>
        <w:spacing w:line="326" w:lineRule="auto" w:before="32"/>
        <w:ind w:right="420" w:firstLine="640"/>
        <w:jc w:val="both"/>
      </w:pPr>
      <w:r>
        <w:rPr>
          <w:rFonts w:ascii="黑体" w:eastAsia="黑体" w:hint="eastAsia"/>
        </w:rPr>
        <w:t>第十条 </w:t>
      </w:r>
      <w:r>
        <w:rPr/>
        <w:t>烟草企业有下列情形之一的，应当判定为重大事故隐患：</w:t>
      </w:r>
    </w:p>
    <w:p>
      <w:pPr>
        <w:pStyle w:val="BodyText"/>
        <w:spacing w:line="328" w:lineRule="auto" w:before="3"/>
        <w:ind w:right="420" w:firstLine="640"/>
        <w:jc w:val="both"/>
      </w:pPr>
      <w:r>
        <w:rPr/>
        <w:t>（一</w:t>
      </w:r>
      <w:r>
        <w:rPr>
          <w:spacing w:val="-12"/>
        </w:rPr>
        <w:t>）</w:t>
      </w:r>
      <w:r>
        <w:rPr>
          <w:spacing w:val="-1"/>
        </w:rPr>
        <w:t>熏蒸作业场所未配备磷化氢气体浓度监测报警仪</w:t>
      </w:r>
      <w:r>
        <w:rPr>
          <w:spacing w:val="-4"/>
        </w:rPr>
        <w:t>器，或者未配备防毒面具，或者熏蒸杀虫作业前未确认无关</w:t>
      </w:r>
      <w:r>
        <w:rPr/>
        <w:t>人员全部撤离熏蒸作业场所的；</w:t>
      </w:r>
    </w:p>
    <w:p>
      <w:pPr>
        <w:pStyle w:val="BodyText"/>
        <w:spacing w:line="328" w:lineRule="auto"/>
        <w:ind w:right="419" w:firstLine="640"/>
        <w:jc w:val="both"/>
      </w:pPr>
      <w:r>
        <w:rPr/>
        <w:t>（二</w:t>
      </w:r>
      <w:r>
        <w:rPr>
          <w:spacing w:val="-12"/>
        </w:rPr>
        <w:t>）</w:t>
      </w:r>
      <w:r>
        <w:rPr>
          <w:spacing w:val="-1"/>
        </w:rPr>
        <w:t>使用液态二氧化碳制造膨胀烟丝的生产线和场所未设置固定式二氧化碳浓度监测报警装置，或者监测报警装置未与事故通风设施联锁的。</w:t>
      </w:r>
    </w:p>
    <w:p>
      <w:pPr>
        <w:pStyle w:val="BodyText"/>
        <w:spacing w:line="328" w:lineRule="auto"/>
        <w:ind w:right="420" w:firstLine="640"/>
        <w:jc w:val="both"/>
      </w:pPr>
      <w:r>
        <w:rPr>
          <w:rFonts w:ascii="黑体" w:eastAsia="黑体" w:hint="eastAsia"/>
        </w:rPr>
        <w:t>第十一条 </w:t>
      </w:r>
      <w:r>
        <w:rPr/>
        <w:t>存在粉尘爆炸危险的工贸企业有下列情形之一的，应当判定为重大事故隐患：</w:t>
      </w:r>
    </w:p>
    <w:p>
      <w:pPr>
        <w:pStyle w:val="BodyText"/>
        <w:spacing w:line="328" w:lineRule="auto"/>
        <w:ind w:right="417" w:firstLine="640"/>
        <w:jc w:val="both"/>
      </w:pPr>
      <w:r>
        <w:rPr>
          <w:spacing w:val="14"/>
          <w:w w:val="95"/>
        </w:rPr>
        <w:t>（一）</w:t>
      </w:r>
      <w:r>
        <w:rPr>
          <w:spacing w:val="13"/>
          <w:w w:val="95"/>
        </w:rPr>
        <w:t>粉尘爆炸危险场所设置在非框架结构的多层建  </w:t>
      </w:r>
      <w:r>
        <w:rPr>
          <w:spacing w:val="-1"/>
        </w:rPr>
        <w:t>(构)筑物内，或者粉尘爆炸危险场所内设有员工宿舍、会议室、办公室、休息室等人员聚集场所的；</w:t>
      </w:r>
    </w:p>
    <w:p>
      <w:pPr>
        <w:pStyle w:val="BodyText"/>
        <w:spacing w:line="326" w:lineRule="auto"/>
        <w:ind w:right="375" w:firstLine="640"/>
      </w:pPr>
      <w:r>
        <w:rPr/>
        <w:t>（二）不同类别的可燃性粉尘、可燃性粉尘与可燃气体</w:t>
      </w:r>
      <w:r>
        <w:rPr>
          <w:w w:val="95"/>
        </w:rPr>
        <w:t>等易加剧爆炸危险的介质共用一套除尘系统，或者不同建</w:t>
      </w:r>
    </w:p>
    <w:p>
      <w:pPr>
        <w:pStyle w:val="BodyText"/>
        <w:spacing w:line="326" w:lineRule="auto"/>
        <w:ind w:right="347"/>
      </w:pPr>
      <w:r>
        <w:rPr>
          <w:w w:val="95"/>
        </w:rPr>
        <w:t>（构）筑物、不同防火分区共用一套除尘系统、除尘系统互 </w:t>
      </w:r>
      <w:r>
        <w:rPr/>
        <w:t>联互通的；</w:t>
      </w:r>
    </w:p>
    <w:p>
      <w:pPr>
        <w:pStyle w:val="BodyText"/>
        <w:spacing w:line="328" w:lineRule="auto"/>
        <w:ind w:right="417" w:firstLine="640"/>
      </w:pPr>
      <w:r>
        <w:rPr>
          <w:w w:val="95"/>
        </w:rPr>
        <w:t>（三</w:t>
      </w:r>
      <w:r>
        <w:rPr>
          <w:spacing w:val="-3"/>
          <w:w w:val="95"/>
        </w:rPr>
        <w:t>）</w:t>
      </w:r>
      <w:r>
        <w:rPr>
          <w:spacing w:val="-2"/>
          <w:w w:val="95"/>
        </w:rPr>
        <w:t>干式除尘系统未采取泄爆、惰化、抑爆等任一种 </w:t>
      </w:r>
      <w:r>
        <w:rPr>
          <w:spacing w:val="-2"/>
        </w:rPr>
        <w:t>爆炸防控措施的；</w:t>
      </w:r>
    </w:p>
    <w:p>
      <w:pPr>
        <w:pStyle w:val="BodyText"/>
        <w:spacing w:line="328" w:lineRule="auto"/>
        <w:ind w:right="420" w:firstLine="640"/>
        <w:jc w:val="both"/>
      </w:pPr>
      <w:r>
        <w:rPr/>
        <w:t>（四</w:t>
      </w:r>
      <w:r>
        <w:rPr>
          <w:spacing w:val="-5"/>
        </w:rPr>
        <w:t>）</w:t>
      </w:r>
      <w:r>
        <w:rPr>
          <w:spacing w:val="-2"/>
        </w:rPr>
        <w:t>铝镁等金属粉尘除尘系统采用正压除尘方式，或</w:t>
      </w:r>
      <w:r>
        <w:rPr>
          <w:spacing w:val="-1"/>
        </w:rPr>
        <w:t>者其他可燃性粉尘除尘系统采用正压吹送粉尘时，未采取火花探测消除等防范点燃源措施的；</w:t>
      </w:r>
    </w:p>
    <w:p>
      <w:pPr>
        <w:pStyle w:val="BodyText"/>
        <w:spacing w:line="326" w:lineRule="auto"/>
        <w:ind w:right="375" w:firstLine="640"/>
      </w:pPr>
      <w:r>
        <w:rPr/>
        <w:t>（五）除尘系统采用重力沉降室除尘，或者采用干式巷道式构筑物作为除尘风道的；</w:t>
      </w:r>
    </w:p>
    <w:p>
      <w:pPr>
        <w:spacing w:after="0" w:line="326" w:lineRule="auto"/>
        <w:sectPr>
          <w:pgSz w:w="11910" w:h="16840"/>
          <w:pgMar w:header="0" w:footer="1000" w:top="1520" w:bottom="1180" w:left="1300" w:right="1380"/>
        </w:sectPr>
      </w:pPr>
    </w:p>
    <w:p>
      <w:pPr>
        <w:pStyle w:val="BodyText"/>
        <w:spacing w:line="326" w:lineRule="auto" w:before="32"/>
        <w:ind w:right="375" w:firstLine="640"/>
      </w:pPr>
      <w:r>
        <w:rPr/>
        <w:t>（六）铝镁等金属粉尘、木质粉尘的干式除尘系统未设置锁气卸灰装置的；</w:t>
      </w:r>
    </w:p>
    <w:p>
      <w:pPr>
        <w:pStyle w:val="BodyText"/>
        <w:spacing w:line="328" w:lineRule="auto" w:before="3"/>
        <w:ind w:right="373" w:firstLine="640"/>
      </w:pPr>
      <w:r>
        <w:rPr/>
        <w:t>（七）除尘器、收尘仓等划分为 20 区的粉尘爆炸危险场所电气设备不符合防爆要求的；</w:t>
      </w:r>
    </w:p>
    <w:p>
      <w:pPr>
        <w:pStyle w:val="BodyText"/>
        <w:spacing w:line="328" w:lineRule="auto"/>
        <w:ind w:right="417" w:firstLine="640"/>
        <w:jc w:val="both"/>
      </w:pPr>
      <w:r>
        <w:rPr>
          <w:w w:val="95"/>
        </w:rPr>
        <w:t>（八</w:t>
      </w:r>
      <w:r>
        <w:rPr>
          <w:spacing w:val="-3"/>
          <w:w w:val="95"/>
        </w:rPr>
        <w:t>）粉碎、研磨、造粒等易产生机械点燃源的工艺设 </w:t>
      </w:r>
      <w:r>
        <w:rPr>
          <w:spacing w:val="-4"/>
        </w:rPr>
        <w:t>备前，未设置铁、石等杂物去除装置，或者木制品加工企业与砂光机连接的风管未设置火花探测消除装置的；</w:t>
      </w:r>
    </w:p>
    <w:p>
      <w:pPr>
        <w:pStyle w:val="BodyText"/>
        <w:spacing w:line="328" w:lineRule="auto"/>
        <w:ind w:right="420" w:firstLine="640"/>
        <w:jc w:val="both"/>
      </w:pPr>
      <w:r>
        <w:rPr>
          <w:w w:val="95"/>
        </w:rPr>
        <w:t>（九</w:t>
      </w:r>
      <w:r>
        <w:rPr>
          <w:spacing w:val="-3"/>
          <w:w w:val="95"/>
        </w:rPr>
        <w:t>）</w:t>
      </w:r>
      <w:r>
        <w:rPr>
          <w:spacing w:val="-2"/>
          <w:w w:val="95"/>
        </w:rPr>
        <w:t>遇湿自燃金属粉尘收集、堆放、储存场所未采取 </w:t>
      </w:r>
      <w:r>
        <w:rPr>
          <w:spacing w:val="-5"/>
        </w:rPr>
        <w:t>通风等防止氢气积聚措施，或者干式收集、堆放、储存场所未采取防水、防潮措施的；</w:t>
      </w:r>
    </w:p>
    <w:p>
      <w:pPr>
        <w:pStyle w:val="BodyText"/>
        <w:spacing w:line="405" w:lineRule="exact"/>
        <w:ind w:left="1140"/>
      </w:pPr>
      <w:r>
        <w:rPr/>
        <w:t>（十</w:t>
      </w:r>
      <w:r>
        <w:rPr>
          <w:spacing w:val="-87"/>
        </w:rPr>
        <w:t>）</w:t>
      </w:r>
      <w:r>
        <w:rPr>
          <w:spacing w:val="-9"/>
        </w:rPr>
        <w:t>未落实粉尘清理制度，造成作业现场积尘严重的。</w:t>
      </w:r>
    </w:p>
    <w:p>
      <w:pPr>
        <w:pStyle w:val="BodyText"/>
        <w:tabs>
          <w:tab w:pos="2818" w:val="left" w:leader="none"/>
        </w:tabs>
        <w:spacing w:line="328" w:lineRule="auto" w:before="141"/>
        <w:ind w:right="420" w:firstLine="640"/>
      </w:pPr>
      <w:r>
        <w:rPr>
          <w:rFonts w:ascii="黑体" w:eastAsia="黑体" w:hint="eastAsia"/>
          <w:spacing w:val="14"/>
        </w:rPr>
        <w:t>第十二</w:t>
      </w:r>
      <w:r>
        <w:rPr>
          <w:rFonts w:ascii="黑体" w:eastAsia="黑体" w:hint="eastAsia"/>
        </w:rPr>
        <w:t>条</w:t>
        <w:tab/>
      </w:r>
      <w:r>
        <w:rPr>
          <w:spacing w:val="14"/>
          <w:w w:val="95"/>
        </w:rPr>
        <w:t>使用液氨</w:t>
      </w:r>
      <w:r>
        <w:rPr>
          <w:spacing w:val="12"/>
          <w:w w:val="95"/>
        </w:rPr>
        <w:t>制</w:t>
      </w:r>
      <w:r>
        <w:rPr>
          <w:spacing w:val="14"/>
          <w:w w:val="95"/>
        </w:rPr>
        <w:t>冷的工贸企业有</w:t>
      </w:r>
      <w:r>
        <w:rPr>
          <w:spacing w:val="12"/>
          <w:w w:val="95"/>
        </w:rPr>
        <w:t>下</w:t>
      </w:r>
      <w:r>
        <w:rPr>
          <w:spacing w:val="14"/>
          <w:w w:val="95"/>
        </w:rPr>
        <w:t>列情形之</w:t>
      </w:r>
      <w:r>
        <w:rPr>
          <w:w w:val="95"/>
        </w:rPr>
        <w:t>一</w:t>
      </w:r>
      <w:r>
        <w:rPr/>
        <w:t>的，应当判定为重大事故隐患：</w:t>
      </w:r>
    </w:p>
    <w:p>
      <w:pPr>
        <w:pStyle w:val="BodyText"/>
        <w:spacing w:line="326" w:lineRule="auto"/>
        <w:ind w:right="417" w:firstLine="640"/>
      </w:pPr>
      <w:r>
        <w:rPr>
          <w:w w:val="95"/>
        </w:rPr>
        <w:t>（一</w:t>
      </w:r>
      <w:r>
        <w:rPr>
          <w:spacing w:val="-3"/>
          <w:w w:val="95"/>
        </w:rPr>
        <w:t>）包装、分割、产品整理场所的空调系统采用氨直 </w:t>
      </w:r>
      <w:r>
        <w:rPr>
          <w:spacing w:val="-3"/>
        </w:rPr>
        <w:t>接蒸发制冷的；</w:t>
      </w:r>
    </w:p>
    <w:p>
      <w:pPr>
        <w:pStyle w:val="BodyText"/>
        <w:spacing w:line="326" w:lineRule="auto" w:before="3"/>
        <w:ind w:right="417" w:firstLine="640"/>
      </w:pPr>
      <w:r>
        <w:rPr>
          <w:w w:val="95"/>
        </w:rPr>
        <w:t>（二</w:t>
      </w:r>
      <w:r>
        <w:rPr>
          <w:spacing w:val="-5"/>
          <w:w w:val="95"/>
        </w:rPr>
        <w:t>）</w:t>
      </w:r>
      <w:r>
        <w:rPr>
          <w:spacing w:val="-1"/>
          <w:w w:val="95"/>
        </w:rPr>
        <w:t>快速冻结装置未设置在单独的作业间内，或者快 </w:t>
      </w:r>
      <w:r>
        <w:rPr>
          <w:spacing w:val="-6"/>
        </w:rPr>
        <w:t>速冻结装置作业间内作业人员数量超过 </w:t>
      </w:r>
      <w:r>
        <w:rPr/>
        <w:t>9</w:t>
      </w:r>
      <w:r>
        <w:rPr>
          <w:spacing w:val="-21"/>
        </w:rPr>
        <w:t> 人的。</w:t>
      </w:r>
    </w:p>
    <w:p>
      <w:pPr>
        <w:pStyle w:val="BodyText"/>
        <w:spacing w:line="328" w:lineRule="auto" w:before="3"/>
        <w:ind w:right="417" w:firstLine="640"/>
        <w:jc w:val="both"/>
      </w:pPr>
      <w:r>
        <w:rPr>
          <w:rFonts w:ascii="黑体" w:eastAsia="黑体" w:hint="eastAsia"/>
          <w:spacing w:val="30"/>
        </w:rPr>
        <w:t>第十三条 </w:t>
      </w:r>
      <w:r>
        <w:rPr>
          <w:spacing w:val="-3"/>
        </w:rPr>
        <w:t>存在硫化氢、一氧化碳等中毒风险的有限空</w:t>
      </w:r>
      <w:r>
        <w:rPr>
          <w:spacing w:val="-4"/>
        </w:rPr>
        <w:t>间作业的工贸企业有下列情形之一的，应当判定为重大事故隐患：</w:t>
      </w:r>
    </w:p>
    <w:p>
      <w:pPr>
        <w:pStyle w:val="BodyText"/>
        <w:spacing w:line="405" w:lineRule="exact"/>
        <w:ind w:left="1140"/>
      </w:pPr>
      <w:r>
        <w:rPr/>
        <w:t>（一）未对有限空间进行辨识、建立安全管理台账，并</w:t>
      </w:r>
    </w:p>
    <w:p>
      <w:pPr>
        <w:pStyle w:val="BodyText"/>
        <w:spacing w:before="152"/>
      </w:pPr>
      <w:r>
        <w:rPr/>
        <w:t>且未设置明显的安全警示标志的；</w:t>
      </w:r>
    </w:p>
    <w:p>
      <w:pPr>
        <w:pStyle w:val="BodyText"/>
        <w:spacing w:line="326" w:lineRule="auto" w:before="149"/>
        <w:ind w:right="259" w:firstLine="640"/>
      </w:pPr>
      <w:r>
        <w:rPr>
          <w:w w:val="95"/>
        </w:rPr>
        <w:t>（二</w:t>
      </w:r>
      <w:r>
        <w:rPr>
          <w:spacing w:val="-58"/>
          <w:w w:val="95"/>
        </w:rPr>
        <w:t>）</w:t>
      </w:r>
      <w:r>
        <w:rPr>
          <w:spacing w:val="-8"/>
          <w:w w:val="95"/>
        </w:rPr>
        <w:t>未落实有限空间作业审批，或者未执行“先通风、 </w:t>
      </w:r>
      <w:r>
        <w:rPr>
          <w:spacing w:val="-8"/>
        </w:rPr>
        <w:t>再检测、后作业”要求，或者作业现场未设置监护人员的。</w:t>
      </w:r>
    </w:p>
    <w:p>
      <w:pPr>
        <w:spacing w:after="0" w:line="326" w:lineRule="auto"/>
        <w:sectPr>
          <w:pgSz w:w="11910" w:h="16840"/>
          <w:pgMar w:header="0" w:footer="1000" w:top="1520" w:bottom="1180" w:left="1300" w:right="1380"/>
        </w:sectPr>
      </w:pPr>
    </w:p>
    <w:p>
      <w:pPr>
        <w:pStyle w:val="BodyText"/>
        <w:spacing w:line="326" w:lineRule="auto" w:before="32"/>
        <w:ind w:right="405" w:firstLine="640"/>
        <w:jc w:val="both"/>
      </w:pPr>
      <w:bookmarkStart w:name="重大火灾隐患判定方法" w:id="15"/>
      <w:bookmarkEnd w:id="15"/>
      <w:r>
        <w:rPr/>
      </w:r>
      <w:r>
        <w:rPr>
          <w:rFonts w:ascii="黑体" w:eastAsia="黑体" w:hint="eastAsia"/>
        </w:rPr>
        <w:t>第十四条 </w:t>
      </w:r>
      <w:r>
        <w:rPr/>
        <w:t>本标准所列情形中直接关系生产安全的监控、报警、防护等设施、设备、装置，应当保证正常运行、使用，失效或者无效均判定为重大事故隐患。</w:t>
      </w:r>
    </w:p>
    <w:p>
      <w:pPr>
        <w:pStyle w:val="BodyText"/>
        <w:spacing w:line="326" w:lineRule="auto" w:before="7"/>
        <w:ind w:right="420" w:firstLine="640"/>
        <w:jc w:val="both"/>
      </w:pPr>
      <w:r>
        <w:rPr>
          <w:rFonts w:ascii="黑体" w:eastAsia="黑体" w:hint="eastAsia"/>
          <w:spacing w:val="6"/>
        </w:rPr>
        <w:t>第十五条 </w:t>
      </w:r>
      <w:r>
        <w:rPr>
          <w:spacing w:val="-12"/>
        </w:rPr>
        <w:t>本标准自 </w:t>
      </w:r>
      <w:r>
        <w:rPr/>
        <w:t>2023</w:t>
      </w:r>
      <w:r>
        <w:rPr>
          <w:spacing w:val="-50"/>
        </w:rPr>
        <w:t> 年 </w:t>
      </w:r>
      <w:r>
        <w:rPr/>
        <w:t>5</w:t>
      </w:r>
      <w:r>
        <w:rPr>
          <w:spacing w:val="-51"/>
        </w:rPr>
        <w:t> 月 </w:t>
      </w:r>
      <w:r>
        <w:rPr/>
        <w:t>15</w:t>
      </w:r>
      <w:r>
        <w:rPr>
          <w:spacing w:val="-23"/>
        </w:rPr>
        <w:t> 日起施行。《工贸</w:t>
      </w:r>
      <w:r>
        <w:rPr>
          <w:spacing w:val="-25"/>
        </w:rPr>
        <w:t>行业重大生产安全事故隐患判定标准</w:t>
      </w:r>
      <w:r>
        <w:rPr/>
        <w:t>（2017</w:t>
      </w:r>
      <w:r>
        <w:rPr>
          <w:spacing w:val="-47"/>
        </w:rPr>
        <w:t> 版</w:t>
      </w:r>
      <w:r>
        <w:rPr>
          <w:spacing w:val="-159"/>
        </w:rPr>
        <w:t>）</w:t>
      </w:r>
      <w:r>
        <w:rPr>
          <w:spacing w:val="-207"/>
        </w:rPr>
        <w:t>》</w:t>
      </w:r>
      <w:r>
        <w:rPr/>
        <w:t>（安监总管四〔2017〕129</w:t>
      </w:r>
      <w:r>
        <w:rPr>
          <w:spacing w:val="-41"/>
        </w:rPr>
        <w:t> 号</w:t>
      </w:r>
      <w:r>
        <w:rPr/>
        <w:t>）同时废止。</w:t>
      </w:r>
    </w:p>
    <w:p>
      <w:pPr>
        <w:spacing w:after="0" w:line="326" w:lineRule="auto"/>
        <w:jc w:val="both"/>
        <w:sectPr>
          <w:pgSz w:w="11910" w:h="16840"/>
          <w:pgMar w:header="0" w:footer="1000" w:top="1520" w:bottom="1180" w:left="1300" w:right="1380"/>
        </w:sectPr>
      </w:pPr>
    </w:p>
    <w:p>
      <w:pPr>
        <w:pStyle w:val="BodyText"/>
        <w:ind w:left="0"/>
        <w:rPr>
          <w:sz w:val="20"/>
        </w:rPr>
      </w:pPr>
    </w:p>
    <w:p>
      <w:pPr>
        <w:pStyle w:val="Heading2"/>
        <w:spacing w:before="217"/>
        <w:ind w:left="80"/>
      </w:pPr>
      <w:r>
        <w:rPr/>
        <w:t>重大火灾隐患判定方法</w:t>
      </w:r>
    </w:p>
    <w:p>
      <w:pPr>
        <w:pStyle w:val="BodyText"/>
        <w:spacing w:before="10"/>
        <w:ind w:left="0"/>
        <w:rPr>
          <w:sz w:val="52"/>
        </w:rPr>
      </w:pPr>
    </w:p>
    <w:p>
      <w:pPr>
        <w:pStyle w:val="ListParagraph"/>
        <w:numPr>
          <w:ilvl w:val="0"/>
          <w:numId w:val="25"/>
        </w:numPr>
        <w:tabs>
          <w:tab w:pos="820" w:val="left" w:leader="none"/>
        </w:tabs>
        <w:spacing w:line="240" w:lineRule="auto" w:before="1" w:after="0"/>
        <w:ind w:left="819" w:right="0" w:hanging="320"/>
        <w:jc w:val="left"/>
        <w:rPr>
          <w:rFonts w:ascii="黑体" w:eastAsia="黑体" w:hint="eastAsia"/>
          <w:sz w:val="32"/>
        </w:rPr>
      </w:pPr>
      <w:r>
        <w:rPr>
          <w:rFonts w:ascii="黑体" w:eastAsia="黑体" w:hint="eastAsia"/>
          <w:sz w:val="32"/>
        </w:rPr>
        <w:t>范围</w:t>
      </w:r>
    </w:p>
    <w:p>
      <w:pPr>
        <w:pStyle w:val="BodyText"/>
        <w:spacing w:line="326" w:lineRule="auto" w:before="151"/>
        <w:ind w:right="375" w:firstLine="640"/>
      </w:pPr>
      <w:r>
        <w:rPr/>
        <w:t>本标准规定了重大火灾隐患的术语和定义、判定原则和程序、判定方法、直接判定要素和综合判定要素等。</w:t>
      </w:r>
    </w:p>
    <w:p>
      <w:pPr>
        <w:pStyle w:val="BodyText"/>
        <w:spacing w:line="328" w:lineRule="auto" w:before="3"/>
        <w:ind w:right="417" w:firstLine="640"/>
        <w:jc w:val="both"/>
      </w:pPr>
      <w:r>
        <w:rPr>
          <w:spacing w:val="-2"/>
          <w:w w:val="95"/>
        </w:rPr>
        <w:t>本标准适用于城乡消防安全布局、公共消防设施、在用 </w:t>
      </w:r>
      <w:r>
        <w:rPr>
          <w:spacing w:val="-3"/>
        </w:rPr>
        <w:t>工业与民用建筑</w:t>
      </w:r>
      <w:r>
        <w:rPr/>
        <w:t>（包括人民防空工程</w:t>
      </w:r>
      <w:r>
        <w:rPr>
          <w:spacing w:val="-5"/>
        </w:rPr>
        <w:t>）</w:t>
      </w:r>
      <w:r>
        <w:rPr/>
        <w:t>及相关场所因违反消</w:t>
      </w:r>
      <w:r>
        <w:rPr>
          <w:spacing w:val="-3"/>
        </w:rPr>
        <w:t>防法律法规、不符合消防技术标准而形成的重大火灾隐患的判定。</w:t>
      </w:r>
    </w:p>
    <w:p>
      <w:pPr>
        <w:pStyle w:val="ListParagraph"/>
        <w:numPr>
          <w:ilvl w:val="0"/>
          <w:numId w:val="25"/>
        </w:numPr>
        <w:tabs>
          <w:tab w:pos="820" w:val="left" w:leader="none"/>
        </w:tabs>
        <w:spacing w:line="240" w:lineRule="auto" w:before="151" w:after="0"/>
        <w:ind w:left="819" w:right="0" w:hanging="320"/>
        <w:jc w:val="left"/>
        <w:rPr>
          <w:rFonts w:ascii="黑体" w:eastAsia="黑体" w:hint="eastAsia"/>
          <w:sz w:val="32"/>
        </w:rPr>
      </w:pPr>
      <w:r>
        <w:rPr>
          <w:rFonts w:ascii="黑体" w:eastAsia="黑体" w:hint="eastAsia"/>
          <w:sz w:val="32"/>
        </w:rPr>
        <w:t>规范性引用文件</w:t>
      </w:r>
    </w:p>
    <w:p>
      <w:pPr>
        <w:pStyle w:val="BodyText"/>
        <w:spacing w:before="11"/>
        <w:ind w:left="0"/>
        <w:rPr>
          <w:rFonts w:ascii="黑体"/>
          <w:sz w:val="23"/>
        </w:rPr>
      </w:pPr>
    </w:p>
    <w:p>
      <w:pPr>
        <w:pStyle w:val="BodyText"/>
        <w:spacing w:line="328" w:lineRule="auto"/>
        <w:ind w:right="405"/>
        <w:jc w:val="both"/>
      </w:pPr>
      <w:r>
        <w:rPr/>
        <w:t>下列文件对于本文件的应用是必不可少的。凡是注日期的引用文件，仅注日期的版本适用于本文件。凡是不注日期的引用文件，其最新版本（包括所有的修改单）适用于本文件。GB/T 5907 （所有部分）消防词汇</w:t>
      </w:r>
    </w:p>
    <w:p>
      <w:pPr>
        <w:pStyle w:val="BodyText"/>
        <w:spacing w:line="402" w:lineRule="exact"/>
        <w:jc w:val="both"/>
      </w:pPr>
      <w:r>
        <w:rPr/>
        <w:t>GB 8624 建筑材料及制品燃烧性能分级</w:t>
      </w:r>
    </w:p>
    <w:p>
      <w:pPr>
        <w:pStyle w:val="BodyText"/>
        <w:spacing w:before="5"/>
        <w:ind w:left="0"/>
        <w:rPr>
          <w:sz w:val="15"/>
        </w:rPr>
      </w:pPr>
    </w:p>
    <w:tbl>
      <w:tblPr>
        <w:tblW w:w="0" w:type="auto"/>
        <w:jc w:val="left"/>
        <w:tblInd w:w="4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0"/>
        <w:gridCol w:w="960"/>
        <w:gridCol w:w="4608"/>
      </w:tblGrid>
      <w:tr>
        <w:trPr>
          <w:trHeight w:val="439" w:hRule="atLeast"/>
        </w:trPr>
        <w:tc>
          <w:tcPr>
            <w:tcW w:w="450" w:type="dxa"/>
          </w:tcPr>
          <w:p>
            <w:pPr>
              <w:pStyle w:val="TableParagraph"/>
              <w:spacing w:line="364" w:lineRule="exact"/>
              <w:ind w:left="31" w:right="58"/>
              <w:jc w:val="center"/>
              <w:rPr>
                <w:sz w:val="32"/>
              </w:rPr>
            </w:pPr>
            <w:r>
              <w:rPr>
                <w:sz w:val="32"/>
              </w:rPr>
              <w:t>GB</w:t>
            </w:r>
          </w:p>
        </w:tc>
        <w:tc>
          <w:tcPr>
            <w:tcW w:w="960" w:type="dxa"/>
          </w:tcPr>
          <w:p>
            <w:pPr>
              <w:pStyle w:val="TableParagraph"/>
              <w:spacing w:line="364" w:lineRule="exact"/>
              <w:ind w:left="60" w:right="60"/>
              <w:jc w:val="center"/>
              <w:rPr>
                <w:sz w:val="32"/>
              </w:rPr>
            </w:pPr>
            <w:r>
              <w:rPr>
                <w:sz w:val="32"/>
              </w:rPr>
              <w:t>13690</w:t>
            </w:r>
          </w:p>
        </w:tc>
        <w:tc>
          <w:tcPr>
            <w:tcW w:w="4608" w:type="dxa"/>
          </w:tcPr>
          <w:p>
            <w:pPr>
              <w:pStyle w:val="TableParagraph"/>
              <w:spacing w:line="364" w:lineRule="exact"/>
              <w:ind w:left="80"/>
              <w:rPr>
                <w:sz w:val="32"/>
              </w:rPr>
            </w:pPr>
            <w:r>
              <w:rPr>
                <w:sz w:val="32"/>
              </w:rPr>
              <w:t>化学品分类和危险性公示通则</w:t>
            </w:r>
          </w:p>
        </w:tc>
      </w:tr>
      <w:tr>
        <w:trPr>
          <w:trHeight w:val="559" w:hRule="atLeast"/>
        </w:trPr>
        <w:tc>
          <w:tcPr>
            <w:tcW w:w="450" w:type="dxa"/>
          </w:tcPr>
          <w:p>
            <w:pPr>
              <w:pStyle w:val="TableParagraph"/>
              <w:spacing w:before="74"/>
              <w:ind w:left="31" w:right="58"/>
              <w:jc w:val="center"/>
              <w:rPr>
                <w:sz w:val="32"/>
              </w:rPr>
            </w:pPr>
            <w:r>
              <w:rPr>
                <w:sz w:val="32"/>
              </w:rPr>
              <w:t>GB</w:t>
            </w:r>
          </w:p>
        </w:tc>
        <w:tc>
          <w:tcPr>
            <w:tcW w:w="960" w:type="dxa"/>
          </w:tcPr>
          <w:p>
            <w:pPr>
              <w:pStyle w:val="TableParagraph"/>
              <w:spacing w:before="74"/>
              <w:ind w:left="60" w:right="60"/>
              <w:jc w:val="center"/>
              <w:rPr>
                <w:sz w:val="32"/>
              </w:rPr>
            </w:pPr>
            <w:r>
              <w:rPr>
                <w:sz w:val="32"/>
              </w:rPr>
              <w:t>25506</w:t>
            </w:r>
          </w:p>
        </w:tc>
        <w:tc>
          <w:tcPr>
            <w:tcW w:w="4608" w:type="dxa"/>
          </w:tcPr>
          <w:p>
            <w:pPr>
              <w:pStyle w:val="TableParagraph"/>
              <w:spacing w:before="74"/>
              <w:ind w:left="80"/>
              <w:rPr>
                <w:sz w:val="32"/>
              </w:rPr>
            </w:pPr>
            <w:r>
              <w:rPr>
                <w:sz w:val="32"/>
              </w:rPr>
              <w:t>消防控制室通用技术要求</w:t>
            </w:r>
          </w:p>
        </w:tc>
      </w:tr>
      <w:tr>
        <w:trPr>
          <w:trHeight w:val="560" w:hRule="atLeast"/>
        </w:trPr>
        <w:tc>
          <w:tcPr>
            <w:tcW w:w="450" w:type="dxa"/>
          </w:tcPr>
          <w:p>
            <w:pPr>
              <w:pStyle w:val="TableParagraph"/>
              <w:spacing w:before="74"/>
              <w:ind w:left="31" w:right="58"/>
              <w:jc w:val="center"/>
              <w:rPr>
                <w:sz w:val="32"/>
              </w:rPr>
            </w:pPr>
            <w:r>
              <w:rPr>
                <w:sz w:val="32"/>
              </w:rPr>
              <w:t>GB</w:t>
            </w:r>
          </w:p>
        </w:tc>
        <w:tc>
          <w:tcPr>
            <w:tcW w:w="960" w:type="dxa"/>
          </w:tcPr>
          <w:p>
            <w:pPr>
              <w:pStyle w:val="TableParagraph"/>
              <w:spacing w:before="74"/>
              <w:ind w:left="60" w:right="60"/>
              <w:jc w:val="center"/>
              <w:rPr>
                <w:sz w:val="32"/>
              </w:rPr>
            </w:pPr>
            <w:r>
              <w:rPr>
                <w:sz w:val="32"/>
              </w:rPr>
              <w:t>50016</w:t>
            </w:r>
          </w:p>
        </w:tc>
        <w:tc>
          <w:tcPr>
            <w:tcW w:w="4608" w:type="dxa"/>
          </w:tcPr>
          <w:p>
            <w:pPr>
              <w:pStyle w:val="TableParagraph"/>
              <w:spacing w:before="74"/>
              <w:ind w:left="80"/>
              <w:rPr>
                <w:sz w:val="32"/>
              </w:rPr>
            </w:pPr>
            <w:r>
              <w:rPr>
                <w:sz w:val="32"/>
              </w:rPr>
              <w:t>建筑设计防火规范</w:t>
            </w:r>
          </w:p>
        </w:tc>
      </w:tr>
      <w:tr>
        <w:trPr>
          <w:trHeight w:val="560" w:hRule="atLeast"/>
        </w:trPr>
        <w:tc>
          <w:tcPr>
            <w:tcW w:w="450" w:type="dxa"/>
          </w:tcPr>
          <w:p>
            <w:pPr>
              <w:pStyle w:val="TableParagraph"/>
              <w:spacing w:before="75"/>
              <w:ind w:left="31" w:right="58"/>
              <w:jc w:val="center"/>
              <w:rPr>
                <w:sz w:val="32"/>
              </w:rPr>
            </w:pPr>
            <w:r>
              <w:rPr>
                <w:sz w:val="32"/>
              </w:rPr>
              <w:t>GB</w:t>
            </w:r>
          </w:p>
        </w:tc>
        <w:tc>
          <w:tcPr>
            <w:tcW w:w="960" w:type="dxa"/>
          </w:tcPr>
          <w:p>
            <w:pPr>
              <w:pStyle w:val="TableParagraph"/>
              <w:spacing w:before="75"/>
              <w:ind w:left="60" w:right="60"/>
              <w:jc w:val="center"/>
              <w:rPr>
                <w:sz w:val="32"/>
              </w:rPr>
            </w:pPr>
            <w:r>
              <w:rPr>
                <w:sz w:val="32"/>
              </w:rPr>
              <w:t>50074</w:t>
            </w:r>
          </w:p>
        </w:tc>
        <w:tc>
          <w:tcPr>
            <w:tcW w:w="4608" w:type="dxa"/>
          </w:tcPr>
          <w:p>
            <w:pPr>
              <w:pStyle w:val="TableParagraph"/>
              <w:spacing w:before="75"/>
              <w:ind w:left="80"/>
              <w:rPr>
                <w:sz w:val="32"/>
              </w:rPr>
            </w:pPr>
            <w:r>
              <w:rPr>
                <w:sz w:val="32"/>
              </w:rPr>
              <w:t>石油库设计规范</w:t>
            </w:r>
          </w:p>
        </w:tc>
      </w:tr>
      <w:tr>
        <w:trPr>
          <w:trHeight w:val="559" w:hRule="atLeast"/>
        </w:trPr>
        <w:tc>
          <w:tcPr>
            <w:tcW w:w="450" w:type="dxa"/>
          </w:tcPr>
          <w:p>
            <w:pPr>
              <w:pStyle w:val="TableParagraph"/>
              <w:spacing w:before="74"/>
              <w:ind w:left="31" w:right="58"/>
              <w:jc w:val="center"/>
              <w:rPr>
                <w:sz w:val="32"/>
              </w:rPr>
            </w:pPr>
            <w:r>
              <w:rPr>
                <w:sz w:val="32"/>
              </w:rPr>
              <w:t>GB</w:t>
            </w:r>
          </w:p>
        </w:tc>
        <w:tc>
          <w:tcPr>
            <w:tcW w:w="960" w:type="dxa"/>
          </w:tcPr>
          <w:p>
            <w:pPr>
              <w:pStyle w:val="TableParagraph"/>
              <w:spacing w:before="74"/>
              <w:ind w:left="60" w:right="60"/>
              <w:jc w:val="center"/>
              <w:rPr>
                <w:sz w:val="32"/>
              </w:rPr>
            </w:pPr>
            <w:r>
              <w:rPr>
                <w:sz w:val="32"/>
              </w:rPr>
              <w:t>50084</w:t>
            </w:r>
          </w:p>
        </w:tc>
        <w:tc>
          <w:tcPr>
            <w:tcW w:w="4608" w:type="dxa"/>
          </w:tcPr>
          <w:p>
            <w:pPr>
              <w:pStyle w:val="TableParagraph"/>
              <w:spacing w:before="74"/>
              <w:ind w:left="80"/>
              <w:rPr>
                <w:sz w:val="32"/>
              </w:rPr>
            </w:pPr>
            <w:r>
              <w:rPr>
                <w:sz w:val="32"/>
              </w:rPr>
              <w:t>自动喷水灭火系统设计规范</w:t>
            </w:r>
          </w:p>
        </w:tc>
      </w:tr>
      <w:tr>
        <w:trPr>
          <w:trHeight w:val="560" w:hRule="atLeast"/>
        </w:trPr>
        <w:tc>
          <w:tcPr>
            <w:tcW w:w="450" w:type="dxa"/>
          </w:tcPr>
          <w:p>
            <w:pPr>
              <w:pStyle w:val="TableParagraph"/>
              <w:spacing w:before="74"/>
              <w:ind w:left="31" w:right="58"/>
              <w:jc w:val="center"/>
              <w:rPr>
                <w:sz w:val="32"/>
              </w:rPr>
            </w:pPr>
            <w:r>
              <w:rPr>
                <w:sz w:val="32"/>
              </w:rPr>
              <w:t>GB</w:t>
            </w:r>
          </w:p>
        </w:tc>
        <w:tc>
          <w:tcPr>
            <w:tcW w:w="960" w:type="dxa"/>
          </w:tcPr>
          <w:p>
            <w:pPr>
              <w:pStyle w:val="TableParagraph"/>
              <w:spacing w:before="74"/>
              <w:ind w:left="60" w:right="60"/>
              <w:jc w:val="center"/>
              <w:rPr>
                <w:sz w:val="32"/>
              </w:rPr>
            </w:pPr>
            <w:r>
              <w:rPr>
                <w:sz w:val="32"/>
              </w:rPr>
              <w:t>50116</w:t>
            </w:r>
          </w:p>
        </w:tc>
        <w:tc>
          <w:tcPr>
            <w:tcW w:w="4608" w:type="dxa"/>
          </w:tcPr>
          <w:p>
            <w:pPr>
              <w:pStyle w:val="TableParagraph"/>
              <w:spacing w:before="74"/>
              <w:ind w:left="80"/>
              <w:rPr>
                <w:sz w:val="32"/>
              </w:rPr>
            </w:pPr>
            <w:r>
              <w:rPr>
                <w:sz w:val="32"/>
              </w:rPr>
              <w:t>火灾自动报警系统设计规范</w:t>
            </w:r>
          </w:p>
        </w:tc>
      </w:tr>
      <w:tr>
        <w:trPr>
          <w:trHeight w:val="560" w:hRule="atLeast"/>
        </w:trPr>
        <w:tc>
          <w:tcPr>
            <w:tcW w:w="450" w:type="dxa"/>
          </w:tcPr>
          <w:p>
            <w:pPr>
              <w:pStyle w:val="TableParagraph"/>
              <w:spacing w:before="75"/>
              <w:ind w:left="31" w:right="58"/>
              <w:jc w:val="center"/>
              <w:rPr>
                <w:sz w:val="32"/>
              </w:rPr>
            </w:pPr>
            <w:r>
              <w:rPr>
                <w:sz w:val="32"/>
              </w:rPr>
              <w:t>GB</w:t>
            </w:r>
          </w:p>
        </w:tc>
        <w:tc>
          <w:tcPr>
            <w:tcW w:w="960" w:type="dxa"/>
          </w:tcPr>
          <w:p>
            <w:pPr>
              <w:pStyle w:val="TableParagraph"/>
              <w:spacing w:before="75"/>
              <w:ind w:left="60" w:right="60"/>
              <w:jc w:val="center"/>
              <w:rPr>
                <w:sz w:val="32"/>
              </w:rPr>
            </w:pPr>
            <w:r>
              <w:rPr>
                <w:sz w:val="32"/>
              </w:rPr>
              <w:t>50156</w:t>
            </w:r>
          </w:p>
        </w:tc>
        <w:tc>
          <w:tcPr>
            <w:tcW w:w="4608" w:type="dxa"/>
          </w:tcPr>
          <w:p>
            <w:pPr>
              <w:pStyle w:val="TableParagraph"/>
              <w:spacing w:before="75"/>
              <w:ind w:left="80"/>
              <w:rPr>
                <w:sz w:val="32"/>
              </w:rPr>
            </w:pPr>
            <w:r>
              <w:rPr>
                <w:sz w:val="32"/>
              </w:rPr>
              <w:t>汽车加油加气站设计与施工规范</w:t>
            </w:r>
          </w:p>
        </w:tc>
      </w:tr>
      <w:tr>
        <w:trPr>
          <w:trHeight w:val="439" w:hRule="atLeast"/>
        </w:trPr>
        <w:tc>
          <w:tcPr>
            <w:tcW w:w="450" w:type="dxa"/>
          </w:tcPr>
          <w:p>
            <w:pPr>
              <w:pStyle w:val="TableParagraph"/>
              <w:spacing w:line="345" w:lineRule="exact" w:before="74"/>
              <w:ind w:left="31" w:right="58"/>
              <w:jc w:val="center"/>
              <w:rPr>
                <w:sz w:val="32"/>
              </w:rPr>
            </w:pPr>
            <w:r>
              <w:rPr>
                <w:sz w:val="32"/>
              </w:rPr>
              <w:t>GB</w:t>
            </w:r>
          </w:p>
        </w:tc>
        <w:tc>
          <w:tcPr>
            <w:tcW w:w="960" w:type="dxa"/>
          </w:tcPr>
          <w:p>
            <w:pPr>
              <w:pStyle w:val="TableParagraph"/>
              <w:spacing w:line="345" w:lineRule="exact" w:before="74"/>
              <w:ind w:left="60" w:right="60"/>
              <w:jc w:val="center"/>
              <w:rPr>
                <w:sz w:val="32"/>
              </w:rPr>
            </w:pPr>
            <w:r>
              <w:rPr>
                <w:sz w:val="32"/>
              </w:rPr>
              <w:t>50222</w:t>
            </w:r>
          </w:p>
        </w:tc>
        <w:tc>
          <w:tcPr>
            <w:tcW w:w="4608" w:type="dxa"/>
          </w:tcPr>
          <w:p>
            <w:pPr>
              <w:pStyle w:val="TableParagraph"/>
              <w:spacing w:line="345" w:lineRule="exact" w:before="74"/>
              <w:ind w:left="80"/>
              <w:rPr>
                <w:sz w:val="32"/>
              </w:rPr>
            </w:pPr>
            <w:r>
              <w:rPr>
                <w:sz w:val="32"/>
              </w:rPr>
              <w:t>建筑内部装修设计防火规范</w:t>
            </w:r>
          </w:p>
        </w:tc>
      </w:tr>
    </w:tbl>
    <w:p>
      <w:pPr>
        <w:spacing w:after="0" w:line="345" w:lineRule="exact"/>
        <w:rPr>
          <w:sz w:val="32"/>
        </w:rPr>
        <w:sectPr>
          <w:pgSz w:w="11910" w:h="16840"/>
          <w:pgMar w:header="0" w:footer="1000" w:top="1580" w:bottom="1180" w:left="1300" w:right="1380"/>
        </w:sectPr>
      </w:pPr>
    </w:p>
    <w:p>
      <w:pPr>
        <w:pStyle w:val="BodyText"/>
        <w:spacing w:before="32"/>
      </w:pPr>
      <w:r>
        <w:rPr/>
        <w:t>GB 50974 消防给水及消火栓系统技术规范</w:t>
      </w:r>
    </w:p>
    <w:p>
      <w:pPr>
        <w:pStyle w:val="BodyText"/>
        <w:spacing w:before="149"/>
      </w:pPr>
      <w:r>
        <w:rPr/>
        <w:t>GA 703 住宿与生产储存经营合用场所消防安全技术要求</w:t>
      </w:r>
    </w:p>
    <w:p>
      <w:pPr>
        <w:pStyle w:val="BodyText"/>
        <w:spacing w:before="10"/>
        <w:ind w:left="0"/>
        <w:rPr>
          <w:sz w:val="23"/>
        </w:rPr>
      </w:pPr>
    </w:p>
    <w:p>
      <w:pPr>
        <w:pStyle w:val="ListParagraph"/>
        <w:numPr>
          <w:ilvl w:val="0"/>
          <w:numId w:val="25"/>
        </w:numPr>
        <w:tabs>
          <w:tab w:pos="820" w:val="left" w:leader="none"/>
        </w:tabs>
        <w:spacing w:line="240" w:lineRule="auto" w:before="0" w:after="0"/>
        <w:ind w:left="819" w:right="0" w:hanging="320"/>
        <w:jc w:val="left"/>
        <w:rPr>
          <w:rFonts w:ascii="黑体" w:eastAsia="黑体" w:hint="eastAsia"/>
          <w:sz w:val="32"/>
        </w:rPr>
      </w:pPr>
      <w:r>
        <w:rPr>
          <w:rFonts w:ascii="黑体" w:eastAsia="黑体" w:hint="eastAsia"/>
          <w:sz w:val="32"/>
        </w:rPr>
        <w:t>术语和定义</w:t>
      </w:r>
    </w:p>
    <w:p>
      <w:pPr>
        <w:pStyle w:val="BodyText"/>
        <w:ind w:left="0"/>
        <w:rPr>
          <w:rFonts w:ascii="黑体"/>
          <w:sz w:val="24"/>
        </w:rPr>
      </w:pPr>
    </w:p>
    <w:p>
      <w:pPr>
        <w:pStyle w:val="BodyText"/>
        <w:spacing w:line="326" w:lineRule="auto"/>
        <w:ind w:right="343"/>
      </w:pPr>
      <w:r>
        <w:rPr/>
        <w:t>GB/T </w:t>
      </w:r>
      <w:r>
        <w:rPr>
          <w:spacing w:val="2"/>
        </w:rPr>
        <w:t>5907</w:t>
      </w:r>
      <w:r>
        <w:rPr>
          <w:spacing w:val="12"/>
        </w:rPr>
        <w:t>、</w:t>
      </w:r>
      <w:r>
        <w:rPr/>
        <w:t>GB </w:t>
      </w:r>
      <w:r>
        <w:rPr>
          <w:spacing w:val="2"/>
        </w:rPr>
        <w:t>13690</w:t>
      </w:r>
      <w:r>
        <w:rPr>
          <w:spacing w:val="12"/>
        </w:rPr>
        <w:t>、</w:t>
      </w:r>
      <w:r>
        <w:rPr/>
        <w:t>GB </w:t>
      </w:r>
      <w:r>
        <w:rPr>
          <w:spacing w:val="2"/>
        </w:rPr>
        <w:t>50016</w:t>
      </w:r>
      <w:r>
        <w:rPr>
          <w:spacing w:val="9"/>
        </w:rPr>
        <w:t>、</w:t>
      </w:r>
      <w:r>
        <w:rPr/>
        <w:t>GB 50074</w:t>
      </w:r>
      <w:r>
        <w:rPr>
          <w:spacing w:val="12"/>
        </w:rPr>
        <w:t>、</w:t>
      </w:r>
      <w:r>
        <w:rPr/>
        <w:t>GB 50084、GB 50116、GB 50156、GB 50222、GB 50974</w:t>
      </w:r>
      <w:r>
        <w:rPr>
          <w:spacing w:val="-12"/>
        </w:rPr>
        <w:t> 界定的以及下列</w:t>
      </w:r>
    </w:p>
    <w:p>
      <w:pPr>
        <w:pStyle w:val="BodyText"/>
        <w:spacing w:before="3"/>
      </w:pPr>
      <w:r>
        <w:rPr/>
        <w:t>术语和定义适用于本文件。</w:t>
      </w:r>
    </w:p>
    <w:p>
      <w:pPr>
        <w:pStyle w:val="Heading3"/>
        <w:numPr>
          <w:ilvl w:val="1"/>
          <w:numId w:val="25"/>
        </w:numPr>
        <w:tabs>
          <w:tab w:pos="1144" w:val="left" w:leader="none"/>
        </w:tabs>
        <w:spacing w:line="240" w:lineRule="auto" w:before="46" w:after="0"/>
        <w:ind w:left="1143" w:right="0" w:hanging="644"/>
        <w:jc w:val="left"/>
        <w:rPr>
          <w:rFonts w:ascii="宋体" w:eastAsia="宋体" w:hint="eastAsia"/>
        </w:rPr>
      </w:pPr>
      <w:r>
        <w:rPr/>
        <w:t>重大火灾隐患 </w:t>
      </w:r>
      <w:r>
        <w:rPr>
          <w:rFonts w:ascii="宋体" w:eastAsia="宋体" w:hint="eastAsia"/>
        </w:rPr>
        <w:t>major</w:t>
      </w:r>
      <w:r>
        <w:rPr>
          <w:rFonts w:ascii="宋体" w:eastAsia="宋体" w:hint="eastAsia"/>
          <w:spacing w:val="-2"/>
        </w:rPr>
        <w:t> </w:t>
      </w:r>
      <w:r>
        <w:rPr>
          <w:rFonts w:ascii="宋体" w:eastAsia="宋体" w:hint="eastAsia"/>
        </w:rPr>
        <w:t>fire potential</w:t>
      </w:r>
    </w:p>
    <w:p>
      <w:pPr>
        <w:pStyle w:val="BodyText"/>
        <w:spacing w:line="328" w:lineRule="auto" w:before="77"/>
        <w:ind w:right="420"/>
        <w:jc w:val="both"/>
      </w:pPr>
      <w:r>
        <w:rPr>
          <w:spacing w:val="-3"/>
        </w:rPr>
        <w:t>违反消防法律法规、不符合消防技术标准，可能导致火灾发生或火灾危害增大，并由此可能造成重大、特别重大火灾事</w:t>
      </w:r>
      <w:r>
        <w:rPr/>
        <w:t>故或严重社会影响的各类潜在不安全因素。</w:t>
      </w:r>
    </w:p>
    <w:p>
      <w:pPr>
        <w:pStyle w:val="Heading3"/>
        <w:numPr>
          <w:ilvl w:val="1"/>
          <w:numId w:val="25"/>
        </w:numPr>
        <w:tabs>
          <w:tab w:pos="1144" w:val="left" w:leader="none"/>
        </w:tabs>
        <w:spacing w:line="478" w:lineRule="exact" w:before="0" w:after="0"/>
        <w:ind w:left="1143" w:right="0" w:hanging="644"/>
        <w:jc w:val="both"/>
        <w:rPr>
          <w:rFonts w:ascii="宋体" w:eastAsia="宋体" w:hint="eastAsia"/>
        </w:rPr>
      </w:pPr>
      <w:r>
        <w:rPr/>
        <w:t>公共娱乐场所 </w:t>
      </w:r>
      <w:r>
        <w:rPr>
          <w:rFonts w:ascii="宋体" w:eastAsia="宋体" w:hint="eastAsia"/>
        </w:rPr>
        <w:t>place</w:t>
      </w:r>
      <w:r>
        <w:rPr>
          <w:rFonts w:ascii="宋体" w:eastAsia="宋体" w:hint="eastAsia"/>
          <w:spacing w:val="-2"/>
        </w:rPr>
        <w:t> </w:t>
      </w:r>
      <w:r>
        <w:rPr>
          <w:rFonts w:ascii="宋体" w:eastAsia="宋体" w:hint="eastAsia"/>
        </w:rPr>
        <w:t>of</w:t>
      </w:r>
      <w:r>
        <w:rPr>
          <w:rFonts w:ascii="宋体" w:eastAsia="宋体" w:hint="eastAsia"/>
          <w:spacing w:val="-1"/>
        </w:rPr>
        <w:t> </w:t>
      </w:r>
      <w:r>
        <w:rPr>
          <w:rFonts w:ascii="宋体" w:eastAsia="宋体" w:hint="eastAsia"/>
        </w:rPr>
        <w:t>public amusement</w:t>
      </w:r>
    </w:p>
    <w:p>
      <w:pPr>
        <w:pStyle w:val="BodyText"/>
        <w:spacing w:line="328" w:lineRule="auto" w:before="76"/>
        <w:ind w:right="417"/>
        <w:jc w:val="both"/>
      </w:pPr>
      <w:r>
        <w:rPr>
          <w:spacing w:val="-2"/>
        </w:rPr>
        <w:t>具有文化娱乐、健身休闲功能并向公众开放的室内场所，包</w:t>
      </w:r>
      <w:r>
        <w:rPr>
          <w:spacing w:val="-14"/>
        </w:rPr>
        <w:t>括影剧院、录像厅、礼堂等演出、放映场所，舞厅、卡拉 </w:t>
      </w:r>
      <w:r>
        <w:rPr/>
        <w:t>OK </w:t>
      </w:r>
      <w:r>
        <w:rPr>
          <w:spacing w:val="-2"/>
        </w:rPr>
        <w:t>厅等歌舞娱乐场所，具有娱乐功能的夜总会、音乐茶座和餐</w:t>
      </w:r>
      <w:r>
        <w:rPr>
          <w:spacing w:val="-3"/>
        </w:rPr>
        <w:t>饮场所，游艺、游乐场所，保龄球馆、旱冰场、桑拿浴室等营业性健身、休闲场所。</w:t>
      </w:r>
    </w:p>
    <w:p>
      <w:pPr>
        <w:pStyle w:val="Heading3"/>
        <w:numPr>
          <w:ilvl w:val="1"/>
          <w:numId w:val="25"/>
        </w:numPr>
        <w:tabs>
          <w:tab w:pos="1144" w:val="left" w:leader="none"/>
        </w:tabs>
        <w:spacing w:line="475" w:lineRule="exact" w:before="0" w:after="0"/>
        <w:ind w:left="1143" w:right="0" w:hanging="644"/>
        <w:jc w:val="both"/>
        <w:rPr>
          <w:rFonts w:ascii="宋体" w:eastAsia="宋体" w:hint="eastAsia"/>
        </w:rPr>
      </w:pPr>
      <w:r>
        <w:rPr/>
        <w:t>公众聚集场所 </w:t>
      </w:r>
      <w:r>
        <w:rPr>
          <w:rFonts w:ascii="宋体" w:eastAsia="宋体" w:hint="eastAsia"/>
        </w:rPr>
        <w:t>public gathering</w:t>
      </w:r>
      <w:r>
        <w:rPr>
          <w:rFonts w:ascii="宋体" w:eastAsia="宋体" w:hint="eastAsia"/>
          <w:spacing w:val="-3"/>
        </w:rPr>
        <w:t> </w:t>
      </w:r>
      <w:r>
        <w:rPr>
          <w:rFonts w:ascii="宋体" w:eastAsia="宋体" w:hint="eastAsia"/>
        </w:rPr>
        <w:t>place</w:t>
      </w:r>
    </w:p>
    <w:p>
      <w:pPr>
        <w:pStyle w:val="BodyText"/>
        <w:spacing w:line="328" w:lineRule="auto" w:before="77"/>
        <w:ind w:right="417"/>
        <w:jc w:val="both"/>
      </w:pPr>
      <w:r>
        <w:rPr>
          <w:spacing w:val="-3"/>
        </w:rPr>
        <w:t>宾馆、饭店、商场、集贸市场、客运车站候车室、客运码头</w:t>
      </w:r>
      <w:r>
        <w:rPr>
          <w:spacing w:val="-5"/>
        </w:rPr>
        <w:t>候船厅、民用机场航站楼、体育场馆、会堂以及公共娱乐场所等。</w:t>
      </w:r>
    </w:p>
    <w:p>
      <w:pPr>
        <w:pStyle w:val="Heading3"/>
        <w:numPr>
          <w:ilvl w:val="1"/>
          <w:numId w:val="25"/>
        </w:numPr>
        <w:tabs>
          <w:tab w:pos="1144" w:val="left" w:leader="none"/>
        </w:tabs>
        <w:spacing w:line="478" w:lineRule="exact" w:before="0" w:after="0"/>
        <w:ind w:left="1143" w:right="0" w:hanging="644"/>
        <w:jc w:val="both"/>
        <w:rPr>
          <w:rFonts w:ascii="宋体" w:eastAsia="宋体" w:hint="eastAsia"/>
        </w:rPr>
      </w:pPr>
      <w:r>
        <w:rPr/>
        <w:t>人员密集场所 </w:t>
      </w:r>
      <w:r>
        <w:rPr>
          <w:rFonts w:ascii="宋体" w:eastAsia="宋体" w:hint="eastAsia"/>
        </w:rPr>
        <w:t>assembly occupancy</w:t>
      </w:r>
    </w:p>
    <w:p>
      <w:pPr>
        <w:pStyle w:val="BodyText"/>
        <w:spacing w:line="326" w:lineRule="auto" w:before="78"/>
        <w:ind w:right="259"/>
      </w:pPr>
      <w:r>
        <w:rPr>
          <w:spacing w:val="-3"/>
        </w:rPr>
        <w:t>公众聚集场所，医院的门诊楼、病房楼，学校的教学楼、图</w:t>
      </w:r>
      <w:r>
        <w:rPr>
          <w:spacing w:val="-15"/>
          <w:w w:val="95"/>
        </w:rPr>
        <w:t>书馆、食堂和集体宿舍，养老院，福利院，托儿所，幼儿园， </w:t>
      </w:r>
      <w:r>
        <w:rPr>
          <w:spacing w:val="-12"/>
        </w:rPr>
        <w:t>公共图书馆的阅览室，公共展览馆、博物馆的展示厅，劳动</w:t>
      </w:r>
    </w:p>
    <w:p>
      <w:pPr>
        <w:spacing w:after="0" w:line="326" w:lineRule="auto"/>
        <w:sectPr>
          <w:pgSz w:w="11910" w:h="16840"/>
          <w:pgMar w:header="0" w:footer="1000" w:top="1520" w:bottom="1180" w:left="1300" w:right="1380"/>
        </w:sectPr>
      </w:pPr>
    </w:p>
    <w:p>
      <w:pPr>
        <w:pStyle w:val="BodyText"/>
        <w:spacing w:line="326" w:lineRule="auto" w:before="32"/>
        <w:ind w:right="417"/>
      </w:pPr>
      <w:r>
        <w:rPr>
          <w:spacing w:val="-2"/>
          <w:w w:val="95"/>
        </w:rPr>
        <w:t>密集型企业的生产加工车间和员工集体宿舍，旅游、宗教活 </w:t>
      </w:r>
      <w:r>
        <w:rPr>
          <w:spacing w:val="-2"/>
        </w:rPr>
        <w:t>动场所等。</w:t>
      </w:r>
    </w:p>
    <w:p>
      <w:pPr>
        <w:pStyle w:val="Heading3"/>
        <w:numPr>
          <w:ilvl w:val="1"/>
          <w:numId w:val="25"/>
        </w:numPr>
        <w:tabs>
          <w:tab w:pos="1231" w:val="left" w:leader="none"/>
          <w:tab w:pos="1232" w:val="left" w:leader="none"/>
          <w:tab w:pos="6051" w:val="left" w:leader="none"/>
          <w:tab w:pos="6622" w:val="left" w:leader="none"/>
          <w:tab w:pos="8321" w:val="left" w:leader="none"/>
        </w:tabs>
        <w:spacing w:line="486" w:lineRule="exact" w:before="0" w:after="0"/>
        <w:ind w:left="1232" w:right="0" w:hanging="732"/>
        <w:jc w:val="left"/>
        <w:rPr>
          <w:rFonts w:ascii="宋体" w:eastAsia="宋体" w:hint="eastAsia"/>
        </w:rPr>
      </w:pPr>
      <w:r>
        <w:rPr/>
        <w:t>易 燃 易 爆 危 险 品 场</w:t>
      </w:r>
      <w:r>
        <w:rPr>
          <w:spacing w:val="72"/>
        </w:rPr>
        <w:t> </w:t>
      </w:r>
      <w:r>
        <w:rPr/>
        <w:t>所 </w:t>
      </w:r>
      <w:r>
        <w:rPr>
          <w:spacing w:val="8"/>
        </w:rPr>
        <w:t> </w:t>
      </w:r>
      <w:r>
        <w:rPr>
          <w:rFonts w:ascii="宋体" w:eastAsia="宋体" w:hint="eastAsia"/>
        </w:rPr>
        <w:t>place</w:t>
        <w:tab/>
        <w:t>of</w:t>
        <w:tab/>
        <w:t>flammable</w:t>
        <w:tab/>
        <w:t>and</w:t>
      </w:r>
    </w:p>
    <w:p>
      <w:pPr>
        <w:spacing w:before="78"/>
        <w:ind w:left="500" w:right="0" w:firstLine="0"/>
        <w:jc w:val="both"/>
        <w:rPr>
          <w:b/>
          <w:sz w:val="32"/>
        </w:rPr>
      </w:pPr>
      <w:r>
        <w:rPr>
          <w:b/>
          <w:sz w:val="32"/>
        </w:rPr>
        <w:t>explosive material</w:t>
      </w:r>
    </w:p>
    <w:p>
      <w:pPr>
        <w:pStyle w:val="BodyText"/>
        <w:spacing w:line="328" w:lineRule="auto" w:before="150"/>
        <w:ind w:right="420"/>
        <w:jc w:val="both"/>
      </w:pPr>
      <w:r>
        <w:rPr>
          <w:spacing w:val="-3"/>
          <w:w w:val="95"/>
        </w:rPr>
        <w:t>生产、储存、经营易燃易爆危险品的厂房和装置、库房、储 </w:t>
      </w:r>
      <w:r>
        <w:rPr>
          <w:spacing w:val="7"/>
          <w:w w:val="95"/>
        </w:rPr>
        <w:t>罐（</w:t>
      </w:r>
      <w:r>
        <w:rPr>
          <w:spacing w:val="5"/>
          <w:w w:val="95"/>
        </w:rPr>
        <w:t>区</w:t>
      </w:r>
      <w:r>
        <w:rPr>
          <w:spacing w:val="-154"/>
          <w:w w:val="95"/>
        </w:rPr>
        <w:t>）</w:t>
      </w:r>
      <w:r>
        <w:rPr>
          <w:spacing w:val="5"/>
          <w:w w:val="95"/>
        </w:rPr>
        <w:t>、商店、专用车站和码头，可燃气体储存</w:t>
      </w:r>
      <w:r>
        <w:rPr>
          <w:spacing w:val="7"/>
          <w:w w:val="95"/>
        </w:rPr>
        <w:t>（</w:t>
      </w:r>
      <w:r>
        <w:rPr>
          <w:spacing w:val="6"/>
          <w:w w:val="95"/>
        </w:rPr>
        <w:t>储配</w:t>
      </w:r>
      <w:r>
        <w:rPr>
          <w:spacing w:val="-11"/>
          <w:w w:val="95"/>
        </w:rPr>
        <w:t>） </w:t>
      </w:r>
      <w:r>
        <w:rPr/>
        <w:t>站、充装站、调压站、供应站，加油加气站等。</w:t>
      </w:r>
    </w:p>
    <w:p>
      <w:pPr>
        <w:pStyle w:val="Heading3"/>
        <w:numPr>
          <w:ilvl w:val="1"/>
          <w:numId w:val="25"/>
        </w:numPr>
        <w:tabs>
          <w:tab w:pos="1144" w:val="left" w:leader="none"/>
        </w:tabs>
        <w:spacing w:line="478" w:lineRule="exact" w:before="0" w:after="0"/>
        <w:ind w:left="1143" w:right="0" w:hanging="644"/>
        <w:jc w:val="both"/>
        <w:rPr>
          <w:rFonts w:ascii="宋体" w:eastAsia="宋体" w:hint="eastAsia"/>
        </w:rPr>
      </w:pPr>
      <w:r>
        <w:rPr/>
        <w:t>重要场所 </w:t>
      </w:r>
      <w:r>
        <w:rPr>
          <w:rFonts w:ascii="宋体" w:eastAsia="宋体" w:hint="eastAsia"/>
        </w:rPr>
        <w:t>important place</w:t>
      </w:r>
    </w:p>
    <w:p>
      <w:pPr>
        <w:pStyle w:val="BodyText"/>
        <w:spacing w:line="328" w:lineRule="auto" w:before="76"/>
        <w:ind w:right="405"/>
        <w:jc w:val="both"/>
      </w:pPr>
      <w:r>
        <w:rPr/>
        <w:t>发生火灾可能造成重大社会、政治影响和经济损失的场所， </w:t>
      </w:r>
      <w:r>
        <w:rPr>
          <w:spacing w:val="-3"/>
        </w:rPr>
        <w:t>如国家机关，城市供水、供电、供气和供暖的调度中心，广播、电视、邮政和电信建筑，大、中型发电厂</w:t>
      </w:r>
      <w:r>
        <w:rPr/>
        <w:t>（站</w:t>
      </w:r>
      <w:r>
        <w:rPr>
          <w:spacing w:val="-159"/>
        </w:rPr>
        <w:t>）</w:t>
      </w:r>
      <w:r>
        <w:rPr>
          <w:spacing w:val="-3"/>
        </w:rPr>
        <w:t>、</w:t>
      </w:r>
      <w:r>
        <w:rPr/>
        <w:t>110kV </w:t>
      </w:r>
      <w:r>
        <w:rPr>
          <w:spacing w:val="-2"/>
        </w:rPr>
        <w:t>及以上的变配电站，省级及以上博物馆、档案馆及国家文物</w:t>
      </w:r>
      <w:r>
        <w:rPr>
          <w:spacing w:val="-4"/>
        </w:rPr>
        <w:t>保护单位，重要科研单位中的关键建筑设施，城市地铁与重要的城市交通隧道等。</w:t>
      </w:r>
    </w:p>
    <w:p>
      <w:pPr>
        <w:pStyle w:val="ListParagraph"/>
        <w:numPr>
          <w:ilvl w:val="0"/>
          <w:numId w:val="25"/>
        </w:numPr>
        <w:tabs>
          <w:tab w:pos="820" w:val="left" w:leader="none"/>
        </w:tabs>
        <w:spacing w:line="240" w:lineRule="auto" w:before="146" w:after="0"/>
        <w:ind w:left="819" w:right="0" w:hanging="320"/>
        <w:jc w:val="both"/>
        <w:rPr>
          <w:rFonts w:ascii="黑体" w:eastAsia="黑体" w:hint="eastAsia"/>
          <w:sz w:val="32"/>
        </w:rPr>
      </w:pPr>
      <w:r>
        <w:rPr>
          <w:rFonts w:ascii="黑体" w:eastAsia="黑体" w:hint="eastAsia"/>
          <w:sz w:val="32"/>
        </w:rPr>
        <w:t>判定原则和程序</w:t>
      </w:r>
    </w:p>
    <w:p>
      <w:pPr>
        <w:pStyle w:val="Heading3"/>
        <w:numPr>
          <w:ilvl w:val="1"/>
          <w:numId w:val="25"/>
        </w:numPr>
        <w:tabs>
          <w:tab w:pos="1144" w:val="left" w:leader="none"/>
        </w:tabs>
        <w:spacing w:line="228" w:lineRule="auto" w:before="223" w:after="0"/>
        <w:ind w:left="500" w:right="420" w:firstLine="0"/>
        <w:jc w:val="left"/>
      </w:pPr>
      <w:r>
        <w:rPr>
          <w:spacing w:val="-3"/>
        </w:rPr>
        <w:t>重大火灾隐患判定应坚持科学严谨、实事求是、客观公正的原则。</w:t>
      </w:r>
    </w:p>
    <w:p>
      <w:pPr>
        <w:pStyle w:val="ListParagraph"/>
        <w:numPr>
          <w:ilvl w:val="1"/>
          <w:numId w:val="25"/>
        </w:numPr>
        <w:tabs>
          <w:tab w:pos="1144" w:val="left" w:leader="none"/>
        </w:tabs>
        <w:spacing w:line="568" w:lineRule="exact" w:before="0" w:after="0"/>
        <w:ind w:left="1143" w:right="0" w:hanging="644"/>
        <w:jc w:val="left"/>
        <w:rPr>
          <w:rFonts w:ascii="Microsoft JhengHei" w:eastAsia="Microsoft JhengHei" w:hint="eastAsia"/>
          <w:b/>
          <w:sz w:val="32"/>
        </w:rPr>
      </w:pPr>
      <w:r>
        <w:rPr>
          <w:rFonts w:ascii="Microsoft JhengHei" w:eastAsia="Microsoft JhengHei" w:hint="eastAsia"/>
          <w:b/>
          <w:sz w:val="32"/>
        </w:rPr>
        <w:t>重大火灾隐患判定适用下列程序：</w:t>
      </w:r>
    </w:p>
    <w:p>
      <w:pPr>
        <w:pStyle w:val="ListParagraph"/>
        <w:numPr>
          <w:ilvl w:val="0"/>
          <w:numId w:val="26"/>
        </w:numPr>
        <w:tabs>
          <w:tab w:pos="992" w:val="left" w:leader="none"/>
        </w:tabs>
        <w:spacing w:line="326" w:lineRule="auto" w:before="79" w:after="0"/>
        <w:ind w:left="500" w:right="417" w:firstLine="0"/>
        <w:jc w:val="left"/>
        <w:rPr>
          <w:sz w:val="32"/>
        </w:rPr>
      </w:pPr>
      <w:r>
        <w:rPr>
          <w:spacing w:val="4"/>
          <w:w w:val="95"/>
          <w:sz w:val="32"/>
        </w:rPr>
        <w:t>现场检查：组织进行现场检査，核实火灾隐患的具体情 </w:t>
      </w:r>
      <w:r>
        <w:rPr>
          <w:spacing w:val="4"/>
          <w:sz w:val="32"/>
        </w:rPr>
        <w:t>况，并获取相关影像和文字资料；</w:t>
      </w:r>
    </w:p>
    <w:p>
      <w:pPr>
        <w:pStyle w:val="ListParagraph"/>
        <w:numPr>
          <w:ilvl w:val="0"/>
          <w:numId w:val="26"/>
        </w:numPr>
        <w:tabs>
          <w:tab w:pos="992" w:val="left" w:leader="none"/>
        </w:tabs>
        <w:spacing w:line="328" w:lineRule="auto" w:before="3" w:after="0"/>
        <w:ind w:left="500" w:right="420" w:firstLine="0"/>
        <w:jc w:val="left"/>
        <w:rPr>
          <w:sz w:val="32"/>
        </w:rPr>
      </w:pPr>
      <w:r>
        <w:rPr>
          <w:spacing w:val="4"/>
          <w:w w:val="95"/>
          <w:sz w:val="32"/>
        </w:rPr>
        <w:t>集体讨论：组织对火灾隐患进行集体讨论，做出结论性 </w:t>
      </w:r>
      <w:r>
        <w:rPr>
          <w:spacing w:val="-6"/>
          <w:sz w:val="32"/>
        </w:rPr>
        <w:t>判定意见，参与人数不应少于 </w:t>
      </w:r>
      <w:r>
        <w:rPr>
          <w:sz w:val="32"/>
        </w:rPr>
        <w:t>3</w:t>
      </w:r>
      <w:r>
        <w:rPr>
          <w:spacing w:val="-27"/>
          <w:sz w:val="32"/>
        </w:rPr>
        <w:t> 人；</w:t>
      </w:r>
    </w:p>
    <w:p>
      <w:pPr>
        <w:pStyle w:val="ListParagraph"/>
        <w:numPr>
          <w:ilvl w:val="0"/>
          <w:numId w:val="26"/>
        </w:numPr>
        <w:tabs>
          <w:tab w:pos="992" w:val="left" w:leader="none"/>
        </w:tabs>
        <w:spacing w:line="326" w:lineRule="auto" w:before="0" w:after="0"/>
        <w:ind w:left="500" w:right="420" w:firstLine="0"/>
        <w:jc w:val="left"/>
        <w:rPr>
          <w:sz w:val="32"/>
        </w:rPr>
      </w:pPr>
      <w:r>
        <w:rPr>
          <w:spacing w:val="4"/>
          <w:w w:val="95"/>
          <w:sz w:val="32"/>
        </w:rPr>
        <w:t>专家技术论证：对于涉及复杂疑难的技术问题，按照本 </w:t>
      </w:r>
      <w:r>
        <w:rPr>
          <w:spacing w:val="-1"/>
          <w:sz w:val="32"/>
        </w:rPr>
        <w:t>标准判定重大火灾隐患有困难的，应组织专家成立专家组进</w:t>
      </w:r>
    </w:p>
    <w:p>
      <w:pPr>
        <w:spacing w:after="0" w:line="326" w:lineRule="auto"/>
        <w:jc w:val="left"/>
        <w:rPr>
          <w:sz w:val="32"/>
        </w:rPr>
        <w:sectPr>
          <w:footerReference w:type="default" r:id="rId9"/>
          <w:pgSz w:w="11910" w:h="16840"/>
          <w:pgMar w:footer="1000" w:header="0" w:top="1520" w:bottom="1180" w:left="1300" w:right="1380"/>
          <w:pgNumType w:start="40"/>
        </w:sectPr>
      </w:pPr>
    </w:p>
    <w:p>
      <w:pPr>
        <w:pStyle w:val="BodyText"/>
        <w:spacing w:line="326" w:lineRule="auto" w:before="32"/>
        <w:ind w:right="375"/>
      </w:pPr>
      <w:r>
        <w:rPr/>
        <w:t>行技术论证，形成结论性判定意见。结论性判定意见应有三分之二以上的专家同意。</w:t>
      </w:r>
    </w:p>
    <w:p>
      <w:pPr>
        <w:pStyle w:val="ListParagraph"/>
        <w:numPr>
          <w:ilvl w:val="1"/>
          <w:numId w:val="25"/>
        </w:numPr>
        <w:tabs>
          <w:tab w:pos="1144" w:val="left" w:leader="none"/>
        </w:tabs>
        <w:spacing w:line="328" w:lineRule="auto" w:before="3" w:after="0"/>
        <w:ind w:left="500" w:right="420" w:firstLine="0"/>
        <w:jc w:val="left"/>
        <w:rPr>
          <w:sz w:val="32"/>
        </w:rPr>
      </w:pPr>
      <w:r>
        <w:rPr>
          <w:spacing w:val="-1"/>
          <w:w w:val="95"/>
          <w:sz w:val="32"/>
        </w:rPr>
        <w:t>技术论证专家组应由当地政府有关行业主管部门、监督 </w:t>
      </w:r>
      <w:r>
        <w:rPr>
          <w:spacing w:val="-5"/>
          <w:sz w:val="32"/>
        </w:rPr>
        <w:t>管理部门和相关消防技术专家组成，人数不应少于 </w:t>
      </w:r>
      <w:r>
        <w:rPr>
          <w:sz w:val="32"/>
        </w:rPr>
        <w:t>7</w:t>
      </w:r>
      <w:r>
        <w:rPr>
          <w:spacing w:val="-28"/>
          <w:sz w:val="32"/>
        </w:rPr>
        <w:t> 人。</w:t>
      </w:r>
    </w:p>
    <w:p>
      <w:pPr>
        <w:pStyle w:val="ListParagraph"/>
        <w:numPr>
          <w:ilvl w:val="1"/>
          <w:numId w:val="25"/>
        </w:numPr>
        <w:tabs>
          <w:tab w:pos="1144" w:val="left" w:leader="none"/>
        </w:tabs>
        <w:spacing w:line="326" w:lineRule="auto" w:before="0" w:after="0"/>
        <w:ind w:left="500" w:right="417" w:firstLine="0"/>
        <w:jc w:val="left"/>
        <w:rPr>
          <w:sz w:val="32"/>
        </w:rPr>
      </w:pPr>
      <w:r>
        <w:rPr>
          <w:spacing w:val="-2"/>
          <w:sz w:val="32"/>
        </w:rPr>
        <w:t>集体讨论或技术论证时，可以听取业主和管理、使用单位等利害关系人的意见。</w:t>
      </w:r>
    </w:p>
    <w:p>
      <w:pPr>
        <w:pStyle w:val="ListParagraph"/>
        <w:numPr>
          <w:ilvl w:val="0"/>
          <w:numId w:val="25"/>
        </w:numPr>
        <w:tabs>
          <w:tab w:pos="820" w:val="left" w:leader="none"/>
        </w:tabs>
        <w:spacing w:line="240" w:lineRule="auto" w:before="159" w:after="0"/>
        <w:ind w:left="819" w:right="0" w:hanging="320"/>
        <w:jc w:val="left"/>
        <w:rPr>
          <w:rFonts w:ascii="黑体" w:eastAsia="黑体" w:hint="eastAsia"/>
          <w:sz w:val="32"/>
        </w:rPr>
      </w:pPr>
      <w:r>
        <w:rPr>
          <w:rFonts w:ascii="黑体" w:eastAsia="黑体" w:hint="eastAsia"/>
          <w:sz w:val="32"/>
        </w:rPr>
        <w:t>判定方法</w:t>
      </w:r>
    </w:p>
    <w:p>
      <w:pPr>
        <w:pStyle w:val="Heading3"/>
        <w:numPr>
          <w:ilvl w:val="1"/>
          <w:numId w:val="25"/>
        </w:numPr>
        <w:tabs>
          <w:tab w:pos="1144" w:val="left" w:leader="none"/>
        </w:tabs>
        <w:spacing w:line="240" w:lineRule="auto" w:before="199" w:after="0"/>
        <w:ind w:left="1143" w:right="0" w:hanging="644"/>
        <w:jc w:val="left"/>
      </w:pPr>
      <w:r>
        <w:rPr/>
        <w:t>一般要求</w:t>
      </w:r>
    </w:p>
    <w:p>
      <w:pPr>
        <w:pStyle w:val="ListParagraph"/>
        <w:numPr>
          <w:ilvl w:val="2"/>
          <w:numId w:val="25"/>
        </w:numPr>
        <w:tabs>
          <w:tab w:pos="1381" w:val="left" w:leader="none"/>
        </w:tabs>
        <w:spacing w:line="328" w:lineRule="auto" w:before="77" w:after="0"/>
        <w:ind w:left="500" w:right="417" w:firstLine="0"/>
        <w:jc w:val="both"/>
        <w:rPr>
          <w:sz w:val="32"/>
        </w:rPr>
      </w:pPr>
      <w:r>
        <w:rPr>
          <w:spacing w:val="-7"/>
          <w:sz w:val="32"/>
        </w:rPr>
        <w:t>重大火灾隐患判定应按照第 </w:t>
      </w:r>
      <w:r>
        <w:rPr>
          <w:sz w:val="32"/>
        </w:rPr>
        <w:t>4</w:t>
      </w:r>
      <w:r>
        <w:rPr>
          <w:spacing w:val="-7"/>
          <w:sz w:val="32"/>
        </w:rPr>
        <w:t> 章规定的判定原则和程</w:t>
      </w:r>
      <w:r>
        <w:rPr>
          <w:spacing w:val="11"/>
          <w:w w:val="95"/>
          <w:sz w:val="32"/>
        </w:rPr>
        <w:t>序实施，并根据实际情况选择直接判定方法或综合判定方 </w:t>
      </w:r>
      <w:r>
        <w:rPr>
          <w:spacing w:val="11"/>
          <w:sz w:val="32"/>
        </w:rPr>
        <w:t>法。</w:t>
      </w:r>
    </w:p>
    <w:p>
      <w:pPr>
        <w:pStyle w:val="ListParagraph"/>
        <w:numPr>
          <w:ilvl w:val="2"/>
          <w:numId w:val="25"/>
        </w:numPr>
        <w:tabs>
          <w:tab w:pos="1381" w:val="left" w:leader="none"/>
        </w:tabs>
        <w:spacing w:line="328" w:lineRule="auto" w:before="0" w:after="0"/>
        <w:ind w:left="500" w:right="420" w:firstLine="0"/>
        <w:jc w:val="both"/>
        <w:rPr>
          <w:sz w:val="32"/>
        </w:rPr>
      </w:pPr>
      <w:r>
        <w:rPr>
          <w:sz w:val="32"/>
        </w:rPr>
        <w:t>直接判定要素和综合判定要素均应为不能立即改正的火灾隐患要素。</w:t>
      </w:r>
    </w:p>
    <w:p>
      <w:pPr>
        <w:pStyle w:val="ListParagraph"/>
        <w:numPr>
          <w:ilvl w:val="2"/>
          <w:numId w:val="25"/>
        </w:numPr>
        <w:tabs>
          <w:tab w:pos="1381" w:val="left" w:leader="none"/>
        </w:tabs>
        <w:spacing w:line="407" w:lineRule="exact" w:before="0" w:after="0"/>
        <w:ind w:left="1380" w:right="0" w:hanging="881"/>
        <w:jc w:val="both"/>
        <w:rPr>
          <w:sz w:val="32"/>
        </w:rPr>
      </w:pPr>
      <w:r>
        <w:rPr>
          <w:sz w:val="32"/>
        </w:rPr>
        <w:t>下列情形不应判定为重大火灾隐患：</w:t>
      </w:r>
    </w:p>
    <w:p>
      <w:pPr>
        <w:pStyle w:val="ListParagraph"/>
        <w:numPr>
          <w:ilvl w:val="0"/>
          <w:numId w:val="27"/>
        </w:numPr>
        <w:tabs>
          <w:tab w:pos="992" w:val="left" w:leader="none"/>
        </w:tabs>
        <w:spacing w:line="328" w:lineRule="auto" w:before="144" w:after="0"/>
        <w:ind w:left="500" w:right="420" w:firstLine="0"/>
        <w:jc w:val="left"/>
        <w:rPr>
          <w:sz w:val="32"/>
        </w:rPr>
      </w:pPr>
      <w:r>
        <w:rPr>
          <w:spacing w:val="4"/>
          <w:w w:val="95"/>
          <w:sz w:val="32"/>
        </w:rPr>
        <w:t>依法进行了消防设计专家评审，并已采取相应技术措施 </w:t>
      </w:r>
      <w:r>
        <w:rPr>
          <w:sz w:val="32"/>
        </w:rPr>
        <w:t>的；</w:t>
      </w:r>
    </w:p>
    <w:p>
      <w:pPr>
        <w:pStyle w:val="ListParagraph"/>
        <w:numPr>
          <w:ilvl w:val="0"/>
          <w:numId w:val="27"/>
        </w:numPr>
        <w:tabs>
          <w:tab w:pos="981" w:val="left" w:leader="none"/>
        </w:tabs>
        <w:spacing w:line="407" w:lineRule="exact" w:before="0" w:after="0"/>
        <w:ind w:left="980" w:right="0" w:hanging="481"/>
        <w:jc w:val="left"/>
        <w:rPr>
          <w:sz w:val="32"/>
        </w:rPr>
      </w:pPr>
      <w:r>
        <w:rPr>
          <w:sz w:val="32"/>
        </w:rPr>
        <w:t>单位、场所已停产停业或停止使用的；</w:t>
      </w:r>
    </w:p>
    <w:p>
      <w:pPr>
        <w:pStyle w:val="ListParagraph"/>
        <w:numPr>
          <w:ilvl w:val="0"/>
          <w:numId w:val="27"/>
        </w:numPr>
        <w:tabs>
          <w:tab w:pos="981" w:val="left" w:leader="none"/>
        </w:tabs>
        <w:spacing w:line="240" w:lineRule="auto" w:before="149" w:after="0"/>
        <w:ind w:left="980" w:right="0" w:hanging="481"/>
        <w:jc w:val="left"/>
        <w:rPr>
          <w:sz w:val="32"/>
        </w:rPr>
      </w:pPr>
      <w:r>
        <w:rPr>
          <w:spacing w:val="-1"/>
          <w:sz w:val="32"/>
        </w:rPr>
        <w:t>不足以导致重大、特别重大火灾事故或严重社会影响的。</w:t>
      </w:r>
    </w:p>
    <w:p>
      <w:pPr>
        <w:pStyle w:val="Heading3"/>
        <w:numPr>
          <w:ilvl w:val="1"/>
          <w:numId w:val="25"/>
        </w:numPr>
        <w:tabs>
          <w:tab w:pos="1144" w:val="left" w:leader="none"/>
        </w:tabs>
        <w:spacing w:line="240" w:lineRule="auto" w:before="46" w:after="0"/>
        <w:ind w:left="1143" w:right="0" w:hanging="644"/>
        <w:jc w:val="both"/>
      </w:pPr>
      <w:r>
        <w:rPr/>
        <w:t>直接判定</w:t>
      </w:r>
    </w:p>
    <w:p>
      <w:pPr>
        <w:pStyle w:val="ListParagraph"/>
        <w:numPr>
          <w:ilvl w:val="2"/>
          <w:numId w:val="25"/>
        </w:numPr>
        <w:tabs>
          <w:tab w:pos="1381" w:val="left" w:leader="none"/>
        </w:tabs>
        <w:spacing w:line="240" w:lineRule="auto" w:before="76" w:after="0"/>
        <w:ind w:left="1380" w:right="0" w:hanging="881"/>
        <w:jc w:val="left"/>
        <w:rPr>
          <w:sz w:val="32"/>
        </w:rPr>
      </w:pPr>
      <w:r>
        <w:rPr>
          <w:spacing w:val="-6"/>
          <w:sz w:val="32"/>
        </w:rPr>
        <w:t>重大火灾隐患直接判定要素见第 </w:t>
      </w:r>
      <w:r>
        <w:rPr>
          <w:sz w:val="32"/>
        </w:rPr>
        <w:t>6</w:t>
      </w:r>
      <w:r>
        <w:rPr>
          <w:spacing w:val="-27"/>
          <w:sz w:val="32"/>
        </w:rPr>
        <w:t> 章。</w:t>
      </w:r>
    </w:p>
    <w:p>
      <w:pPr>
        <w:pStyle w:val="ListParagraph"/>
        <w:numPr>
          <w:ilvl w:val="2"/>
          <w:numId w:val="25"/>
        </w:numPr>
        <w:tabs>
          <w:tab w:pos="1381" w:val="left" w:leader="none"/>
        </w:tabs>
        <w:spacing w:line="328" w:lineRule="auto" w:before="149" w:after="0"/>
        <w:ind w:left="500" w:right="417" w:firstLine="0"/>
        <w:jc w:val="left"/>
        <w:rPr>
          <w:sz w:val="32"/>
        </w:rPr>
      </w:pPr>
      <w:r>
        <w:rPr>
          <w:spacing w:val="-19"/>
          <w:sz w:val="32"/>
        </w:rPr>
        <w:t>符合第 </w:t>
      </w:r>
      <w:r>
        <w:rPr>
          <w:sz w:val="32"/>
        </w:rPr>
        <w:t>6</w:t>
      </w:r>
      <w:r>
        <w:rPr>
          <w:spacing w:val="-7"/>
          <w:sz w:val="32"/>
        </w:rPr>
        <w:t> 章任意一条直接判定要素的，应直接判定为重大火灾隐患。</w:t>
      </w:r>
    </w:p>
    <w:p>
      <w:pPr>
        <w:pStyle w:val="ListParagraph"/>
        <w:numPr>
          <w:ilvl w:val="2"/>
          <w:numId w:val="25"/>
        </w:numPr>
        <w:tabs>
          <w:tab w:pos="1384" w:val="left" w:leader="none"/>
        </w:tabs>
        <w:spacing w:line="326" w:lineRule="auto" w:before="0" w:after="0"/>
        <w:ind w:left="500" w:right="420" w:firstLine="0"/>
        <w:jc w:val="left"/>
        <w:rPr>
          <w:sz w:val="32"/>
        </w:rPr>
      </w:pPr>
      <w:r>
        <w:rPr>
          <w:spacing w:val="-14"/>
          <w:sz w:val="32"/>
        </w:rPr>
        <w:t>不符合第 </w:t>
      </w:r>
      <w:r>
        <w:rPr>
          <w:sz w:val="32"/>
        </w:rPr>
        <w:t>6</w:t>
      </w:r>
      <w:r>
        <w:rPr>
          <w:spacing w:val="-12"/>
          <w:sz w:val="32"/>
        </w:rPr>
        <w:t> 章任意一条直接判定要素的，应按 </w:t>
      </w:r>
      <w:r>
        <w:rPr>
          <w:sz w:val="32"/>
        </w:rPr>
        <w:t>5.3</w:t>
      </w:r>
      <w:r>
        <w:rPr>
          <w:spacing w:val="-41"/>
          <w:sz w:val="32"/>
        </w:rPr>
        <w:t> 的规定进行综合判定。</w:t>
      </w:r>
    </w:p>
    <w:p>
      <w:pPr>
        <w:spacing w:after="0" w:line="326" w:lineRule="auto"/>
        <w:jc w:val="left"/>
        <w:rPr>
          <w:sz w:val="32"/>
        </w:rPr>
        <w:sectPr>
          <w:pgSz w:w="11910" w:h="16840"/>
          <w:pgMar w:header="0" w:footer="1000" w:top="1520" w:bottom="1180" w:left="1300" w:right="1380"/>
        </w:sectPr>
      </w:pPr>
    </w:p>
    <w:p>
      <w:pPr>
        <w:pStyle w:val="Heading3"/>
        <w:numPr>
          <w:ilvl w:val="1"/>
          <w:numId w:val="25"/>
        </w:numPr>
        <w:tabs>
          <w:tab w:pos="1144" w:val="left" w:leader="none"/>
        </w:tabs>
        <w:spacing w:line="515" w:lineRule="exact" w:before="0" w:after="0"/>
        <w:ind w:left="1143" w:right="0" w:hanging="644"/>
        <w:jc w:val="left"/>
      </w:pPr>
      <w:r>
        <w:rPr/>
        <w:t>综合判定</w:t>
      </w:r>
    </w:p>
    <w:p>
      <w:pPr>
        <w:pStyle w:val="ListParagraph"/>
        <w:numPr>
          <w:ilvl w:val="2"/>
          <w:numId w:val="25"/>
        </w:numPr>
        <w:tabs>
          <w:tab w:pos="1381" w:val="left" w:leader="none"/>
        </w:tabs>
        <w:spacing w:line="240" w:lineRule="auto" w:before="76" w:after="0"/>
        <w:ind w:left="1380" w:right="0" w:hanging="881"/>
        <w:jc w:val="left"/>
        <w:rPr>
          <w:sz w:val="32"/>
        </w:rPr>
      </w:pPr>
      <w:r>
        <w:rPr>
          <w:spacing w:val="-6"/>
          <w:sz w:val="32"/>
        </w:rPr>
        <w:t>重大火灾隐患综合判定要素见第 </w:t>
      </w:r>
      <w:r>
        <w:rPr>
          <w:sz w:val="32"/>
        </w:rPr>
        <w:t>7</w:t>
      </w:r>
      <w:r>
        <w:rPr>
          <w:spacing w:val="-27"/>
          <w:sz w:val="32"/>
        </w:rPr>
        <w:t> 章。</w:t>
      </w:r>
    </w:p>
    <w:p>
      <w:pPr>
        <w:pStyle w:val="ListParagraph"/>
        <w:numPr>
          <w:ilvl w:val="2"/>
          <w:numId w:val="25"/>
        </w:numPr>
        <w:tabs>
          <w:tab w:pos="1381" w:val="left" w:leader="none"/>
        </w:tabs>
        <w:spacing w:line="328" w:lineRule="auto" w:before="149" w:after="0"/>
        <w:ind w:left="500" w:right="420" w:firstLine="0"/>
        <w:jc w:val="left"/>
        <w:rPr>
          <w:sz w:val="32"/>
        </w:rPr>
      </w:pPr>
      <w:r>
        <w:rPr>
          <w:sz w:val="32"/>
        </w:rPr>
        <w:t>采用综合判定方法判定重大火灾隐患时，应按下列步骤进行：</w:t>
      </w:r>
    </w:p>
    <w:p>
      <w:pPr>
        <w:pStyle w:val="ListParagraph"/>
        <w:numPr>
          <w:ilvl w:val="0"/>
          <w:numId w:val="28"/>
        </w:numPr>
        <w:tabs>
          <w:tab w:pos="981" w:val="left" w:leader="none"/>
        </w:tabs>
        <w:spacing w:line="407" w:lineRule="exact" w:before="0" w:after="0"/>
        <w:ind w:left="980" w:right="0" w:hanging="481"/>
        <w:jc w:val="left"/>
        <w:rPr>
          <w:sz w:val="32"/>
        </w:rPr>
      </w:pPr>
      <w:r>
        <w:rPr>
          <w:sz w:val="32"/>
        </w:rPr>
        <w:t>确定建筑或场所类别；</w:t>
      </w:r>
    </w:p>
    <w:p>
      <w:pPr>
        <w:pStyle w:val="ListParagraph"/>
        <w:numPr>
          <w:ilvl w:val="0"/>
          <w:numId w:val="28"/>
        </w:numPr>
        <w:tabs>
          <w:tab w:pos="992" w:val="left" w:leader="none"/>
        </w:tabs>
        <w:spacing w:line="328" w:lineRule="auto" w:before="149" w:after="0"/>
        <w:ind w:left="500" w:right="420" w:firstLine="0"/>
        <w:jc w:val="left"/>
        <w:rPr>
          <w:sz w:val="32"/>
        </w:rPr>
      </w:pPr>
      <w:r>
        <w:rPr>
          <w:spacing w:val="-3"/>
          <w:sz w:val="32"/>
        </w:rPr>
        <w:t>确定该建筑或场所是否存在第 </w:t>
      </w:r>
      <w:r>
        <w:rPr>
          <w:sz w:val="32"/>
        </w:rPr>
        <w:t>7</w:t>
      </w:r>
      <w:r>
        <w:rPr>
          <w:spacing w:val="-6"/>
          <w:sz w:val="32"/>
        </w:rPr>
        <w:t> 章规定的综合判定要素</w:t>
      </w:r>
      <w:r>
        <w:rPr>
          <w:sz w:val="32"/>
        </w:rPr>
        <w:t>的情形和数量；</w:t>
      </w:r>
    </w:p>
    <w:p>
      <w:pPr>
        <w:pStyle w:val="ListParagraph"/>
        <w:numPr>
          <w:ilvl w:val="0"/>
          <w:numId w:val="28"/>
        </w:numPr>
        <w:tabs>
          <w:tab w:pos="992" w:val="left" w:leader="none"/>
        </w:tabs>
        <w:spacing w:line="326" w:lineRule="auto" w:before="0" w:after="0"/>
        <w:ind w:left="500" w:right="420" w:firstLine="0"/>
        <w:jc w:val="left"/>
        <w:rPr>
          <w:sz w:val="32"/>
        </w:rPr>
      </w:pPr>
      <w:r>
        <w:rPr>
          <w:spacing w:val="-25"/>
          <w:sz w:val="32"/>
        </w:rPr>
        <w:t>按第 </w:t>
      </w:r>
      <w:r>
        <w:rPr>
          <w:sz w:val="32"/>
        </w:rPr>
        <w:t>4</w:t>
      </w:r>
      <w:r>
        <w:rPr>
          <w:spacing w:val="-9"/>
          <w:sz w:val="32"/>
        </w:rPr>
        <w:t> 章规定的原则和程序，对照 </w:t>
      </w:r>
      <w:r>
        <w:rPr>
          <w:sz w:val="32"/>
        </w:rPr>
        <w:t>5.3.3</w:t>
      </w:r>
      <w:r>
        <w:rPr>
          <w:spacing w:val="-8"/>
          <w:sz w:val="32"/>
        </w:rPr>
        <w:t> 进行重大火灾隐患综合判定；</w:t>
      </w:r>
    </w:p>
    <w:p>
      <w:pPr>
        <w:pStyle w:val="ListParagraph"/>
        <w:numPr>
          <w:ilvl w:val="0"/>
          <w:numId w:val="28"/>
        </w:numPr>
        <w:tabs>
          <w:tab w:pos="981" w:val="left" w:leader="none"/>
        </w:tabs>
        <w:spacing w:line="240" w:lineRule="auto" w:before="3" w:after="0"/>
        <w:ind w:left="980" w:right="0" w:hanging="481"/>
        <w:jc w:val="left"/>
        <w:rPr>
          <w:sz w:val="32"/>
        </w:rPr>
      </w:pPr>
      <w:r>
        <w:rPr>
          <w:spacing w:val="-28"/>
          <w:sz w:val="32"/>
        </w:rPr>
        <w:t>对照 </w:t>
      </w:r>
      <w:r>
        <w:rPr>
          <w:sz w:val="32"/>
        </w:rPr>
        <w:t>5.1.3</w:t>
      </w:r>
      <w:r>
        <w:rPr>
          <w:spacing w:val="-10"/>
          <w:sz w:val="32"/>
        </w:rPr>
        <w:t> 排除不应判定为重大火灾隐患的情形。</w:t>
      </w:r>
    </w:p>
    <w:p>
      <w:pPr>
        <w:pStyle w:val="ListParagraph"/>
        <w:numPr>
          <w:ilvl w:val="2"/>
          <w:numId w:val="25"/>
        </w:numPr>
        <w:tabs>
          <w:tab w:pos="1381" w:val="left" w:leader="none"/>
        </w:tabs>
        <w:spacing w:line="240" w:lineRule="auto" w:before="150" w:after="0"/>
        <w:ind w:left="1380" w:right="0" w:hanging="881"/>
        <w:jc w:val="left"/>
        <w:rPr>
          <w:sz w:val="32"/>
        </w:rPr>
      </w:pPr>
      <w:r>
        <w:rPr>
          <w:sz w:val="32"/>
        </w:rPr>
        <w:t>符合下列条件应综合判定为重大火灾隐患：</w:t>
      </w:r>
    </w:p>
    <w:p>
      <w:pPr>
        <w:pStyle w:val="BodyText"/>
        <w:spacing w:line="328" w:lineRule="auto" w:before="149"/>
        <w:ind w:right="420"/>
      </w:pPr>
      <w:r>
        <w:rPr>
          <w:spacing w:val="-3"/>
        </w:rPr>
        <w:t>a）</w:t>
      </w:r>
      <w:r>
        <w:rPr>
          <w:spacing w:val="-10"/>
        </w:rPr>
        <w:t>人员密集场所存在 </w:t>
      </w:r>
      <w:r>
        <w:rPr/>
        <w:t>7.3.1~7.3.9</w:t>
      </w:r>
      <w:r>
        <w:rPr>
          <w:spacing w:val="-57"/>
        </w:rPr>
        <w:t> 和 </w:t>
      </w:r>
      <w:r>
        <w:rPr/>
        <w:t>7.5</w:t>
      </w:r>
      <w:r>
        <w:rPr>
          <w:spacing w:val="-5"/>
        </w:rPr>
        <w:t>、</w:t>
      </w:r>
      <w:r>
        <w:rPr/>
        <w:t>7.9.3</w:t>
      </w:r>
      <w:r>
        <w:rPr>
          <w:spacing w:val="-18"/>
        </w:rPr>
        <w:t> 规定的综</w:t>
      </w:r>
      <w:r>
        <w:rPr>
          <w:spacing w:val="-4"/>
          <w:w w:val="99"/>
        </w:rPr>
        <w:t>合判定要素</w:t>
      </w:r>
      <w:r>
        <w:rPr>
          <w:spacing w:val="-79"/>
        </w:rPr>
        <w:t> </w:t>
      </w:r>
      <w:r>
        <w:rPr>
          <w:w w:val="99"/>
        </w:rPr>
        <w:t>3</w:t>
      </w:r>
      <w:r>
        <w:rPr>
          <w:spacing w:val="-80"/>
        </w:rPr>
        <w:t> </w:t>
      </w:r>
      <w:r>
        <w:rPr>
          <w:w w:val="99"/>
        </w:rPr>
        <w:t>条以上（含本数，下同</w:t>
      </w:r>
      <w:r>
        <w:rPr>
          <w:spacing w:val="-159"/>
          <w:w w:val="99"/>
        </w:rPr>
        <w:t>）</w:t>
      </w:r>
      <w:r>
        <w:rPr>
          <w:w w:val="99"/>
        </w:rPr>
        <w:t>；</w:t>
      </w:r>
    </w:p>
    <w:p>
      <w:pPr>
        <w:pStyle w:val="BodyText"/>
        <w:spacing w:line="407" w:lineRule="exact"/>
      </w:pPr>
      <w:r>
        <w:rPr>
          <w:spacing w:val="-42"/>
        </w:rPr>
        <w:t>b）</w:t>
      </w:r>
      <w:r>
        <w:rPr>
          <w:spacing w:val="-16"/>
        </w:rPr>
        <w:t>易燃、易爆危险品场所存在 </w:t>
      </w:r>
      <w:r>
        <w:rPr/>
        <w:t>7.1.1~7.1.3</w:t>
      </w:r>
      <w:r>
        <w:rPr>
          <w:spacing w:val="-84"/>
        </w:rPr>
        <w:t>、</w:t>
      </w:r>
      <w:r>
        <w:rPr/>
        <w:t>7.4.5</w:t>
      </w:r>
      <w:r>
        <w:rPr>
          <w:spacing w:val="-55"/>
        </w:rPr>
        <w:t> 和 </w:t>
      </w:r>
      <w:r>
        <w:rPr/>
        <w:t>7.4.6</w:t>
      </w:r>
    </w:p>
    <w:p>
      <w:pPr>
        <w:pStyle w:val="BodyText"/>
        <w:spacing w:before="149"/>
      </w:pPr>
      <w:r>
        <w:rPr/>
        <w:t>规定的综合判定要素 3 条以上；</w:t>
      </w:r>
    </w:p>
    <w:p>
      <w:pPr>
        <w:pStyle w:val="ListParagraph"/>
        <w:numPr>
          <w:ilvl w:val="0"/>
          <w:numId w:val="29"/>
        </w:numPr>
        <w:tabs>
          <w:tab w:pos="981" w:val="left" w:leader="none"/>
        </w:tabs>
        <w:spacing w:line="240" w:lineRule="auto" w:before="152" w:after="0"/>
        <w:ind w:left="980" w:right="0" w:hanging="481"/>
        <w:jc w:val="left"/>
        <w:rPr>
          <w:sz w:val="32"/>
        </w:rPr>
      </w:pPr>
      <w:r>
        <w:rPr>
          <w:spacing w:val="-10"/>
          <w:sz w:val="32"/>
        </w:rPr>
        <w:t>人员密集场所、易燃易爆危险品场所、重要场所存在第 </w:t>
      </w:r>
      <w:r>
        <w:rPr>
          <w:sz w:val="32"/>
        </w:rPr>
        <w:t>7</w:t>
      </w:r>
    </w:p>
    <w:p>
      <w:pPr>
        <w:pStyle w:val="BodyText"/>
        <w:spacing w:before="149"/>
      </w:pPr>
      <w:r>
        <w:rPr/>
        <w:t>章规定的任意综合判定要素 4 条以上；</w:t>
      </w:r>
    </w:p>
    <w:p>
      <w:pPr>
        <w:pStyle w:val="ListParagraph"/>
        <w:numPr>
          <w:ilvl w:val="0"/>
          <w:numId w:val="29"/>
        </w:numPr>
        <w:tabs>
          <w:tab w:pos="981" w:val="left" w:leader="none"/>
        </w:tabs>
        <w:spacing w:line="240" w:lineRule="auto" w:before="149" w:after="0"/>
        <w:ind w:left="980" w:right="0" w:hanging="481"/>
        <w:jc w:val="left"/>
        <w:rPr>
          <w:sz w:val="32"/>
        </w:rPr>
      </w:pPr>
      <w:r>
        <w:rPr>
          <w:spacing w:val="-11"/>
          <w:sz w:val="32"/>
        </w:rPr>
        <w:t>其他场所存在第 </w:t>
      </w:r>
      <w:r>
        <w:rPr>
          <w:sz w:val="32"/>
        </w:rPr>
        <w:t>7</w:t>
      </w:r>
      <w:r>
        <w:rPr>
          <w:spacing w:val="-16"/>
          <w:sz w:val="32"/>
        </w:rPr>
        <w:t> 章规定的任意综合判定要素 </w:t>
      </w:r>
      <w:r>
        <w:rPr>
          <w:sz w:val="32"/>
        </w:rPr>
        <w:t>6</w:t>
      </w:r>
      <w:r>
        <w:rPr>
          <w:spacing w:val="-17"/>
          <w:sz w:val="32"/>
        </w:rPr>
        <w:t> 条以上。</w:t>
      </w:r>
    </w:p>
    <w:p>
      <w:pPr>
        <w:pStyle w:val="ListParagraph"/>
        <w:numPr>
          <w:ilvl w:val="2"/>
          <w:numId w:val="25"/>
        </w:numPr>
        <w:tabs>
          <w:tab w:pos="1381" w:val="left" w:leader="none"/>
        </w:tabs>
        <w:spacing w:line="326" w:lineRule="auto" w:before="152" w:after="0"/>
        <w:ind w:left="500" w:right="420" w:firstLine="0"/>
        <w:jc w:val="both"/>
        <w:rPr>
          <w:sz w:val="32"/>
        </w:rPr>
      </w:pPr>
      <w:r>
        <w:rPr>
          <w:spacing w:val="-12"/>
          <w:sz w:val="32"/>
        </w:rPr>
        <w:t>发现存在第 </w:t>
      </w:r>
      <w:r>
        <w:rPr>
          <w:sz w:val="32"/>
        </w:rPr>
        <w:t>7</w:t>
      </w:r>
      <w:r>
        <w:rPr>
          <w:spacing w:val="-6"/>
          <w:sz w:val="32"/>
        </w:rPr>
        <w:t> 章以外的其他违反消防法律法规、不符</w:t>
      </w:r>
      <w:r>
        <w:rPr>
          <w:spacing w:val="-8"/>
          <w:sz w:val="32"/>
        </w:rPr>
        <w:t>合消防技术标准的情形，技术论证专家组可视情节轻重，结</w:t>
      </w:r>
      <w:r>
        <w:rPr>
          <w:spacing w:val="-40"/>
          <w:sz w:val="32"/>
        </w:rPr>
        <w:t>合 </w:t>
      </w:r>
      <w:r>
        <w:rPr>
          <w:sz w:val="32"/>
        </w:rPr>
        <w:t>5.3.3</w:t>
      </w:r>
      <w:r>
        <w:rPr>
          <w:spacing w:val="-12"/>
          <w:sz w:val="32"/>
        </w:rPr>
        <w:t> 做出综合判定。</w:t>
      </w:r>
    </w:p>
    <w:p>
      <w:pPr>
        <w:pStyle w:val="ListParagraph"/>
        <w:numPr>
          <w:ilvl w:val="0"/>
          <w:numId w:val="25"/>
        </w:numPr>
        <w:tabs>
          <w:tab w:pos="820" w:val="left" w:leader="none"/>
        </w:tabs>
        <w:spacing w:line="240" w:lineRule="auto" w:before="163" w:after="0"/>
        <w:ind w:left="819" w:right="0" w:hanging="320"/>
        <w:jc w:val="both"/>
        <w:rPr>
          <w:rFonts w:ascii="黑体" w:eastAsia="黑体" w:hint="eastAsia"/>
          <w:sz w:val="32"/>
        </w:rPr>
      </w:pPr>
      <w:r>
        <w:rPr>
          <w:rFonts w:ascii="黑体" w:eastAsia="黑体" w:hint="eastAsia"/>
          <w:sz w:val="32"/>
        </w:rPr>
        <w:t>直接判定要素</w:t>
      </w:r>
    </w:p>
    <w:p>
      <w:pPr>
        <w:pStyle w:val="BodyText"/>
        <w:spacing w:before="10"/>
        <w:ind w:left="0"/>
        <w:rPr>
          <w:rFonts w:ascii="黑体"/>
          <w:sz w:val="23"/>
        </w:rPr>
      </w:pPr>
    </w:p>
    <w:p>
      <w:pPr>
        <w:pStyle w:val="ListParagraph"/>
        <w:numPr>
          <w:ilvl w:val="1"/>
          <w:numId w:val="25"/>
        </w:numPr>
        <w:tabs>
          <w:tab w:pos="1144" w:val="left" w:leader="none"/>
        </w:tabs>
        <w:spacing w:line="326" w:lineRule="auto" w:before="0" w:after="0"/>
        <w:ind w:left="500" w:right="420" w:firstLine="0"/>
        <w:jc w:val="both"/>
        <w:rPr>
          <w:sz w:val="32"/>
        </w:rPr>
      </w:pPr>
      <w:r>
        <w:rPr>
          <w:spacing w:val="-4"/>
          <w:w w:val="95"/>
          <w:sz w:val="32"/>
        </w:rPr>
        <w:t>生产、储存和装卸易燃易爆危险品的工厂、仓库和专用 </w:t>
      </w:r>
      <w:r>
        <w:rPr>
          <w:spacing w:val="-5"/>
          <w:sz w:val="32"/>
        </w:rPr>
        <w:t>车站、码头、储罐区，未设置在城市的边缘或相对独立的安</w:t>
      </w:r>
    </w:p>
    <w:p>
      <w:pPr>
        <w:spacing w:after="0" w:line="326" w:lineRule="auto"/>
        <w:jc w:val="both"/>
        <w:rPr>
          <w:sz w:val="32"/>
        </w:rPr>
        <w:sectPr>
          <w:pgSz w:w="11910" w:h="16840"/>
          <w:pgMar w:header="0" w:footer="1000" w:top="1520" w:bottom="1180" w:left="1300" w:right="1380"/>
        </w:sectPr>
      </w:pPr>
    </w:p>
    <w:p>
      <w:pPr>
        <w:pStyle w:val="BodyText"/>
        <w:spacing w:before="32"/>
      </w:pPr>
      <w:r>
        <w:rPr/>
        <w:t>全地带。</w:t>
      </w:r>
    </w:p>
    <w:p>
      <w:pPr>
        <w:pStyle w:val="ListParagraph"/>
        <w:numPr>
          <w:ilvl w:val="1"/>
          <w:numId w:val="25"/>
        </w:numPr>
        <w:tabs>
          <w:tab w:pos="1144" w:val="left" w:leader="none"/>
        </w:tabs>
        <w:spacing w:line="328" w:lineRule="auto" w:before="149" w:after="0"/>
        <w:ind w:left="500" w:right="417" w:firstLine="0"/>
        <w:jc w:val="both"/>
        <w:rPr>
          <w:sz w:val="32"/>
        </w:rPr>
      </w:pPr>
      <w:r>
        <w:rPr>
          <w:spacing w:val="-4"/>
          <w:sz w:val="32"/>
        </w:rPr>
        <w:t>生产、储存、经营易燃易爆危险品的场所与人员密集场</w:t>
      </w:r>
      <w:r>
        <w:rPr>
          <w:spacing w:val="-5"/>
          <w:sz w:val="32"/>
        </w:rPr>
        <w:t>所、居住场所设置在同一建筑物内，或与人员密集场所、居</w:t>
      </w:r>
      <w:r>
        <w:rPr>
          <w:spacing w:val="11"/>
          <w:w w:val="95"/>
          <w:sz w:val="32"/>
        </w:rPr>
        <w:t>住场所的防火间距小于国家工程建设消防技术标准规定值 </w:t>
      </w:r>
      <w:r>
        <w:rPr>
          <w:spacing w:val="-35"/>
          <w:sz w:val="32"/>
        </w:rPr>
        <w:t>的 </w:t>
      </w:r>
      <w:r>
        <w:rPr>
          <w:sz w:val="32"/>
        </w:rPr>
        <w:t>75%。</w:t>
      </w:r>
    </w:p>
    <w:p>
      <w:pPr>
        <w:pStyle w:val="ListParagraph"/>
        <w:numPr>
          <w:ilvl w:val="1"/>
          <w:numId w:val="25"/>
        </w:numPr>
        <w:tabs>
          <w:tab w:pos="1144" w:val="left" w:leader="none"/>
        </w:tabs>
        <w:spacing w:line="328" w:lineRule="auto" w:before="0" w:after="0"/>
        <w:ind w:left="500" w:right="402" w:firstLine="0"/>
        <w:jc w:val="both"/>
        <w:rPr>
          <w:sz w:val="32"/>
        </w:rPr>
      </w:pPr>
      <w:r>
        <w:rPr>
          <w:sz w:val="32"/>
        </w:rPr>
        <w:t>城市建成区内的加油站、天然气或液化石油气加气站、</w:t>
      </w:r>
      <w:r>
        <w:rPr>
          <w:spacing w:val="7"/>
          <w:sz w:val="32"/>
        </w:rPr>
        <w:t>加油加气合建站的储量达到或超过 </w:t>
      </w:r>
      <w:r>
        <w:rPr>
          <w:sz w:val="32"/>
        </w:rPr>
        <w:t>GB50156</w:t>
      </w:r>
      <w:r>
        <w:rPr>
          <w:spacing w:val="-1"/>
          <w:sz w:val="32"/>
        </w:rPr>
        <w:t> 对一级站的规定。</w:t>
      </w:r>
    </w:p>
    <w:p>
      <w:pPr>
        <w:pStyle w:val="ListParagraph"/>
        <w:numPr>
          <w:ilvl w:val="1"/>
          <w:numId w:val="25"/>
        </w:numPr>
        <w:tabs>
          <w:tab w:pos="1144" w:val="left" w:leader="none"/>
        </w:tabs>
        <w:spacing w:line="328" w:lineRule="auto" w:before="0" w:after="0"/>
        <w:ind w:left="500" w:right="420" w:firstLine="0"/>
        <w:jc w:val="both"/>
        <w:rPr>
          <w:sz w:val="32"/>
        </w:rPr>
      </w:pPr>
      <w:r>
        <w:rPr>
          <w:spacing w:val="-4"/>
          <w:w w:val="95"/>
          <w:sz w:val="32"/>
        </w:rPr>
        <w:t>甲、乙类生产场所和仓库设置在建筑的地下室或半地下 </w:t>
      </w:r>
      <w:r>
        <w:rPr>
          <w:spacing w:val="-4"/>
          <w:sz w:val="32"/>
        </w:rPr>
        <w:t>室。</w:t>
      </w:r>
    </w:p>
    <w:p>
      <w:pPr>
        <w:pStyle w:val="ListParagraph"/>
        <w:numPr>
          <w:ilvl w:val="1"/>
          <w:numId w:val="25"/>
        </w:numPr>
        <w:tabs>
          <w:tab w:pos="1144" w:val="left" w:leader="none"/>
        </w:tabs>
        <w:spacing w:line="328" w:lineRule="auto" w:before="0" w:after="0"/>
        <w:ind w:left="500" w:right="420" w:firstLine="0"/>
        <w:jc w:val="both"/>
        <w:rPr>
          <w:sz w:val="32"/>
        </w:rPr>
      </w:pPr>
      <w:r>
        <w:rPr>
          <w:spacing w:val="-3"/>
          <w:w w:val="95"/>
          <w:sz w:val="32"/>
        </w:rPr>
        <w:t>公共娱乐场所、商店、地下人员密集场所的安全出口数 </w:t>
      </w:r>
      <w:r>
        <w:rPr>
          <w:spacing w:val="11"/>
          <w:w w:val="95"/>
          <w:sz w:val="32"/>
        </w:rPr>
        <w:t>量不足或其总净宽度小于国家工程建设消防技术标准规定 </w:t>
      </w:r>
      <w:r>
        <w:rPr>
          <w:spacing w:val="-20"/>
          <w:sz w:val="32"/>
        </w:rPr>
        <w:t>值的 </w:t>
      </w:r>
      <w:r>
        <w:rPr>
          <w:sz w:val="32"/>
        </w:rPr>
        <w:t>80%。</w:t>
      </w:r>
    </w:p>
    <w:p>
      <w:pPr>
        <w:pStyle w:val="ListParagraph"/>
        <w:numPr>
          <w:ilvl w:val="1"/>
          <w:numId w:val="25"/>
        </w:numPr>
        <w:tabs>
          <w:tab w:pos="1144" w:val="left" w:leader="none"/>
        </w:tabs>
        <w:spacing w:line="328" w:lineRule="auto" w:before="0" w:after="0"/>
        <w:ind w:left="500" w:right="420" w:firstLine="0"/>
        <w:jc w:val="both"/>
        <w:rPr>
          <w:sz w:val="32"/>
        </w:rPr>
      </w:pPr>
      <w:r>
        <w:rPr>
          <w:spacing w:val="-4"/>
          <w:w w:val="95"/>
          <w:sz w:val="32"/>
        </w:rPr>
        <w:t>旅馆、公共娱乐场所、商店、地下人员密集场所未按国 </w:t>
      </w:r>
      <w:r>
        <w:rPr>
          <w:spacing w:val="11"/>
          <w:w w:val="95"/>
          <w:sz w:val="32"/>
        </w:rPr>
        <w:t>家工程建设消防技术标准的规定设置自动喷水灭火系统或 </w:t>
      </w:r>
      <w:r>
        <w:rPr>
          <w:spacing w:val="11"/>
          <w:sz w:val="32"/>
        </w:rPr>
        <w:t>火灾自动报警系统。</w:t>
      </w:r>
    </w:p>
    <w:p>
      <w:pPr>
        <w:pStyle w:val="ListParagraph"/>
        <w:numPr>
          <w:ilvl w:val="1"/>
          <w:numId w:val="25"/>
        </w:numPr>
        <w:tabs>
          <w:tab w:pos="1144" w:val="left" w:leader="none"/>
        </w:tabs>
        <w:spacing w:line="328" w:lineRule="auto" w:before="0" w:after="0"/>
        <w:ind w:left="500" w:right="420" w:firstLine="0"/>
        <w:jc w:val="both"/>
        <w:rPr>
          <w:sz w:val="32"/>
        </w:rPr>
      </w:pPr>
      <w:r>
        <w:rPr>
          <w:spacing w:val="-2"/>
          <w:w w:val="95"/>
          <w:sz w:val="32"/>
        </w:rPr>
        <w:t>易燃可燃液体、可燃气体储罐</w:t>
      </w:r>
      <w:r>
        <w:rPr>
          <w:w w:val="95"/>
          <w:sz w:val="32"/>
        </w:rPr>
        <w:t>（区</w:t>
      </w:r>
      <w:r>
        <w:rPr>
          <w:spacing w:val="-5"/>
          <w:w w:val="95"/>
          <w:sz w:val="32"/>
        </w:rPr>
        <w:t>）</w:t>
      </w:r>
      <w:r>
        <w:rPr>
          <w:w w:val="95"/>
          <w:sz w:val="32"/>
        </w:rPr>
        <w:t>未按国家工程建设 </w:t>
      </w:r>
      <w:r>
        <w:rPr>
          <w:spacing w:val="-3"/>
          <w:sz w:val="32"/>
        </w:rPr>
        <w:t>消防技术标准的规定设置固定灭火、冷却、可燃气体浓度报</w:t>
      </w:r>
      <w:r>
        <w:rPr>
          <w:sz w:val="32"/>
        </w:rPr>
        <w:t>警、火灾报警设施。</w:t>
      </w:r>
    </w:p>
    <w:p>
      <w:pPr>
        <w:pStyle w:val="ListParagraph"/>
        <w:numPr>
          <w:ilvl w:val="1"/>
          <w:numId w:val="25"/>
        </w:numPr>
        <w:tabs>
          <w:tab w:pos="1144" w:val="left" w:leader="none"/>
        </w:tabs>
        <w:spacing w:line="326" w:lineRule="auto" w:before="0" w:after="0"/>
        <w:ind w:left="500" w:right="417" w:firstLine="0"/>
        <w:jc w:val="both"/>
        <w:rPr>
          <w:sz w:val="32"/>
        </w:rPr>
      </w:pPr>
      <w:r>
        <w:rPr>
          <w:spacing w:val="-1"/>
          <w:sz w:val="32"/>
        </w:rPr>
        <w:t>在人员密集场所违反消防安全规定使用、储存或销售易燃易爆危险品。</w:t>
      </w:r>
    </w:p>
    <w:p>
      <w:pPr>
        <w:pStyle w:val="ListParagraph"/>
        <w:numPr>
          <w:ilvl w:val="1"/>
          <w:numId w:val="25"/>
        </w:numPr>
        <w:tabs>
          <w:tab w:pos="1144" w:val="left" w:leader="none"/>
        </w:tabs>
        <w:spacing w:line="326" w:lineRule="auto" w:before="0" w:after="0"/>
        <w:ind w:left="500" w:right="420" w:firstLine="0"/>
        <w:jc w:val="both"/>
        <w:rPr>
          <w:sz w:val="32"/>
        </w:rPr>
      </w:pPr>
      <w:r>
        <w:rPr>
          <w:spacing w:val="-3"/>
          <w:w w:val="95"/>
          <w:sz w:val="32"/>
        </w:rPr>
        <w:t>托儿所、幼儿园的儿童用房以及老年人活动场所，所在 </w:t>
      </w:r>
      <w:r>
        <w:rPr>
          <w:spacing w:val="-3"/>
          <w:sz w:val="32"/>
        </w:rPr>
        <w:t>楼层位置不符合国家工程建设消防技术标准的规定。</w:t>
      </w:r>
    </w:p>
    <w:p>
      <w:pPr>
        <w:pStyle w:val="ListParagraph"/>
        <w:numPr>
          <w:ilvl w:val="1"/>
          <w:numId w:val="25"/>
        </w:numPr>
        <w:tabs>
          <w:tab w:pos="1312" w:val="left" w:leader="none"/>
        </w:tabs>
        <w:spacing w:line="240" w:lineRule="auto" w:before="0" w:after="0"/>
        <w:ind w:left="1311" w:right="0" w:hanging="812"/>
        <w:jc w:val="both"/>
        <w:rPr>
          <w:sz w:val="32"/>
        </w:rPr>
      </w:pPr>
      <w:r>
        <w:rPr>
          <w:spacing w:val="4"/>
          <w:sz w:val="32"/>
        </w:rPr>
        <w:t>人员密集场所的居住场所采用彩钢夹芯板搭建，且彩</w:t>
      </w:r>
    </w:p>
    <w:p>
      <w:pPr>
        <w:spacing w:after="0" w:line="240" w:lineRule="auto"/>
        <w:jc w:val="both"/>
        <w:rPr>
          <w:sz w:val="32"/>
        </w:rPr>
        <w:sectPr>
          <w:pgSz w:w="11910" w:h="16840"/>
          <w:pgMar w:header="0" w:footer="1000" w:top="1520" w:bottom="1180" w:left="1300" w:right="1380"/>
        </w:sectPr>
      </w:pPr>
    </w:p>
    <w:p>
      <w:pPr>
        <w:pStyle w:val="BodyText"/>
        <w:spacing w:before="32"/>
      </w:pPr>
      <w:r>
        <w:rPr>
          <w:spacing w:val="5"/>
        </w:rPr>
        <w:t>钢夹芯板芯材的燃烧性能等级低于</w:t>
      </w:r>
      <w:r>
        <w:rPr/>
        <w:t>GB8624</w:t>
      </w:r>
      <w:r>
        <w:rPr>
          <w:spacing w:val="-2"/>
        </w:rPr>
        <w:t> 规定的</w:t>
      </w:r>
      <w:r>
        <w:rPr/>
        <w:t>A</w:t>
      </w:r>
      <w:r>
        <w:rPr>
          <w:spacing w:val="-81"/>
        </w:rPr>
        <w:t> </w:t>
      </w:r>
      <w:r>
        <w:rPr>
          <w:color w:val="121212"/>
        </w:rPr>
        <w:t>级。</w:t>
      </w:r>
    </w:p>
    <w:p>
      <w:pPr>
        <w:pStyle w:val="BodyText"/>
        <w:spacing w:before="10"/>
        <w:ind w:left="0"/>
        <w:rPr>
          <w:sz w:val="23"/>
        </w:rPr>
      </w:pPr>
    </w:p>
    <w:p>
      <w:pPr>
        <w:pStyle w:val="ListParagraph"/>
        <w:numPr>
          <w:ilvl w:val="0"/>
          <w:numId w:val="25"/>
        </w:numPr>
        <w:tabs>
          <w:tab w:pos="820" w:val="left" w:leader="none"/>
        </w:tabs>
        <w:spacing w:line="240" w:lineRule="auto" w:before="0" w:after="0"/>
        <w:ind w:left="819" w:right="0" w:hanging="320"/>
        <w:jc w:val="left"/>
        <w:rPr>
          <w:rFonts w:ascii="黑体" w:eastAsia="黑体" w:hint="eastAsia"/>
          <w:sz w:val="32"/>
        </w:rPr>
      </w:pPr>
      <w:r>
        <w:rPr>
          <w:rFonts w:ascii="黑体" w:eastAsia="黑体" w:hint="eastAsia"/>
          <w:sz w:val="32"/>
        </w:rPr>
        <w:t>综合判定要素</w:t>
      </w:r>
    </w:p>
    <w:p>
      <w:pPr>
        <w:pStyle w:val="Heading3"/>
        <w:numPr>
          <w:ilvl w:val="1"/>
          <w:numId w:val="25"/>
        </w:numPr>
        <w:tabs>
          <w:tab w:pos="1144" w:val="left" w:leader="none"/>
        </w:tabs>
        <w:spacing w:line="240" w:lineRule="auto" w:before="200" w:after="0"/>
        <w:ind w:left="1143" w:right="0" w:hanging="644"/>
        <w:jc w:val="left"/>
      </w:pPr>
      <w:r>
        <w:rPr/>
        <w:t>总平面布置</w:t>
      </w:r>
    </w:p>
    <w:p>
      <w:pPr>
        <w:pStyle w:val="ListParagraph"/>
        <w:numPr>
          <w:ilvl w:val="2"/>
          <w:numId w:val="25"/>
        </w:numPr>
        <w:tabs>
          <w:tab w:pos="1381" w:val="left" w:leader="none"/>
        </w:tabs>
        <w:spacing w:line="326" w:lineRule="auto" w:before="78" w:after="0"/>
        <w:ind w:left="500" w:right="420" w:firstLine="0"/>
        <w:jc w:val="both"/>
        <w:rPr>
          <w:sz w:val="32"/>
        </w:rPr>
      </w:pPr>
      <w:r>
        <w:rPr>
          <w:sz w:val="32"/>
        </w:rPr>
        <w:t>未按国家工程建设消防技术标准的规定或城市消防规划的要求设置消防车道或消防车道被堵塞、占用。</w:t>
      </w:r>
    </w:p>
    <w:p>
      <w:pPr>
        <w:pStyle w:val="ListParagraph"/>
        <w:numPr>
          <w:ilvl w:val="2"/>
          <w:numId w:val="25"/>
        </w:numPr>
        <w:tabs>
          <w:tab w:pos="1381" w:val="left" w:leader="none"/>
        </w:tabs>
        <w:spacing w:line="328" w:lineRule="auto" w:before="4" w:after="0"/>
        <w:ind w:left="500" w:right="417" w:firstLine="0"/>
        <w:jc w:val="both"/>
        <w:rPr>
          <w:sz w:val="32"/>
        </w:rPr>
      </w:pPr>
      <w:r>
        <w:rPr>
          <w:sz w:val="32"/>
        </w:rPr>
        <w:t>建筑之间的既有防火间距被占用或小于国家工程建设</w:t>
      </w:r>
      <w:r>
        <w:rPr>
          <w:spacing w:val="-7"/>
          <w:sz w:val="32"/>
        </w:rPr>
        <w:t>消防技术标准的规定值的 </w:t>
      </w:r>
      <w:r>
        <w:rPr>
          <w:sz w:val="32"/>
        </w:rPr>
        <w:t>80%，明火和散发火花地点与易燃</w:t>
      </w:r>
      <w:r>
        <w:rPr>
          <w:spacing w:val="-3"/>
          <w:sz w:val="32"/>
        </w:rPr>
        <w:t>易爆生产厂房、装置设备之间的防火间距小于国家工程建设消防技术标准的规定值。</w:t>
      </w:r>
    </w:p>
    <w:p>
      <w:pPr>
        <w:pStyle w:val="ListParagraph"/>
        <w:numPr>
          <w:ilvl w:val="2"/>
          <w:numId w:val="25"/>
        </w:numPr>
        <w:tabs>
          <w:tab w:pos="1381" w:val="left" w:leader="none"/>
        </w:tabs>
        <w:spacing w:line="326" w:lineRule="auto" w:before="0" w:after="0"/>
        <w:ind w:left="500" w:right="420" w:firstLine="0"/>
        <w:jc w:val="both"/>
        <w:rPr>
          <w:sz w:val="32"/>
        </w:rPr>
      </w:pPr>
      <w:r>
        <w:rPr>
          <w:sz w:val="32"/>
        </w:rPr>
        <w:t>在厂房、库房、商场中设置员工宿舍，或是在居住等</w:t>
      </w:r>
      <w:r>
        <w:rPr>
          <w:spacing w:val="-4"/>
          <w:sz w:val="32"/>
        </w:rPr>
        <w:t>民用建筑中从事生产、储存、经营等活动，且不符合 </w:t>
      </w:r>
      <w:r>
        <w:rPr>
          <w:sz w:val="32"/>
        </w:rPr>
        <w:t>GA703 的规定。</w:t>
      </w:r>
    </w:p>
    <w:p>
      <w:pPr>
        <w:pStyle w:val="ListParagraph"/>
        <w:numPr>
          <w:ilvl w:val="2"/>
          <w:numId w:val="25"/>
        </w:numPr>
        <w:tabs>
          <w:tab w:pos="1460" w:val="left" w:leader="none"/>
        </w:tabs>
        <w:spacing w:line="326" w:lineRule="auto" w:before="2" w:after="0"/>
        <w:ind w:left="500" w:right="420" w:firstLine="0"/>
        <w:jc w:val="both"/>
        <w:rPr>
          <w:sz w:val="32"/>
        </w:rPr>
      </w:pPr>
      <w:r>
        <w:rPr>
          <w:spacing w:val="-2"/>
          <w:sz w:val="32"/>
        </w:rPr>
        <w:t>地下车站的站厅乘客疏散区、站台及疏散通道内设置商业经营活动场所。</w:t>
      </w:r>
    </w:p>
    <w:p>
      <w:pPr>
        <w:pStyle w:val="Heading3"/>
        <w:numPr>
          <w:ilvl w:val="1"/>
          <w:numId w:val="25"/>
        </w:numPr>
        <w:tabs>
          <w:tab w:pos="1144" w:val="left" w:leader="none"/>
        </w:tabs>
        <w:spacing w:line="486" w:lineRule="exact" w:before="0" w:after="0"/>
        <w:ind w:left="1143" w:right="0" w:hanging="644"/>
        <w:jc w:val="left"/>
      </w:pPr>
      <w:r>
        <w:rPr/>
        <w:t>防火分隔</w:t>
      </w:r>
    </w:p>
    <w:p>
      <w:pPr>
        <w:pStyle w:val="ListParagraph"/>
        <w:numPr>
          <w:ilvl w:val="2"/>
          <w:numId w:val="25"/>
        </w:numPr>
        <w:tabs>
          <w:tab w:pos="1381" w:val="left" w:leader="none"/>
        </w:tabs>
        <w:spacing w:line="326" w:lineRule="auto" w:before="78" w:after="0"/>
        <w:ind w:left="500" w:right="420" w:firstLine="0"/>
        <w:jc w:val="left"/>
        <w:rPr>
          <w:sz w:val="32"/>
        </w:rPr>
      </w:pPr>
      <w:r>
        <w:rPr>
          <w:sz w:val="32"/>
        </w:rPr>
        <w:t>原有防火分区被改变并导致实际防火分区的建筑面积</w:t>
      </w:r>
      <w:r>
        <w:rPr>
          <w:spacing w:val="-5"/>
          <w:sz w:val="32"/>
        </w:rPr>
        <w:t>大于国家工程建设消防技术标准规定值的 </w:t>
      </w:r>
      <w:r>
        <w:rPr>
          <w:sz w:val="32"/>
        </w:rPr>
        <w:t>50%。</w:t>
      </w:r>
    </w:p>
    <w:p>
      <w:pPr>
        <w:pStyle w:val="ListParagraph"/>
        <w:numPr>
          <w:ilvl w:val="2"/>
          <w:numId w:val="25"/>
        </w:numPr>
        <w:tabs>
          <w:tab w:pos="1460" w:val="left" w:leader="none"/>
        </w:tabs>
        <w:spacing w:line="328" w:lineRule="auto" w:before="4" w:after="0"/>
        <w:ind w:left="500" w:right="420" w:firstLine="0"/>
        <w:jc w:val="left"/>
        <w:rPr>
          <w:sz w:val="32"/>
        </w:rPr>
      </w:pPr>
      <w:r>
        <w:rPr>
          <w:spacing w:val="-4"/>
          <w:sz w:val="32"/>
        </w:rPr>
        <w:t>防火门、防火卷帘等防火分隔设施损坏的数量大于该</w:t>
      </w:r>
      <w:r>
        <w:rPr>
          <w:spacing w:val="-9"/>
          <w:sz w:val="32"/>
        </w:rPr>
        <w:t>防火分区相应防火分隔设施总数的 </w:t>
      </w:r>
      <w:r>
        <w:rPr>
          <w:sz w:val="32"/>
        </w:rPr>
        <w:t>50%。</w:t>
      </w:r>
    </w:p>
    <w:p>
      <w:pPr>
        <w:pStyle w:val="ListParagraph"/>
        <w:numPr>
          <w:ilvl w:val="2"/>
          <w:numId w:val="25"/>
        </w:numPr>
        <w:tabs>
          <w:tab w:pos="1381" w:val="left" w:leader="none"/>
        </w:tabs>
        <w:spacing w:line="326" w:lineRule="auto" w:before="0" w:after="0"/>
        <w:ind w:left="500" w:right="420" w:firstLine="0"/>
        <w:jc w:val="left"/>
        <w:rPr>
          <w:sz w:val="32"/>
        </w:rPr>
      </w:pPr>
      <w:r>
        <w:rPr>
          <w:sz w:val="32"/>
        </w:rPr>
        <w:t>丙、丁、戊类厂房内有火灾或爆炸危险的部位未采取防火分隔等防火防爆技术措施。</w:t>
      </w:r>
    </w:p>
    <w:p>
      <w:pPr>
        <w:pStyle w:val="Heading3"/>
        <w:numPr>
          <w:ilvl w:val="1"/>
          <w:numId w:val="25"/>
        </w:numPr>
        <w:tabs>
          <w:tab w:pos="1144" w:val="left" w:leader="none"/>
        </w:tabs>
        <w:spacing w:line="488" w:lineRule="exact" w:before="0" w:after="0"/>
        <w:ind w:left="1143" w:right="0" w:hanging="644"/>
        <w:jc w:val="left"/>
      </w:pPr>
      <w:r>
        <w:rPr/>
        <w:t>安全疏散设施及灭火救援条件</w:t>
      </w:r>
    </w:p>
    <w:p>
      <w:pPr>
        <w:pStyle w:val="ListParagraph"/>
        <w:numPr>
          <w:ilvl w:val="2"/>
          <w:numId w:val="25"/>
        </w:numPr>
        <w:tabs>
          <w:tab w:pos="1381" w:val="left" w:leader="none"/>
        </w:tabs>
        <w:spacing w:line="326" w:lineRule="auto" w:before="73" w:after="0"/>
        <w:ind w:left="500" w:right="420" w:firstLine="0"/>
        <w:jc w:val="left"/>
        <w:rPr>
          <w:sz w:val="32"/>
        </w:rPr>
      </w:pPr>
      <w:r>
        <w:rPr>
          <w:sz w:val="32"/>
        </w:rPr>
        <w:t>建筑内的避难走道、避难间、避难层的设置不符合国</w:t>
      </w:r>
      <w:r>
        <w:rPr>
          <w:spacing w:val="-3"/>
          <w:sz w:val="32"/>
        </w:rPr>
        <w:t>家工程建设消防技术标准的规定，或避难走道、避难间、避</w:t>
      </w:r>
    </w:p>
    <w:p>
      <w:pPr>
        <w:spacing w:after="0" w:line="326" w:lineRule="auto"/>
        <w:jc w:val="left"/>
        <w:rPr>
          <w:sz w:val="32"/>
        </w:rPr>
        <w:sectPr>
          <w:pgSz w:w="11910" w:h="16840"/>
          <w:pgMar w:header="0" w:footer="1000" w:top="1520" w:bottom="1180" w:left="1300" w:right="1380"/>
        </w:sectPr>
      </w:pPr>
    </w:p>
    <w:p>
      <w:pPr>
        <w:pStyle w:val="BodyText"/>
        <w:spacing w:before="32"/>
      </w:pPr>
      <w:r>
        <w:rPr/>
        <w:t>难层被占用。</w:t>
      </w:r>
    </w:p>
    <w:p>
      <w:pPr>
        <w:pStyle w:val="ListParagraph"/>
        <w:numPr>
          <w:ilvl w:val="2"/>
          <w:numId w:val="25"/>
        </w:numPr>
        <w:tabs>
          <w:tab w:pos="1381" w:val="left" w:leader="none"/>
        </w:tabs>
        <w:spacing w:line="326" w:lineRule="auto" w:before="149" w:after="0"/>
        <w:ind w:left="500" w:right="420" w:firstLine="0"/>
        <w:jc w:val="both"/>
        <w:rPr>
          <w:sz w:val="32"/>
        </w:rPr>
      </w:pPr>
      <w:r>
        <w:rPr>
          <w:sz w:val="32"/>
        </w:rPr>
        <w:t>人员密集场所内疏散楼梯间的设置形式不符合国家工程建设消防技术标准的规定。</w:t>
      </w:r>
    </w:p>
    <w:p>
      <w:pPr>
        <w:pStyle w:val="ListParagraph"/>
        <w:numPr>
          <w:ilvl w:val="2"/>
          <w:numId w:val="25"/>
        </w:numPr>
        <w:tabs>
          <w:tab w:pos="1384" w:val="left" w:leader="none"/>
        </w:tabs>
        <w:spacing w:line="326" w:lineRule="auto" w:before="5" w:after="0"/>
        <w:ind w:left="500" w:right="420" w:firstLine="0"/>
        <w:jc w:val="both"/>
        <w:rPr>
          <w:sz w:val="32"/>
        </w:rPr>
      </w:pPr>
      <w:r>
        <w:rPr>
          <w:spacing w:val="-40"/>
          <w:sz w:val="32"/>
        </w:rPr>
        <w:t>除 </w:t>
      </w:r>
      <w:r>
        <w:rPr>
          <w:sz w:val="32"/>
        </w:rPr>
        <w:t>6.5</w:t>
      </w:r>
      <w:r>
        <w:rPr>
          <w:spacing w:val="-7"/>
          <w:sz w:val="32"/>
        </w:rPr>
        <w:t> 规定外的其他场所或建筑物的安全出口数量或</w:t>
      </w:r>
      <w:r>
        <w:rPr>
          <w:spacing w:val="-8"/>
          <w:sz w:val="32"/>
        </w:rPr>
        <w:t>宽度不符合国家工程建设消防技术标准的规定，或既有安全出口被封堵。</w:t>
      </w:r>
    </w:p>
    <w:p>
      <w:pPr>
        <w:pStyle w:val="ListParagraph"/>
        <w:numPr>
          <w:ilvl w:val="2"/>
          <w:numId w:val="25"/>
        </w:numPr>
        <w:tabs>
          <w:tab w:pos="1381" w:val="left" w:leader="none"/>
        </w:tabs>
        <w:spacing w:line="326" w:lineRule="auto" w:before="8" w:after="0"/>
        <w:ind w:left="500" w:right="420" w:firstLine="0"/>
        <w:jc w:val="both"/>
        <w:rPr>
          <w:sz w:val="32"/>
        </w:rPr>
      </w:pPr>
      <w:r>
        <w:rPr>
          <w:sz w:val="32"/>
        </w:rPr>
        <w:t>按国家工程建设消防技术标准的规定，建筑物应设置独立的安全出口或疏散楼梯而未设置。</w:t>
      </w:r>
    </w:p>
    <w:p>
      <w:pPr>
        <w:pStyle w:val="ListParagraph"/>
        <w:numPr>
          <w:ilvl w:val="2"/>
          <w:numId w:val="25"/>
        </w:numPr>
        <w:tabs>
          <w:tab w:pos="1381" w:val="left" w:leader="none"/>
        </w:tabs>
        <w:spacing w:line="328" w:lineRule="auto" w:before="3" w:after="0"/>
        <w:ind w:left="500" w:right="420" w:firstLine="0"/>
        <w:jc w:val="both"/>
        <w:rPr>
          <w:sz w:val="32"/>
        </w:rPr>
      </w:pPr>
      <w:r>
        <w:rPr>
          <w:sz w:val="32"/>
        </w:rPr>
        <w:t>商店营业厅内的疏散距离大于国家工程建设消防技术</w:t>
      </w:r>
      <w:r>
        <w:rPr>
          <w:spacing w:val="-12"/>
          <w:sz w:val="32"/>
        </w:rPr>
        <w:t>标准规定值的 </w:t>
      </w:r>
      <w:r>
        <w:rPr>
          <w:sz w:val="32"/>
        </w:rPr>
        <w:t>125%。</w:t>
      </w:r>
    </w:p>
    <w:p>
      <w:pPr>
        <w:pStyle w:val="ListParagraph"/>
        <w:numPr>
          <w:ilvl w:val="2"/>
          <w:numId w:val="25"/>
        </w:numPr>
        <w:tabs>
          <w:tab w:pos="1381" w:val="left" w:leader="none"/>
        </w:tabs>
        <w:spacing w:line="328" w:lineRule="auto" w:before="0" w:after="0"/>
        <w:ind w:left="500" w:right="405" w:firstLine="0"/>
        <w:jc w:val="both"/>
        <w:rPr>
          <w:sz w:val="32"/>
        </w:rPr>
      </w:pPr>
      <w:r>
        <w:rPr>
          <w:sz w:val="32"/>
        </w:rPr>
        <w:t>高层建筑和地下建筑未按国家工程建设消防技术标准</w:t>
      </w:r>
      <w:r>
        <w:rPr>
          <w:spacing w:val="-2"/>
          <w:sz w:val="32"/>
        </w:rPr>
        <w:t>的规定设置疏散指示标志、应急照明，或所设置设施的损坏</w:t>
      </w:r>
      <w:r>
        <w:rPr>
          <w:spacing w:val="-5"/>
          <w:sz w:val="32"/>
        </w:rPr>
        <w:t>率大于标准规定要求设置数量的 </w:t>
      </w:r>
      <w:r>
        <w:rPr>
          <w:sz w:val="32"/>
        </w:rPr>
        <w:t>30%；其他建筑未按国家工程建设消防技术标准的规定设置疏散指示标志、应急照明， </w:t>
      </w:r>
      <w:r>
        <w:rPr>
          <w:spacing w:val="-4"/>
          <w:sz w:val="32"/>
        </w:rPr>
        <w:t>或所设置设施的损坏率大于标准规定要求设置数量的 </w:t>
      </w:r>
      <w:r>
        <w:rPr>
          <w:sz w:val="32"/>
        </w:rPr>
        <w:t>50%。</w:t>
      </w:r>
    </w:p>
    <w:p>
      <w:pPr>
        <w:pStyle w:val="ListParagraph"/>
        <w:numPr>
          <w:ilvl w:val="2"/>
          <w:numId w:val="25"/>
        </w:numPr>
        <w:tabs>
          <w:tab w:pos="1472" w:val="left" w:leader="none"/>
        </w:tabs>
        <w:spacing w:line="328" w:lineRule="auto" w:before="0" w:after="0"/>
        <w:ind w:left="500" w:right="420" w:firstLine="0"/>
        <w:jc w:val="both"/>
        <w:rPr>
          <w:sz w:val="32"/>
        </w:rPr>
      </w:pPr>
      <w:r>
        <w:rPr>
          <w:spacing w:val="13"/>
          <w:w w:val="95"/>
          <w:sz w:val="32"/>
        </w:rPr>
        <w:t>设有人员密集场所的高层建筑的封闭楼梯间或防烟 </w:t>
      </w:r>
      <w:r>
        <w:rPr>
          <w:spacing w:val="-5"/>
          <w:sz w:val="32"/>
        </w:rPr>
        <w:t>楼梯间的门的损坏率超过其设置总数的 </w:t>
      </w:r>
      <w:r>
        <w:rPr>
          <w:sz w:val="32"/>
        </w:rPr>
        <w:t>20%，其他建筑的封</w:t>
      </w:r>
      <w:r>
        <w:rPr>
          <w:spacing w:val="24"/>
          <w:w w:val="95"/>
          <w:sz w:val="32"/>
        </w:rPr>
        <w:t>闭楼梯间或防烟楼梯间的门的损坏率大于其设置总数的</w:t>
      </w:r>
      <w:r>
        <w:rPr>
          <w:sz w:val="32"/>
        </w:rPr>
        <w:t>50%。</w:t>
      </w:r>
    </w:p>
    <w:p>
      <w:pPr>
        <w:pStyle w:val="ListParagraph"/>
        <w:numPr>
          <w:ilvl w:val="2"/>
          <w:numId w:val="25"/>
        </w:numPr>
        <w:tabs>
          <w:tab w:pos="1381" w:val="left" w:leader="none"/>
        </w:tabs>
        <w:spacing w:line="326" w:lineRule="auto" w:before="0" w:after="0"/>
        <w:ind w:left="500" w:right="420" w:firstLine="0"/>
        <w:jc w:val="both"/>
        <w:rPr>
          <w:sz w:val="32"/>
        </w:rPr>
      </w:pPr>
      <w:r>
        <w:rPr>
          <w:sz w:val="32"/>
        </w:rPr>
        <w:t>人员密集场所内疏散走道、疏散楼梯间、前室的室内</w:t>
      </w:r>
      <w:r>
        <w:rPr>
          <w:spacing w:val="6"/>
          <w:sz w:val="32"/>
        </w:rPr>
        <w:t>装修材料的燃烧性能不符合</w:t>
      </w:r>
      <w:r>
        <w:rPr>
          <w:sz w:val="32"/>
        </w:rPr>
        <w:t>GB50222</w:t>
      </w:r>
      <w:r>
        <w:rPr>
          <w:spacing w:val="-17"/>
          <w:sz w:val="32"/>
        </w:rPr>
        <w:t> 的规定。</w:t>
      </w:r>
    </w:p>
    <w:p>
      <w:pPr>
        <w:pStyle w:val="ListParagraph"/>
        <w:numPr>
          <w:ilvl w:val="2"/>
          <w:numId w:val="25"/>
        </w:numPr>
        <w:tabs>
          <w:tab w:pos="1381" w:val="left" w:leader="none"/>
        </w:tabs>
        <w:spacing w:line="326" w:lineRule="auto" w:before="0" w:after="0"/>
        <w:ind w:left="500" w:right="420" w:firstLine="0"/>
        <w:jc w:val="both"/>
        <w:rPr>
          <w:sz w:val="32"/>
        </w:rPr>
      </w:pPr>
      <w:r>
        <w:rPr>
          <w:sz w:val="32"/>
        </w:rPr>
        <w:t>人员密集场所的疏散走道、楼梯间、疏散门或安全出口设置栅栏、卷帘门。</w:t>
      </w:r>
    </w:p>
    <w:p>
      <w:pPr>
        <w:pStyle w:val="ListParagraph"/>
        <w:numPr>
          <w:ilvl w:val="2"/>
          <w:numId w:val="25"/>
        </w:numPr>
        <w:tabs>
          <w:tab w:pos="1540" w:val="left" w:leader="none"/>
        </w:tabs>
        <w:spacing w:line="240" w:lineRule="auto" w:before="0" w:after="0"/>
        <w:ind w:left="1539" w:right="0" w:hanging="1040"/>
        <w:jc w:val="both"/>
        <w:rPr>
          <w:sz w:val="32"/>
        </w:rPr>
      </w:pPr>
      <w:r>
        <w:rPr>
          <w:sz w:val="32"/>
        </w:rPr>
        <w:t>人员密集场所的外窗被封堵或被广告牌等遮挡。</w:t>
      </w:r>
    </w:p>
    <w:p>
      <w:pPr>
        <w:spacing w:after="0" w:line="240" w:lineRule="auto"/>
        <w:jc w:val="both"/>
        <w:rPr>
          <w:sz w:val="32"/>
        </w:rPr>
        <w:sectPr>
          <w:pgSz w:w="11910" w:h="16840"/>
          <w:pgMar w:header="0" w:footer="1000" w:top="1520" w:bottom="1180" w:left="1300" w:right="1380"/>
        </w:sectPr>
      </w:pPr>
    </w:p>
    <w:p>
      <w:pPr>
        <w:pStyle w:val="ListParagraph"/>
        <w:numPr>
          <w:ilvl w:val="2"/>
          <w:numId w:val="25"/>
        </w:numPr>
        <w:tabs>
          <w:tab w:pos="1540" w:val="left" w:leader="none"/>
        </w:tabs>
        <w:spacing w:line="326" w:lineRule="auto" w:before="32" w:after="0"/>
        <w:ind w:left="500" w:right="420" w:firstLine="0"/>
        <w:jc w:val="left"/>
        <w:rPr>
          <w:sz w:val="32"/>
        </w:rPr>
      </w:pPr>
      <w:r>
        <w:rPr>
          <w:spacing w:val="-10"/>
          <w:sz w:val="32"/>
        </w:rPr>
        <w:t>高层建筑的消防车道、救援场地设置不符合要求或被占用，影响火灾扑救。</w:t>
      </w:r>
    </w:p>
    <w:p>
      <w:pPr>
        <w:pStyle w:val="ListParagraph"/>
        <w:numPr>
          <w:ilvl w:val="2"/>
          <w:numId w:val="25"/>
        </w:numPr>
        <w:tabs>
          <w:tab w:pos="1540" w:val="left" w:leader="none"/>
        </w:tabs>
        <w:spacing w:line="240" w:lineRule="auto" w:before="3" w:after="0"/>
        <w:ind w:left="1539" w:right="0" w:hanging="1040"/>
        <w:jc w:val="left"/>
        <w:rPr>
          <w:sz w:val="32"/>
        </w:rPr>
      </w:pPr>
      <w:r>
        <w:rPr>
          <w:sz w:val="32"/>
        </w:rPr>
        <w:t>消防电梯无法正常运行。</w:t>
      </w:r>
    </w:p>
    <w:p>
      <w:pPr>
        <w:pStyle w:val="Heading3"/>
        <w:numPr>
          <w:ilvl w:val="1"/>
          <w:numId w:val="25"/>
        </w:numPr>
        <w:tabs>
          <w:tab w:pos="1144" w:val="left" w:leader="none"/>
        </w:tabs>
        <w:spacing w:line="240" w:lineRule="auto" w:before="46" w:after="0"/>
        <w:ind w:left="1143" w:right="0" w:hanging="644"/>
        <w:jc w:val="left"/>
      </w:pPr>
      <w:r>
        <w:rPr/>
        <w:t>消防给水及灭火设施</w:t>
      </w:r>
    </w:p>
    <w:p>
      <w:pPr>
        <w:pStyle w:val="ListParagraph"/>
        <w:numPr>
          <w:ilvl w:val="2"/>
          <w:numId w:val="25"/>
        </w:numPr>
        <w:tabs>
          <w:tab w:pos="1398" w:val="left" w:leader="none"/>
        </w:tabs>
        <w:spacing w:line="326" w:lineRule="auto" w:before="76" w:after="0"/>
        <w:ind w:left="500" w:right="417" w:firstLine="0"/>
        <w:jc w:val="left"/>
        <w:rPr>
          <w:sz w:val="32"/>
        </w:rPr>
      </w:pPr>
      <w:r>
        <w:rPr>
          <w:spacing w:val="16"/>
          <w:w w:val="95"/>
          <w:sz w:val="32"/>
        </w:rPr>
        <w:t>未按国家工程建设消防技术标准的规定设置消防水 </w:t>
      </w:r>
      <w:r>
        <w:rPr>
          <w:spacing w:val="16"/>
          <w:sz w:val="32"/>
        </w:rPr>
        <w:t>源、储存泡沫液等灭火剂。</w:t>
      </w:r>
    </w:p>
    <w:p>
      <w:pPr>
        <w:pStyle w:val="ListParagraph"/>
        <w:numPr>
          <w:ilvl w:val="2"/>
          <w:numId w:val="25"/>
        </w:numPr>
        <w:tabs>
          <w:tab w:pos="1381" w:val="left" w:leader="none"/>
        </w:tabs>
        <w:spacing w:line="326" w:lineRule="auto" w:before="6" w:after="0"/>
        <w:ind w:left="500" w:right="405" w:firstLine="0"/>
        <w:jc w:val="left"/>
        <w:rPr>
          <w:sz w:val="32"/>
        </w:rPr>
      </w:pPr>
      <w:r>
        <w:rPr>
          <w:sz w:val="32"/>
        </w:rPr>
        <w:t>未按国家工程建设消防技术标准的规定设置室外消防</w:t>
      </w:r>
      <w:r>
        <w:rPr>
          <w:w w:val="95"/>
          <w:sz w:val="32"/>
        </w:rPr>
        <w:t>给水系统，或已设置但不符合标准的规定或不能正常使用。</w:t>
      </w:r>
    </w:p>
    <w:p>
      <w:pPr>
        <w:pStyle w:val="ListParagraph"/>
        <w:numPr>
          <w:ilvl w:val="2"/>
          <w:numId w:val="25"/>
        </w:numPr>
        <w:tabs>
          <w:tab w:pos="1381" w:val="left" w:leader="none"/>
        </w:tabs>
        <w:spacing w:line="328" w:lineRule="auto" w:before="3" w:after="0"/>
        <w:ind w:left="500" w:right="420" w:firstLine="0"/>
        <w:jc w:val="left"/>
        <w:rPr>
          <w:sz w:val="32"/>
        </w:rPr>
      </w:pPr>
      <w:r>
        <w:rPr>
          <w:sz w:val="32"/>
        </w:rPr>
        <w:t>未按国家工程建设消防技术标准的规定设置室内消火栓系统，或已设置但不符合标准的规定或不能正常使用。</w:t>
      </w:r>
    </w:p>
    <w:p>
      <w:pPr>
        <w:pStyle w:val="ListParagraph"/>
        <w:numPr>
          <w:ilvl w:val="2"/>
          <w:numId w:val="25"/>
        </w:numPr>
        <w:tabs>
          <w:tab w:pos="1381" w:val="left" w:leader="none"/>
        </w:tabs>
        <w:spacing w:line="328" w:lineRule="auto" w:before="0" w:after="0"/>
        <w:ind w:left="500" w:right="259" w:firstLine="0"/>
        <w:jc w:val="left"/>
        <w:rPr>
          <w:sz w:val="32"/>
        </w:rPr>
      </w:pPr>
      <w:r>
        <w:rPr>
          <w:spacing w:val="-11"/>
          <w:w w:val="95"/>
          <w:sz w:val="32"/>
        </w:rPr>
        <w:t>除旅馆、公共娱乐场所、商店、地下人员密集场所外， </w:t>
      </w:r>
      <w:r>
        <w:rPr>
          <w:spacing w:val="11"/>
          <w:sz w:val="32"/>
        </w:rPr>
        <w:t>其他场所未按国家工程建设消防技术标准的规定设置自动喷水灭火系统。</w:t>
      </w:r>
    </w:p>
    <w:p>
      <w:pPr>
        <w:pStyle w:val="ListParagraph"/>
        <w:numPr>
          <w:ilvl w:val="2"/>
          <w:numId w:val="25"/>
        </w:numPr>
        <w:tabs>
          <w:tab w:pos="1381" w:val="left" w:leader="none"/>
        </w:tabs>
        <w:spacing w:line="326" w:lineRule="auto" w:before="0" w:after="0"/>
        <w:ind w:left="500" w:right="420" w:firstLine="0"/>
        <w:jc w:val="left"/>
        <w:rPr>
          <w:sz w:val="32"/>
        </w:rPr>
      </w:pPr>
      <w:r>
        <w:rPr>
          <w:sz w:val="32"/>
        </w:rPr>
        <w:t>未按国家工程建设消防技术标准的规定设置除自动喷水灭火系统外的其他固定灭火设施。</w:t>
      </w:r>
    </w:p>
    <w:p>
      <w:pPr>
        <w:pStyle w:val="ListParagraph"/>
        <w:numPr>
          <w:ilvl w:val="2"/>
          <w:numId w:val="25"/>
        </w:numPr>
        <w:tabs>
          <w:tab w:pos="1381" w:val="left" w:leader="none"/>
        </w:tabs>
        <w:spacing w:line="326" w:lineRule="auto" w:before="0" w:after="0"/>
        <w:ind w:left="500" w:right="420" w:firstLine="0"/>
        <w:jc w:val="left"/>
        <w:rPr>
          <w:sz w:val="32"/>
        </w:rPr>
      </w:pPr>
      <w:r>
        <w:rPr>
          <w:sz w:val="32"/>
        </w:rPr>
        <w:t>已设置的自动喷水灭火系统或其他固定灭火设施不能正常使用或运行。</w:t>
      </w:r>
    </w:p>
    <w:p>
      <w:pPr>
        <w:pStyle w:val="Heading3"/>
        <w:numPr>
          <w:ilvl w:val="1"/>
          <w:numId w:val="25"/>
        </w:numPr>
        <w:tabs>
          <w:tab w:pos="1144" w:val="left" w:leader="none"/>
        </w:tabs>
        <w:spacing w:line="486" w:lineRule="exact" w:before="0" w:after="0"/>
        <w:ind w:left="1143" w:right="0" w:hanging="644"/>
        <w:jc w:val="left"/>
      </w:pPr>
      <w:r>
        <w:rPr/>
        <w:t>防烟排烟设施</w:t>
      </w:r>
    </w:p>
    <w:p>
      <w:pPr>
        <w:pStyle w:val="BodyText"/>
        <w:spacing w:line="326" w:lineRule="auto" w:before="77"/>
        <w:ind w:right="417"/>
        <w:jc w:val="both"/>
      </w:pPr>
      <w:r>
        <w:rPr>
          <w:spacing w:val="-3"/>
        </w:rPr>
        <w:t>人员密集场所、高层建筑和地下建筑未按国家工程建设消防</w:t>
      </w:r>
      <w:r>
        <w:rPr>
          <w:spacing w:val="-5"/>
        </w:rPr>
        <w:t>技术标准的规定设置防烟、排烟设施，或已设置但不能正常使用或运行。</w:t>
      </w:r>
    </w:p>
    <w:p>
      <w:pPr>
        <w:pStyle w:val="Heading3"/>
        <w:numPr>
          <w:ilvl w:val="1"/>
          <w:numId w:val="25"/>
        </w:numPr>
        <w:tabs>
          <w:tab w:pos="1144" w:val="left" w:leader="none"/>
        </w:tabs>
        <w:spacing w:line="490" w:lineRule="exact" w:before="0" w:after="0"/>
        <w:ind w:left="1143" w:right="0" w:hanging="644"/>
        <w:jc w:val="left"/>
      </w:pPr>
      <w:r>
        <w:rPr/>
        <w:t>消防供电</w:t>
      </w:r>
    </w:p>
    <w:p>
      <w:pPr>
        <w:pStyle w:val="ListParagraph"/>
        <w:numPr>
          <w:ilvl w:val="2"/>
          <w:numId w:val="25"/>
        </w:numPr>
        <w:tabs>
          <w:tab w:pos="1381" w:val="left" w:leader="none"/>
        </w:tabs>
        <w:spacing w:line="326" w:lineRule="auto" w:before="76" w:after="0"/>
        <w:ind w:left="500" w:right="420" w:firstLine="0"/>
        <w:jc w:val="left"/>
        <w:rPr>
          <w:sz w:val="32"/>
        </w:rPr>
      </w:pPr>
      <w:r>
        <w:rPr>
          <w:sz w:val="32"/>
        </w:rPr>
        <w:t>消防用电设备的供电负荷级别不符合国家工程建设消防技术标准的规定。</w:t>
      </w:r>
    </w:p>
    <w:p>
      <w:pPr>
        <w:spacing w:after="0" w:line="326" w:lineRule="auto"/>
        <w:jc w:val="left"/>
        <w:rPr>
          <w:sz w:val="32"/>
        </w:rPr>
        <w:sectPr>
          <w:pgSz w:w="11910" w:h="16840"/>
          <w:pgMar w:header="0" w:footer="1000" w:top="1520" w:bottom="1180" w:left="1300" w:right="1380"/>
        </w:sectPr>
      </w:pPr>
    </w:p>
    <w:p>
      <w:pPr>
        <w:pStyle w:val="ListParagraph"/>
        <w:numPr>
          <w:ilvl w:val="2"/>
          <w:numId w:val="25"/>
        </w:numPr>
        <w:tabs>
          <w:tab w:pos="1381" w:val="left" w:leader="none"/>
        </w:tabs>
        <w:spacing w:line="326" w:lineRule="auto" w:before="32" w:after="0"/>
        <w:ind w:left="500" w:right="420" w:firstLine="0"/>
        <w:jc w:val="both"/>
        <w:rPr>
          <w:sz w:val="32"/>
        </w:rPr>
      </w:pPr>
      <w:r>
        <w:rPr>
          <w:sz w:val="32"/>
        </w:rPr>
        <w:t>消防用电设备未按国家工程建设消防技术标准的规定采用专用的供电回路。</w:t>
      </w:r>
    </w:p>
    <w:p>
      <w:pPr>
        <w:pStyle w:val="ListParagraph"/>
        <w:numPr>
          <w:ilvl w:val="2"/>
          <w:numId w:val="25"/>
        </w:numPr>
        <w:tabs>
          <w:tab w:pos="1381" w:val="left" w:leader="none"/>
        </w:tabs>
        <w:spacing w:line="328" w:lineRule="auto" w:before="3" w:after="0"/>
        <w:ind w:left="500" w:right="417" w:firstLine="0"/>
        <w:jc w:val="both"/>
        <w:rPr>
          <w:sz w:val="32"/>
        </w:rPr>
      </w:pPr>
      <w:r>
        <w:rPr>
          <w:sz w:val="32"/>
        </w:rPr>
        <w:t>未按国家工程建设消防技术标准的规定设置消防用电</w:t>
      </w:r>
      <w:r>
        <w:rPr>
          <w:spacing w:val="-2"/>
          <w:sz w:val="32"/>
        </w:rPr>
        <w:t>设备末端自动切换装置，或已设置但不符合标准的规定或不能正常自动切换。</w:t>
      </w:r>
    </w:p>
    <w:p>
      <w:pPr>
        <w:pStyle w:val="Heading3"/>
        <w:numPr>
          <w:ilvl w:val="1"/>
          <w:numId w:val="25"/>
        </w:numPr>
        <w:tabs>
          <w:tab w:pos="1144" w:val="left" w:leader="none"/>
        </w:tabs>
        <w:spacing w:line="478" w:lineRule="exact" w:before="0" w:after="0"/>
        <w:ind w:left="1143" w:right="0" w:hanging="644"/>
        <w:jc w:val="both"/>
      </w:pPr>
      <w:r>
        <w:rPr/>
        <w:t>火灾自动报警系统</w:t>
      </w:r>
    </w:p>
    <w:p>
      <w:pPr>
        <w:pStyle w:val="ListParagraph"/>
        <w:numPr>
          <w:ilvl w:val="2"/>
          <w:numId w:val="25"/>
        </w:numPr>
        <w:tabs>
          <w:tab w:pos="1381" w:val="left" w:leader="none"/>
        </w:tabs>
        <w:spacing w:line="326" w:lineRule="auto" w:before="78" w:after="0"/>
        <w:ind w:left="500" w:right="420" w:firstLine="0"/>
        <w:jc w:val="both"/>
        <w:rPr>
          <w:sz w:val="32"/>
        </w:rPr>
      </w:pPr>
      <w:r>
        <w:rPr>
          <w:sz w:val="32"/>
        </w:rPr>
        <w:t>除旅馆、公共娱乐场所、商店、其他地下人员密集场</w:t>
      </w:r>
      <w:r>
        <w:rPr>
          <w:spacing w:val="11"/>
          <w:w w:val="95"/>
          <w:sz w:val="32"/>
        </w:rPr>
        <w:t>所以外的其他场所未按国家工程建设消防技术标准的规定 </w:t>
      </w:r>
      <w:r>
        <w:rPr>
          <w:spacing w:val="11"/>
          <w:sz w:val="32"/>
        </w:rPr>
        <w:t>设置火灾自动报警系统。</w:t>
      </w:r>
    </w:p>
    <w:p>
      <w:pPr>
        <w:pStyle w:val="ListParagraph"/>
        <w:numPr>
          <w:ilvl w:val="2"/>
          <w:numId w:val="25"/>
        </w:numPr>
        <w:tabs>
          <w:tab w:pos="1381" w:val="left" w:leader="none"/>
        </w:tabs>
        <w:spacing w:line="240" w:lineRule="auto" w:before="8" w:after="0"/>
        <w:ind w:left="1380" w:right="0" w:hanging="881"/>
        <w:jc w:val="both"/>
        <w:rPr>
          <w:sz w:val="32"/>
        </w:rPr>
      </w:pPr>
      <w:r>
        <w:rPr>
          <w:sz w:val="32"/>
        </w:rPr>
        <w:t>火灾自动报警系统不能正常运行。</w:t>
      </w:r>
    </w:p>
    <w:p>
      <w:pPr>
        <w:pStyle w:val="ListParagraph"/>
        <w:numPr>
          <w:ilvl w:val="2"/>
          <w:numId w:val="25"/>
        </w:numPr>
        <w:tabs>
          <w:tab w:pos="1381" w:val="left" w:leader="none"/>
        </w:tabs>
        <w:spacing w:line="326" w:lineRule="auto" w:before="149" w:after="0"/>
        <w:ind w:left="500" w:right="420" w:firstLine="0"/>
        <w:jc w:val="both"/>
        <w:rPr>
          <w:sz w:val="32"/>
        </w:rPr>
      </w:pPr>
      <w:r>
        <w:rPr>
          <w:sz w:val="32"/>
        </w:rPr>
        <w:t>防烟排烟系统、消防水泵以及其他自动消防设施不能正常联动控制。</w:t>
      </w:r>
    </w:p>
    <w:p>
      <w:pPr>
        <w:pStyle w:val="Heading3"/>
        <w:numPr>
          <w:ilvl w:val="1"/>
          <w:numId w:val="25"/>
        </w:numPr>
        <w:tabs>
          <w:tab w:pos="1144" w:val="left" w:leader="none"/>
        </w:tabs>
        <w:spacing w:line="488" w:lineRule="exact" w:before="0" w:after="0"/>
        <w:ind w:left="1143" w:right="0" w:hanging="644"/>
        <w:jc w:val="both"/>
      </w:pPr>
      <w:r>
        <w:rPr/>
        <w:t>消防安全管理</w:t>
      </w:r>
    </w:p>
    <w:p>
      <w:pPr>
        <w:pStyle w:val="ListParagraph"/>
        <w:numPr>
          <w:ilvl w:val="2"/>
          <w:numId w:val="25"/>
        </w:numPr>
        <w:tabs>
          <w:tab w:pos="1381" w:val="left" w:leader="none"/>
        </w:tabs>
        <w:spacing w:line="240" w:lineRule="auto" w:before="76" w:after="0"/>
        <w:ind w:left="1380" w:right="0" w:hanging="881"/>
        <w:jc w:val="left"/>
        <w:rPr>
          <w:sz w:val="32"/>
        </w:rPr>
      </w:pPr>
      <w:r>
        <w:rPr>
          <w:sz w:val="32"/>
        </w:rPr>
        <w:t>社会单位未按消防法律法规要求设置专职消防队。</w:t>
      </w:r>
    </w:p>
    <w:p>
      <w:pPr>
        <w:pStyle w:val="ListParagraph"/>
        <w:numPr>
          <w:ilvl w:val="2"/>
          <w:numId w:val="25"/>
        </w:numPr>
        <w:tabs>
          <w:tab w:pos="1460" w:val="left" w:leader="none"/>
        </w:tabs>
        <w:spacing w:line="240" w:lineRule="auto" w:before="149" w:after="0"/>
        <w:ind w:left="1460" w:right="0" w:hanging="960"/>
        <w:jc w:val="left"/>
        <w:rPr>
          <w:sz w:val="32"/>
        </w:rPr>
      </w:pPr>
      <w:r>
        <w:rPr>
          <w:spacing w:val="-7"/>
          <w:sz w:val="32"/>
        </w:rPr>
        <w:t>消防控制室操作人员未按 </w:t>
      </w:r>
      <w:r>
        <w:rPr>
          <w:sz w:val="32"/>
        </w:rPr>
        <w:t>GB25506</w:t>
      </w:r>
      <w:r>
        <w:rPr>
          <w:spacing w:val="-11"/>
          <w:sz w:val="32"/>
        </w:rPr>
        <w:t> 的规定持证上岗。</w:t>
      </w:r>
    </w:p>
    <w:p>
      <w:pPr>
        <w:pStyle w:val="Heading3"/>
        <w:numPr>
          <w:ilvl w:val="1"/>
          <w:numId w:val="25"/>
        </w:numPr>
        <w:tabs>
          <w:tab w:pos="1144" w:val="left" w:leader="none"/>
        </w:tabs>
        <w:spacing w:line="240" w:lineRule="auto" w:before="46" w:after="0"/>
        <w:ind w:left="1143" w:right="0" w:hanging="644"/>
        <w:jc w:val="left"/>
      </w:pPr>
      <w:r>
        <w:rPr/>
        <w:t>其他</w:t>
      </w:r>
    </w:p>
    <w:p>
      <w:pPr>
        <w:pStyle w:val="ListParagraph"/>
        <w:numPr>
          <w:ilvl w:val="2"/>
          <w:numId w:val="25"/>
        </w:numPr>
        <w:tabs>
          <w:tab w:pos="1381" w:val="left" w:leader="none"/>
        </w:tabs>
        <w:spacing w:line="328" w:lineRule="auto" w:before="77" w:after="0"/>
        <w:ind w:left="500" w:right="420" w:firstLine="0"/>
        <w:jc w:val="both"/>
        <w:rPr>
          <w:sz w:val="32"/>
        </w:rPr>
      </w:pPr>
      <w:r>
        <w:rPr>
          <w:sz w:val="32"/>
        </w:rPr>
        <w:t>生产、储存场所的建筑耐火等级与其生产、储存物品</w:t>
      </w:r>
      <w:r>
        <w:rPr>
          <w:spacing w:val="-2"/>
          <w:sz w:val="32"/>
        </w:rPr>
        <w:t>的火灾危险性类别不相匹配，违反国家工程建设消防技术标准的规定。</w:t>
      </w:r>
    </w:p>
    <w:p>
      <w:pPr>
        <w:pStyle w:val="ListParagraph"/>
        <w:numPr>
          <w:ilvl w:val="2"/>
          <w:numId w:val="25"/>
        </w:numPr>
        <w:tabs>
          <w:tab w:pos="1381" w:val="left" w:leader="none"/>
        </w:tabs>
        <w:spacing w:line="328" w:lineRule="auto" w:before="0" w:after="0"/>
        <w:ind w:left="500" w:right="405" w:firstLine="0"/>
        <w:jc w:val="both"/>
        <w:rPr>
          <w:sz w:val="32"/>
        </w:rPr>
      </w:pPr>
      <w:r>
        <w:rPr>
          <w:sz w:val="32"/>
        </w:rPr>
        <w:t>生产、储存、装卸和经营易燃易爆危险品的场所或有粉尘爆炸危险场所未按规定设置防爆电气设备和泄压设施， 或防爆电气设备和泄压设施失效。</w:t>
      </w:r>
    </w:p>
    <w:p>
      <w:pPr>
        <w:pStyle w:val="ListParagraph"/>
        <w:numPr>
          <w:ilvl w:val="2"/>
          <w:numId w:val="25"/>
        </w:numPr>
        <w:tabs>
          <w:tab w:pos="1381" w:val="left" w:leader="none"/>
        </w:tabs>
        <w:spacing w:line="326" w:lineRule="auto" w:before="0" w:after="0"/>
        <w:ind w:left="500" w:right="417" w:firstLine="0"/>
        <w:jc w:val="both"/>
        <w:rPr>
          <w:sz w:val="32"/>
        </w:rPr>
      </w:pPr>
      <w:r>
        <w:rPr>
          <w:sz w:val="32"/>
        </w:rPr>
        <w:t>违反国家工程建设消防技术标准的规定使用燃油、燃</w:t>
      </w:r>
      <w:r>
        <w:rPr>
          <w:spacing w:val="-3"/>
          <w:sz w:val="32"/>
        </w:rPr>
        <w:t>气设备，或燃油、燃气管道敷设和紧急切断装置不符合标准</w:t>
      </w:r>
    </w:p>
    <w:p>
      <w:pPr>
        <w:spacing w:after="0" w:line="326" w:lineRule="auto"/>
        <w:jc w:val="both"/>
        <w:rPr>
          <w:sz w:val="32"/>
        </w:rPr>
        <w:sectPr>
          <w:pgSz w:w="11910" w:h="16840"/>
          <w:pgMar w:header="0" w:footer="1000" w:top="1520" w:bottom="1180" w:left="1300" w:right="1380"/>
        </w:sectPr>
      </w:pPr>
    </w:p>
    <w:p>
      <w:pPr>
        <w:pStyle w:val="BodyText"/>
        <w:spacing w:before="32"/>
      </w:pPr>
      <w:bookmarkStart w:name="房屋市政工程生产安全重大事故隐患" w:id="16"/>
      <w:bookmarkEnd w:id="16"/>
      <w:r>
        <w:rPr/>
      </w:r>
      <w:r>
        <w:rPr/>
        <w:t>规定。</w:t>
      </w:r>
    </w:p>
    <w:p>
      <w:pPr>
        <w:pStyle w:val="ListParagraph"/>
        <w:numPr>
          <w:ilvl w:val="2"/>
          <w:numId w:val="25"/>
        </w:numPr>
        <w:tabs>
          <w:tab w:pos="1381" w:val="left" w:leader="none"/>
        </w:tabs>
        <w:spacing w:line="328" w:lineRule="auto" w:before="149" w:after="0"/>
        <w:ind w:left="500" w:right="420" w:firstLine="0"/>
        <w:jc w:val="both"/>
        <w:rPr>
          <w:sz w:val="32"/>
        </w:rPr>
      </w:pPr>
      <w:r>
        <w:rPr>
          <w:sz w:val="32"/>
        </w:rPr>
        <w:t>违反国家工程建设消防技术标准的规定在可燃材料或</w:t>
      </w:r>
      <w:r>
        <w:rPr>
          <w:spacing w:val="-1"/>
          <w:sz w:val="32"/>
        </w:rPr>
        <w:t>可燃构件上直接敷设电气线路或安装电气设备，或采用不符合标准规定的消防配电线缆和其他供配电线缆。</w:t>
      </w:r>
    </w:p>
    <w:p>
      <w:pPr>
        <w:pStyle w:val="ListParagraph"/>
        <w:numPr>
          <w:ilvl w:val="2"/>
          <w:numId w:val="25"/>
        </w:numPr>
        <w:tabs>
          <w:tab w:pos="1381" w:val="left" w:leader="none"/>
        </w:tabs>
        <w:spacing w:line="326" w:lineRule="auto" w:before="0" w:after="0"/>
        <w:ind w:left="500" w:right="420" w:firstLine="0"/>
        <w:jc w:val="both"/>
        <w:rPr>
          <w:sz w:val="32"/>
        </w:rPr>
      </w:pPr>
      <w:r>
        <w:rPr>
          <w:sz w:val="32"/>
        </w:rPr>
        <w:t>违反国家工程建设消防技术标准的规定在人员密集场所使用易燃、可燃材料装修、装饰。</w:t>
      </w:r>
    </w:p>
    <w:p>
      <w:pPr>
        <w:spacing w:after="0" w:line="326" w:lineRule="auto"/>
        <w:jc w:val="both"/>
        <w:rPr>
          <w:sz w:val="32"/>
        </w:rPr>
        <w:sectPr>
          <w:pgSz w:w="11910" w:h="16840"/>
          <w:pgMar w:header="0" w:footer="1000" w:top="1520" w:bottom="1180" w:left="1300" w:right="1380"/>
        </w:sectPr>
      </w:pPr>
    </w:p>
    <w:p>
      <w:pPr>
        <w:pStyle w:val="BodyText"/>
        <w:ind w:left="0"/>
        <w:rPr>
          <w:sz w:val="20"/>
        </w:rPr>
      </w:pPr>
    </w:p>
    <w:p>
      <w:pPr>
        <w:pStyle w:val="Heading2"/>
        <w:spacing w:line="587" w:lineRule="exact" w:before="217"/>
        <w:ind w:left="454" w:right="1000"/>
        <w:rPr>
          <w:rFonts w:ascii="PMingLiU" w:eastAsia="PMingLiU" w:hint="eastAsia"/>
        </w:rPr>
      </w:pPr>
      <w:bookmarkStart w:name="_bookmark7" w:id="17"/>
      <w:bookmarkEnd w:id="17"/>
      <w:r>
        <w:rPr/>
      </w:r>
      <w:r>
        <w:rPr>
          <w:rFonts w:ascii="PMingLiU" w:eastAsia="PMingLiU" w:hint="eastAsia"/>
        </w:rPr>
        <w:t>房屋市政工程生产安全重大事故隐患</w:t>
      </w:r>
    </w:p>
    <w:p>
      <w:pPr>
        <w:spacing w:line="587" w:lineRule="exact" w:before="0"/>
        <w:ind w:left="80" w:right="0" w:firstLine="0"/>
        <w:jc w:val="center"/>
        <w:rPr>
          <w:rFonts w:ascii="PMingLiU" w:eastAsia="PMingLiU" w:hint="eastAsia"/>
          <w:sz w:val="44"/>
        </w:rPr>
      </w:pPr>
      <w:r>
        <w:rPr>
          <w:rFonts w:ascii="PMingLiU" w:eastAsia="PMingLiU" w:hint="eastAsia"/>
          <w:sz w:val="44"/>
        </w:rPr>
        <w:t>判定标准</w:t>
      </w:r>
    </w:p>
    <w:p>
      <w:pPr>
        <w:pStyle w:val="BodyText"/>
        <w:spacing w:before="66"/>
        <w:ind w:left="77"/>
        <w:jc w:val="center"/>
        <w:rPr>
          <w:rFonts w:ascii="黑体" w:eastAsia="黑体" w:hint="eastAsia"/>
        </w:rPr>
      </w:pPr>
      <w:r>
        <w:rPr>
          <w:rFonts w:ascii="黑体" w:eastAsia="黑体" w:hint="eastAsia"/>
        </w:rPr>
        <w:t>（</w:t>
      </w:r>
      <w:r>
        <w:rPr/>
        <w:t>2022</w:t>
      </w:r>
      <w:r>
        <w:rPr>
          <w:spacing w:val="-81"/>
        </w:rPr>
        <w:t> </w:t>
      </w:r>
      <w:r>
        <w:rPr>
          <w:rFonts w:ascii="黑体" w:eastAsia="黑体" w:hint="eastAsia"/>
        </w:rPr>
        <w:t>版）</w:t>
      </w:r>
    </w:p>
    <w:p>
      <w:pPr>
        <w:pStyle w:val="BodyText"/>
        <w:ind w:left="0"/>
        <w:rPr>
          <w:rFonts w:ascii="黑体"/>
        </w:rPr>
      </w:pPr>
    </w:p>
    <w:p>
      <w:pPr>
        <w:pStyle w:val="BodyText"/>
        <w:spacing w:before="6"/>
        <w:ind w:left="0"/>
        <w:rPr>
          <w:rFonts w:ascii="黑体"/>
          <w:sz w:val="23"/>
        </w:rPr>
      </w:pPr>
    </w:p>
    <w:p>
      <w:pPr>
        <w:pStyle w:val="BodyText"/>
        <w:spacing w:line="328" w:lineRule="auto"/>
        <w:ind w:right="417" w:firstLine="640"/>
        <w:jc w:val="both"/>
      </w:pPr>
      <w:r>
        <w:rPr>
          <w:rFonts w:ascii="黑体" w:eastAsia="黑体" w:hint="eastAsia"/>
          <w:spacing w:val="37"/>
        </w:rPr>
        <w:t>第一条 </w:t>
      </w:r>
      <w:r>
        <w:rPr>
          <w:spacing w:val="-3"/>
        </w:rPr>
        <w:t>为准确认定、及时消除房屋建筑和市政基础设</w:t>
      </w:r>
      <w:r>
        <w:rPr>
          <w:spacing w:val="-4"/>
        </w:rPr>
        <w:t>施工程生产安全重大事故隐患，有效防范和遏制群死群伤事</w:t>
      </w:r>
      <w:r>
        <w:rPr>
          <w:spacing w:val="-4"/>
          <w:w w:val="95"/>
        </w:rPr>
        <w:t>故发生，根据《中华人民共和国建筑法》《中华人民共和国 </w:t>
      </w:r>
      <w:r>
        <w:rPr>
          <w:spacing w:val="-7"/>
          <w:w w:val="95"/>
        </w:rPr>
        <w:t>安全生产法》《建设工程安全生产管理条例》等法律和行政 </w:t>
      </w:r>
      <w:r>
        <w:rPr>
          <w:spacing w:val="-7"/>
        </w:rPr>
        <w:t>法规，制定本标准。</w:t>
      </w:r>
    </w:p>
    <w:p>
      <w:pPr>
        <w:pStyle w:val="BodyText"/>
        <w:spacing w:line="328" w:lineRule="auto"/>
        <w:ind w:right="405" w:firstLine="640"/>
        <w:jc w:val="both"/>
      </w:pPr>
      <w:r>
        <w:rPr>
          <w:rFonts w:ascii="黑体" w:eastAsia="黑体" w:hint="eastAsia"/>
        </w:rPr>
        <w:t>第二条 </w:t>
      </w:r>
      <w:r>
        <w:rPr/>
        <w:t>本标准所称重大事故隐患，是指在房屋建筑和市政基础设施工程（以下简称房屋市政工程）施工过程中， 存在的危害程度较大、可能导致群死群伤或造成重大经济损失的生产安全事故隐患。</w:t>
      </w:r>
    </w:p>
    <w:p>
      <w:pPr>
        <w:pStyle w:val="BodyText"/>
        <w:spacing w:line="326" w:lineRule="auto"/>
        <w:ind w:right="417" w:firstLine="640"/>
        <w:jc w:val="both"/>
      </w:pPr>
      <w:r>
        <w:rPr>
          <w:rFonts w:ascii="黑体" w:eastAsia="黑体" w:hint="eastAsia"/>
        </w:rPr>
        <w:t>第三条 </w:t>
      </w:r>
      <w:r>
        <w:rPr>
          <w:color w:val="333333"/>
        </w:rPr>
        <w:t>本</w:t>
      </w:r>
      <w:r>
        <w:rPr/>
        <w:t>标准适用于判定新建、扩建、改建、拆除房屋市政工程的生产安全重大事故隐患。</w:t>
      </w:r>
    </w:p>
    <w:p>
      <w:pPr>
        <w:pStyle w:val="BodyText"/>
        <w:spacing w:line="326" w:lineRule="auto"/>
        <w:ind w:right="417" w:firstLine="640"/>
        <w:jc w:val="both"/>
      </w:pPr>
      <w:r>
        <w:rPr>
          <w:spacing w:val="13"/>
          <w:w w:val="95"/>
        </w:rPr>
        <w:t>县级及以上人民政府住房和城乡建设主管部门和施工 </w:t>
      </w:r>
      <w:r>
        <w:rPr>
          <w:spacing w:val="11"/>
          <w:w w:val="95"/>
        </w:rPr>
        <w:t>安全监督机构在监督检查过程中可依照本标准判定房屋市 </w:t>
      </w:r>
      <w:r>
        <w:rPr>
          <w:spacing w:val="11"/>
        </w:rPr>
        <w:t>政工程生产安全重大事故隐患。</w:t>
      </w:r>
    </w:p>
    <w:p>
      <w:pPr>
        <w:pStyle w:val="BodyText"/>
        <w:spacing w:line="326" w:lineRule="auto"/>
        <w:ind w:right="420" w:firstLine="640"/>
        <w:jc w:val="both"/>
      </w:pPr>
      <w:r>
        <w:rPr>
          <w:rFonts w:ascii="黑体" w:eastAsia="黑体" w:hint="eastAsia"/>
          <w:spacing w:val="37"/>
        </w:rPr>
        <w:t>第四条 </w:t>
      </w:r>
      <w:r>
        <w:rPr>
          <w:spacing w:val="-1"/>
        </w:rPr>
        <w:t>施工安全管理有下列情形之一的，应判定为重大事故隐患：</w:t>
      </w:r>
    </w:p>
    <w:p>
      <w:pPr>
        <w:pStyle w:val="BodyText"/>
        <w:spacing w:line="328" w:lineRule="auto" w:before="1"/>
        <w:ind w:right="419" w:firstLine="640"/>
      </w:pPr>
      <w:r>
        <w:rPr/>
        <w:t>（一</w:t>
      </w:r>
      <w:r>
        <w:rPr>
          <w:spacing w:val="-12"/>
        </w:rPr>
        <w:t>）</w:t>
      </w:r>
      <w:r>
        <w:rPr>
          <w:spacing w:val="-1"/>
        </w:rPr>
        <w:t>建筑施工企业未取得安全生产许可证擅自从事建</w:t>
      </w:r>
      <w:r>
        <w:rPr/>
        <w:t>筑施工活动；</w:t>
      </w:r>
    </w:p>
    <w:p>
      <w:pPr>
        <w:pStyle w:val="BodyText"/>
        <w:spacing w:line="407" w:lineRule="exact"/>
        <w:ind w:left="1140"/>
      </w:pPr>
      <w:r>
        <w:rPr/>
        <w:t>（二）施工单位的主要负责人、项目负责人、专职安全</w:t>
      </w:r>
    </w:p>
    <w:p>
      <w:pPr>
        <w:spacing w:after="0" w:line="407" w:lineRule="exact"/>
        <w:sectPr>
          <w:pgSz w:w="11910" w:h="16840"/>
          <w:pgMar w:header="0" w:footer="1000" w:top="1580" w:bottom="1180" w:left="1300" w:right="1380"/>
        </w:sectPr>
      </w:pPr>
    </w:p>
    <w:p>
      <w:pPr>
        <w:pStyle w:val="BodyText"/>
        <w:spacing w:before="32"/>
      </w:pPr>
      <w:r>
        <w:rPr/>
        <w:t>生产管理人员未取得安全生产考核合格证书从事相关工作；</w:t>
      </w:r>
    </w:p>
    <w:p>
      <w:pPr>
        <w:pStyle w:val="BodyText"/>
        <w:spacing w:line="326" w:lineRule="auto" w:before="149"/>
        <w:ind w:right="374" w:firstLine="640"/>
      </w:pPr>
      <w:r>
        <w:rPr/>
        <w:t>（三）建筑施工特种作业人员未取得特种作业人员操作资格证书上岗作业；</w:t>
      </w:r>
    </w:p>
    <w:p>
      <w:pPr>
        <w:pStyle w:val="BodyText"/>
        <w:spacing w:line="326" w:lineRule="auto" w:before="5"/>
        <w:ind w:right="420" w:firstLine="640"/>
        <w:jc w:val="both"/>
      </w:pPr>
      <w:r>
        <w:rPr/>
        <w:t>（四</w:t>
      </w:r>
      <w:r>
        <w:rPr>
          <w:spacing w:val="-5"/>
        </w:rPr>
        <w:t>）</w:t>
      </w:r>
      <w:r>
        <w:rPr>
          <w:spacing w:val="-2"/>
        </w:rPr>
        <w:t>危险性较大的分部分项工程未编制、未审核专项</w:t>
      </w:r>
      <w:r>
        <w:rPr>
          <w:spacing w:val="-3"/>
        </w:rPr>
        <w:t>施工方案，或未按规定组织专家对“超过一定规模的危险性</w:t>
      </w:r>
      <w:r>
        <w:rPr/>
        <w:t>较大的分部分项工程范围”的专项施工方案进行论证。</w:t>
      </w:r>
    </w:p>
    <w:p>
      <w:pPr>
        <w:pStyle w:val="BodyText"/>
        <w:spacing w:line="326" w:lineRule="auto" w:before="8"/>
        <w:ind w:right="420" w:firstLine="640"/>
        <w:jc w:val="both"/>
      </w:pPr>
      <w:r>
        <w:rPr>
          <w:rFonts w:ascii="黑体" w:eastAsia="黑体" w:hint="eastAsia"/>
        </w:rPr>
        <w:t>第五条 </w:t>
      </w:r>
      <w:r>
        <w:rPr/>
        <w:t>基坑工程有下列情形之一的，应判定为重大事故隐患：</w:t>
      </w:r>
    </w:p>
    <w:p>
      <w:pPr>
        <w:pStyle w:val="BodyText"/>
        <w:spacing w:line="328" w:lineRule="auto" w:before="3"/>
        <w:ind w:right="374" w:firstLine="640"/>
      </w:pPr>
      <w:r>
        <w:rPr/>
        <w:t>（一）对因基坑工程施工可能造成损害的毗邻重要建筑物、构筑物和地下管线等,未采取专项防护措施；</w:t>
      </w:r>
    </w:p>
    <w:p>
      <w:pPr>
        <w:pStyle w:val="BodyText"/>
        <w:spacing w:line="407" w:lineRule="exact"/>
        <w:ind w:left="1140"/>
      </w:pPr>
      <w:r>
        <w:rPr/>
        <w:t>（二）基坑土方超挖且未采取有效措施；</w:t>
      </w:r>
    </w:p>
    <w:p>
      <w:pPr>
        <w:pStyle w:val="BodyText"/>
        <w:spacing w:before="149"/>
        <w:ind w:left="1140"/>
      </w:pPr>
      <w:r>
        <w:rPr/>
        <w:t>（三）深基坑施工未进行第三方监测；</w:t>
      </w:r>
    </w:p>
    <w:p>
      <w:pPr>
        <w:pStyle w:val="BodyText"/>
        <w:spacing w:before="151"/>
        <w:ind w:left="1140"/>
      </w:pPr>
      <w:r>
        <w:rPr/>
        <w:t>（四）有下列基坑坍塌风险预兆之一，且未及时处理：</w:t>
      </w:r>
    </w:p>
    <w:p>
      <w:pPr>
        <w:pStyle w:val="ListParagraph"/>
        <w:numPr>
          <w:ilvl w:val="3"/>
          <w:numId w:val="25"/>
        </w:numPr>
        <w:tabs>
          <w:tab w:pos="1463" w:val="left" w:leader="none"/>
        </w:tabs>
        <w:spacing w:line="240" w:lineRule="auto" w:before="150" w:after="0"/>
        <w:ind w:left="1462" w:right="0" w:hanging="323"/>
        <w:jc w:val="left"/>
        <w:rPr>
          <w:sz w:val="32"/>
        </w:rPr>
      </w:pPr>
      <w:r>
        <w:rPr>
          <w:sz w:val="32"/>
        </w:rPr>
        <w:t>支护结构或周边建筑物变形值超过设计变形控制值；</w:t>
      </w:r>
    </w:p>
    <w:p>
      <w:pPr>
        <w:pStyle w:val="ListParagraph"/>
        <w:numPr>
          <w:ilvl w:val="3"/>
          <w:numId w:val="25"/>
        </w:numPr>
        <w:tabs>
          <w:tab w:pos="1463" w:val="left" w:leader="none"/>
        </w:tabs>
        <w:spacing w:line="240" w:lineRule="auto" w:before="149" w:after="0"/>
        <w:ind w:left="1462" w:right="0" w:hanging="323"/>
        <w:jc w:val="left"/>
        <w:rPr>
          <w:sz w:val="32"/>
        </w:rPr>
      </w:pPr>
      <w:r>
        <w:rPr>
          <w:sz w:val="32"/>
        </w:rPr>
        <w:t>基坑侧壁出现大量漏水、流土；</w:t>
      </w:r>
    </w:p>
    <w:p>
      <w:pPr>
        <w:pStyle w:val="ListParagraph"/>
        <w:numPr>
          <w:ilvl w:val="3"/>
          <w:numId w:val="25"/>
        </w:numPr>
        <w:tabs>
          <w:tab w:pos="1463" w:val="left" w:leader="none"/>
        </w:tabs>
        <w:spacing w:line="240" w:lineRule="auto" w:before="151" w:after="0"/>
        <w:ind w:left="1462" w:right="0" w:hanging="323"/>
        <w:jc w:val="left"/>
        <w:rPr>
          <w:sz w:val="32"/>
        </w:rPr>
      </w:pPr>
      <w:r>
        <w:rPr>
          <w:sz w:val="32"/>
        </w:rPr>
        <w:t>基坑底部出现管涌；</w:t>
      </w:r>
    </w:p>
    <w:p>
      <w:pPr>
        <w:pStyle w:val="ListParagraph"/>
        <w:numPr>
          <w:ilvl w:val="3"/>
          <w:numId w:val="25"/>
        </w:numPr>
        <w:tabs>
          <w:tab w:pos="1463" w:val="left" w:leader="none"/>
        </w:tabs>
        <w:spacing w:line="240" w:lineRule="auto" w:before="150" w:after="0"/>
        <w:ind w:left="1462" w:right="0" w:hanging="323"/>
        <w:jc w:val="left"/>
        <w:rPr>
          <w:sz w:val="32"/>
        </w:rPr>
      </w:pPr>
      <w:r>
        <w:rPr>
          <w:sz w:val="32"/>
        </w:rPr>
        <w:t>桩间土流失孔洞深度超过桩径。</w:t>
      </w:r>
    </w:p>
    <w:p>
      <w:pPr>
        <w:pStyle w:val="BodyText"/>
        <w:tabs>
          <w:tab w:pos="2419" w:val="left" w:leader="none"/>
        </w:tabs>
        <w:spacing w:line="328" w:lineRule="auto" w:before="149"/>
        <w:ind w:right="420" w:firstLine="640"/>
      </w:pPr>
      <w:r>
        <w:rPr>
          <w:rFonts w:ascii="黑体" w:eastAsia="黑体" w:hint="eastAsia"/>
        </w:rPr>
        <w:t>第六条</w:t>
        <w:tab/>
      </w:r>
      <w:r>
        <w:rPr/>
        <w:t>模板工程有下列情形之一的</w:t>
      </w:r>
      <w:r>
        <w:rPr>
          <w:spacing w:val="-15"/>
        </w:rPr>
        <w:t>，</w:t>
      </w:r>
      <w:r>
        <w:rPr/>
        <w:t>应判定为重大</w:t>
      </w:r>
      <w:r>
        <w:rPr>
          <w:spacing w:val="-11"/>
        </w:rPr>
        <w:t>事</w:t>
      </w:r>
      <w:r>
        <w:rPr/>
        <w:t>故隐患：</w:t>
      </w:r>
    </w:p>
    <w:p>
      <w:pPr>
        <w:pStyle w:val="BodyText"/>
        <w:spacing w:line="407" w:lineRule="exact"/>
        <w:ind w:left="1140"/>
      </w:pPr>
      <w:r>
        <w:rPr/>
        <w:t>（一）模板工程的地基基础承载力和变形不满足设计要</w:t>
      </w:r>
    </w:p>
    <w:p>
      <w:pPr>
        <w:pStyle w:val="BodyText"/>
        <w:spacing w:before="149"/>
      </w:pPr>
      <w:r>
        <w:rPr/>
        <w:t>求；</w:t>
      </w:r>
    </w:p>
    <w:p>
      <w:pPr>
        <w:pStyle w:val="BodyText"/>
        <w:spacing w:before="152"/>
        <w:ind w:left="1140"/>
      </w:pPr>
      <w:r>
        <w:rPr/>
        <w:t>（二）模板支架承受的施工荷载超过设计值;</w:t>
      </w:r>
    </w:p>
    <w:p>
      <w:pPr>
        <w:pStyle w:val="BodyText"/>
        <w:spacing w:before="149"/>
        <w:ind w:left="1140"/>
      </w:pPr>
      <w:r>
        <w:rPr/>
        <w:t>（三）模板支架拆除及滑模、爬模爬升时，混凝土强度</w:t>
      </w:r>
    </w:p>
    <w:p>
      <w:pPr>
        <w:pStyle w:val="BodyText"/>
        <w:spacing w:before="149"/>
      </w:pPr>
      <w:r>
        <w:rPr/>
        <w:t>未达到设计或规范要求。</w:t>
      </w:r>
    </w:p>
    <w:p>
      <w:pPr>
        <w:spacing w:after="0"/>
        <w:sectPr>
          <w:footerReference w:type="default" r:id="rId10"/>
          <w:pgSz w:w="11910" w:h="16840"/>
          <w:pgMar w:footer="1000" w:header="0" w:top="1520" w:bottom="1180" w:left="1300" w:right="1380"/>
          <w:pgNumType w:start="50"/>
        </w:sectPr>
      </w:pPr>
    </w:p>
    <w:p>
      <w:pPr>
        <w:pStyle w:val="BodyText"/>
        <w:tabs>
          <w:tab w:pos="2419" w:val="left" w:leader="none"/>
        </w:tabs>
        <w:spacing w:line="326" w:lineRule="auto" w:before="32"/>
        <w:ind w:right="417" w:firstLine="640"/>
      </w:pPr>
      <w:r>
        <w:rPr>
          <w:rFonts w:ascii="黑体" w:eastAsia="黑体" w:hint="eastAsia"/>
        </w:rPr>
        <w:t>第七条</w:t>
        <w:tab/>
      </w:r>
      <w:r>
        <w:rPr/>
        <w:t>脚手架工程有下列情形之一的</w:t>
      </w:r>
      <w:r>
        <w:rPr>
          <w:spacing w:val="-12"/>
        </w:rPr>
        <w:t>，</w:t>
      </w:r>
      <w:r>
        <w:rPr/>
        <w:t>应判定为重</w:t>
      </w:r>
      <w:r>
        <w:rPr>
          <w:spacing w:val="-11"/>
        </w:rPr>
        <w:t>大</w:t>
      </w:r>
      <w:r>
        <w:rPr/>
        <w:t>事故隐患：</w:t>
      </w:r>
    </w:p>
    <w:p>
      <w:pPr>
        <w:pStyle w:val="BodyText"/>
        <w:spacing w:line="328" w:lineRule="auto" w:before="3"/>
        <w:ind w:right="374" w:firstLine="640"/>
      </w:pPr>
      <w:r>
        <w:rPr/>
        <w:t>（一）脚手架工程的地基基础承载力和变形不满足设计要求；</w:t>
      </w:r>
    </w:p>
    <w:p>
      <w:pPr>
        <w:pStyle w:val="BodyText"/>
        <w:spacing w:line="407" w:lineRule="exact"/>
        <w:ind w:left="1140"/>
      </w:pPr>
      <w:r>
        <w:rPr/>
        <w:t>（二）未设置连墙件或连墙件整层缺失；</w:t>
      </w:r>
    </w:p>
    <w:p>
      <w:pPr>
        <w:pStyle w:val="BodyText"/>
        <w:spacing w:before="149"/>
        <w:ind w:left="1140"/>
      </w:pPr>
      <w:r>
        <w:rPr/>
        <w:t>（三）附着式升降脚手架未经验收合格即投入使用；</w:t>
      </w:r>
    </w:p>
    <w:p>
      <w:pPr>
        <w:pStyle w:val="BodyText"/>
        <w:spacing w:line="326" w:lineRule="auto" w:before="151"/>
        <w:ind w:right="375" w:firstLine="640"/>
      </w:pPr>
      <w:r>
        <w:rPr/>
        <w:t>（四）附着式升降脚手架的防倾覆、防坠落或同步升降控制装置不符合设计要求、失效、被人为拆除破坏；</w:t>
      </w:r>
    </w:p>
    <w:p>
      <w:pPr>
        <w:pStyle w:val="BodyText"/>
        <w:spacing w:line="328" w:lineRule="auto" w:before="4"/>
        <w:ind w:right="374" w:firstLine="640"/>
      </w:pPr>
      <w:r>
        <w:rPr/>
        <w:t>（五）附着式升降脚手架使用过程中架体悬臂高度大于架体高度的 2/5 或大于 6 米。</w:t>
      </w:r>
    </w:p>
    <w:p>
      <w:pPr>
        <w:pStyle w:val="BodyText"/>
        <w:tabs>
          <w:tab w:pos="2419" w:val="left" w:leader="none"/>
        </w:tabs>
        <w:spacing w:line="326" w:lineRule="auto"/>
        <w:ind w:right="420" w:firstLine="640"/>
      </w:pPr>
      <w:r>
        <w:rPr>
          <w:rFonts w:ascii="黑体" w:eastAsia="黑体" w:hint="eastAsia"/>
        </w:rPr>
        <w:t>第八条</w:t>
        <w:tab/>
      </w:r>
      <w:r>
        <w:rPr/>
        <w:t>起重机械及吊装工程有下列情形之一的</w:t>
      </w:r>
      <w:r>
        <w:rPr>
          <w:spacing w:val="-15"/>
        </w:rPr>
        <w:t>，</w:t>
      </w:r>
      <w:r>
        <w:rPr/>
        <w:t>应</w:t>
      </w:r>
      <w:r>
        <w:rPr>
          <w:spacing w:val="-11"/>
        </w:rPr>
        <w:t>判</w:t>
      </w:r>
      <w:r>
        <w:rPr/>
        <w:t>定为重大事故隐患：</w:t>
      </w:r>
    </w:p>
    <w:p>
      <w:pPr>
        <w:pStyle w:val="BodyText"/>
        <w:spacing w:line="326" w:lineRule="auto" w:before="3"/>
        <w:ind w:right="417" w:firstLine="640"/>
        <w:jc w:val="both"/>
      </w:pPr>
      <w:r>
        <w:rPr>
          <w:w w:val="95"/>
        </w:rPr>
        <w:t>（一</w:t>
      </w:r>
      <w:r>
        <w:rPr>
          <w:spacing w:val="-3"/>
          <w:w w:val="95"/>
        </w:rPr>
        <w:t>）</w:t>
      </w:r>
      <w:r>
        <w:rPr>
          <w:spacing w:val="-2"/>
          <w:w w:val="95"/>
        </w:rPr>
        <w:t>塔式起重机、施工升降机、物料提升机等起重机 </w:t>
      </w:r>
      <w:r>
        <w:rPr>
          <w:spacing w:val="11"/>
          <w:w w:val="95"/>
        </w:rPr>
        <w:t>械设备未经验收合格即投入使用，或未按规定办理使用登 </w:t>
      </w:r>
      <w:r>
        <w:rPr>
          <w:spacing w:val="11"/>
        </w:rPr>
        <w:t>记；</w:t>
      </w:r>
    </w:p>
    <w:p>
      <w:pPr>
        <w:pStyle w:val="BodyText"/>
        <w:spacing w:line="326" w:lineRule="auto" w:before="7"/>
        <w:ind w:right="417" w:firstLine="640"/>
      </w:pPr>
      <w:r>
        <w:rPr>
          <w:w w:val="95"/>
        </w:rPr>
        <w:t>（二</w:t>
      </w:r>
      <w:r>
        <w:rPr>
          <w:spacing w:val="-5"/>
          <w:w w:val="95"/>
        </w:rPr>
        <w:t>）</w:t>
      </w:r>
      <w:r>
        <w:rPr>
          <w:spacing w:val="-1"/>
          <w:w w:val="95"/>
        </w:rPr>
        <w:t>塔式起重机独立起升高度、附着间距和最高附着 </w:t>
      </w:r>
      <w:r>
        <w:rPr>
          <w:spacing w:val="-1"/>
        </w:rPr>
        <w:t>以上的最大悬高及垂直度不符合规范要求；</w:t>
      </w:r>
    </w:p>
    <w:p>
      <w:pPr>
        <w:pStyle w:val="BodyText"/>
        <w:spacing w:line="328" w:lineRule="auto" w:before="3"/>
        <w:ind w:right="374" w:firstLine="640"/>
      </w:pPr>
      <w:r>
        <w:rPr/>
        <w:t>（三）施工升降机附着间距和最高附着以上的最大悬高及垂直度不符合规范要求；</w:t>
      </w:r>
    </w:p>
    <w:p>
      <w:pPr>
        <w:pStyle w:val="BodyText"/>
        <w:spacing w:line="328" w:lineRule="auto"/>
        <w:ind w:right="420" w:firstLine="640"/>
        <w:jc w:val="both"/>
      </w:pPr>
      <w:r>
        <w:rPr>
          <w:w w:val="95"/>
        </w:rPr>
        <w:t>（四</w:t>
      </w:r>
      <w:r>
        <w:rPr>
          <w:spacing w:val="-3"/>
          <w:w w:val="95"/>
        </w:rPr>
        <w:t>）</w:t>
      </w:r>
      <w:r>
        <w:rPr>
          <w:spacing w:val="-2"/>
          <w:w w:val="95"/>
        </w:rPr>
        <w:t>起重机械安装、拆卸、顶升加节以及附着前未对 </w:t>
      </w:r>
      <w:r>
        <w:rPr>
          <w:spacing w:val="-4"/>
          <w:w w:val="95"/>
        </w:rPr>
        <w:t>结构件、顶升机构和附着装置以及高强度螺栓、销轴、定位 </w:t>
      </w:r>
      <w:r>
        <w:rPr>
          <w:spacing w:val="-4"/>
        </w:rPr>
        <w:t>板等连接件及安全装置进行检查；</w:t>
      </w:r>
    </w:p>
    <w:p>
      <w:pPr>
        <w:pStyle w:val="BodyText"/>
        <w:spacing w:line="326" w:lineRule="auto"/>
        <w:ind w:right="417" w:firstLine="640"/>
      </w:pPr>
      <w:r>
        <w:rPr>
          <w:w w:val="95"/>
        </w:rPr>
        <w:t>（五</w:t>
      </w:r>
      <w:r>
        <w:rPr>
          <w:spacing w:val="-5"/>
          <w:w w:val="95"/>
        </w:rPr>
        <w:t>）</w:t>
      </w:r>
      <w:r>
        <w:rPr>
          <w:spacing w:val="-1"/>
          <w:w w:val="95"/>
        </w:rPr>
        <w:t>建筑起重机械的安全装置不齐全、失效或者被违 </w:t>
      </w:r>
      <w:r>
        <w:rPr>
          <w:spacing w:val="-1"/>
        </w:rPr>
        <w:t>规拆除、破坏；</w:t>
      </w:r>
    </w:p>
    <w:p>
      <w:pPr>
        <w:spacing w:after="0" w:line="326" w:lineRule="auto"/>
        <w:sectPr>
          <w:pgSz w:w="11910" w:h="16840"/>
          <w:pgMar w:header="0" w:footer="1000" w:top="1520" w:bottom="1180" w:left="1300" w:right="1380"/>
        </w:sectPr>
      </w:pPr>
    </w:p>
    <w:p>
      <w:pPr>
        <w:pStyle w:val="BodyText"/>
        <w:spacing w:line="326" w:lineRule="auto" w:before="32"/>
        <w:ind w:right="375" w:firstLine="640"/>
      </w:pPr>
      <w:r>
        <w:rPr/>
        <w:t>（六）施工升降机防坠安全器超过定期检验有效期，标准节连接螺栓缺失或失效；</w:t>
      </w:r>
    </w:p>
    <w:p>
      <w:pPr>
        <w:pStyle w:val="BodyText"/>
        <w:spacing w:line="328" w:lineRule="auto" w:before="3"/>
        <w:ind w:right="419" w:firstLine="640"/>
      </w:pPr>
      <w:r>
        <w:rPr/>
        <w:t>（七</w:t>
      </w:r>
      <w:r>
        <w:rPr>
          <w:spacing w:val="-12"/>
        </w:rPr>
        <w:t>）</w:t>
      </w:r>
      <w:r>
        <w:rPr>
          <w:spacing w:val="-1"/>
        </w:rPr>
        <w:t>建筑起重机械的地基基础承载力和变形不满足设</w:t>
      </w:r>
      <w:r>
        <w:rPr/>
        <w:t>计要求。</w:t>
      </w:r>
    </w:p>
    <w:p>
      <w:pPr>
        <w:pStyle w:val="BodyText"/>
        <w:tabs>
          <w:tab w:pos="2419" w:val="left" w:leader="none"/>
        </w:tabs>
        <w:spacing w:line="326" w:lineRule="auto"/>
        <w:ind w:right="420" w:firstLine="640"/>
      </w:pPr>
      <w:r>
        <w:rPr>
          <w:rFonts w:ascii="黑体" w:eastAsia="黑体" w:hint="eastAsia"/>
        </w:rPr>
        <w:t>第九条</w:t>
        <w:tab/>
      </w:r>
      <w:r>
        <w:rPr/>
        <w:t>高处作业有下列情形之一的</w:t>
      </w:r>
      <w:r>
        <w:rPr>
          <w:spacing w:val="-15"/>
        </w:rPr>
        <w:t>，</w:t>
      </w:r>
      <w:r>
        <w:rPr/>
        <w:t>应判定为重大</w:t>
      </w:r>
      <w:r>
        <w:rPr>
          <w:spacing w:val="-11"/>
        </w:rPr>
        <w:t>事</w:t>
      </w:r>
      <w:r>
        <w:rPr/>
        <w:t>故隐患：</w:t>
      </w:r>
    </w:p>
    <w:p>
      <w:pPr>
        <w:pStyle w:val="BodyText"/>
        <w:spacing w:line="326" w:lineRule="auto" w:before="3"/>
        <w:ind w:right="417" w:firstLine="640"/>
        <w:jc w:val="both"/>
      </w:pPr>
      <w:r>
        <w:rPr>
          <w:w w:val="95"/>
        </w:rPr>
        <w:t>（一</w:t>
      </w:r>
      <w:r>
        <w:rPr>
          <w:spacing w:val="-5"/>
          <w:w w:val="95"/>
        </w:rPr>
        <w:t>）</w:t>
      </w:r>
      <w:r>
        <w:rPr>
          <w:spacing w:val="-2"/>
          <w:w w:val="95"/>
        </w:rPr>
        <w:t>钢结构、网架安装用支撑结构地基基础承载力和 </w:t>
      </w:r>
      <w:r>
        <w:rPr>
          <w:spacing w:val="-4"/>
        </w:rPr>
        <w:t>变形不满足设计要求，钢结构、网架安装用支撑结构未按设计要求设置防倾覆装置;</w:t>
      </w:r>
    </w:p>
    <w:p>
      <w:pPr>
        <w:pStyle w:val="BodyText"/>
        <w:spacing w:before="7"/>
        <w:ind w:left="1140"/>
      </w:pPr>
      <w:r>
        <w:rPr/>
        <w:t>（二）单榀钢桁架（屋架）安装时未采取防失稳措施；</w:t>
      </w:r>
    </w:p>
    <w:p>
      <w:pPr>
        <w:pStyle w:val="BodyText"/>
        <w:spacing w:line="326" w:lineRule="auto" w:before="149"/>
        <w:ind w:right="420" w:firstLine="640"/>
      </w:pPr>
      <w:r>
        <w:rPr>
          <w:w w:val="95"/>
        </w:rPr>
        <w:t>（三</w:t>
      </w:r>
      <w:r>
        <w:rPr>
          <w:spacing w:val="-3"/>
          <w:w w:val="95"/>
        </w:rPr>
        <w:t>）</w:t>
      </w:r>
      <w:r>
        <w:rPr>
          <w:spacing w:val="-2"/>
          <w:w w:val="95"/>
        </w:rPr>
        <w:t>悬挑式操作平台的搁置点、拉结点、支撑点未设 </w:t>
      </w:r>
      <w:r>
        <w:rPr>
          <w:spacing w:val="-2"/>
        </w:rPr>
        <w:t>置在稳定的主体结构上,且未做可靠连接。</w:t>
      </w:r>
    </w:p>
    <w:p>
      <w:pPr>
        <w:pStyle w:val="BodyText"/>
        <w:spacing w:line="326" w:lineRule="auto" w:before="6"/>
        <w:ind w:right="417" w:firstLine="640"/>
        <w:jc w:val="both"/>
      </w:pPr>
      <w:r>
        <w:rPr>
          <w:rFonts w:ascii="黑体" w:eastAsia="黑体" w:hint="eastAsia"/>
          <w:spacing w:val="37"/>
        </w:rPr>
        <w:t>第十条 </w:t>
      </w:r>
      <w:r>
        <w:rPr>
          <w:spacing w:val="-2"/>
        </w:rPr>
        <w:t>施工临时用电方面，特殊作业环境</w:t>
      </w:r>
      <w:r>
        <w:rPr/>
        <w:t>（</w:t>
      </w:r>
      <w:r>
        <w:rPr>
          <w:spacing w:val="-2"/>
        </w:rPr>
        <w:t>隧道、人</w:t>
      </w:r>
      <w:r>
        <w:rPr>
          <w:spacing w:val="-3"/>
          <w:w w:val="95"/>
        </w:rPr>
        <w:t>防工程，高温、有导电灰尘、比较潮湿等作业环境）</w:t>
      </w:r>
      <w:r>
        <w:rPr>
          <w:w w:val="95"/>
        </w:rPr>
        <w:t>照明未 </w:t>
      </w:r>
      <w:r>
        <w:rPr/>
        <w:t>按规定使用安全电压的，应判定为重大事故隐患。</w:t>
      </w:r>
    </w:p>
    <w:p>
      <w:pPr>
        <w:pStyle w:val="BodyText"/>
        <w:spacing w:line="326" w:lineRule="auto" w:before="7"/>
        <w:ind w:right="420" w:firstLine="640"/>
        <w:jc w:val="both"/>
      </w:pPr>
      <w:r>
        <w:rPr>
          <w:rFonts w:ascii="黑体" w:eastAsia="黑体" w:hint="eastAsia"/>
          <w:spacing w:val="30"/>
        </w:rPr>
        <w:t>第十一条 </w:t>
      </w:r>
      <w:r>
        <w:rPr>
          <w:color w:val="333333"/>
        </w:rPr>
        <w:t>有</w:t>
      </w:r>
      <w:r>
        <w:rPr>
          <w:spacing w:val="-2"/>
        </w:rPr>
        <w:t>限空间作业有下列情形之一的，应判定为重大事故隐患：</w:t>
      </w:r>
    </w:p>
    <w:p>
      <w:pPr>
        <w:pStyle w:val="BodyText"/>
        <w:spacing w:line="328" w:lineRule="auto" w:before="3"/>
        <w:ind w:right="420" w:firstLine="640"/>
        <w:jc w:val="both"/>
      </w:pPr>
      <w:r>
        <w:rPr>
          <w:spacing w:val="7"/>
          <w:w w:val="99"/>
        </w:rPr>
        <w:t>（一）</w:t>
      </w:r>
      <w:r>
        <w:rPr>
          <w:spacing w:val="-4"/>
          <w:w w:val="99"/>
        </w:rPr>
        <w:t>有限空间作业未履行“作业审批制度”，未对施</w:t>
      </w:r>
      <w:r>
        <w:rPr>
          <w:spacing w:val="4"/>
          <w:w w:val="95"/>
        </w:rPr>
        <w:t>工人员进行专项安全教育培训,未执行“先通风、再检测、 </w:t>
      </w:r>
      <w:r>
        <w:rPr/>
        <w:t>后作业”原则；</w:t>
      </w:r>
    </w:p>
    <w:p>
      <w:pPr>
        <w:pStyle w:val="BodyText"/>
        <w:spacing w:line="405" w:lineRule="exact"/>
        <w:ind w:left="1140"/>
      </w:pPr>
      <w:r>
        <w:rPr/>
        <w:t>（二）有限空间作业时现场未有专人负责监护工作。</w:t>
      </w:r>
    </w:p>
    <w:p>
      <w:pPr>
        <w:pStyle w:val="BodyText"/>
        <w:tabs>
          <w:tab w:pos="2739" w:val="left" w:leader="none"/>
        </w:tabs>
        <w:spacing w:line="326" w:lineRule="auto" w:before="152"/>
        <w:ind w:right="417" w:firstLine="640"/>
      </w:pPr>
      <w:r>
        <w:rPr>
          <w:rFonts w:ascii="黑体" w:eastAsia="黑体" w:hint="eastAsia"/>
        </w:rPr>
        <w:t>第十二条</w:t>
        <w:tab/>
      </w:r>
      <w:r>
        <w:rPr/>
        <w:t>拆除工程方面</w:t>
      </w:r>
      <w:r>
        <w:rPr>
          <w:spacing w:val="-12"/>
        </w:rPr>
        <w:t>，</w:t>
      </w:r>
      <w:r>
        <w:rPr/>
        <w:t>拆除施工作业顺序不符合</w:t>
      </w:r>
      <w:r>
        <w:rPr>
          <w:spacing w:val="-12"/>
        </w:rPr>
        <w:t>规</w:t>
      </w:r>
      <w:r>
        <w:rPr/>
        <w:t>范和施工方案要求的，应判定为重大事故隐患。</w:t>
      </w:r>
    </w:p>
    <w:p>
      <w:pPr>
        <w:pStyle w:val="BodyText"/>
        <w:tabs>
          <w:tab w:pos="2739" w:val="left" w:leader="none"/>
        </w:tabs>
        <w:spacing w:before="3"/>
        <w:ind w:left="1140"/>
      </w:pPr>
      <w:r>
        <w:rPr>
          <w:rFonts w:ascii="黑体" w:eastAsia="黑体" w:hint="eastAsia"/>
        </w:rPr>
        <w:t>第十三条</w:t>
        <w:tab/>
      </w:r>
      <w:r>
        <w:rPr/>
        <w:t>暗挖工程有下列情形之一的</w:t>
      </w:r>
      <w:r>
        <w:rPr>
          <w:spacing w:val="-12"/>
        </w:rPr>
        <w:t>，</w:t>
      </w:r>
      <w:r>
        <w:rPr/>
        <w:t>应判定为重大</w:t>
      </w:r>
    </w:p>
    <w:p>
      <w:pPr>
        <w:spacing w:after="0"/>
        <w:sectPr>
          <w:pgSz w:w="11910" w:h="16840"/>
          <w:pgMar w:header="0" w:footer="1000" w:top="1520" w:bottom="1180" w:left="1300" w:right="1380"/>
        </w:sectPr>
      </w:pPr>
    </w:p>
    <w:p>
      <w:pPr>
        <w:pStyle w:val="BodyText"/>
        <w:spacing w:before="32"/>
      </w:pPr>
      <w:bookmarkStart w:name="自建房结构安全排查技术要点（暂行）" w:id="18"/>
      <w:bookmarkEnd w:id="18"/>
      <w:r>
        <w:rPr/>
      </w:r>
      <w:r>
        <w:rPr/>
        <w:t>事故隐患：</w:t>
      </w:r>
    </w:p>
    <w:p>
      <w:pPr>
        <w:pStyle w:val="BodyText"/>
        <w:spacing w:line="326" w:lineRule="auto" w:before="149"/>
        <w:ind w:right="417" w:firstLine="640"/>
      </w:pPr>
      <w:r>
        <w:rPr>
          <w:w w:val="95"/>
        </w:rPr>
        <w:t>（一</w:t>
      </w:r>
      <w:r>
        <w:rPr>
          <w:spacing w:val="-5"/>
          <w:w w:val="95"/>
        </w:rPr>
        <w:t>）</w:t>
      </w:r>
      <w:r>
        <w:rPr>
          <w:spacing w:val="-1"/>
          <w:w w:val="95"/>
        </w:rPr>
        <w:t>作业面带水施工未采取相关措施，或地下水控制 </w:t>
      </w:r>
      <w:r>
        <w:rPr>
          <w:spacing w:val="-1"/>
        </w:rPr>
        <w:t>措施失效且继续施工；</w:t>
      </w:r>
    </w:p>
    <w:p>
      <w:pPr>
        <w:pStyle w:val="BodyText"/>
        <w:tabs>
          <w:tab w:pos="2098" w:val="left" w:leader="none"/>
        </w:tabs>
        <w:spacing w:line="326" w:lineRule="auto" w:before="5"/>
        <w:ind w:right="405" w:firstLine="640"/>
        <w:jc w:val="right"/>
      </w:pPr>
      <w:r>
        <w:rPr>
          <w:w w:val="95"/>
        </w:rPr>
        <w:t>（二</w:t>
      </w:r>
      <w:r>
        <w:rPr>
          <w:spacing w:val="-3"/>
          <w:w w:val="95"/>
        </w:rPr>
        <w:t>）</w:t>
      </w:r>
      <w:r>
        <w:rPr>
          <w:w w:val="95"/>
        </w:rPr>
        <w:t>施工时出现涌水</w:t>
      </w:r>
      <w:r>
        <w:rPr>
          <w:spacing w:val="-3"/>
          <w:w w:val="95"/>
        </w:rPr>
        <w:t>、</w:t>
      </w:r>
      <w:r>
        <w:rPr>
          <w:w w:val="95"/>
        </w:rPr>
        <w:t>涌沙</w:t>
      </w:r>
      <w:r>
        <w:rPr>
          <w:spacing w:val="-3"/>
          <w:w w:val="95"/>
        </w:rPr>
        <w:t>、</w:t>
      </w:r>
      <w:r>
        <w:rPr>
          <w:w w:val="95"/>
        </w:rPr>
        <w:t>局部坍塌</w:t>
      </w:r>
      <w:r>
        <w:rPr>
          <w:spacing w:val="-3"/>
          <w:w w:val="95"/>
        </w:rPr>
        <w:t>，</w:t>
      </w:r>
      <w:r>
        <w:rPr>
          <w:w w:val="95"/>
        </w:rPr>
        <w:t>支护结构扭 曲变形或出现裂缝，且有不断增大趋势，未及时采取措施。 </w:t>
      </w:r>
      <w:r>
        <w:rPr>
          <w:rFonts w:ascii="黑体" w:eastAsia="黑体" w:hint="eastAsia"/>
        </w:rPr>
        <w:t>第十四条</w:t>
        <w:tab/>
      </w:r>
      <w:r>
        <w:rPr>
          <w:w w:val="95"/>
        </w:rPr>
        <w:t>使用危害程度较大</w:t>
      </w:r>
      <w:r>
        <w:rPr>
          <w:spacing w:val="-15"/>
          <w:w w:val="95"/>
        </w:rPr>
        <w:t>、</w:t>
      </w:r>
      <w:r>
        <w:rPr>
          <w:w w:val="95"/>
        </w:rPr>
        <w:t>可能导致群死群伤或造</w:t>
      </w:r>
    </w:p>
    <w:p>
      <w:pPr>
        <w:pStyle w:val="BodyText"/>
        <w:spacing w:line="326" w:lineRule="auto" w:before="8"/>
        <w:ind w:right="375"/>
      </w:pPr>
      <w:r>
        <w:rPr/>
        <w:t>成重大经济损失的施工工艺、设备和材料，应判定为重大事故隐患。</w:t>
      </w:r>
    </w:p>
    <w:p>
      <w:pPr>
        <w:pStyle w:val="BodyText"/>
        <w:spacing w:line="328" w:lineRule="auto" w:before="3"/>
        <w:ind w:right="420" w:firstLine="640"/>
        <w:jc w:val="both"/>
      </w:pPr>
      <w:r>
        <w:rPr>
          <w:rFonts w:ascii="黑体" w:eastAsia="黑体" w:hint="eastAsia"/>
          <w:spacing w:val="11"/>
        </w:rPr>
        <w:t>第十五条 </w:t>
      </w:r>
      <w:r>
        <w:rPr>
          <w:spacing w:val="11"/>
        </w:rPr>
        <w:t>其他严重违反房屋市政工程安全生产法律</w:t>
      </w:r>
      <w:r>
        <w:rPr>
          <w:spacing w:val="-2"/>
          <w:w w:val="95"/>
        </w:rPr>
        <w:t>法规、部门规章及强制性标准，且存在危害程度较大、可能 </w:t>
      </w:r>
      <w:r>
        <w:rPr>
          <w:spacing w:val="-3"/>
        </w:rPr>
        <w:t>导致群死群伤或造成重大经济损失的现实危险，应判定为重大事故隐患。</w:t>
      </w:r>
    </w:p>
    <w:p>
      <w:pPr>
        <w:pStyle w:val="BodyText"/>
        <w:spacing w:line="405" w:lineRule="exact"/>
        <w:ind w:left="1140"/>
        <w:jc w:val="both"/>
      </w:pPr>
      <w:r>
        <w:rPr>
          <w:rFonts w:ascii="黑体" w:eastAsia="黑体" w:hint="eastAsia"/>
        </w:rPr>
        <w:t>第十六条 </w:t>
      </w:r>
      <w:r>
        <w:rPr/>
        <w:t>本标准自发布之日起执行。</w:t>
      </w:r>
    </w:p>
    <w:p>
      <w:pPr>
        <w:spacing w:after="0" w:line="405" w:lineRule="exact"/>
        <w:jc w:val="both"/>
        <w:sectPr>
          <w:pgSz w:w="11910" w:h="16840"/>
          <w:pgMar w:header="0" w:footer="1000" w:top="1520" w:bottom="1180" w:left="1300" w:right="1380"/>
        </w:sectPr>
      </w:pPr>
    </w:p>
    <w:p>
      <w:pPr>
        <w:pStyle w:val="BodyText"/>
        <w:ind w:left="0"/>
        <w:rPr>
          <w:sz w:val="20"/>
        </w:rPr>
      </w:pPr>
    </w:p>
    <w:p>
      <w:pPr>
        <w:pStyle w:val="BodyText"/>
        <w:ind w:left="0"/>
        <w:rPr>
          <w:sz w:val="25"/>
        </w:rPr>
      </w:pPr>
    </w:p>
    <w:p>
      <w:pPr>
        <w:pStyle w:val="Heading2"/>
      </w:pPr>
      <w:bookmarkStart w:name="_bookmark9" w:id="19"/>
      <w:bookmarkEnd w:id="19"/>
      <w:r>
        <w:rPr/>
      </w:r>
      <w:r>
        <w:rPr/>
        <w:t>自建房结构安全排查技术要点（暂行）</w:t>
      </w:r>
    </w:p>
    <w:p>
      <w:pPr>
        <w:pStyle w:val="BodyText"/>
        <w:spacing w:before="11"/>
        <w:ind w:left="0"/>
        <w:rPr>
          <w:sz w:val="63"/>
        </w:rPr>
      </w:pPr>
    </w:p>
    <w:p>
      <w:pPr>
        <w:pStyle w:val="BodyText"/>
        <w:tabs>
          <w:tab w:pos="1359" w:val="left" w:leader="none"/>
          <w:tab w:pos="2000" w:val="left" w:leader="none"/>
        </w:tabs>
        <w:ind w:left="80"/>
        <w:jc w:val="center"/>
        <w:rPr>
          <w:rFonts w:ascii="黑体" w:eastAsia="黑体" w:hint="eastAsia"/>
        </w:rPr>
      </w:pPr>
      <w:r>
        <w:rPr>
          <w:rFonts w:ascii="黑体" w:eastAsia="黑体" w:hint="eastAsia"/>
        </w:rPr>
        <w:t>第一章</w:t>
        <w:tab/>
        <w:t>总</w:t>
        <w:tab/>
        <w:t>则</w:t>
      </w:r>
    </w:p>
    <w:p>
      <w:pPr>
        <w:pStyle w:val="BodyText"/>
        <w:spacing w:before="10"/>
        <w:ind w:left="0"/>
        <w:rPr>
          <w:rFonts w:ascii="黑体"/>
          <w:sz w:val="23"/>
        </w:rPr>
      </w:pPr>
    </w:p>
    <w:p>
      <w:pPr>
        <w:pStyle w:val="BodyText"/>
        <w:spacing w:line="328" w:lineRule="auto" w:before="1"/>
        <w:ind w:right="417" w:firstLine="640"/>
        <w:jc w:val="both"/>
      </w:pPr>
      <w:r>
        <w:rPr>
          <w:rFonts w:ascii="黑体" w:eastAsia="黑体" w:hint="eastAsia"/>
        </w:rPr>
        <w:t>第一条 </w:t>
      </w:r>
      <w:r>
        <w:rPr>
          <w:spacing w:val="6"/>
        </w:rPr>
        <w:t>为指导各地做好城乡居民自建房安全专项整治</w:t>
      </w:r>
      <w:r>
        <w:rPr>
          <w:spacing w:val="-1"/>
        </w:rPr>
        <w:t>工作，遏制重特大事故发生，切实保护人民群众生命财产安全，及时满足整治工作需要，特制定本要点。</w:t>
      </w:r>
    </w:p>
    <w:p>
      <w:pPr>
        <w:pStyle w:val="BodyText"/>
        <w:spacing w:line="405" w:lineRule="exact"/>
        <w:ind w:left="1140"/>
        <w:jc w:val="both"/>
      </w:pPr>
      <w:r>
        <w:rPr>
          <w:rFonts w:ascii="黑体" w:eastAsia="黑体" w:hint="eastAsia"/>
        </w:rPr>
        <w:t>第二条 </w:t>
      </w:r>
      <w:r>
        <w:rPr/>
        <w:t>本要点适用于城乡居民自建房结构安全隐患排</w:t>
      </w:r>
    </w:p>
    <w:p>
      <w:pPr>
        <w:pStyle w:val="BodyText"/>
        <w:spacing w:before="149"/>
      </w:pPr>
      <w:r>
        <w:rPr/>
        <w:t>查。</w:t>
      </w:r>
    </w:p>
    <w:p>
      <w:pPr>
        <w:pStyle w:val="BodyText"/>
        <w:spacing w:before="151"/>
        <w:ind w:left="1140"/>
      </w:pPr>
      <w:r>
        <w:rPr>
          <w:rFonts w:ascii="黑体" w:eastAsia="黑体" w:hint="eastAsia"/>
        </w:rPr>
        <w:t>第三条 </w:t>
      </w:r>
      <w:r>
        <w:rPr/>
        <w:t>自建房安全隐患初步判定结论分为三级：存在</w:t>
      </w:r>
    </w:p>
    <w:p>
      <w:pPr>
        <w:pStyle w:val="BodyText"/>
        <w:spacing w:before="150"/>
      </w:pPr>
      <w:r>
        <w:rPr/>
        <w:t>严重安全隐患、存在一定安全隐患、未发现安全隐患。</w:t>
      </w:r>
    </w:p>
    <w:p>
      <w:pPr>
        <w:pStyle w:val="BodyText"/>
        <w:spacing w:line="328" w:lineRule="auto" w:before="149"/>
        <w:ind w:right="259" w:firstLine="640"/>
        <w:jc w:val="both"/>
      </w:pPr>
      <w:r>
        <w:rPr/>
        <w:t>（一）存在严重安全隐患：房屋地基基础不稳定，出现明显不均匀沉降，或承重构件存在明显损伤、裂缝或变形， </w:t>
      </w:r>
      <w:r>
        <w:rPr>
          <w:w w:val="95"/>
        </w:rPr>
        <w:t>随时可能丧失稳定和承载能力，结构已损坏，存在倒塌风险。</w:t>
      </w:r>
    </w:p>
    <w:p>
      <w:pPr>
        <w:pStyle w:val="BodyText"/>
        <w:spacing w:line="328" w:lineRule="auto"/>
        <w:ind w:right="417" w:firstLine="640"/>
        <w:jc w:val="both"/>
      </w:pPr>
      <w:r>
        <w:rPr>
          <w:w w:val="95"/>
        </w:rPr>
        <w:t>（二</w:t>
      </w:r>
      <w:r>
        <w:rPr>
          <w:spacing w:val="-5"/>
          <w:w w:val="95"/>
        </w:rPr>
        <w:t>）</w:t>
      </w:r>
      <w:r>
        <w:rPr>
          <w:spacing w:val="-1"/>
          <w:w w:val="95"/>
        </w:rPr>
        <w:t>存在一定安全隐患：房屋地基基础无明显不均匀 </w:t>
      </w:r>
      <w:r>
        <w:rPr>
          <w:spacing w:val="-4"/>
        </w:rPr>
        <w:t>沉降，个别承重构件出现损伤、裂缝或变形，不能完全满足安全使用要求。</w:t>
      </w:r>
    </w:p>
    <w:p>
      <w:pPr>
        <w:pStyle w:val="BodyText"/>
        <w:spacing w:line="328" w:lineRule="auto"/>
        <w:ind w:right="259" w:firstLine="640"/>
        <w:jc w:val="both"/>
      </w:pPr>
      <w:r>
        <w:rPr/>
        <w:t>（三）未发现安全隐患：房屋地基基础稳定，无不均匀沉降，梁、板、柱、墙等主要承重结构构件无明显受力裂缝</w:t>
      </w:r>
      <w:r>
        <w:rPr>
          <w:w w:val="95"/>
        </w:rPr>
        <w:t>和变形，连接可靠，承重结构安全，基本满足安全使用要求。</w:t>
      </w:r>
    </w:p>
    <w:p>
      <w:pPr>
        <w:pStyle w:val="BodyText"/>
        <w:spacing w:line="328" w:lineRule="auto"/>
        <w:ind w:right="417" w:firstLine="640"/>
        <w:jc w:val="both"/>
      </w:pPr>
      <w:r>
        <w:rPr>
          <w:rFonts w:ascii="黑体" w:eastAsia="黑体" w:hint="eastAsia"/>
        </w:rPr>
        <w:t>第四条 </w:t>
      </w:r>
      <w:r>
        <w:rPr/>
        <w:t>自建房安全隐患初步判定结论应依据本要点在产权人自查和现场排查的基础上作出。</w:t>
      </w:r>
    </w:p>
    <w:p>
      <w:pPr>
        <w:pStyle w:val="BodyText"/>
        <w:spacing w:line="407" w:lineRule="exact"/>
        <w:ind w:left="1140"/>
      </w:pPr>
      <w:r>
        <w:rPr>
          <w:rFonts w:ascii="黑体" w:eastAsia="黑体" w:hint="eastAsia"/>
        </w:rPr>
        <w:t>第五条 </w:t>
      </w:r>
      <w:r>
        <w:rPr/>
        <w:t>不同安全隐患等级的自建房应分类处置。</w:t>
      </w:r>
    </w:p>
    <w:p>
      <w:pPr>
        <w:pStyle w:val="BodyText"/>
        <w:spacing w:before="134"/>
        <w:ind w:left="1140"/>
      </w:pPr>
      <w:r>
        <w:rPr/>
        <w:t>（一）存在严重安全隐患的自建房，应立即停用并疏散</w:t>
      </w:r>
    </w:p>
    <w:p>
      <w:pPr>
        <w:spacing w:after="0"/>
        <w:sectPr>
          <w:pgSz w:w="11910" w:h="16840"/>
          <w:pgMar w:header="0" w:footer="1000" w:top="1580" w:bottom="1180" w:left="1300" w:right="1380"/>
        </w:sectPr>
      </w:pPr>
    </w:p>
    <w:p>
      <w:pPr>
        <w:pStyle w:val="BodyText"/>
        <w:spacing w:line="326" w:lineRule="auto" w:before="32"/>
        <w:ind w:right="405"/>
        <w:jc w:val="both"/>
      </w:pPr>
      <w:r>
        <w:rPr/>
        <w:t>房屋内和周边群众，封闭处置，现场排险。如需继续使用， 应委托专业技术机构进行安全鉴定，依据鉴定结论采取相应处理措施。</w:t>
      </w:r>
    </w:p>
    <w:p>
      <w:pPr>
        <w:pStyle w:val="BodyText"/>
        <w:spacing w:line="326" w:lineRule="auto" w:before="7"/>
        <w:ind w:right="417" w:firstLine="640"/>
        <w:jc w:val="both"/>
      </w:pPr>
      <w:r>
        <w:rPr>
          <w:w w:val="95"/>
        </w:rPr>
        <w:t>（二</w:t>
      </w:r>
      <w:r>
        <w:rPr>
          <w:spacing w:val="-3"/>
          <w:w w:val="95"/>
        </w:rPr>
        <w:t>）</w:t>
      </w:r>
      <w:r>
        <w:rPr>
          <w:spacing w:val="-2"/>
          <w:w w:val="95"/>
        </w:rPr>
        <w:t>存在一定安全隐患的自建房，应限制用途，并委 </w:t>
      </w:r>
      <w:r>
        <w:rPr>
          <w:spacing w:val="-3"/>
        </w:rPr>
        <w:t>托专业技术机构进行安全鉴定，依据鉴定结论采取相应处理措施。</w:t>
      </w:r>
    </w:p>
    <w:p>
      <w:pPr>
        <w:pStyle w:val="BodyText"/>
        <w:spacing w:line="326" w:lineRule="auto" w:before="7"/>
        <w:ind w:right="420" w:firstLine="640"/>
      </w:pPr>
      <w:r>
        <w:rPr>
          <w:w w:val="95"/>
        </w:rPr>
        <w:t>（三</w:t>
      </w:r>
      <w:r>
        <w:rPr>
          <w:spacing w:val="-3"/>
          <w:w w:val="95"/>
        </w:rPr>
        <w:t>）</w:t>
      </w:r>
      <w:r>
        <w:rPr>
          <w:spacing w:val="-2"/>
          <w:w w:val="95"/>
        </w:rPr>
        <w:t>未发现安全隐患的自建房，可继续正常使用，同 </w:t>
      </w:r>
      <w:r>
        <w:rPr>
          <w:spacing w:val="-2"/>
        </w:rPr>
        <w:t>时定期进行安全检查与维护。</w:t>
      </w:r>
    </w:p>
    <w:p>
      <w:pPr>
        <w:pStyle w:val="BodyText"/>
        <w:spacing w:before="3"/>
        <w:ind w:left="1140"/>
      </w:pPr>
      <w:r>
        <w:rPr>
          <w:rFonts w:ascii="黑体" w:eastAsia="黑体" w:hint="eastAsia"/>
        </w:rPr>
        <w:t>第六条 </w:t>
      </w:r>
      <w:r>
        <w:rPr/>
        <w:t>初步判定结论不能替代房屋安全鉴定。</w:t>
      </w:r>
    </w:p>
    <w:p>
      <w:pPr>
        <w:pStyle w:val="BodyText"/>
        <w:spacing w:line="326" w:lineRule="auto" w:before="152"/>
        <w:ind w:right="417" w:firstLine="640"/>
      </w:pPr>
      <w:r>
        <w:rPr>
          <w:rFonts w:ascii="黑体" w:eastAsia="黑体" w:hint="eastAsia"/>
        </w:rPr>
        <w:t>第七条 </w:t>
      </w:r>
      <w:r>
        <w:rPr/>
        <w:t>经营性自建房安全隐患应由专业技术人员进行排查。</w:t>
      </w:r>
    </w:p>
    <w:p>
      <w:pPr>
        <w:pStyle w:val="BodyText"/>
        <w:spacing w:before="3"/>
        <w:ind w:left="1140"/>
      </w:pPr>
      <w:r>
        <w:rPr>
          <w:rFonts w:ascii="黑体" w:eastAsia="黑体" w:hint="eastAsia"/>
        </w:rPr>
        <w:t>第八条 </w:t>
      </w:r>
      <w:r>
        <w:rPr/>
        <w:t>排查人员在现场排查时应做好自身安全防护。</w:t>
      </w:r>
    </w:p>
    <w:p>
      <w:pPr>
        <w:pStyle w:val="BodyText"/>
        <w:spacing w:line="326" w:lineRule="auto" w:before="151"/>
        <w:ind w:right="417" w:firstLine="640"/>
        <w:jc w:val="both"/>
      </w:pPr>
      <w:r>
        <w:rPr>
          <w:rFonts w:ascii="黑体" w:eastAsia="黑体" w:hint="eastAsia"/>
        </w:rPr>
        <w:t>第九条 </w:t>
      </w:r>
      <w:r>
        <w:rPr/>
        <w:t>各地可在本要点基础上制定本地排查技术细则，应包括但不限于本要点所列各类结构类型和安全隐患情形。</w:t>
      </w:r>
    </w:p>
    <w:p>
      <w:pPr>
        <w:pStyle w:val="BodyText"/>
        <w:tabs>
          <w:tab w:pos="1356" w:val="left" w:leader="none"/>
        </w:tabs>
        <w:spacing w:before="164"/>
        <w:ind w:left="77"/>
        <w:jc w:val="center"/>
        <w:rPr>
          <w:rFonts w:ascii="黑体" w:eastAsia="黑体" w:hint="eastAsia"/>
        </w:rPr>
      </w:pPr>
      <w:r>
        <w:rPr>
          <w:rFonts w:ascii="黑体" w:eastAsia="黑体" w:hint="eastAsia"/>
        </w:rPr>
        <w:t>第二章</w:t>
        <w:tab/>
        <w:t>基本要求</w:t>
      </w:r>
    </w:p>
    <w:p>
      <w:pPr>
        <w:pStyle w:val="BodyText"/>
        <w:spacing w:before="10"/>
        <w:ind w:left="0"/>
        <w:rPr>
          <w:rFonts w:ascii="黑体"/>
          <w:sz w:val="23"/>
        </w:rPr>
      </w:pPr>
    </w:p>
    <w:p>
      <w:pPr>
        <w:pStyle w:val="BodyText"/>
        <w:spacing w:line="328" w:lineRule="auto"/>
        <w:ind w:right="405" w:firstLine="640"/>
        <w:jc w:val="both"/>
      </w:pPr>
      <w:r>
        <w:rPr>
          <w:rFonts w:ascii="黑体" w:hAnsi="黑体" w:eastAsia="黑体" w:hint="eastAsia"/>
        </w:rPr>
        <w:t>第十条 </w:t>
      </w:r>
      <w:r>
        <w:rPr/>
        <w:t>房屋结构安全排查内容包括地基基础安全和上部结构安全。地基基础安全重点排查是否存在不均匀沉降、不稳定等情况；上部结构安全重点排查承重构件及其连接是否可靠；结构构件与房屋整体是否存在“歪、裂、扭、斜” 等现象。</w:t>
      </w:r>
    </w:p>
    <w:p>
      <w:pPr>
        <w:pStyle w:val="BodyText"/>
        <w:spacing w:line="326" w:lineRule="auto"/>
        <w:ind w:right="417" w:firstLine="640"/>
        <w:jc w:val="both"/>
      </w:pPr>
      <w:r>
        <w:rPr>
          <w:rFonts w:ascii="黑体" w:eastAsia="黑体" w:hint="eastAsia"/>
          <w:spacing w:val="2"/>
        </w:rPr>
        <w:t>第十一条 </w:t>
      </w:r>
      <w:r>
        <w:rPr>
          <w:spacing w:val="7"/>
        </w:rPr>
        <w:t>排查人员应向产权人（使用人）</w:t>
      </w:r>
      <w:r>
        <w:rPr>
          <w:spacing w:val="5"/>
        </w:rPr>
        <w:t>了解房屋建</w:t>
      </w:r>
      <w:r>
        <w:rPr>
          <w:spacing w:val="-3"/>
          <w:w w:val="95"/>
        </w:rPr>
        <w:t>造、改造、装修和使用情况。如，房屋使用期间是否发生过 </w:t>
      </w:r>
      <w:r>
        <w:rPr>
          <w:spacing w:val="-3"/>
        </w:rPr>
        <w:t>改变功能、增加楼层、增设夹层、增加隔墙、减柱减墙、建</w:t>
      </w:r>
    </w:p>
    <w:p>
      <w:pPr>
        <w:spacing w:after="0" w:line="326" w:lineRule="auto"/>
        <w:jc w:val="both"/>
        <w:sectPr>
          <w:pgSz w:w="11910" w:h="16840"/>
          <w:pgMar w:header="0" w:footer="1000" w:top="1520" w:bottom="1180" w:left="1300" w:right="1380"/>
        </w:sectPr>
      </w:pPr>
    </w:p>
    <w:p>
      <w:pPr>
        <w:pStyle w:val="BodyText"/>
        <w:spacing w:before="32"/>
      </w:pPr>
      <w:r>
        <w:rPr/>
        <w:t>筑外扩、是否改变房屋主体结构等改扩建行为。</w:t>
      </w:r>
    </w:p>
    <w:p>
      <w:pPr>
        <w:pStyle w:val="BodyText"/>
        <w:spacing w:line="328" w:lineRule="auto" w:before="149"/>
        <w:ind w:right="405" w:firstLine="640"/>
        <w:jc w:val="both"/>
      </w:pPr>
      <w:r>
        <w:rPr>
          <w:rFonts w:ascii="黑体" w:eastAsia="黑体" w:hint="eastAsia"/>
        </w:rPr>
        <w:t>第十二条 </w:t>
      </w:r>
      <w:r>
        <w:rPr/>
        <w:t>房屋结构安全排查以目视检查为主，按照先整体后构件的顺序进行。比照承重结构构件截面常规尺寸， 对梁、板、柱、墙进行排查。对于存在损伤和变形的，可辅助以裂缝对比卡、重垂线等工具进行。</w:t>
      </w:r>
    </w:p>
    <w:p>
      <w:pPr>
        <w:pStyle w:val="BodyText"/>
        <w:tabs>
          <w:tab w:pos="1359" w:val="left" w:leader="none"/>
        </w:tabs>
        <w:spacing w:before="148"/>
        <w:ind w:left="77"/>
        <w:jc w:val="center"/>
        <w:rPr>
          <w:rFonts w:ascii="黑体" w:eastAsia="黑体" w:hint="eastAsia"/>
        </w:rPr>
      </w:pPr>
      <w:r>
        <w:rPr>
          <w:rFonts w:ascii="黑体" w:eastAsia="黑体" w:hint="eastAsia"/>
        </w:rPr>
        <w:t>第三章</w:t>
        <w:tab/>
        <w:t>地基基础安全排查</w:t>
      </w:r>
    </w:p>
    <w:p>
      <w:pPr>
        <w:pStyle w:val="BodyText"/>
        <w:ind w:left="0"/>
        <w:rPr>
          <w:rFonts w:ascii="黑体"/>
          <w:sz w:val="24"/>
        </w:rPr>
      </w:pPr>
    </w:p>
    <w:p>
      <w:pPr>
        <w:pStyle w:val="BodyText"/>
        <w:spacing w:line="326" w:lineRule="auto"/>
        <w:ind w:right="417" w:firstLine="640"/>
      </w:pPr>
      <w:r>
        <w:rPr>
          <w:rFonts w:ascii="黑体" w:eastAsia="黑体" w:hint="eastAsia"/>
        </w:rPr>
        <w:t>第十三条 </w:t>
      </w:r>
      <w:r>
        <w:rPr/>
        <w:t>房屋地基基础存在以下情形之一时，应初步判定为存在严重安全隐患：</w:t>
      </w:r>
    </w:p>
    <w:p>
      <w:pPr>
        <w:pStyle w:val="BodyText"/>
        <w:spacing w:before="3"/>
        <w:ind w:left="1560"/>
      </w:pPr>
      <w:r>
        <w:rPr/>
        <w:t>（一）房屋地基出现局部或整体沉陷；</w:t>
      </w:r>
    </w:p>
    <w:p>
      <w:pPr>
        <w:pStyle w:val="BodyText"/>
        <w:spacing w:line="328" w:lineRule="auto" w:before="152"/>
        <w:ind w:left="920" w:right="420" w:firstLine="640"/>
        <w:jc w:val="both"/>
      </w:pPr>
      <w:r>
        <w:rPr/>
        <w:t>（</w:t>
      </w:r>
      <w:r>
        <w:rPr>
          <w:spacing w:val="5"/>
        </w:rPr>
        <w:t>二</w:t>
      </w:r>
      <w:r>
        <w:rPr/>
        <w:t>）</w:t>
      </w:r>
      <w:r>
        <w:rPr>
          <w:spacing w:val="-5"/>
        </w:rPr>
        <w:t>上部结构砌体墙部分出现宽度大于 </w:t>
      </w:r>
      <w:r>
        <w:rPr/>
        <w:t>10mm</w:t>
      </w:r>
      <w:r>
        <w:rPr>
          <w:spacing w:val="-26"/>
        </w:rPr>
        <w:t> 的沉</w:t>
      </w:r>
      <w:r>
        <w:rPr>
          <w:spacing w:val="-16"/>
        </w:rPr>
        <w:t>降裂缝，或单道墙体产生多条平行的竖向裂缝、其中最大</w:t>
      </w:r>
      <w:r>
        <w:rPr>
          <w:spacing w:val="-13"/>
        </w:rPr>
        <w:t>裂缝宽度大于 </w:t>
      </w:r>
      <w:r>
        <w:rPr>
          <w:spacing w:val="-9"/>
        </w:rPr>
        <w:t>5mm</w:t>
      </w:r>
      <w:r>
        <w:rPr>
          <w:spacing w:val="-3"/>
        </w:rPr>
        <w:t>；预制构件之间的连接部位出现宽度大</w:t>
      </w:r>
      <w:r>
        <w:rPr>
          <w:spacing w:val="-42"/>
        </w:rPr>
        <w:t>于 </w:t>
      </w:r>
      <w:r>
        <w:rPr/>
        <w:t>3mm</w:t>
      </w:r>
      <w:r>
        <w:rPr>
          <w:spacing w:val="-10"/>
        </w:rPr>
        <w:t> 的不均匀沉降裂缝；</w:t>
      </w:r>
    </w:p>
    <w:p>
      <w:pPr>
        <w:pStyle w:val="BodyText"/>
        <w:spacing w:line="328" w:lineRule="auto"/>
        <w:ind w:left="920" w:right="417" w:firstLine="640"/>
        <w:jc w:val="both"/>
      </w:pPr>
      <w:r>
        <w:rPr/>
        <w:t>（三</w:t>
      </w:r>
      <w:r>
        <w:rPr>
          <w:spacing w:val="-55"/>
        </w:rPr>
        <w:t>）</w:t>
      </w:r>
      <w:r>
        <w:rPr>
          <w:spacing w:val="-8"/>
        </w:rPr>
        <w:t>混凝土梁产生宽度超过 </w:t>
      </w:r>
      <w:r>
        <w:rPr/>
        <w:t>0.4mm</w:t>
      </w:r>
      <w:r>
        <w:rPr>
          <w:spacing w:val="-21"/>
        </w:rPr>
        <w:t> 的斜裂缝，或梁</w:t>
      </w:r>
      <w:r>
        <w:rPr>
          <w:spacing w:val="-28"/>
        </w:rPr>
        <w:t>柱节点出现宽度超过 </w:t>
      </w:r>
      <w:r>
        <w:rPr/>
        <w:t>0.5mm</w:t>
      </w:r>
      <w:r>
        <w:rPr>
          <w:spacing w:val="-17"/>
        </w:rPr>
        <w:t> 的裂缝，或钢筋混凝土墙出现竖向裂缝；</w:t>
      </w:r>
    </w:p>
    <w:p>
      <w:pPr>
        <w:pStyle w:val="BodyText"/>
        <w:spacing w:line="326" w:lineRule="auto"/>
        <w:ind w:left="920" w:right="259" w:firstLine="640"/>
        <w:jc w:val="both"/>
      </w:pPr>
      <w:r>
        <w:rPr/>
        <w:t>（四</w:t>
      </w:r>
      <w:r>
        <w:rPr>
          <w:spacing w:val="-15"/>
        </w:rPr>
        <w:t>）</w:t>
      </w:r>
      <w:r>
        <w:rPr>
          <w:spacing w:val="-7"/>
        </w:rPr>
        <w:t>地基不稳定产生滑移，水平位移量大于 </w:t>
      </w:r>
      <w:r>
        <w:rPr/>
        <w:t>10mm， 且对上部结构有显著影响或有继续滑动迹象。</w:t>
      </w:r>
    </w:p>
    <w:p>
      <w:pPr>
        <w:pStyle w:val="BodyText"/>
        <w:spacing w:line="326" w:lineRule="auto"/>
        <w:ind w:right="417" w:firstLine="640"/>
        <w:jc w:val="both"/>
      </w:pPr>
      <w:r>
        <w:rPr>
          <w:rFonts w:ascii="黑体" w:eastAsia="黑体" w:hint="eastAsia"/>
        </w:rPr>
        <w:t>第十四条 </w:t>
      </w:r>
      <w:r>
        <w:rPr/>
        <w:t>房屋地基基础存在以下情形之一时，应初步判定为存在一定安全隐患：</w:t>
      </w:r>
    </w:p>
    <w:p>
      <w:pPr>
        <w:pStyle w:val="BodyText"/>
        <w:spacing w:line="328" w:lineRule="auto"/>
        <w:ind w:left="920" w:right="306" w:firstLine="640"/>
      </w:pPr>
      <w:r>
        <w:rPr/>
        <w:t>（一</w:t>
      </w:r>
      <w:r>
        <w:rPr>
          <w:spacing w:val="-55"/>
        </w:rPr>
        <w:t>）</w:t>
      </w:r>
      <w:r>
        <w:rPr>
          <w:spacing w:val="-5"/>
        </w:rPr>
        <w:t>房屋地基基础有不均匀沉降，且造成房屋上部结构构件裂缝，但其宽度未达到第十三条第（二</w:t>
      </w:r>
      <w:r>
        <w:rPr>
          <w:spacing w:val="-159"/>
        </w:rPr>
        <w:t>）</w:t>
      </w:r>
      <w:r>
        <w:rPr>
          <w:spacing w:val="-161"/>
        </w:rPr>
        <w:t>、</w:t>
      </w:r>
      <w:r>
        <w:rPr/>
        <w:t>（三</w:t>
      </w:r>
      <w:r>
        <w:rPr>
          <w:spacing w:val="-11"/>
        </w:rPr>
        <w:t>） </w:t>
      </w:r>
      <w:r>
        <w:rPr/>
        <w:t>款的限值；</w:t>
      </w:r>
    </w:p>
    <w:p>
      <w:pPr>
        <w:pStyle w:val="BodyText"/>
        <w:spacing w:line="405" w:lineRule="exact"/>
        <w:ind w:left="1560"/>
      </w:pPr>
      <w:r>
        <w:rPr/>
        <w:t>（二</w:t>
      </w:r>
      <w:r>
        <w:rPr>
          <w:spacing w:val="-113"/>
        </w:rPr>
        <w:t>）</w:t>
      </w:r>
      <w:r>
        <w:rPr/>
        <w:t>因地基变形引起单层和两层房屋整体倾斜率超</w:t>
      </w:r>
    </w:p>
    <w:p>
      <w:pPr>
        <w:spacing w:after="0" w:line="405" w:lineRule="exact"/>
        <w:sectPr>
          <w:pgSz w:w="11910" w:h="16840"/>
          <w:pgMar w:header="0" w:footer="1000" w:top="1520" w:bottom="1180" w:left="1300" w:right="1380"/>
        </w:sectPr>
      </w:pPr>
    </w:p>
    <w:p>
      <w:pPr>
        <w:pStyle w:val="BodyText"/>
        <w:spacing w:before="32"/>
        <w:ind w:left="920"/>
      </w:pPr>
      <w:r>
        <w:rPr/>
        <w:t>过 3％，三层及以上房屋整体倾斜率超过 2％；</w:t>
      </w:r>
    </w:p>
    <w:p>
      <w:pPr>
        <w:pStyle w:val="BodyText"/>
        <w:spacing w:line="326" w:lineRule="auto" w:before="149"/>
        <w:ind w:left="920" w:right="420" w:firstLine="640"/>
      </w:pPr>
      <w:r>
        <w:rPr>
          <w:w w:val="95"/>
        </w:rPr>
        <w:t>（三</w:t>
      </w:r>
      <w:r>
        <w:rPr>
          <w:spacing w:val="-27"/>
          <w:w w:val="95"/>
        </w:rPr>
        <w:t>）</w:t>
      </w:r>
      <w:r>
        <w:rPr>
          <w:spacing w:val="-10"/>
          <w:w w:val="95"/>
        </w:rPr>
        <w:t>因基础老化、腐蚀、酥碎、折断导致上部结构 </w:t>
      </w:r>
      <w:r>
        <w:rPr>
          <w:spacing w:val="-10"/>
        </w:rPr>
        <w:t>出现明显倾斜、位移、裂缝；</w:t>
      </w:r>
    </w:p>
    <w:p>
      <w:pPr>
        <w:pStyle w:val="BodyText"/>
        <w:spacing w:line="326" w:lineRule="auto" w:before="5"/>
        <w:ind w:left="920" w:right="259" w:firstLine="640"/>
      </w:pPr>
      <w:r>
        <w:rPr>
          <w:w w:val="95"/>
        </w:rPr>
        <w:t>（四</w:t>
      </w:r>
      <w:r>
        <w:rPr>
          <w:spacing w:val="-159"/>
          <w:w w:val="95"/>
        </w:rPr>
        <w:t>）</w:t>
      </w:r>
      <w:r>
        <w:rPr>
          <w:spacing w:val="-10"/>
          <w:w w:val="95"/>
        </w:rPr>
        <w:t>地基不稳定产生滑移，水平位移量不大于</w:t>
      </w:r>
      <w:r>
        <w:rPr>
          <w:w w:val="95"/>
        </w:rPr>
        <w:t>10mm， </w:t>
      </w:r>
      <w:r>
        <w:rPr/>
        <w:t>但对上部结构造成影响；</w:t>
      </w:r>
    </w:p>
    <w:p>
      <w:pPr>
        <w:pStyle w:val="BodyText"/>
        <w:spacing w:line="328" w:lineRule="auto" w:before="3"/>
        <w:ind w:left="920" w:right="420" w:firstLine="640"/>
      </w:pPr>
      <w:r>
        <w:rPr/>
        <w:t>（五</w:t>
      </w:r>
      <w:r>
        <w:rPr>
          <w:spacing w:val="-113"/>
        </w:rPr>
        <w:t>）</w:t>
      </w:r>
      <w:r>
        <w:rPr>
          <w:spacing w:val="-1"/>
        </w:rPr>
        <w:t>基础基底局部被架空等可能引起房屋坍塌的其</w:t>
      </w:r>
      <w:r>
        <w:rPr/>
        <w:t>他情形。</w:t>
      </w:r>
    </w:p>
    <w:p>
      <w:pPr>
        <w:pStyle w:val="BodyText"/>
        <w:tabs>
          <w:tab w:pos="1359" w:val="left" w:leader="none"/>
        </w:tabs>
        <w:spacing w:before="154"/>
        <w:ind w:left="77"/>
        <w:jc w:val="center"/>
        <w:rPr>
          <w:rFonts w:ascii="黑体" w:eastAsia="黑体" w:hint="eastAsia"/>
        </w:rPr>
      </w:pPr>
      <w:r>
        <w:rPr>
          <w:rFonts w:ascii="黑体" w:eastAsia="黑体" w:hint="eastAsia"/>
        </w:rPr>
        <w:t>第四章</w:t>
        <w:tab/>
        <w:t>上部结构安全排查</w:t>
      </w:r>
    </w:p>
    <w:p>
      <w:pPr>
        <w:pStyle w:val="BodyText"/>
        <w:spacing w:before="10"/>
        <w:ind w:left="0"/>
        <w:rPr>
          <w:rFonts w:ascii="黑体"/>
          <w:sz w:val="23"/>
        </w:rPr>
      </w:pPr>
    </w:p>
    <w:p>
      <w:pPr>
        <w:pStyle w:val="BodyText"/>
        <w:spacing w:line="328" w:lineRule="auto"/>
        <w:ind w:right="420" w:firstLine="640"/>
      </w:pPr>
      <w:r>
        <w:rPr>
          <w:rFonts w:ascii="黑体" w:eastAsia="黑体" w:hint="eastAsia"/>
        </w:rPr>
        <w:t>第十五条 </w:t>
      </w:r>
      <w:r>
        <w:rPr/>
        <w:t>砌体结构房屋存在以下情形之一时，应初步判定为存在严重安全隐患：</w:t>
      </w:r>
    </w:p>
    <w:p>
      <w:pPr>
        <w:pStyle w:val="BodyText"/>
        <w:spacing w:line="326" w:lineRule="auto"/>
        <w:ind w:right="420" w:firstLine="640"/>
      </w:pPr>
      <w:r>
        <w:rPr>
          <w:spacing w:val="5"/>
        </w:rPr>
        <w:t>（</w:t>
      </w:r>
      <w:r>
        <w:rPr/>
        <w:t>一</w:t>
      </w:r>
      <w:r>
        <w:rPr>
          <w:spacing w:val="5"/>
        </w:rPr>
        <w:t>）</w:t>
      </w:r>
      <w:r>
        <w:rPr>
          <w:spacing w:val="-5"/>
        </w:rPr>
        <w:t>承重墙出现竖向受压裂缝，缝宽大于 </w:t>
      </w:r>
      <w:r>
        <w:rPr/>
        <w:t>1mm</w:t>
      </w:r>
      <w:r>
        <w:rPr>
          <w:spacing w:val="-3"/>
        </w:rPr>
        <w:t>、缝长</w:t>
      </w:r>
      <w:r>
        <w:rPr>
          <w:spacing w:val="-17"/>
        </w:rPr>
        <w:t>超过层高 </w:t>
      </w:r>
      <w:r>
        <w:rPr/>
        <w:t>1/2</w:t>
      </w:r>
      <w:r>
        <w:rPr>
          <w:spacing w:val="-8"/>
        </w:rPr>
        <w:t>，或出现缝长超过层高 </w:t>
      </w:r>
      <w:r>
        <w:rPr/>
        <w:t>1/3</w:t>
      </w:r>
      <w:r>
        <w:rPr>
          <w:spacing w:val="-11"/>
        </w:rPr>
        <w:t> 的多条竖向裂缝；</w:t>
      </w:r>
    </w:p>
    <w:p>
      <w:pPr>
        <w:pStyle w:val="BodyText"/>
        <w:spacing w:line="326" w:lineRule="auto" w:before="3"/>
        <w:ind w:right="374" w:firstLine="640"/>
      </w:pPr>
      <w:r>
        <w:rPr/>
        <w:t>（二）支承梁或屋架端部的墙体或柱在支座部位出现多条因局部受压裂缝，或裂缝宽度已超过 1mm；</w:t>
      </w:r>
    </w:p>
    <w:p>
      <w:pPr>
        <w:pStyle w:val="BodyText"/>
        <w:spacing w:line="328" w:lineRule="auto" w:before="4"/>
        <w:ind w:right="420" w:firstLine="640"/>
      </w:pPr>
      <w:r>
        <w:rPr>
          <w:w w:val="95"/>
        </w:rPr>
        <w:t>（三</w:t>
      </w:r>
      <w:r>
        <w:rPr>
          <w:spacing w:val="-3"/>
          <w:w w:val="95"/>
        </w:rPr>
        <w:t>）</w:t>
      </w:r>
      <w:r>
        <w:rPr>
          <w:spacing w:val="-2"/>
          <w:w w:val="95"/>
        </w:rPr>
        <w:t>承重墙或砖柱出现表面风化、剥落、砂浆粉化等 </w:t>
      </w:r>
      <w:r>
        <w:rPr>
          <w:spacing w:val="-10"/>
        </w:rPr>
        <w:t>现象，有效截面削弱达 </w:t>
      </w:r>
      <w:r>
        <w:rPr/>
        <w:t>15％以上；</w:t>
      </w:r>
    </w:p>
    <w:p>
      <w:pPr>
        <w:pStyle w:val="BodyText"/>
        <w:spacing w:line="407" w:lineRule="exact"/>
        <w:ind w:left="1140"/>
      </w:pPr>
      <w:r>
        <w:rPr/>
        <w:t>（四）承重墙、柱已经产生明显倾斜；</w:t>
      </w:r>
    </w:p>
    <w:p>
      <w:pPr>
        <w:pStyle w:val="BodyText"/>
        <w:spacing w:before="149"/>
        <w:ind w:left="1140"/>
      </w:pPr>
      <w:r>
        <w:rPr/>
        <w:t>（五）纵横承重墙体连接处出现通长竖向裂缝。</w:t>
      </w:r>
    </w:p>
    <w:p>
      <w:pPr>
        <w:pStyle w:val="BodyText"/>
        <w:spacing w:line="326" w:lineRule="auto" w:before="151"/>
        <w:ind w:right="417" w:firstLine="640"/>
      </w:pPr>
      <w:r>
        <w:rPr>
          <w:rFonts w:ascii="黑体" w:eastAsia="黑体" w:hint="eastAsia"/>
        </w:rPr>
        <w:t>第十六条 </w:t>
      </w:r>
      <w:r>
        <w:rPr/>
        <w:t>混凝土结构房屋存在以下情形之一时，应初步判定为存在严重安全隐患：</w:t>
      </w:r>
    </w:p>
    <w:p>
      <w:pPr>
        <w:pStyle w:val="BodyText"/>
        <w:spacing w:before="4"/>
        <w:ind w:left="1140"/>
        <w:jc w:val="both"/>
      </w:pPr>
      <w:r>
        <w:rPr/>
        <w:t>（一）梁、板下挠，且受拉区的裂缝宽度大于 1mm；</w:t>
      </w:r>
    </w:p>
    <w:p>
      <w:pPr>
        <w:pStyle w:val="BodyText"/>
        <w:spacing w:line="326" w:lineRule="auto" w:before="151"/>
        <w:ind w:right="417" w:firstLine="640"/>
        <w:jc w:val="both"/>
      </w:pPr>
      <w:r>
        <w:rPr>
          <w:w w:val="95"/>
        </w:rPr>
        <w:t>（二</w:t>
      </w:r>
      <w:r>
        <w:rPr>
          <w:spacing w:val="-5"/>
          <w:w w:val="95"/>
        </w:rPr>
        <w:t>）</w:t>
      </w:r>
      <w:r>
        <w:rPr>
          <w:spacing w:val="-1"/>
          <w:w w:val="95"/>
        </w:rPr>
        <w:t>梁跨中或中间支座受拉区产生竖向裂缝，裂缝延 </w:t>
      </w:r>
      <w:r>
        <w:rPr>
          <w:spacing w:val="-12"/>
        </w:rPr>
        <w:t>伸达梁高的 </w:t>
      </w:r>
      <w:r>
        <w:rPr/>
        <w:t>2/3</w:t>
      </w:r>
      <w:r>
        <w:rPr>
          <w:spacing w:val="-19"/>
        </w:rPr>
        <w:t> 以上且缝宽大于 </w:t>
      </w:r>
      <w:r>
        <w:rPr>
          <w:spacing w:val="2"/>
        </w:rPr>
        <w:t>1mm</w:t>
      </w:r>
      <w:r>
        <w:rPr/>
        <w:t>，或在支座附近出现剪切斜裂缝；</w:t>
      </w:r>
    </w:p>
    <w:p>
      <w:pPr>
        <w:spacing w:after="0" w:line="326" w:lineRule="auto"/>
        <w:jc w:val="both"/>
        <w:sectPr>
          <w:pgSz w:w="11910" w:h="16840"/>
          <w:pgMar w:header="0" w:footer="1000" w:top="1520" w:bottom="1180" w:left="1300" w:right="1380"/>
        </w:sectPr>
      </w:pPr>
    </w:p>
    <w:p>
      <w:pPr>
        <w:pStyle w:val="BodyText"/>
        <w:spacing w:before="32"/>
        <w:ind w:left="1140"/>
      </w:pPr>
      <w:r>
        <w:rPr/>
        <w:t>（三）混凝土梁、板出现宽度大于 1mm 非受力裂缝的情</w:t>
      </w:r>
    </w:p>
    <w:p>
      <w:pPr>
        <w:pStyle w:val="BodyText"/>
        <w:spacing w:before="149"/>
      </w:pPr>
      <w:r>
        <w:rPr/>
        <w:t>形；</w:t>
      </w:r>
    </w:p>
    <w:p>
      <w:pPr>
        <w:pStyle w:val="BodyText"/>
        <w:spacing w:before="149"/>
        <w:ind w:left="1140"/>
      </w:pPr>
      <w:r>
        <w:rPr/>
        <w:t>（四）主要承重柱产生明显倾斜，混凝土质量差，出现</w:t>
      </w:r>
    </w:p>
    <w:p>
      <w:pPr>
        <w:pStyle w:val="BodyText"/>
        <w:spacing w:line="326" w:lineRule="auto" w:before="152"/>
        <w:ind w:right="345"/>
      </w:pPr>
      <w:r>
        <w:rPr>
          <w:w w:val="95"/>
        </w:rPr>
        <w:t>蜂窝、露筋、裂缝、孔洞、烂根、疏松、外形缺陷、外表缺 </w:t>
      </w:r>
      <w:r>
        <w:rPr/>
        <w:t>陷；</w:t>
      </w:r>
    </w:p>
    <w:p>
      <w:pPr>
        <w:pStyle w:val="BodyText"/>
        <w:spacing w:before="3"/>
        <w:ind w:left="1140"/>
      </w:pPr>
      <w:r>
        <w:rPr/>
        <w:t>（五） 屋架的支撑系统失效，屋架平面外倾斜。</w:t>
      </w:r>
    </w:p>
    <w:p>
      <w:pPr>
        <w:pStyle w:val="BodyText"/>
        <w:spacing w:line="326" w:lineRule="auto" w:before="151"/>
        <w:ind w:right="417" w:firstLine="640"/>
      </w:pPr>
      <w:r>
        <w:rPr>
          <w:rFonts w:ascii="黑体" w:eastAsia="黑体" w:hint="eastAsia"/>
        </w:rPr>
        <w:t>第十七条 </w:t>
      </w:r>
      <w:r>
        <w:rPr/>
        <w:t>钢结构房屋存在以下情形之一时，应初步判定为存在严重安全隐患：</w:t>
      </w:r>
    </w:p>
    <w:p>
      <w:pPr>
        <w:pStyle w:val="BodyText"/>
        <w:spacing w:line="328" w:lineRule="auto" w:before="3"/>
        <w:ind w:right="417" w:firstLine="640"/>
      </w:pPr>
      <w:r>
        <w:rPr/>
        <w:t>（一） 构件或连接件有裂缝或锐角切口；焊缝、螺栓或铆接有拉开、变形、滑移、松动、剪坏等严重损坏；</w:t>
      </w:r>
    </w:p>
    <w:p>
      <w:pPr>
        <w:pStyle w:val="BodyText"/>
        <w:spacing w:line="407" w:lineRule="exact"/>
        <w:ind w:left="1140"/>
      </w:pPr>
      <w:r>
        <w:rPr/>
        <w:t>（二） 连接方式不当，构造有严重缺陷；</w:t>
      </w:r>
    </w:p>
    <w:p>
      <w:pPr>
        <w:pStyle w:val="BodyText"/>
        <w:spacing w:before="150"/>
        <w:ind w:left="1140"/>
      </w:pPr>
      <w:r>
        <w:rPr/>
        <w:t>（三） 受力构件因锈蚀导致截面锈损量大于原截面的</w:t>
      </w:r>
    </w:p>
    <w:p>
      <w:pPr>
        <w:pStyle w:val="BodyText"/>
        <w:spacing w:before="151"/>
      </w:pPr>
      <w:r>
        <w:rPr/>
        <w:t>10％；</w:t>
      </w:r>
    </w:p>
    <w:p>
      <w:pPr>
        <w:pStyle w:val="BodyText"/>
        <w:spacing w:before="149"/>
        <w:ind w:left="1140"/>
      </w:pPr>
      <w:r>
        <w:rPr/>
        <w:t>（四）屋架下挠，檩条下挠，导致屋架倾斜。</w:t>
      </w:r>
    </w:p>
    <w:p>
      <w:pPr>
        <w:pStyle w:val="BodyText"/>
        <w:spacing w:line="328" w:lineRule="auto" w:before="150"/>
        <w:ind w:right="417" w:firstLine="640"/>
      </w:pPr>
      <w:r>
        <w:rPr>
          <w:rFonts w:ascii="黑体" w:eastAsia="黑体" w:hint="eastAsia"/>
        </w:rPr>
        <w:t>第十八条 </w:t>
      </w:r>
      <w:r>
        <w:rPr/>
        <w:t>木结构房屋存在以下情形之一时，应初步判定为存在严重安全隐患：</w:t>
      </w:r>
    </w:p>
    <w:p>
      <w:pPr>
        <w:pStyle w:val="BodyText"/>
        <w:spacing w:line="326" w:lineRule="auto"/>
        <w:ind w:right="417" w:firstLine="640"/>
      </w:pPr>
      <w:r>
        <w:rPr/>
        <w:t>（一） 连接节点松动变形、滑移、沿剪切面开裂、剪坏，或连接铁件严重锈蚀、松动致使连接失效等损坏；</w:t>
      </w:r>
    </w:p>
    <w:p>
      <w:pPr>
        <w:pStyle w:val="BodyText"/>
        <w:spacing w:before="3"/>
        <w:ind w:left="1140"/>
      </w:pPr>
      <w:r>
        <w:rPr/>
        <w:t>（二） 主梁下挠，或伴有较严重的材质缺陷；</w:t>
      </w:r>
    </w:p>
    <w:p>
      <w:pPr>
        <w:pStyle w:val="BodyText"/>
        <w:spacing w:before="149"/>
        <w:ind w:left="1140"/>
      </w:pPr>
      <w:r>
        <w:rPr/>
        <w:t>（三）屋架下挠，或顶部、端部节点产生腐朽或劈裂；</w:t>
      </w:r>
    </w:p>
    <w:p>
      <w:pPr>
        <w:pStyle w:val="BodyText"/>
        <w:spacing w:line="328" w:lineRule="auto" w:before="149"/>
        <w:ind w:right="373" w:firstLine="640"/>
      </w:pPr>
      <w:r>
        <w:rPr/>
        <w:t>（四）木柱侧弯变形，或柱顶劈裂、柱身断裂、柱脚腐朽等受损面积大于原截面 20％以上。</w:t>
      </w:r>
    </w:p>
    <w:p>
      <w:pPr>
        <w:pStyle w:val="BodyText"/>
        <w:spacing w:line="326" w:lineRule="auto"/>
        <w:ind w:right="417" w:firstLine="640"/>
      </w:pPr>
      <w:r>
        <w:rPr>
          <w:rFonts w:ascii="黑体" w:eastAsia="黑体" w:hint="eastAsia"/>
        </w:rPr>
        <w:t>第十九条 </w:t>
      </w:r>
      <w:r>
        <w:rPr/>
        <w:t>砌体结构房屋存在以下情形之一时，应初步判定为存在一定安全隐患：</w:t>
      </w:r>
    </w:p>
    <w:p>
      <w:pPr>
        <w:spacing w:after="0" w:line="326" w:lineRule="auto"/>
        <w:sectPr>
          <w:pgSz w:w="11910" w:h="16840"/>
          <w:pgMar w:header="0" w:footer="1000" w:top="1520" w:bottom="1180" w:left="1300" w:right="1380"/>
        </w:sectPr>
      </w:pPr>
    </w:p>
    <w:p>
      <w:pPr>
        <w:pStyle w:val="BodyText"/>
        <w:spacing w:before="32"/>
        <w:ind w:left="1140"/>
      </w:pPr>
      <w:r>
        <w:rPr/>
        <w:t>（一）承重墙厚度小于 180mm；</w:t>
      </w:r>
    </w:p>
    <w:p>
      <w:pPr>
        <w:pStyle w:val="BodyText"/>
        <w:spacing w:before="149"/>
        <w:ind w:left="1140"/>
      </w:pPr>
      <w:r>
        <w:rPr/>
        <w:t>（二）承重墙或砖柱因偏心受压产生水平裂缝；</w:t>
      </w:r>
    </w:p>
    <w:p>
      <w:pPr>
        <w:pStyle w:val="BodyText"/>
        <w:spacing w:line="328" w:lineRule="auto" w:before="149"/>
        <w:ind w:right="417" w:firstLine="640"/>
      </w:pPr>
      <w:r>
        <w:rPr>
          <w:w w:val="95"/>
        </w:rPr>
        <w:t>（三</w:t>
      </w:r>
      <w:r>
        <w:rPr>
          <w:spacing w:val="-5"/>
          <w:w w:val="95"/>
        </w:rPr>
        <w:t>）</w:t>
      </w:r>
      <w:r>
        <w:rPr>
          <w:spacing w:val="-1"/>
          <w:w w:val="95"/>
        </w:rPr>
        <w:t>承重墙或砖柱出现侧向变形现象，或出现因侧向 </w:t>
      </w:r>
      <w:r>
        <w:rPr>
          <w:spacing w:val="-1"/>
        </w:rPr>
        <w:t>受力产生水平裂缝；</w:t>
      </w:r>
    </w:p>
    <w:p>
      <w:pPr>
        <w:pStyle w:val="BodyText"/>
        <w:spacing w:line="407" w:lineRule="exact"/>
        <w:ind w:left="1140"/>
      </w:pPr>
      <w:r>
        <w:rPr/>
        <w:t>（四）门窗洞口上砖过梁产生裂缝或下挠变形；</w:t>
      </w:r>
    </w:p>
    <w:p>
      <w:pPr>
        <w:pStyle w:val="BodyText"/>
        <w:spacing w:line="328" w:lineRule="auto" w:before="149"/>
        <w:ind w:right="259" w:firstLine="640"/>
      </w:pPr>
      <w:r>
        <w:rPr>
          <w:w w:val="95"/>
        </w:rPr>
        <w:t>（五</w:t>
      </w:r>
      <w:r>
        <w:rPr>
          <w:spacing w:val="-58"/>
          <w:w w:val="95"/>
        </w:rPr>
        <w:t>）</w:t>
      </w:r>
      <w:r>
        <w:rPr>
          <w:spacing w:val="-11"/>
          <w:w w:val="95"/>
        </w:rPr>
        <w:t>砖筒拱、扁壳、波形筒拱的拱顶沿纵向产生裂缝， </w:t>
      </w:r>
      <w:r>
        <w:rPr>
          <w:spacing w:val="-9"/>
        </w:rPr>
        <w:t>或拱曲面变形，或拱脚位移，或拱体拉杆锈蚀严重，或拉杆体系失效等；</w:t>
      </w:r>
    </w:p>
    <w:p>
      <w:pPr>
        <w:pStyle w:val="BodyText"/>
        <w:spacing w:line="405" w:lineRule="exact"/>
        <w:ind w:left="1140"/>
      </w:pPr>
      <w:r>
        <w:rPr/>
        <w:t>（六）建筑高度与面宽宽度的比值超过 2.5；</w:t>
      </w:r>
    </w:p>
    <w:p>
      <w:pPr>
        <w:pStyle w:val="BodyText"/>
        <w:spacing w:line="326" w:lineRule="auto" w:before="152"/>
        <w:ind w:right="375" w:firstLine="640"/>
      </w:pPr>
      <w:r>
        <w:rPr/>
        <w:t>（七）房屋面宽和进深比例小于 1:3，主要采用纵向承重墙承重，缺乏横向承重墙；</w:t>
      </w:r>
    </w:p>
    <w:p>
      <w:pPr>
        <w:pStyle w:val="BodyText"/>
        <w:spacing w:line="328" w:lineRule="auto" w:before="3"/>
        <w:ind w:right="420" w:firstLine="640"/>
      </w:pPr>
      <w:r>
        <w:rPr>
          <w:w w:val="95"/>
        </w:rPr>
        <w:t>（八</w:t>
      </w:r>
      <w:r>
        <w:rPr>
          <w:spacing w:val="-3"/>
          <w:w w:val="95"/>
        </w:rPr>
        <w:t>）</w:t>
      </w:r>
      <w:r>
        <w:rPr>
          <w:spacing w:val="-2"/>
          <w:w w:val="95"/>
        </w:rPr>
        <w:t>房屋底层大空间，且未采用局部框架结构，上部 </w:t>
      </w:r>
      <w:r>
        <w:rPr>
          <w:spacing w:val="-2"/>
        </w:rPr>
        <w:t>小空间，且采用自重较重的砌筑墙体分隔；</w:t>
      </w:r>
    </w:p>
    <w:p>
      <w:pPr>
        <w:pStyle w:val="BodyText"/>
        <w:spacing w:line="326" w:lineRule="auto"/>
        <w:ind w:right="420" w:firstLine="640"/>
      </w:pPr>
      <w:r>
        <w:rPr/>
        <w:t>（九</w:t>
      </w:r>
      <w:r>
        <w:rPr>
          <w:spacing w:val="-3"/>
        </w:rPr>
        <w:t>）</w:t>
      </w:r>
      <w:r>
        <w:rPr>
          <w:spacing w:val="-13"/>
        </w:rPr>
        <w:t>建筑层数达到 </w:t>
      </w:r>
      <w:r>
        <w:rPr/>
        <w:t>3</w:t>
      </w:r>
      <w:r>
        <w:rPr>
          <w:spacing w:val="-10"/>
        </w:rPr>
        <w:t> 层以上，采用空斗砖墙承重，且未设置圈梁和构造柱；</w:t>
      </w:r>
    </w:p>
    <w:p>
      <w:pPr>
        <w:pStyle w:val="BodyText"/>
        <w:spacing w:line="326" w:lineRule="auto" w:before="3"/>
        <w:ind w:right="420" w:firstLine="640"/>
      </w:pPr>
      <w:r>
        <w:rPr>
          <w:w w:val="95"/>
        </w:rPr>
        <w:t>（十</w:t>
      </w:r>
      <w:r>
        <w:rPr>
          <w:spacing w:val="-3"/>
          <w:w w:val="95"/>
        </w:rPr>
        <w:t>）</w:t>
      </w:r>
      <w:r>
        <w:rPr>
          <w:spacing w:val="-2"/>
          <w:w w:val="95"/>
        </w:rPr>
        <w:t>采用预制板作为楼屋面，未设置圈梁，未采取有 </w:t>
      </w:r>
      <w:r>
        <w:rPr>
          <w:spacing w:val="-2"/>
        </w:rPr>
        <w:t>效的搭接措施；</w:t>
      </w:r>
    </w:p>
    <w:p>
      <w:pPr>
        <w:pStyle w:val="BodyText"/>
        <w:spacing w:line="328" w:lineRule="auto" w:before="3"/>
        <w:ind w:right="420" w:firstLine="640"/>
      </w:pPr>
      <w:r>
        <w:rPr/>
        <w:t>（十一</w:t>
      </w:r>
      <w:r>
        <w:rPr>
          <w:spacing w:val="-7"/>
        </w:rPr>
        <w:t>）</w:t>
      </w:r>
      <w:r>
        <w:rPr>
          <w:spacing w:val="-2"/>
        </w:rPr>
        <w:t>承重砌体墙根部风化剥落，厚度不超过墙体厚</w:t>
      </w:r>
      <w:r>
        <w:rPr>
          <w:spacing w:val="-40"/>
        </w:rPr>
        <w:t>度 </w:t>
      </w:r>
      <w:r>
        <w:rPr/>
        <w:t>1/3</w:t>
      </w:r>
      <w:r>
        <w:rPr>
          <w:spacing w:val="-17"/>
        </w:rPr>
        <w:t> 的情形。</w:t>
      </w:r>
    </w:p>
    <w:p>
      <w:pPr>
        <w:pStyle w:val="BodyText"/>
        <w:spacing w:line="326" w:lineRule="auto"/>
        <w:ind w:right="417" w:firstLine="640"/>
      </w:pPr>
      <w:r>
        <w:rPr>
          <w:rFonts w:ascii="黑体" w:eastAsia="黑体" w:hint="eastAsia"/>
        </w:rPr>
        <w:t>第二十条 </w:t>
      </w:r>
      <w:r>
        <w:rPr/>
        <w:t>混凝土结构房屋存在以下情形之一时，应初步判定为存在一定安全隐患：</w:t>
      </w:r>
    </w:p>
    <w:p>
      <w:pPr>
        <w:pStyle w:val="BodyText"/>
        <w:spacing w:line="326" w:lineRule="auto" w:before="3"/>
        <w:ind w:right="417" w:firstLine="640"/>
      </w:pPr>
      <w:r>
        <w:rPr/>
        <w:t>（一） 柱、梁、板、墙的混凝土保护层因钢筋锈蚀而严重脱落、露筋；</w:t>
      </w:r>
    </w:p>
    <w:p>
      <w:pPr>
        <w:pStyle w:val="BodyText"/>
        <w:spacing w:before="3"/>
        <w:ind w:left="1140"/>
      </w:pPr>
      <w:r>
        <w:rPr/>
        <w:t>（二）预应力板产生竖向通长裂缝，或端部混凝土酥松</w:t>
      </w:r>
    </w:p>
    <w:p>
      <w:pPr>
        <w:spacing w:after="0"/>
        <w:sectPr>
          <w:pgSz w:w="11910" w:h="16840"/>
          <w:pgMar w:header="0" w:footer="1000" w:top="1520" w:bottom="1180" w:left="1300" w:right="1380"/>
        </w:sectPr>
      </w:pPr>
    </w:p>
    <w:p>
      <w:pPr>
        <w:pStyle w:val="BodyText"/>
        <w:spacing w:before="32"/>
      </w:pPr>
      <w:r>
        <w:rPr/>
        <w:t>露筋，或预制板底部出现横向裂缝或下挠变形；</w:t>
      </w:r>
    </w:p>
    <w:p>
      <w:pPr>
        <w:pStyle w:val="BodyText"/>
        <w:spacing w:before="149"/>
        <w:ind w:left="1140"/>
      </w:pPr>
      <w:r>
        <w:rPr/>
        <w:t>（三）现浇板面周边产生裂缝，或板底产生交叉裂缝；</w:t>
      </w:r>
    </w:p>
    <w:p>
      <w:pPr>
        <w:pStyle w:val="BodyText"/>
        <w:spacing w:line="328" w:lineRule="auto" w:before="149"/>
        <w:ind w:right="420" w:firstLine="640"/>
      </w:pPr>
      <w:r>
        <w:rPr>
          <w:w w:val="95"/>
        </w:rPr>
        <w:t>（四</w:t>
      </w:r>
      <w:r>
        <w:rPr>
          <w:spacing w:val="-3"/>
          <w:w w:val="95"/>
        </w:rPr>
        <w:t>）</w:t>
      </w:r>
      <w:r>
        <w:rPr>
          <w:spacing w:val="-2"/>
          <w:w w:val="95"/>
        </w:rPr>
        <w:t>柱因受压产生竖向裂缝、保护层剥落，或一侧产 </w:t>
      </w:r>
      <w:r>
        <w:rPr>
          <w:spacing w:val="-2"/>
        </w:rPr>
        <w:t>生水平裂缝，另一侧混凝土被压碎；</w:t>
      </w:r>
    </w:p>
    <w:p>
      <w:pPr>
        <w:pStyle w:val="BodyText"/>
        <w:spacing w:line="407" w:lineRule="exact"/>
        <w:ind w:left="1140"/>
      </w:pPr>
      <w:r>
        <w:rPr/>
        <w:t>（五）混凝土墙中部产生斜裂缝；</w:t>
      </w:r>
    </w:p>
    <w:p>
      <w:pPr>
        <w:pStyle w:val="BodyText"/>
        <w:spacing w:before="149"/>
        <w:ind w:left="1140"/>
      </w:pPr>
      <w:r>
        <w:rPr/>
        <w:t>（六）屋架产生下挠，且下弦产生横断裂缝；</w:t>
      </w:r>
    </w:p>
    <w:p>
      <w:pPr>
        <w:pStyle w:val="BodyText"/>
        <w:spacing w:before="152"/>
        <w:ind w:left="1140"/>
      </w:pPr>
      <w:r>
        <w:rPr/>
        <w:t>（七）悬挑构件下挠变形，或支座部位出现裂缝；</w:t>
      </w:r>
    </w:p>
    <w:p>
      <w:pPr>
        <w:pStyle w:val="BodyText"/>
        <w:spacing w:before="149"/>
        <w:ind w:left="1140"/>
      </w:pPr>
      <w:r>
        <w:rPr/>
        <w:t>（八</w:t>
      </w:r>
      <w:r>
        <w:rPr>
          <w:spacing w:val="-159"/>
        </w:rPr>
        <w:t>）</w:t>
      </w:r>
      <w:r>
        <w:rPr>
          <w:spacing w:val="-9"/>
        </w:rPr>
        <w:t>混凝土梁板出现宽度 </w:t>
      </w:r>
      <w:r>
        <w:rPr/>
        <w:t>1mm</w:t>
      </w:r>
      <w:r>
        <w:rPr>
          <w:spacing w:val="-10"/>
        </w:rPr>
        <w:t> 以下非受力裂缝的情形；</w:t>
      </w:r>
    </w:p>
    <w:p>
      <w:pPr>
        <w:pStyle w:val="BodyText"/>
        <w:spacing w:line="328" w:lineRule="auto" w:before="149"/>
        <w:ind w:right="259" w:firstLine="640"/>
      </w:pPr>
      <w:r>
        <w:rPr/>
        <w:t>（九</w:t>
      </w:r>
      <w:r>
        <w:rPr>
          <w:spacing w:val="-3"/>
        </w:rPr>
        <w:t>）</w:t>
      </w:r>
      <w:r>
        <w:rPr/>
        <w:t>承重混凝土构件（</w:t>
      </w:r>
      <w:r>
        <w:rPr>
          <w:spacing w:val="-3"/>
        </w:rPr>
        <w:t>柱、梁、板、墙）</w:t>
      </w:r>
      <w:r>
        <w:rPr/>
        <w:t>表面有轻微</w:t>
      </w:r>
      <w:r>
        <w:rPr>
          <w:spacing w:val="-15"/>
          <w:w w:val="95"/>
        </w:rPr>
        <w:t>剥蚀、开裂、钢筋锈蚀的现象，或混凝土构件施工质量较差、 </w:t>
      </w:r>
      <w:r>
        <w:rPr>
          <w:spacing w:val="-15"/>
        </w:rPr>
        <w:t>蜂窝麻面较多、但受力钢筋没有外露等。</w:t>
      </w:r>
    </w:p>
    <w:p>
      <w:pPr>
        <w:pStyle w:val="BodyText"/>
        <w:spacing w:line="328" w:lineRule="auto"/>
        <w:ind w:right="417" w:firstLine="640"/>
      </w:pPr>
      <w:r>
        <w:rPr>
          <w:rFonts w:ascii="黑体" w:eastAsia="黑体" w:hint="eastAsia"/>
        </w:rPr>
        <w:t>第二十一条 </w:t>
      </w:r>
      <w:r>
        <w:rPr/>
        <w:t>钢结构房屋存在以下情形之一时，应初步判定为存在一定安全隐患：</w:t>
      </w:r>
    </w:p>
    <w:p>
      <w:pPr>
        <w:pStyle w:val="BodyText"/>
        <w:spacing w:line="407" w:lineRule="exact"/>
        <w:ind w:left="1140"/>
      </w:pPr>
      <w:r>
        <w:rPr/>
        <w:t>（一） 梁、板下挠；</w:t>
      </w:r>
    </w:p>
    <w:p>
      <w:pPr>
        <w:pStyle w:val="BodyText"/>
        <w:spacing w:before="144"/>
        <w:ind w:left="1140"/>
      </w:pPr>
      <w:r>
        <w:rPr/>
        <w:t>（二） 实腹梁侧弯变形且有发展迹象；</w:t>
      </w:r>
    </w:p>
    <w:p>
      <w:pPr>
        <w:pStyle w:val="BodyText"/>
        <w:spacing w:before="152"/>
        <w:ind w:left="1140"/>
      </w:pPr>
      <w:r>
        <w:rPr/>
        <w:t>（三） 梁、柱等位移或变形较大；</w:t>
      </w:r>
    </w:p>
    <w:p>
      <w:pPr>
        <w:pStyle w:val="BodyText"/>
        <w:spacing w:line="326" w:lineRule="auto" w:before="149"/>
        <w:ind w:right="420" w:firstLine="640"/>
      </w:pPr>
      <w:r>
        <w:rPr>
          <w:w w:val="95"/>
        </w:rPr>
        <w:t>（四</w:t>
      </w:r>
      <w:r>
        <w:rPr>
          <w:spacing w:val="-3"/>
          <w:w w:val="95"/>
        </w:rPr>
        <w:t>）</w:t>
      </w:r>
      <w:r>
        <w:rPr>
          <w:w w:val="95"/>
        </w:rPr>
        <w:t>钢结构构件（</w:t>
      </w:r>
      <w:r>
        <w:rPr>
          <w:spacing w:val="-1"/>
          <w:w w:val="95"/>
        </w:rPr>
        <w:t>柱、梁、屋架等</w:t>
      </w:r>
      <w:r>
        <w:rPr>
          <w:spacing w:val="-3"/>
          <w:w w:val="95"/>
        </w:rPr>
        <w:t>）</w:t>
      </w:r>
      <w:r>
        <w:rPr>
          <w:w w:val="95"/>
        </w:rPr>
        <w:t>有多处轻微锈蚀 </w:t>
      </w:r>
      <w:r>
        <w:rPr/>
        <w:t>现象。</w:t>
      </w:r>
    </w:p>
    <w:p>
      <w:pPr>
        <w:pStyle w:val="BodyText"/>
        <w:spacing w:line="326" w:lineRule="auto" w:before="6"/>
        <w:ind w:right="417" w:firstLine="640"/>
      </w:pPr>
      <w:r>
        <w:rPr>
          <w:rFonts w:ascii="黑体" w:eastAsia="黑体" w:hint="eastAsia"/>
        </w:rPr>
        <w:t>第二十二条 </w:t>
      </w:r>
      <w:r>
        <w:rPr/>
        <w:t>木结构房屋存在以下情形之一时，应初步判定为存在一定安全隐患：</w:t>
      </w:r>
    </w:p>
    <w:p>
      <w:pPr>
        <w:pStyle w:val="BodyText"/>
        <w:spacing w:before="3"/>
        <w:ind w:left="1140"/>
      </w:pPr>
      <w:r>
        <w:rPr/>
        <w:t>（一）檩条、龙骨下挠，或入墙部位腐朽、虫蛀；</w:t>
      </w:r>
    </w:p>
    <w:p>
      <w:pPr>
        <w:pStyle w:val="BodyText"/>
        <w:spacing w:before="151"/>
        <w:ind w:left="1140"/>
      </w:pPr>
      <w:r>
        <w:rPr/>
        <w:t>（二）木构件存在心腐缺陷；</w:t>
      </w:r>
    </w:p>
    <w:p>
      <w:pPr>
        <w:pStyle w:val="BodyText"/>
        <w:spacing w:line="326" w:lineRule="auto" w:before="150"/>
        <w:ind w:right="374" w:firstLine="640"/>
      </w:pPr>
      <w:r>
        <w:rPr/>
        <w:t>（三）受压或受弯木构件干缩裂缝深度超过构件截面尺寸的 1/2，且裂缝长度超过构件长度的 2/3。</w:t>
      </w:r>
    </w:p>
    <w:p>
      <w:pPr>
        <w:spacing w:after="0" w:line="326" w:lineRule="auto"/>
        <w:sectPr>
          <w:footerReference w:type="default" r:id="rId11"/>
          <w:pgSz w:w="11910" w:h="16840"/>
          <w:pgMar w:footer="1000" w:header="0" w:top="1520" w:bottom="1180" w:left="1300" w:right="1380"/>
          <w:pgNumType w:start="60"/>
        </w:sectPr>
      </w:pPr>
    </w:p>
    <w:p>
      <w:pPr>
        <w:pStyle w:val="BodyText"/>
        <w:tabs>
          <w:tab w:pos="1359" w:val="left" w:leader="none"/>
          <w:tab w:pos="2000" w:val="left" w:leader="none"/>
        </w:tabs>
        <w:spacing w:before="32"/>
        <w:ind w:left="80"/>
        <w:jc w:val="center"/>
        <w:rPr>
          <w:rFonts w:ascii="黑体" w:eastAsia="黑体" w:hint="eastAsia"/>
        </w:rPr>
      </w:pPr>
      <w:r>
        <w:rPr>
          <w:rFonts w:ascii="黑体" w:eastAsia="黑体" w:hint="eastAsia"/>
        </w:rPr>
        <w:t>第五章</w:t>
        <w:tab/>
        <w:t>其</w:t>
        <w:tab/>
        <w:t>他</w:t>
      </w:r>
    </w:p>
    <w:p>
      <w:pPr>
        <w:pStyle w:val="BodyText"/>
        <w:spacing w:before="10"/>
        <w:ind w:left="0"/>
        <w:rPr>
          <w:rFonts w:ascii="黑体"/>
          <w:sz w:val="23"/>
        </w:rPr>
      </w:pPr>
    </w:p>
    <w:p>
      <w:pPr>
        <w:pStyle w:val="BodyText"/>
        <w:spacing w:line="326" w:lineRule="auto"/>
        <w:ind w:right="417" w:firstLine="640"/>
        <w:jc w:val="both"/>
      </w:pPr>
      <w:r>
        <w:rPr>
          <w:rFonts w:ascii="黑体" w:eastAsia="黑体" w:hint="eastAsia"/>
        </w:rPr>
        <w:t>第二十三条 </w:t>
      </w:r>
      <w:r>
        <w:rPr/>
        <w:t>改变使用功能的城乡居民自建房，存在以下情形之一时，应初步判定为存在严重安全隐患：</w:t>
      </w:r>
    </w:p>
    <w:p>
      <w:pPr>
        <w:pStyle w:val="BodyText"/>
        <w:spacing w:line="326" w:lineRule="auto" w:before="6"/>
        <w:ind w:right="419" w:firstLine="640"/>
        <w:jc w:val="both"/>
      </w:pPr>
      <w:r>
        <w:rPr/>
        <w:t>（一</w:t>
      </w:r>
      <w:r>
        <w:rPr>
          <w:spacing w:val="-12"/>
        </w:rPr>
        <w:t>）</w:t>
      </w:r>
      <w:r>
        <w:rPr>
          <w:spacing w:val="-1"/>
        </w:rPr>
        <w:t>将原居住功能的城乡居民自建房改变为经营性人</w:t>
      </w:r>
      <w:r>
        <w:rPr>
          <w:spacing w:val="5"/>
          <w:w w:val="95"/>
        </w:rPr>
        <w:t>员密集场所，如培训教室、影院、</w:t>
      </w:r>
      <w:r>
        <w:rPr>
          <w:w w:val="95"/>
        </w:rPr>
        <w:t>KTV</w:t>
      </w:r>
      <w:r>
        <w:rPr>
          <w:spacing w:val="5"/>
          <w:w w:val="95"/>
        </w:rPr>
        <w:t>、具有娱乐功能的餐 </w:t>
      </w:r>
      <w:r>
        <w:rPr>
          <w:spacing w:val="5"/>
        </w:rPr>
        <w:t>馆等，且不能提供有效技术文件的；</w:t>
      </w:r>
    </w:p>
    <w:p>
      <w:pPr>
        <w:pStyle w:val="BodyText"/>
        <w:spacing w:line="326" w:lineRule="auto" w:before="7"/>
        <w:ind w:right="420" w:firstLine="640"/>
      </w:pPr>
      <w:r>
        <w:rPr>
          <w:w w:val="95"/>
        </w:rPr>
        <w:t>（二</w:t>
      </w:r>
      <w:r>
        <w:rPr>
          <w:spacing w:val="-3"/>
          <w:w w:val="95"/>
        </w:rPr>
        <w:t>）</w:t>
      </w:r>
      <w:r>
        <w:rPr>
          <w:spacing w:val="-2"/>
          <w:w w:val="95"/>
        </w:rPr>
        <w:t>改变使用功能后，导致楼</w:t>
      </w:r>
      <w:r>
        <w:rPr>
          <w:w w:val="95"/>
        </w:rPr>
        <w:t>（屋</w:t>
      </w:r>
      <w:r>
        <w:rPr>
          <w:spacing w:val="-3"/>
          <w:w w:val="95"/>
        </w:rPr>
        <w:t>）</w:t>
      </w:r>
      <w:r>
        <w:rPr>
          <w:w w:val="95"/>
        </w:rPr>
        <w:t>面使用荷载大幅 </w:t>
      </w:r>
      <w:r>
        <w:rPr/>
        <w:t>增加危及房屋安全的情形。</w:t>
      </w:r>
    </w:p>
    <w:p>
      <w:pPr>
        <w:pStyle w:val="BodyText"/>
        <w:spacing w:line="328" w:lineRule="auto" w:before="3"/>
        <w:ind w:right="417" w:firstLine="640"/>
      </w:pPr>
      <w:r>
        <w:rPr>
          <w:rFonts w:ascii="黑体" w:eastAsia="黑体" w:hint="eastAsia"/>
        </w:rPr>
        <w:t>第二十四条 </w:t>
      </w:r>
      <w:r>
        <w:rPr/>
        <w:t>改变使用功能的城乡居民自建房，存在以下情形之一时，应初步判定为存在一定安全隐患：</w:t>
      </w:r>
    </w:p>
    <w:p>
      <w:pPr>
        <w:pStyle w:val="BodyText"/>
        <w:spacing w:line="326" w:lineRule="auto"/>
        <w:ind w:right="375" w:firstLine="640"/>
      </w:pPr>
      <w:r>
        <w:rPr/>
        <w:t>（一）将原居住功能的城乡居民自建房改变为人员密集场所以外的其他经营场所；</w:t>
      </w:r>
    </w:p>
    <w:p>
      <w:pPr>
        <w:pStyle w:val="BodyText"/>
        <w:spacing w:line="326" w:lineRule="auto" w:before="3"/>
        <w:ind w:right="420" w:firstLine="640"/>
      </w:pPr>
      <w:r>
        <w:rPr>
          <w:w w:val="95"/>
        </w:rPr>
        <w:t>（二</w:t>
      </w:r>
      <w:r>
        <w:rPr>
          <w:spacing w:val="-3"/>
          <w:w w:val="95"/>
        </w:rPr>
        <w:t>）</w:t>
      </w:r>
      <w:r>
        <w:rPr>
          <w:spacing w:val="-1"/>
          <w:w w:val="95"/>
        </w:rPr>
        <w:t>改变使用功能但楼</w:t>
      </w:r>
      <w:r>
        <w:rPr>
          <w:spacing w:val="-3"/>
          <w:w w:val="95"/>
        </w:rPr>
        <w:t>（</w:t>
      </w:r>
      <w:r>
        <w:rPr>
          <w:w w:val="95"/>
        </w:rPr>
        <w:t>屋</w:t>
      </w:r>
      <w:r>
        <w:rPr>
          <w:spacing w:val="-5"/>
          <w:w w:val="95"/>
        </w:rPr>
        <w:t>）</w:t>
      </w:r>
      <w:r>
        <w:rPr>
          <w:w w:val="95"/>
        </w:rPr>
        <w:t>面使用荷载没有大幅增 </w:t>
      </w:r>
      <w:r>
        <w:rPr/>
        <w:t>加的情形。</w:t>
      </w:r>
    </w:p>
    <w:p>
      <w:pPr>
        <w:pStyle w:val="BodyText"/>
        <w:spacing w:line="328" w:lineRule="auto" w:before="3"/>
        <w:ind w:right="417" w:firstLine="640"/>
      </w:pPr>
      <w:r>
        <w:rPr>
          <w:rFonts w:ascii="黑体" w:eastAsia="黑体" w:hint="eastAsia"/>
        </w:rPr>
        <w:t>第二十五条 </w:t>
      </w:r>
      <w:r>
        <w:rPr/>
        <w:t>改扩建的城乡居民自建房，存在以下情形之一时，应初步判定为存在严重安全隐患：</w:t>
      </w:r>
    </w:p>
    <w:p>
      <w:pPr>
        <w:pStyle w:val="BodyText"/>
        <w:spacing w:line="328" w:lineRule="auto"/>
        <w:ind w:right="420" w:firstLine="640"/>
        <w:jc w:val="both"/>
      </w:pPr>
      <w:r>
        <w:rPr/>
        <w:t>（一</w:t>
      </w:r>
      <w:r>
        <w:rPr>
          <w:spacing w:val="-5"/>
        </w:rPr>
        <w:t>）</w:t>
      </w:r>
      <w:r>
        <w:rPr>
          <w:spacing w:val="-2"/>
        </w:rPr>
        <w:t>擅自拆改主体承重结构、更改承重墙体洞口尺寸</w:t>
      </w:r>
      <w:r>
        <w:rPr>
          <w:spacing w:val="6"/>
          <w:w w:val="95"/>
        </w:rPr>
        <w:t>及位置、加层</w:t>
      </w:r>
      <w:r>
        <w:rPr>
          <w:spacing w:val="5"/>
          <w:w w:val="95"/>
        </w:rPr>
        <w:t>（</w:t>
      </w:r>
      <w:r>
        <w:rPr>
          <w:spacing w:val="6"/>
          <w:w w:val="95"/>
        </w:rPr>
        <w:t>含夹层</w:t>
      </w:r>
      <w:r>
        <w:rPr>
          <w:spacing w:val="-151"/>
          <w:w w:val="95"/>
        </w:rPr>
        <w:t>）</w:t>
      </w:r>
      <w:r>
        <w:rPr>
          <w:spacing w:val="3"/>
          <w:w w:val="95"/>
        </w:rPr>
        <w:t>、扩建、开挖地下空间等，且出现 </w:t>
      </w:r>
      <w:r>
        <w:rPr/>
        <w:t>明显开裂、变形；</w:t>
      </w:r>
    </w:p>
    <w:p>
      <w:pPr>
        <w:pStyle w:val="BodyText"/>
        <w:spacing w:line="326" w:lineRule="auto"/>
        <w:ind w:right="417" w:firstLine="640"/>
      </w:pPr>
      <w:r>
        <w:rPr>
          <w:w w:val="95"/>
        </w:rPr>
        <w:t>（二</w:t>
      </w:r>
      <w:r>
        <w:rPr>
          <w:spacing w:val="-3"/>
          <w:w w:val="95"/>
        </w:rPr>
        <w:t>）</w:t>
      </w:r>
      <w:r>
        <w:rPr>
          <w:spacing w:val="-1"/>
          <w:w w:val="95"/>
        </w:rPr>
        <w:t>在原楼</w:t>
      </w:r>
      <w:r>
        <w:rPr>
          <w:w w:val="95"/>
        </w:rPr>
        <w:t>（屋</w:t>
      </w:r>
      <w:r>
        <w:rPr>
          <w:spacing w:val="-3"/>
          <w:w w:val="95"/>
        </w:rPr>
        <w:t>）</w:t>
      </w:r>
      <w:r>
        <w:rPr>
          <w:spacing w:val="-1"/>
          <w:w w:val="95"/>
        </w:rPr>
        <w:t>面上擅自增设非轻质墙体、堆载或 </w:t>
      </w:r>
      <w:r>
        <w:rPr>
          <w:spacing w:val="-1"/>
        </w:rPr>
        <w:t>其他原因导致楼（屋）面梁板出现明显开裂、变形；</w:t>
      </w:r>
    </w:p>
    <w:p>
      <w:pPr>
        <w:pStyle w:val="BodyText"/>
        <w:spacing w:line="326" w:lineRule="auto"/>
        <w:ind w:right="420" w:firstLine="640"/>
      </w:pPr>
      <w:r>
        <w:rPr>
          <w:w w:val="95"/>
        </w:rPr>
        <w:t>（三</w:t>
      </w:r>
      <w:r>
        <w:rPr>
          <w:spacing w:val="-3"/>
          <w:w w:val="95"/>
        </w:rPr>
        <w:t>）</w:t>
      </w:r>
      <w:r>
        <w:rPr>
          <w:spacing w:val="-1"/>
          <w:w w:val="95"/>
        </w:rPr>
        <w:t>在原楼</w:t>
      </w:r>
      <w:r>
        <w:rPr>
          <w:w w:val="95"/>
        </w:rPr>
        <w:t>（屋</w:t>
      </w:r>
      <w:r>
        <w:rPr>
          <w:spacing w:val="-3"/>
          <w:w w:val="95"/>
        </w:rPr>
        <w:t>）</w:t>
      </w:r>
      <w:r>
        <w:rPr>
          <w:w w:val="95"/>
        </w:rPr>
        <w:t>面新增的架空层与原结构缺乏可靠 </w:t>
      </w:r>
      <w:r>
        <w:rPr/>
        <w:t>连接。</w:t>
      </w:r>
    </w:p>
    <w:p>
      <w:pPr>
        <w:pStyle w:val="BodyText"/>
        <w:spacing w:before="1"/>
        <w:ind w:left="1140"/>
      </w:pPr>
      <w:r>
        <w:rPr>
          <w:rFonts w:ascii="黑体" w:eastAsia="黑体" w:hint="eastAsia"/>
        </w:rPr>
        <w:t>第二十六条 </w:t>
      </w:r>
      <w:r>
        <w:rPr/>
        <w:t>改扩建的城乡居民自建房，存在以下情形</w:t>
      </w:r>
    </w:p>
    <w:p>
      <w:pPr>
        <w:spacing w:after="0"/>
        <w:sectPr>
          <w:pgSz w:w="11910" w:h="16840"/>
          <w:pgMar w:header="0" w:footer="1000" w:top="1520" w:bottom="1180" w:left="1300" w:right="1380"/>
        </w:sectPr>
      </w:pPr>
    </w:p>
    <w:p>
      <w:pPr>
        <w:pStyle w:val="BodyText"/>
        <w:spacing w:before="32"/>
        <w:ind w:left="454" w:right="2599"/>
        <w:jc w:val="center"/>
      </w:pPr>
      <w:bookmarkStart w:name="公路水运工程建设重大事故隐患" w:id="20"/>
      <w:bookmarkEnd w:id="20"/>
      <w:r>
        <w:rPr/>
      </w:r>
      <w:r>
        <w:rPr/>
        <w:t>之一时，应初步判定为存在一定安全隐患：</w:t>
      </w:r>
    </w:p>
    <w:p>
      <w:pPr>
        <w:pStyle w:val="BodyText"/>
        <w:spacing w:before="149"/>
        <w:ind w:left="454" w:right="2596"/>
        <w:jc w:val="center"/>
      </w:pPr>
      <w:r>
        <w:rPr/>
        <w:t>（一）在原楼面上增设轻质隔墙；</w:t>
      </w:r>
    </w:p>
    <w:p>
      <w:pPr>
        <w:pStyle w:val="BodyText"/>
        <w:spacing w:line="328" w:lineRule="auto" w:before="149"/>
        <w:ind w:right="417" w:firstLine="640"/>
        <w:jc w:val="both"/>
      </w:pPr>
      <w:r>
        <w:rPr>
          <w:w w:val="95"/>
        </w:rPr>
        <w:t>（二</w:t>
      </w:r>
      <w:r>
        <w:rPr>
          <w:spacing w:val="-5"/>
          <w:w w:val="95"/>
        </w:rPr>
        <w:t>）</w:t>
      </w:r>
      <w:r>
        <w:rPr>
          <w:spacing w:val="-1"/>
          <w:w w:val="95"/>
        </w:rPr>
        <w:t>擅自拆改主体承重结构、更改承重墙体洞口尺寸 </w:t>
      </w:r>
      <w:r>
        <w:rPr>
          <w:spacing w:val="6"/>
          <w:w w:val="95"/>
        </w:rPr>
        <w:t>及位置、加层</w:t>
      </w:r>
      <w:r>
        <w:rPr>
          <w:spacing w:val="5"/>
          <w:w w:val="95"/>
        </w:rPr>
        <w:t>（</w:t>
      </w:r>
      <w:r>
        <w:rPr>
          <w:spacing w:val="6"/>
          <w:w w:val="95"/>
        </w:rPr>
        <w:t>含夹层</w:t>
      </w:r>
      <w:r>
        <w:rPr>
          <w:spacing w:val="-151"/>
          <w:w w:val="95"/>
        </w:rPr>
        <w:t>）</w:t>
      </w:r>
      <w:r>
        <w:rPr>
          <w:spacing w:val="3"/>
          <w:w w:val="95"/>
        </w:rPr>
        <w:t>、扩建、开挖地下空间等，但未见 </w:t>
      </w:r>
      <w:r>
        <w:rPr/>
        <w:t>明显开裂、变形时；</w:t>
      </w:r>
    </w:p>
    <w:p>
      <w:pPr>
        <w:pStyle w:val="BodyText"/>
        <w:spacing w:line="328" w:lineRule="auto"/>
        <w:ind w:right="420" w:firstLine="640"/>
      </w:pPr>
      <w:r>
        <w:rPr/>
        <w:t>（三</w:t>
      </w:r>
      <w:r>
        <w:rPr>
          <w:spacing w:val="-12"/>
        </w:rPr>
        <w:t>）</w:t>
      </w:r>
      <w:r>
        <w:rPr>
          <w:spacing w:val="-1"/>
        </w:rPr>
        <w:t>屋面增设堆载或其他原因使屋面荷载增加较大但</w:t>
      </w:r>
      <w:r>
        <w:rPr/>
        <w:t>未见明显开裂和变形时。</w:t>
      </w:r>
    </w:p>
    <w:p>
      <w:pPr>
        <w:pStyle w:val="BodyText"/>
        <w:spacing w:line="328" w:lineRule="auto"/>
        <w:ind w:right="417" w:firstLine="640"/>
        <w:jc w:val="both"/>
      </w:pPr>
      <w:r>
        <w:rPr>
          <w:rFonts w:ascii="黑体" w:eastAsia="黑体" w:hint="eastAsia"/>
          <w:spacing w:val="2"/>
        </w:rPr>
        <w:t>第二十七条 </w:t>
      </w:r>
      <w:r>
        <w:rPr>
          <w:spacing w:val="6"/>
        </w:rPr>
        <w:t>按本要点尚不能判定为严重安全隐患或一</w:t>
      </w:r>
      <w:r>
        <w:rPr>
          <w:spacing w:val="-1"/>
        </w:rPr>
        <w:t>定安全隐患，但排查中发现结构存在异常情况的，可初步判定为存在一定安全隐患。</w:t>
      </w:r>
    </w:p>
    <w:p>
      <w:pPr>
        <w:pStyle w:val="BodyText"/>
        <w:spacing w:line="326" w:lineRule="auto"/>
        <w:ind w:right="417" w:firstLine="640"/>
        <w:jc w:val="both"/>
      </w:pPr>
      <w:r>
        <w:rPr>
          <w:rFonts w:ascii="黑体" w:eastAsia="黑体" w:hint="eastAsia"/>
        </w:rPr>
        <w:t>第二十八条 </w:t>
      </w:r>
      <w:r>
        <w:rPr/>
        <w:t>经排查判定不存在严重安全隐患和一定安全隐患情形的，可初步判定为未发现安全隐患。</w:t>
      </w:r>
    </w:p>
    <w:p>
      <w:pPr>
        <w:spacing w:after="0" w:line="326" w:lineRule="auto"/>
        <w:jc w:val="both"/>
        <w:sectPr>
          <w:pgSz w:w="11910" w:h="16840"/>
          <w:pgMar w:header="0" w:footer="1000" w:top="1520" w:bottom="1180" w:left="1300" w:right="1380"/>
        </w:sectPr>
      </w:pPr>
    </w:p>
    <w:p>
      <w:pPr>
        <w:pStyle w:val="BodyText"/>
        <w:ind w:left="0"/>
        <w:rPr>
          <w:sz w:val="20"/>
        </w:rPr>
      </w:pPr>
    </w:p>
    <w:p>
      <w:pPr>
        <w:pStyle w:val="BodyText"/>
        <w:ind w:left="0"/>
        <w:rPr>
          <w:sz w:val="25"/>
        </w:rPr>
      </w:pPr>
    </w:p>
    <w:p>
      <w:pPr>
        <w:pStyle w:val="Heading2"/>
      </w:pPr>
      <w:bookmarkStart w:name="_bookmark10" w:id="21"/>
      <w:bookmarkEnd w:id="21"/>
      <w:r>
        <w:rPr/>
      </w:r>
      <w:r>
        <w:rPr/>
        <w:t>公路水运工程建设重大事故隐患</w:t>
      </w:r>
    </w:p>
    <w:p>
      <w:pPr>
        <w:spacing w:before="228"/>
        <w:ind w:left="519" w:right="0" w:firstLine="0"/>
        <w:jc w:val="center"/>
        <w:rPr>
          <w:sz w:val="44"/>
        </w:rPr>
      </w:pPr>
      <w:bookmarkStart w:name="清单管理制度" w:id="22"/>
      <w:bookmarkEnd w:id="22"/>
      <w:r>
        <w:rPr/>
      </w:r>
      <w:bookmarkStart w:name="_bookmark11" w:id="23"/>
      <w:bookmarkEnd w:id="23"/>
      <w:r>
        <w:rPr/>
      </w:r>
      <w:r>
        <w:rPr>
          <w:sz w:val="44"/>
        </w:rPr>
        <w:t>清单管理制度</w:t>
      </w:r>
    </w:p>
    <w:p>
      <w:pPr>
        <w:spacing w:after="0"/>
        <w:jc w:val="center"/>
        <w:rPr>
          <w:sz w:val="44"/>
        </w:rPr>
        <w:sectPr>
          <w:pgSz w:w="11910" w:h="16840"/>
          <w:pgMar w:header="0" w:footer="1000" w:top="1580" w:bottom="1180" w:left="1300" w:right="1380"/>
        </w:sectPr>
      </w:pPr>
    </w:p>
    <w:p>
      <w:pPr>
        <w:pStyle w:val="BodyText"/>
        <w:ind w:left="0"/>
        <w:rPr>
          <w:sz w:val="20"/>
        </w:rPr>
      </w:pPr>
    </w:p>
    <w:p>
      <w:pPr>
        <w:pStyle w:val="BodyText"/>
        <w:ind w:left="0"/>
        <w:rPr>
          <w:sz w:val="20"/>
        </w:rPr>
      </w:pPr>
    </w:p>
    <w:p>
      <w:pPr>
        <w:pStyle w:val="BodyText"/>
        <w:spacing w:before="6"/>
        <w:ind w:left="0"/>
        <w:rPr>
          <w:sz w:val="19"/>
        </w:rPr>
      </w:pPr>
    </w:p>
    <w:p>
      <w:pPr>
        <w:pStyle w:val="BodyText"/>
        <w:spacing w:before="54"/>
        <w:ind w:left="361"/>
      </w:pPr>
      <w:r>
        <w:rPr>
          <w:rFonts w:ascii="黑体" w:eastAsia="黑体" w:hint="eastAsia"/>
        </w:rPr>
        <w:t>附件 </w:t>
      </w:r>
      <w:r>
        <w:rPr/>
        <w:t>1</w:t>
      </w:r>
    </w:p>
    <w:p>
      <w:pPr>
        <w:pStyle w:val="BodyText"/>
        <w:spacing w:before="9"/>
        <w:ind w:left="0"/>
        <w:rPr>
          <w:sz w:val="27"/>
        </w:rPr>
      </w:pPr>
    </w:p>
    <w:p>
      <w:pPr>
        <w:spacing w:before="67"/>
        <w:ind w:left="4549" w:right="4709" w:firstLine="0"/>
        <w:jc w:val="center"/>
        <w:rPr>
          <w:rFonts w:ascii="黑体" w:eastAsia="黑体" w:hint="eastAsia"/>
          <w:sz w:val="24"/>
        </w:rPr>
      </w:pPr>
      <w:r>
        <w:rPr/>
        <w:pict>
          <v:shape style="position:absolute;margin-left:54.060001pt;margin-top:35.159985pt;width:731.1pt;height:322.4pt;mso-position-horizontal-relative:page;mso-position-vertical-relative:paragraph;z-index:251658240"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95"/>
                    <w:gridCol w:w="1290"/>
                    <w:gridCol w:w="1065"/>
                    <w:gridCol w:w="7227"/>
                    <w:gridCol w:w="1155"/>
                    <w:gridCol w:w="2775"/>
                  </w:tblGrid>
                  <w:tr>
                    <w:trPr>
                      <w:trHeight w:val="765" w:hRule="atLeast"/>
                    </w:trPr>
                    <w:tc>
                      <w:tcPr>
                        <w:tcW w:w="1095" w:type="dxa"/>
                      </w:tcPr>
                      <w:p>
                        <w:pPr>
                          <w:pStyle w:val="TableParagraph"/>
                          <w:spacing w:before="12"/>
                          <w:rPr>
                            <w:sz w:val="17"/>
                          </w:rPr>
                        </w:pPr>
                      </w:p>
                      <w:p>
                        <w:pPr>
                          <w:pStyle w:val="TableParagraph"/>
                          <w:ind w:left="65"/>
                          <w:rPr>
                            <w:rFonts w:ascii="黑体" w:eastAsia="黑体" w:hint="eastAsia"/>
                            <w:sz w:val="24"/>
                          </w:rPr>
                        </w:pPr>
                        <w:r>
                          <w:rPr>
                            <w:rFonts w:ascii="黑体" w:eastAsia="黑体" w:hint="eastAsia"/>
                            <w:sz w:val="24"/>
                          </w:rPr>
                          <w:t>工程类别</w:t>
                        </w:r>
                      </w:p>
                    </w:tc>
                    <w:tc>
                      <w:tcPr>
                        <w:tcW w:w="1290" w:type="dxa"/>
                      </w:tcPr>
                      <w:p>
                        <w:pPr>
                          <w:pStyle w:val="TableParagraph"/>
                          <w:spacing w:before="12"/>
                          <w:rPr>
                            <w:sz w:val="17"/>
                          </w:rPr>
                        </w:pPr>
                      </w:p>
                      <w:p>
                        <w:pPr>
                          <w:pStyle w:val="TableParagraph"/>
                          <w:ind w:left="143" w:right="136"/>
                          <w:jc w:val="center"/>
                          <w:rPr>
                            <w:rFonts w:ascii="黑体" w:eastAsia="黑体" w:hint="eastAsia"/>
                            <w:sz w:val="24"/>
                          </w:rPr>
                        </w:pPr>
                        <w:r>
                          <w:rPr>
                            <w:rFonts w:ascii="黑体" w:eastAsia="黑体" w:hint="eastAsia"/>
                            <w:sz w:val="24"/>
                          </w:rPr>
                          <w:t>施工环节</w:t>
                        </w:r>
                      </w:p>
                    </w:tc>
                    <w:tc>
                      <w:tcPr>
                        <w:tcW w:w="1065" w:type="dxa"/>
                      </w:tcPr>
                      <w:p>
                        <w:pPr>
                          <w:pStyle w:val="TableParagraph"/>
                          <w:spacing w:before="12"/>
                          <w:rPr>
                            <w:sz w:val="17"/>
                          </w:rPr>
                        </w:pPr>
                      </w:p>
                      <w:p>
                        <w:pPr>
                          <w:pStyle w:val="TableParagraph"/>
                          <w:ind w:left="31" w:right="23"/>
                          <w:jc w:val="center"/>
                          <w:rPr>
                            <w:rFonts w:ascii="黑体" w:eastAsia="黑体" w:hint="eastAsia"/>
                            <w:sz w:val="24"/>
                          </w:rPr>
                        </w:pPr>
                        <w:r>
                          <w:rPr>
                            <w:rFonts w:ascii="黑体" w:eastAsia="黑体" w:hint="eastAsia"/>
                            <w:sz w:val="24"/>
                          </w:rPr>
                          <w:t>隐患编号</w:t>
                        </w:r>
                      </w:p>
                    </w:tc>
                    <w:tc>
                      <w:tcPr>
                        <w:tcW w:w="7227" w:type="dxa"/>
                      </w:tcPr>
                      <w:p>
                        <w:pPr>
                          <w:pStyle w:val="TableParagraph"/>
                          <w:spacing w:before="12"/>
                          <w:rPr>
                            <w:sz w:val="17"/>
                          </w:rPr>
                        </w:pPr>
                      </w:p>
                      <w:p>
                        <w:pPr>
                          <w:pStyle w:val="TableParagraph"/>
                          <w:ind w:left="3111" w:right="3105"/>
                          <w:jc w:val="center"/>
                          <w:rPr>
                            <w:rFonts w:ascii="黑体" w:eastAsia="黑体" w:hint="eastAsia"/>
                            <w:sz w:val="24"/>
                          </w:rPr>
                        </w:pPr>
                        <w:r>
                          <w:rPr>
                            <w:rFonts w:ascii="黑体" w:eastAsia="黑体" w:hint="eastAsia"/>
                            <w:sz w:val="24"/>
                          </w:rPr>
                          <w:t>隐患内容</w:t>
                        </w:r>
                      </w:p>
                    </w:tc>
                    <w:tc>
                      <w:tcPr>
                        <w:tcW w:w="1155" w:type="dxa"/>
                      </w:tcPr>
                      <w:p>
                        <w:pPr>
                          <w:pStyle w:val="TableParagraph"/>
                          <w:spacing w:line="242" w:lineRule="auto" w:before="74"/>
                          <w:ind w:left="97" w:right="85" w:firstLine="120"/>
                          <w:rPr>
                            <w:rFonts w:ascii="黑体" w:eastAsia="黑体" w:hint="eastAsia"/>
                            <w:sz w:val="24"/>
                          </w:rPr>
                        </w:pPr>
                        <w:r>
                          <w:rPr>
                            <w:rFonts w:ascii="黑体" w:eastAsia="黑体" w:hint="eastAsia"/>
                            <w:sz w:val="24"/>
                          </w:rPr>
                          <w:t>易引发事故类型</w:t>
                        </w:r>
                      </w:p>
                    </w:tc>
                    <w:tc>
                      <w:tcPr>
                        <w:tcW w:w="2775" w:type="dxa"/>
                      </w:tcPr>
                      <w:p>
                        <w:pPr>
                          <w:pStyle w:val="TableParagraph"/>
                          <w:spacing w:before="12"/>
                          <w:rPr>
                            <w:sz w:val="17"/>
                          </w:rPr>
                        </w:pPr>
                      </w:p>
                      <w:p>
                        <w:pPr>
                          <w:pStyle w:val="TableParagraph"/>
                          <w:ind w:left="905"/>
                          <w:rPr>
                            <w:rFonts w:ascii="黑体" w:eastAsia="黑体" w:hint="eastAsia"/>
                            <w:sz w:val="24"/>
                          </w:rPr>
                        </w:pPr>
                        <w:r>
                          <w:rPr>
                            <w:rFonts w:ascii="黑体" w:eastAsia="黑体" w:hint="eastAsia"/>
                            <w:sz w:val="24"/>
                          </w:rPr>
                          <w:t>判定依据</w:t>
                        </w:r>
                      </w:p>
                    </w:tc>
                  </w:tr>
                  <w:tr>
                    <w:trPr>
                      <w:trHeight w:val="966" w:hRule="atLeast"/>
                    </w:trPr>
                    <w:tc>
                      <w:tcPr>
                        <w:tcW w:w="1095" w:type="dxa"/>
                      </w:tcPr>
                      <w:p>
                        <w:pPr>
                          <w:pStyle w:val="TableParagraph"/>
                          <w:spacing w:before="9"/>
                          <w:rPr>
                            <w:sz w:val="25"/>
                          </w:rPr>
                        </w:pPr>
                      </w:p>
                      <w:p>
                        <w:pPr>
                          <w:pStyle w:val="TableParagraph"/>
                          <w:ind w:left="65"/>
                          <w:rPr>
                            <w:sz w:val="24"/>
                          </w:rPr>
                        </w:pPr>
                        <w:r>
                          <w:rPr>
                            <w:sz w:val="24"/>
                          </w:rPr>
                          <w:t>工程管理</w:t>
                        </w:r>
                      </w:p>
                    </w:tc>
                    <w:tc>
                      <w:tcPr>
                        <w:tcW w:w="1290" w:type="dxa"/>
                      </w:tcPr>
                      <w:p>
                        <w:pPr>
                          <w:pStyle w:val="TableParagraph"/>
                          <w:spacing w:before="9"/>
                          <w:rPr>
                            <w:sz w:val="25"/>
                          </w:rPr>
                        </w:pPr>
                      </w:p>
                      <w:p>
                        <w:pPr>
                          <w:pStyle w:val="TableParagraph"/>
                          <w:ind w:left="143" w:right="136"/>
                          <w:jc w:val="center"/>
                          <w:rPr>
                            <w:sz w:val="24"/>
                          </w:rPr>
                        </w:pPr>
                        <w:r>
                          <w:rPr>
                            <w:sz w:val="24"/>
                          </w:rPr>
                          <w:t>方案管理</w:t>
                        </w:r>
                      </w:p>
                    </w:tc>
                    <w:tc>
                      <w:tcPr>
                        <w:tcW w:w="1065" w:type="dxa"/>
                      </w:tcPr>
                      <w:p>
                        <w:pPr>
                          <w:pStyle w:val="TableParagraph"/>
                          <w:spacing w:before="9"/>
                          <w:rPr>
                            <w:sz w:val="25"/>
                          </w:rPr>
                        </w:pPr>
                      </w:p>
                      <w:p>
                        <w:pPr>
                          <w:pStyle w:val="TableParagraph"/>
                          <w:ind w:left="31" w:right="23"/>
                          <w:jc w:val="center"/>
                          <w:rPr>
                            <w:sz w:val="24"/>
                          </w:rPr>
                        </w:pPr>
                        <w:r>
                          <w:rPr>
                            <w:sz w:val="24"/>
                          </w:rPr>
                          <w:t>GG-001</w:t>
                        </w:r>
                      </w:p>
                    </w:tc>
                    <w:tc>
                      <w:tcPr>
                        <w:tcW w:w="7227" w:type="dxa"/>
                      </w:tcPr>
                      <w:p>
                        <w:pPr>
                          <w:pStyle w:val="TableParagraph"/>
                          <w:spacing w:line="310" w:lineRule="atLeast" w:before="15"/>
                          <w:ind w:left="14" w:right="3"/>
                          <w:jc w:val="both"/>
                          <w:rPr>
                            <w:sz w:val="24"/>
                          </w:rPr>
                        </w:pPr>
                        <w:r>
                          <w:rPr>
                            <w:sz w:val="24"/>
                          </w:rPr>
                          <w:t>未按规定编制或未按程序审批危险性较大工程或新工艺、新工法的专项施工方案；超过一定规模的危险性较大工程的专项施工方案未组织专家论证、审查；未按审批的专项施工方案施工</w:t>
                        </w:r>
                      </w:p>
                    </w:tc>
                    <w:tc>
                      <w:tcPr>
                        <w:tcW w:w="1155" w:type="dxa"/>
                      </w:tcPr>
                      <w:p>
                        <w:pPr>
                          <w:pStyle w:val="TableParagraph"/>
                          <w:spacing w:before="9"/>
                          <w:rPr>
                            <w:sz w:val="25"/>
                          </w:rPr>
                        </w:pPr>
                      </w:p>
                      <w:p>
                        <w:pPr>
                          <w:pStyle w:val="TableParagraph"/>
                          <w:ind w:left="197" w:right="187"/>
                          <w:jc w:val="center"/>
                          <w:rPr>
                            <w:sz w:val="24"/>
                          </w:rPr>
                        </w:pPr>
                        <w:r>
                          <w:rPr>
                            <w:sz w:val="24"/>
                          </w:rPr>
                          <w:t>坍塌等</w:t>
                        </w:r>
                      </w:p>
                    </w:tc>
                    <w:tc>
                      <w:tcPr>
                        <w:tcW w:w="2775" w:type="dxa"/>
                      </w:tcPr>
                      <w:p>
                        <w:pPr>
                          <w:pStyle w:val="TableParagraph"/>
                          <w:spacing w:before="9"/>
                          <w:rPr>
                            <w:sz w:val="25"/>
                          </w:rPr>
                        </w:pPr>
                      </w:p>
                      <w:p>
                        <w:pPr>
                          <w:pStyle w:val="TableParagraph"/>
                          <w:ind w:left="15"/>
                          <w:rPr>
                            <w:sz w:val="24"/>
                          </w:rPr>
                        </w:pPr>
                        <w:r>
                          <w:rPr>
                            <w:sz w:val="24"/>
                          </w:rPr>
                          <w:t>JTG F90-3.0.2</w:t>
                        </w:r>
                      </w:p>
                    </w:tc>
                  </w:tr>
                  <w:tr>
                    <w:trPr>
                      <w:trHeight w:val="654" w:hRule="atLeast"/>
                    </w:trPr>
                    <w:tc>
                      <w:tcPr>
                        <w:tcW w:w="1095" w:type="dxa"/>
                        <w:vMerge w:val="restart"/>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9"/>
                          <w:rPr>
                            <w:sz w:val="22"/>
                          </w:rPr>
                        </w:pPr>
                      </w:p>
                      <w:p>
                        <w:pPr>
                          <w:pStyle w:val="TableParagraph"/>
                          <w:ind w:left="65"/>
                          <w:rPr>
                            <w:sz w:val="24"/>
                          </w:rPr>
                        </w:pPr>
                        <w:r>
                          <w:rPr>
                            <w:sz w:val="24"/>
                          </w:rPr>
                          <w:t>辅助施工</w:t>
                        </w:r>
                      </w:p>
                    </w:tc>
                    <w:tc>
                      <w:tcPr>
                        <w:tcW w:w="1290" w:type="dxa"/>
                        <w:vMerge w:val="restart"/>
                      </w:tcPr>
                      <w:p>
                        <w:pPr>
                          <w:pStyle w:val="TableParagraph"/>
                          <w:spacing w:before="4"/>
                          <w:rPr>
                            <w:sz w:val="27"/>
                          </w:rPr>
                        </w:pPr>
                      </w:p>
                      <w:p>
                        <w:pPr>
                          <w:pStyle w:val="TableParagraph"/>
                          <w:ind w:left="163"/>
                          <w:rPr>
                            <w:sz w:val="24"/>
                          </w:rPr>
                        </w:pPr>
                        <w:r>
                          <w:rPr>
                            <w:sz w:val="24"/>
                          </w:rPr>
                          <w:t>工地建设</w:t>
                        </w:r>
                      </w:p>
                    </w:tc>
                    <w:tc>
                      <w:tcPr>
                        <w:tcW w:w="1065" w:type="dxa"/>
                      </w:tcPr>
                      <w:p>
                        <w:pPr>
                          <w:pStyle w:val="TableParagraph"/>
                          <w:spacing w:before="174"/>
                          <w:ind w:left="31" w:right="23"/>
                          <w:jc w:val="center"/>
                          <w:rPr>
                            <w:sz w:val="24"/>
                          </w:rPr>
                        </w:pPr>
                        <w:r>
                          <w:rPr>
                            <w:sz w:val="24"/>
                          </w:rPr>
                          <w:t>GF-001</w:t>
                        </w:r>
                      </w:p>
                    </w:tc>
                    <w:tc>
                      <w:tcPr>
                        <w:tcW w:w="7227" w:type="dxa"/>
                      </w:tcPr>
                      <w:p>
                        <w:pPr>
                          <w:pStyle w:val="TableParagraph"/>
                          <w:spacing w:line="310" w:lineRule="atLeast" w:before="16"/>
                          <w:ind w:left="14" w:right="3"/>
                          <w:rPr>
                            <w:sz w:val="24"/>
                          </w:rPr>
                        </w:pPr>
                        <w:r>
                          <w:rPr>
                            <w:sz w:val="24"/>
                          </w:rPr>
                          <w:t>施工驻地及场站设置在滑坡、塌方、泥石流、崩塌、落石、洪水、雪崩等危险区域</w:t>
                        </w:r>
                      </w:p>
                    </w:tc>
                    <w:tc>
                      <w:tcPr>
                        <w:tcW w:w="1155" w:type="dxa"/>
                      </w:tcPr>
                      <w:p>
                        <w:pPr>
                          <w:pStyle w:val="TableParagraph"/>
                          <w:spacing w:before="174"/>
                          <w:ind w:left="197" w:right="187"/>
                          <w:jc w:val="center"/>
                          <w:rPr>
                            <w:sz w:val="24"/>
                          </w:rPr>
                        </w:pPr>
                        <w:r>
                          <w:rPr>
                            <w:sz w:val="24"/>
                          </w:rPr>
                          <w:t>坍塌</w:t>
                        </w:r>
                      </w:p>
                    </w:tc>
                    <w:tc>
                      <w:tcPr>
                        <w:tcW w:w="2775" w:type="dxa"/>
                        <w:vMerge w:val="restart"/>
                      </w:tcPr>
                      <w:p>
                        <w:pPr>
                          <w:pStyle w:val="TableParagraph"/>
                          <w:spacing w:line="242" w:lineRule="auto" w:before="194"/>
                          <w:ind w:left="15" w:right="107"/>
                          <w:rPr>
                            <w:sz w:val="24"/>
                          </w:rPr>
                        </w:pPr>
                        <w:r>
                          <w:rPr>
                            <w:sz w:val="24"/>
                          </w:rPr>
                          <w:t>JTG F90-3.0.8、4.1.1、4.1.2、4.1.3、4.4</w:t>
                        </w:r>
                      </w:p>
                    </w:tc>
                  </w:tr>
                  <w:tr>
                    <w:trPr>
                      <w:trHeight w:val="341" w:hRule="atLeast"/>
                    </w:trPr>
                    <w:tc>
                      <w:tcPr>
                        <w:tcW w:w="1095" w:type="dxa"/>
                        <w:vMerge/>
                        <w:tcBorders>
                          <w:top w:val="nil"/>
                        </w:tcBorders>
                      </w:tcPr>
                      <w:p>
                        <w:pPr>
                          <w:rPr>
                            <w:sz w:val="2"/>
                            <w:szCs w:val="2"/>
                          </w:rPr>
                        </w:pPr>
                      </w:p>
                    </w:tc>
                    <w:tc>
                      <w:tcPr>
                        <w:tcW w:w="1290" w:type="dxa"/>
                        <w:vMerge/>
                        <w:tcBorders>
                          <w:top w:val="nil"/>
                        </w:tcBorders>
                      </w:tcPr>
                      <w:p>
                        <w:pPr>
                          <w:rPr>
                            <w:sz w:val="2"/>
                            <w:szCs w:val="2"/>
                          </w:rPr>
                        </w:pPr>
                      </w:p>
                    </w:tc>
                    <w:tc>
                      <w:tcPr>
                        <w:tcW w:w="1065" w:type="dxa"/>
                      </w:tcPr>
                      <w:p>
                        <w:pPr>
                          <w:pStyle w:val="TableParagraph"/>
                          <w:spacing w:line="305" w:lineRule="exact" w:before="17"/>
                          <w:ind w:left="31" w:right="23"/>
                          <w:jc w:val="center"/>
                          <w:rPr>
                            <w:sz w:val="24"/>
                          </w:rPr>
                        </w:pPr>
                        <w:r>
                          <w:rPr>
                            <w:sz w:val="24"/>
                          </w:rPr>
                          <w:t>GF-002</w:t>
                        </w:r>
                      </w:p>
                    </w:tc>
                    <w:tc>
                      <w:tcPr>
                        <w:tcW w:w="7227" w:type="dxa"/>
                      </w:tcPr>
                      <w:p>
                        <w:pPr>
                          <w:pStyle w:val="TableParagraph"/>
                          <w:spacing w:line="305" w:lineRule="exact" w:before="17"/>
                          <w:ind w:left="14"/>
                          <w:rPr>
                            <w:sz w:val="24"/>
                          </w:rPr>
                        </w:pPr>
                        <w:r>
                          <w:rPr>
                            <w:sz w:val="24"/>
                          </w:rPr>
                          <w:t>施工现场、生产区、生活区、办公区等防火或临时用电未按规范实施</w:t>
                        </w:r>
                      </w:p>
                    </w:tc>
                    <w:tc>
                      <w:tcPr>
                        <w:tcW w:w="1155" w:type="dxa"/>
                      </w:tcPr>
                      <w:p>
                        <w:pPr>
                          <w:pStyle w:val="TableParagraph"/>
                          <w:spacing w:line="305" w:lineRule="exact" w:before="17"/>
                          <w:ind w:left="197" w:right="187"/>
                          <w:jc w:val="center"/>
                          <w:rPr>
                            <w:sz w:val="24"/>
                          </w:rPr>
                        </w:pPr>
                        <w:r>
                          <w:rPr>
                            <w:sz w:val="24"/>
                          </w:rPr>
                          <w:t>火灾</w:t>
                        </w:r>
                      </w:p>
                    </w:tc>
                    <w:tc>
                      <w:tcPr>
                        <w:tcW w:w="2775" w:type="dxa"/>
                        <w:vMerge/>
                        <w:tcBorders>
                          <w:top w:val="nil"/>
                        </w:tcBorders>
                      </w:tcPr>
                      <w:p>
                        <w:pPr>
                          <w:rPr>
                            <w:sz w:val="2"/>
                            <w:szCs w:val="2"/>
                          </w:rPr>
                        </w:pPr>
                      </w:p>
                    </w:tc>
                  </w:tr>
                  <w:tr>
                    <w:trPr>
                      <w:trHeight w:val="653" w:hRule="atLeast"/>
                    </w:trPr>
                    <w:tc>
                      <w:tcPr>
                        <w:tcW w:w="1095" w:type="dxa"/>
                        <w:vMerge/>
                        <w:tcBorders>
                          <w:top w:val="nil"/>
                        </w:tcBorders>
                      </w:tcPr>
                      <w:p>
                        <w:pPr>
                          <w:rPr>
                            <w:sz w:val="2"/>
                            <w:szCs w:val="2"/>
                          </w:rPr>
                        </w:pPr>
                      </w:p>
                    </w:tc>
                    <w:tc>
                      <w:tcPr>
                        <w:tcW w:w="1290" w:type="dxa"/>
                        <w:vMerge w:val="restart"/>
                      </w:tcPr>
                      <w:p>
                        <w:pPr>
                          <w:pStyle w:val="TableParagraph"/>
                          <w:rPr>
                            <w:sz w:val="24"/>
                          </w:rPr>
                        </w:pPr>
                      </w:p>
                      <w:p>
                        <w:pPr>
                          <w:pStyle w:val="TableParagraph"/>
                          <w:spacing w:before="3"/>
                          <w:rPr>
                            <w:sz w:val="29"/>
                          </w:rPr>
                        </w:pPr>
                      </w:p>
                      <w:p>
                        <w:pPr>
                          <w:pStyle w:val="TableParagraph"/>
                          <w:ind w:left="163"/>
                          <w:rPr>
                            <w:sz w:val="24"/>
                          </w:rPr>
                        </w:pPr>
                        <w:r>
                          <w:rPr>
                            <w:sz w:val="24"/>
                          </w:rPr>
                          <w:t>围堰施工</w:t>
                        </w:r>
                      </w:p>
                    </w:tc>
                    <w:tc>
                      <w:tcPr>
                        <w:tcW w:w="1065" w:type="dxa"/>
                      </w:tcPr>
                      <w:p>
                        <w:pPr>
                          <w:pStyle w:val="TableParagraph"/>
                          <w:spacing w:before="174"/>
                          <w:ind w:left="31" w:right="23"/>
                          <w:jc w:val="center"/>
                          <w:rPr>
                            <w:sz w:val="24"/>
                          </w:rPr>
                        </w:pPr>
                        <w:r>
                          <w:rPr>
                            <w:sz w:val="24"/>
                          </w:rPr>
                          <w:t>GF-003</w:t>
                        </w:r>
                      </w:p>
                    </w:tc>
                    <w:tc>
                      <w:tcPr>
                        <w:tcW w:w="7227" w:type="dxa"/>
                      </w:tcPr>
                      <w:p>
                        <w:pPr>
                          <w:pStyle w:val="TableParagraph"/>
                          <w:spacing w:line="310" w:lineRule="atLeast" w:before="15"/>
                          <w:ind w:left="14" w:right="3"/>
                          <w:rPr>
                            <w:sz w:val="24"/>
                          </w:rPr>
                        </w:pPr>
                        <w:r>
                          <w:rPr>
                            <w:sz w:val="24"/>
                          </w:rPr>
                          <w:t>未按设计或方案要求施工围堰；未定期开展围堰监测监控，工况发生变化时未及时采取措施</w:t>
                        </w:r>
                      </w:p>
                    </w:tc>
                    <w:tc>
                      <w:tcPr>
                        <w:tcW w:w="1155" w:type="dxa"/>
                        <w:vMerge w:val="restart"/>
                      </w:tcPr>
                      <w:p>
                        <w:pPr>
                          <w:pStyle w:val="TableParagraph"/>
                          <w:rPr>
                            <w:sz w:val="24"/>
                          </w:rPr>
                        </w:pPr>
                      </w:p>
                      <w:p>
                        <w:pPr>
                          <w:pStyle w:val="TableParagraph"/>
                          <w:spacing w:before="3"/>
                          <w:rPr>
                            <w:sz w:val="29"/>
                          </w:rPr>
                        </w:pPr>
                      </w:p>
                      <w:p>
                        <w:pPr>
                          <w:pStyle w:val="TableParagraph"/>
                          <w:ind w:left="13"/>
                          <w:rPr>
                            <w:sz w:val="24"/>
                          </w:rPr>
                        </w:pPr>
                        <w:r>
                          <w:rPr>
                            <w:spacing w:val="-18"/>
                            <w:sz w:val="24"/>
                          </w:rPr>
                          <w:t>坍塌、淹溺</w:t>
                        </w:r>
                      </w:p>
                    </w:tc>
                    <w:tc>
                      <w:tcPr>
                        <w:tcW w:w="2775" w:type="dxa"/>
                        <w:vMerge w:val="restart"/>
                      </w:tcPr>
                      <w:p>
                        <w:pPr>
                          <w:pStyle w:val="TableParagraph"/>
                          <w:spacing w:line="242" w:lineRule="auto" w:before="214"/>
                          <w:ind w:left="15" w:right="88"/>
                          <w:rPr>
                            <w:sz w:val="24"/>
                          </w:rPr>
                        </w:pPr>
                        <w:r>
                          <w:rPr>
                            <w:sz w:val="24"/>
                          </w:rPr>
                          <w:t>JTG</w:t>
                        </w:r>
                        <w:r>
                          <w:rPr>
                            <w:spacing w:val="-77"/>
                            <w:sz w:val="24"/>
                          </w:rPr>
                          <w:t> </w:t>
                        </w:r>
                        <w:r>
                          <w:rPr>
                            <w:sz w:val="24"/>
                          </w:rPr>
                          <w:t>F90-（5.8.22</w:t>
                        </w:r>
                        <w:r>
                          <w:rPr>
                            <w:spacing w:val="-20"/>
                            <w:sz w:val="24"/>
                          </w:rPr>
                          <w:t>、</w:t>
                        </w:r>
                        <w:r>
                          <w:rPr>
                            <w:spacing w:val="-4"/>
                            <w:sz w:val="24"/>
                          </w:rPr>
                          <w:t>8.7） </w:t>
                        </w:r>
                        <w:r>
                          <w:rPr>
                            <w:sz w:val="24"/>
                          </w:rPr>
                          <w:t>JTG/T F50-（12.2.1、12.2.2、 13.3.4、</w:t>
                        </w:r>
                      </w:p>
                      <w:p>
                        <w:pPr>
                          <w:pStyle w:val="TableParagraph"/>
                          <w:spacing w:before="5"/>
                          <w:ind w:left="15"/>
                          <w:rPr>
                            <w:sz w:val="24"/>
                          </w:rPr>
                        </w:pPr>
                        <w:r>
                          <w:rPr>
                            <w:sz w:val="24"/>
                          </w:rPr>
                          <w:t>13.3.8）；77 号文件</w:t>
                        </w:r>
                      </w:p>
                    </w:tc>
                  </w:tr>
                  <w:tr>
                    <w:trPr>
                      <w:trHeight w:val="342" w:hRule="atLeast"/>
                    </w:trPr>
                    <w:tc>
                      <w:tcPr>
                        <w:tcW w:w="1095" w:type="dxa"/>
                        <w:vMerge/>
                        <w:tcBorders>
                          <w:top w:val="nil"/>
                        </w:tcBorders>
                      </w:tcPr>
                      <w:p>
                        <w:pPr>
                          <w:rPr>
                            <w:sz w:val="2"/>
                            <w:szCs w:val="2"/>
                          </w:rPr>
                        </w:pPr>
                      </w:p>
                    </w:tc>
                    <w:tc>
                      <w:tcPr>
                        <w:tcW w:w="1290" w:type="dxa"/>
                        <w:vMerge/>
                        <w:tcBorders>
                          <w:top w:val="nil"/>
                        </w:tcBorders>
                      </w:tcPr>
                      <w:p>
                        <w:pPr>
                          <w:rPr>
                            <w:sz w:val="2"/>
                            <w:szCs w:val="2"/>
                          </w:rPr>
                        </w:pPr>
                      </w:p>
                    </w:tc>
                    <w:tc>
                      <w:tcPr>
                        <w:tcW w:w="1065" w:type="dxa"/>
                      </w:tcPr>
                      <w:p>
                        <w:pPr>
                          <w:pStyle w:val="TableParagraph"/>
                          <w:spacing w:line="303" w:lineRule="exact" w:before="18"/>
                          <w:ind w:left="31" w:right="23"/>
                          <w:jc w:val="center"/>
                          <w:rPr>
                            <w:sz w:val="24"/>
                          </w:rPr>
                        </w:pPr>
                        <w:r>
                          <w:rPr>
                            <w:sz w:val="24"/>
                          </w:rPr>
                          <w:t>GF-004</w:t>
                        </w:r>
                      </w:p>
                    </w:tc>
                    <w:tc>
                      <w:tcPr>
                        <w:tcW w:w="7227" w:type="dxa"/>
                      </w:tcPr>
                      <w:p>
                        <w:pPr>
                          <w:pStyle w:val="TableParagraph"/>
                          <w:spacing w:line="303" w:lineRule="exact" w:before="18"/>
                          <w:ind w:left="14"/>
                          <w:rPr>
                            <w:sz w:val="24"/>
                          </w:rPr>
                        </w:pPr>
                        <w:r>
                          <w:rPr>
                            <w:sz w:val="24"/>
                          </w:rPr>
                          <w:t>碰撞、随意拆除、擅自削弱围堰内部支撑杆件或在其上堆放重物</w:t>
                        </w:r>
                      </w:p>
                    </w:tc>
                    <w:tc>
                      <w:tcPr>
                        <w:tcW w:w="1155" w:type="dxa"/>
                        <w:vMerge/>
                        <w:tcBorders>
                          <w:top w:val="nil"/>
                        </w:tcBorders>
                      </w:tcPr>
                      <w:p>
                        <w:pPr>
                          <w:rPr>
                            <w:sz w:val="2"/>
                            <w:szCs w:val="2"/>
                          </w:rPr>
                        </w:pPr>
                      </w:p>
                    </w:tc>
                    <w:tc>
                      <w:tcPr>
                        <w:tcW w:w="2775" w:type="dxa"/>
                        <w:vMerge/>
                        <w:tcBorders>
                          <w:top w:val="nil"/>
                        </w:tcBorders>
                      </w:tcPr>
                      <w:p>
                        <w:pPr>
                          <w:rPr>
                            <w:sz w:val="2"/>
                            <w:szCs w:val="2"/>
                          </w:rPr>
                        </w:pPr>
                      </w:p>
                    </w:tc>
                  </w:tr>
                  <w:tr>
                    <w:trPr>
                      <w:trHeight w:val="653" w:hRule="atLeast"/>
                    </w:trPr>
                    <w:tc>
                      <w:tcPr>
                        <w:tcW w:w="1095" w:type="dxa"/>
                        <w:vMerge/>
                        <w:tcBorders>
                          <w:top w:val="nil"/>
                        </w:tcBorders>
                      </w:tcPr>
                      <w:p>
                        <w:pPr>
                          <w:rPr>
                            <w:sz w:val="2"/>
                            <w:szCs w:val="2"/>
                          </w:rPr>
                        </w:pPr>
                      </w:p>
                    </w:tc>
                    <w:tc>
                      <w:tcPr>
                        <w:tcW w:w="1290" w:type="dxa"/>
                        <w:vMerge/>
                        <w:tcBorders>
                          <w:top w:val="nil"/>
                        </w:tcBorders>
                      </w:tcPr>
                      <w:p>
                        <w:pPr>
                          <w:rPr>
                            <w:sz w:val="2"/>
                            <w:szCs w:val="2"/>
                          </w:rPr>
                        </w:pPr>
                      </w:p>
                    </w:tc>
                    <w:tc>
                      <w:tcPr>
                        <w:tcW w:w="1065" w:type="dxa"/>
                      </w:tcPr>
                      <w:p>
                        <w:pPr>
                          <w:pStyle w:val="TableParagraph"/>
                          <w:spacing w:before="173"/>
                          <w:ind w:left="31" w:right="23"/>
                          <w:jc w:val="center"/>
                          <w:rPr>
                            <w:sz w:val="24"/>
                          </w:rPr>
                        </w:pPr>
                        <w:r>
                          <w:rPr>
                            <w:sz w:val="24"/>
                          </w:rPr>
                          <w:t>GF-005</w:t>
                        </w:r>
                      </w:p>
                    </w:tc>
                    <w:tc>
                      <w:tcPr>
                        <w:tcW w:w="7227" w:type="dxa"/>
                      </w:tcPr>
                      <w:p>
                        <w:pPr>
                          <w:pStyle w:val="TableParagraph"/>
                          <w:spacing w:line="310" w:lineRule="atLeast" w:before="14"/>
                          <w:ind w:left="14" w:right="3"/>
                          <w:rPr>
                            <w:sz w:val="24"/>
                          </w:rPr>
                        </w:pPr>
                        <w:r>
                          <w:rPr>
                            <w:sz w:val="24"/>
                          </w:rPr>
                          <w:t>土石围堰无防排水和防汛措施；钢围堰无防撞措施；侧壁随意驻泊施工船舶</w:t>
                        </w:r>
                      </w:p>
                    </w:tc>
                    <w:tc>
                      <w:tcPr>
                        <w:tcW w:w="1155" w:type="dxa"/>
                        <w:vMerge/>
                        <w:tcBorders>
                          <w:top w:val="nil"/>
                        </w:tcBorders>
                      </w:tcPr>
                      <w:p>
                        <w:pPr>
                          <w:rPr>
                            <w:sz w:val="2"/>
                            <w:szCs w:val="2"/>
                          </w:rPr>
                        </w:pPr>
                      </w:p>
                    </w:tc>
                    <w:tc>
                      <w:tcPr>
                        <w:tcW w:w="2775" w:type="dxa"/>
                        <w:vMerge/>
                        <w:tcBorders>
                          <w:top w:val="nil"/>
                        </w:tcBorders>
                      </w:tcPr>
                      <w:p>
                        <w:pPr>
                          <w:rPr>
                            <w:sz w:val="2"/>
                            <w:szCs w:val="2"/>
                          </w:rPr>
                        </w:pPr>
                      </w:p>
                    </w:tc>
                  </w:tr>
                  <w:tr>
                    <w:trPr>
                      <w:trHeight w:val="653" w:hRule="atLeast"/>
                    </w:trPr>
                    <w:tc>
                      <w:tcPr>
                        <w:tcW w:w="1095" w:type="dxa"/>
                        <w:vMerge/>
                        <w:tcBorders>
                          <w:top w:val="nil"/>
                        </w:tcBorders>
                      </w:tcPr>
                      <w:p>
                        <w:pPr>
                          <w:rPr>
                            <w:sz w:val="2"/>
                            <w:szCs w:val="2"/>
                          </w:rPr>
                        </w:pPr>
                      </w:p>
                    </w:tc>
                    <w:tc>
                      <w:tcPr>
                        <w:tcW w:w="1290" w:type="dxa"/>
                      </w:tcPr>
                      <w:p>
                        <w:pPr>
                          <w:pStyle w:val="TableParagraph"/>
                          <w:spacing w:before="174"/>
                          <w:ind w:left="143" w:right="136"/>
                          <w:jc w:val="center"/>
                          <w:rPr>
                            <w:sz w:val="24"/>
                          </w:rPr>
                        </w:pPr>
                        <w:r>
                          <w:rPr>
                            <w:sz w:val="24"/>
                          </w:rPr>
                          <w:t>挂篮施工</w:t>
                        </w:r>
                      </w:p>
                    </w:tc>
                    <w:tc>
                      <w:tcPr>
                        <w:tcW w:w="1065" w:type="dxa"/>
                      </w:tcPr>
                      <w:p>
                        <w:pPr>
                          <w:pStyle w:val="TableParagraph"/>
                          <w:spacing w:before="174"/>
                          <w:ind w:left="31" w:right="23"/>
                          <w:jc w:val="center"/>
                          <w:rPr>
                            <w:sz w:val="24"/>
                          </w:rPr>
                        </w:pPr>
                        <w:r>
                          <w:rPr>
                            <w:sz w:val="24"/>
                          </w:rPr>
                          <w:t>GF-006</w:t>
                        </w:r>
                      </w:p>
                    </w:tc>
                    <w:tc>
                      <w:tcPr>
                        <w:tcW w:w="7227" w:type="dxa"/>
                      </w:tcPr>
                      <w:p>
                        <w:pPr>
                          <w:pStyle w:val="TableParagraph"/>
                          <w:spacing w:line="310" w:lineRule="atLeast" w:before="15"/>
                          <w:ind w:left="14" w:right="3"/>
                          <w:rPr>
                            <w:sz w:val="24"/>
                          </w:rPr>
                        </w:pPr>
                        <w:r>
                          <w:rPr>
                            <w:sz w:val="24"/>
                          </w:rPr>
                          <w:t>采用挂篮法施工未平衡浇筑；挂篮拼装后未预压、锚固不规范；混凝土强度未达到要求或恶劣天气移动挂篮；</w:t>
                        </w:r>
                      </w:p>
                    </w:tc>
                    <w:tc>
                      <w:tcPr>
                        <w:tcW w:w="1155" w:type="dxa"/>
                      </w:tcPr>
                      <w:p>
                        <w:pPr>
                          <w:pStyle w:val="TableParagraph"/>
                          <w:spacing w:before="174"/>
                          <w:ind w:left="197" w:right="187"/>
                          <w:jc w:val="center"/>
                          <w:rPr>
                            <w:sz w:val="24"/>
                          </w:rPr>
                        </w:pPr>
                        <w:r>
                          <w:rPr>
                            <w:sz w:val="24"/>
                          </w:rPr>
                          <w:t>坍塌</w:t>
                        </w:r>
                      </w:p>
                    </w:tc>
                    <w:tc>
                      <w:tcPr>
                        <w:tcW w:w="2775" w:type="dxa"/>
                      </w:tcPr>
                      <w:p>
                        <w:pPr>
                          <w:pStyle w:val="TableParagraph"/>
                          <w:spacing w:line="310" w:lineRule="atLeast" w:before="15"/>
                          <w:ind w:left="15" w:right="227"/>
                          <w:rPr>
                            <w:sz w:val="24"/>
                          </w:rPr>
                        </w:pPr>
                        <w:r>
                          <w:rPr>
                            <w:sz w:val="24"/>
                          </w:rPr>
                          <w:t>JTG F90-8.11.4；JTG/T F50-16.5.1、16.5.4</w:t>
                        </w:r>
                      </w:p>
                    </w:tc>
                  </w:tr>
                  <w:tr>
                    <w:trPr>
                      <w:trHeight w:val="966" w:hRule="atLeast"/>
                    </w:trPr>
                    <w:tc>
                      <w:tcPr>
                        <w:tcW w:w="1095" w:type="dxa"/>
                        <w:vMerge w:val="restart"/>
                        <w:tcBorders>
                          <w:bottom w:val="nil"/>
                        </w:tcBorders>
                      </w:tcPr>
                      <w:p>
                        <w:pPr>
                          <w:pStyle w:val="TableParagraph"/>
                          <w:rPr>
                            <w:sz w:val="24"/>
                          </w:rPr>
                        </w:pPr>
                      </w:p>
                      <w:p>
                        <w:pPr>
                          <w:pStyle w:val="TableParagraph"/>
                          <w:spacing w:before="198"/>
                          <w:ind w:left="65"/>
                          <w:rPr>
                            <w:sz w:val="24"/>
                          </w:rPr>
                        </w:pPr>
                        <w:r>
                          <w:rPr>
                            <w:sz w:val="24"/>
                          </w:rPr>
                          <w:t>通用作业</w:t>
                        </w:r>
                      </w:p>
                    </w:tc>
                    <w:tc>
                      <w:tcPr>
                        <w:tcW w:w="1290" w:type="dxa"/>
                      </w:tcPr>
                      <w:p>
                        <w:pPr>
                          <w:pStyle w:val="TableParagraph"/>
                          <w:spacing w:before="10"/>
                          <w:rPr>
                            <w:sz w:val="25"/>
                          </w:rPr>
                        </w:pPr>
                      </w:p>
                      <w:p>
                        <w:pPr>
                          <w:pStyle w:val="TableParagraph"/>
                          <w:ind w:left="143" w:right="136"/>
                          <w:jc w:val="center"/>
                          <w:rPr>
                            <w:sz w:val="24"/>
                          </w:rPr>
                        </w:pPr>
                        <w:r>
                          <w:rPr>
                            <w:sz w:val="24"/>
                          </w:rPr>
                          <w:t>模板作业</w:t>
                        </w:r>
                      </w:p>
                    </w:tc>
                    <w:tc>
                      <w:tcPr>
                        <w:tcW w:w="1065" w:type="dxa"/>
                      </w:tcPr>
                      <w:p>
                        <w:pPr>
                          <w:pStyle w:val="TableParagraph"/>
                          <w:spacing w:before="10"/>
                          <w:rPr>
                            <w:sz w:val="25"/>
                          </w:rPr>
                        </w:pPr>
                      </w:p>
                      <w:p>
                        <w:pPr>
                          <w:pStyle w:val="TableParagraph"/>
                          <w:ind w:left="31" w:right="23"/>
                          <w:jc w:val="center"/>
                          <w:rPr>
                            <w:sz w:val="24"/>
                          </w:rPr>
                        </w:pPr>
                        <w:r>
                          <w:rPr>
                            <w:sz w:val="24"/>
                          </w:rPr>
                          <w:t>GT-001</w:t>
                        </w:r>
                      </w:p>
                    </w:tc>
                    <w:tc>
                      <w:tcPr>
                        <w:tcW w:w="7227" w:type="dxa"/>
                      </w:tcPr>
                      <w:p>
                        <w:pPr>
                          <w:pStyle w:val="TableParagraph"/>
                          <w:spacing w:line="242" w:lineRule="auto" w:before="174"/>
                          <w:ind w:left="14" w:right="3"/>
                          <w:rPr>
                            <w:sz w:val="24"/>
                          </w:rPr>
                        </w:pPr>
                        <w:r>
                          <w:rPr>
                            <w:sz w:val="24"/>
                          </w:rPr>
                          <w:t>未按规范或方案要求安装或拆除模板（包括翻模、爬（滑）模、移动模架等）；各类模板使用的螺栓安装数量不足</w:t>
                        </w:r>
                      </w:p>
                    </w:tc>
                    <w:tc>
                      <w:tcPr>
                        <w:tcW w:w="1155" w:type="dxa"/>
                      </w:tcPr>
                      <w:p>
                        <w:pPr>
                          <w:pStyle w:val="TableParagraph"/>
                          <w:spacing w:before="10"/>
                          <w:rPr>
                            <w:sz w:val="25"/>
                          </w:rPr>
                        </w:pPr>
                      </w:p>
                      <w:p>
                        <w:pPr>
                          <w:pStyle w:val="TableParagraph"/>
                          <w:ind w:left="197" w:right="187"/>
                          <w:jc w:val="center"/>
                          <w:rPr>
                            <w:sz w:val="24"/>
                          </w:rPr>
                        </w:pPr>
                        <w:r>
                          <w:rPr>
                            <w:sz w:val="24"/>
                          </w:rPr>
                          <w:t>坍塌</w:t>
                        </w:r>
                      </w:p>
                    </w:tc>
                    <w:tc>
                      <w:tcPr>
                        <w:tcW w:w="2775" w:type="dxa"/>
                      </w:tcPr>
                      <w:p>
                        <w:pPr>
                          <w:pStyle w:val="TableParagraph"/>
                          <w:spacing w:line="310" w:lineRule="atLeast" w:before="16"/>
                          <w:ind w:left="15" w:right="107"/>
                          <w:jc w:val="both"/>
                          <w:rPr>
                            <w:sz w:val="24"/>
                          </w:rPr>
                        </w:pPr>
                        <w:r>
                          <w:rPr>
                            <w:sz w:val="24"/>
                          </w:rPr>
                          <w:t>JTG</w:t>
                        </w:r>
                        <w:r>
                          <w:rPr>
                            <w:spacing w:val="-60"/>
                            <w:sz w:val="24"/>
                          </w:rPr>
                          <w:t> </w:t>
                        </w:r>
                        <w:r>
                          <w:rPr>
                            <w:sz w:val="24"/>
                          </w:rPr>
                          <w:t>F90</w:t>
                        </w:r>
                        <w:r>
                          <w:rPr>
                            <w:spacing w:val="-99"/>
                            <w:sz w:val="24"/>
                          </w:rPr>
                          <w:t>-</w:t>
                        </w:r>
                        <w:r>
                          <w:rPr>
                            <w:sz w:val="24"/>
                          </w:rPr>
                          <w:t>（5.2.13</w:t>
                        </w:r>
                        <w:r>
                          <w:rPr>
                            <w:spacing w:val="-99"/>
                            <w:sz w:val="24"/>
                          </w:rPr>
                          <w:t>、</w:t>
                        </w:r>
                        <w:r>
                          <w:rPr>
                            <w:sz w:val="24"/>
                          </w:rPr>
                          <w:t>5.2.14 8.9.4</w:t>
                        </w:r>
                        <w:r>
                          <w:rPr>
                            <w:spacing w:val="-5"/>
                            <w:sz w:val="24"/>
                          </w:rPr>
                          <w:t>、</w:t>
                        </w:r>
                        <w:r>
                          <w:rPr>
                            <w:sz w:val="24"/>
                          </w:rPr>
                          <w:t>8.9.5</w:t>
                        </w:r>
                        <w:r>
                          <w:rPr>
                            <w:spacing w:val="-5"/>
                            <w:sz w:val="24"/>
                          </w:rPr>
                          <w:t>、</w:t>
                        </w:r>
                        <w:r>
                          <w:rPr>
                            <w:sz w:val="24"/>
                          </w:rPr>
                          <w:t>8.11.2） JTG/T F50-（5.3、</w:t>
                        </w:r>
                        <w:r>
                          <w:rPr>
                            <w:spacing w:val="-5"/>
                            <w:sz w:val="24"/>
                          </w:rPr>
                          <w:t>5.5）</w:t>
                        </w:r>
                      </w:p>
                    </w:tc>
                  </w:tr>
                  <w:tr>
                    <w:trPr>
                      <w:trHeight w:val="340" w:hRule="atLeast"/>
                    </w:trPr>
                    <w:tc>
                      <w:tcPr>
                        <w:tcW w:w="1095" w:type="dxa"/>
                        <w:vMerge/>
                        <w:tcBorders>
                          <w:top w:val="nil"/>
                          <w:bottom w:val="nil"/>
                        </w:tcBorders>
                      </w:tcPr>
                      <w:p>
                        <w:pPr>
                          <w:rPr>
                            <w:sz w:val="2"/>
                            <w:szCs w:val="2"/>
                          </w:rPr>
                        </w:pPr>
                      </w:p>
                    </w:tc>
                    <w:tc>
                      <w:tcPr>
                        <w:tcW w:w="1290" w:type="dxa"/>
                      </w:tcPr>
                      <w:p>
                        <w:pPr>
                          <w:pStyle w:val="TableParagraph"/>
                          <w:spacing w:line="303" w:lineRule="exact" w:before="17"/>
                          <w:ind w:left="143" w:right="136"/>
                          <w:jc w:val="center"/>
                          <w:rPr>
                            <w:sz w:val="24"/>
                          </w:rPr>
                        </w:pPr>
                        <w:r>
                          <w:rPr>
                            <w:sz w:val="24"/>
                          </w:rPr>
                          <w:t>支架作业</w:t>
                        </w:r>
                      </w:p>
                    </w:tc>
                    <w:tc>
                      <w:tcPr>
                        <w:tcW w:w="1065" w:type="dxa"/>
                      </w:tcPr>
                      <w:p>
                        <w:pPr>
                          <w:pStyle w:val="TableParagraph"/>
                          <w:spacing w:line="303" w:lineRule="exact" w:before="17"/>
                          <w:ind w:left="31" w:right="23"/>
                          <w:jc w:val="center"/>
                          <w:rPr>
                            <w:sz w:val="24"/>
                          </w:rPr>
                        </w:pPr>
                        <w:r>
                          <w:rPr>
                            <w:sz w:val="24"/>
                          </w:rPr>
                          <w:t>GT-002</w:t>
                        </w:r>
                      </w:p>
                    </w:tc>
                    <w:tc>
                      <w:tcPr>
                        <w:tcW w:w="7227" w:type="dxa"/>
                      </w:tcPr>
                      <w:p>
                        <w:pPr>
                          <w:pStyle w:val="TableParagraph"/>
                          <w:spacing w:line="303" w:lineRule="exact" w:before="17"/>
                          <w:ind w:left="14"/>
                          <w:rPr>
                            <w:sz w:val="24"/>
                          </w:rPr>
                        </w:pPr>
                        <w:r>
                          <w:rPr>
                            <w:sz w:val="24"/>
                          </w:rPr>
                          <w:t>未处置支架基础；支架未按规范或方案要求搭设、预压、验收</w:t>
                        </w:r>
                      </w:p>
                    </w:tc>
                    <w:tc>
                      <w:tcPr>
                        <w:tcW w:w="1155" w:type="dxa"/>
                        <w:tcBorders>
                          <w:bottom w:val="nil"/>
                        </w:tcBorders>
                      </w:tcPr>
                      <w:p>
                        <w:pPr>
                          <w:pStyle w:val="TableParagraph"/>
                          <w:spacing w:line="303" w:lineRule="exact" w:before="17"/>
                          <w:ind w:left="197" w:right="187"/>
                          <w:jc w:val="center"/>
                          <w:rPr>
                            <w:sz w:val="24"/>
                          </w:rPr>
                        </w:pPr>
                        <w:r>
                          <w:rPr>
                            <w:sz w:val="24"/>
                          </w:rPr>
                          <w:t>坍塌</w:t>
                        </w:r>
                      </w:p>
                    </w:tc>
                    <w:tc>
                      <w:tcPr>
                        <w:tcW w:w="2775" w:type="dxa"/>
                      </w:tcPr>
                      <w:p>
                        <w:pPr>
                          <w:pStyle w:val="TableParagraph"/>
                          <w:spacing w:line="303" w:lineRule="exact" w:before="17"/>
                          <w:ind w:left="15"/>
                          <w:rPr>
                            <w:sz w:val="24"/>
                          </w:rPr>
                        </w:pPr>
                        <w:r>
                          <w:rPr>
                            <w:sz w:val="24"/>
                          </w:rPr>
                          <w:t>JTG</w:t>
                        </w:r>
                        <w:r>
                          <w:rPr>
                            <w:spacing w:val="-60"/>
                            <w:sz w:val="24"/>
                          </w:rPr>
                          <w:t> </w:t>
                        </w:r>
                        <w:r>
                          <w:rPr>
                            <w:sz w:val="24"/>
                          </w:rPr>
                          <w:t>F90</w:t>
                        </w:r>
                        <w:r>
                          <w:rPr>
                            <w:spacing w:val="-77"/>
                            <w:sz w:val="24"/>
                          </w:rPr>
                          <w:t>-</w:t>
                        </w:r>
                        <w:r>
                          <w:rPr>
                            <w:sz w:val="24"/>
                          </w:rPr>
                          <w:t>（5.2.1～5.2.7</w:t>
                        </w:r>
                        <w:r>
                          <w:rPr>
                            <w:spacing w:val="-120"/>
                            <w:sz w:val="24"/>
                          </w:rPr>
                          <w:t>）</w:t>
                        </w:r>
                      </w:p>
                    </w:tc>
                  </w:tr>
                </w:tbl>
                <w:p>
                  <w:pPr>
                    <w:pStyle w:val="BodyText"/>
                    <w:ind w:left="0"/>
                  </w:pPr>
                </w:p>
              </w:txbxContent>
            </v:textbox>
            <w10:wrap type="none"/>
          </v:shape>
        </w:pict>
      </w:r>
      <w:r>
        <w:rPr>
          <w:rFonts w:ascii="黑体" w:eastAsia="黑体" w:hint="eastAsia"/>
          <w:sz w:val="24"/>
        </w:rPr>
        <w:t>公路工程重大事故隐患清单（行业基础版）</w:t>
      </w:r>
    </w:p>
    <w:p>
      <w:pPr>
        <w:pStyle w:val="BodyText"/>
        <w:ind w:left="0"/>
        <w:rPr>
          <w:rFonts w:ascii="黑体"/>
          <w:sz w:val="24"/>
        </w:rPr>
      </w:pPr>
    </w:p>
    <w:p>
      <w:pPr>
        <w:pStyle w:val="BodyText"/>
        <w:ind w:left="0"/>
        <w:rPr>
          <w:rFonts w:ascii="黑体"/>
          <w:sz w:val="24"/>
        </w:rPr>
      </w:pPr>
    </w:p>
    <w:p>
      <w:pPr>
        <w:pStyle w:val="BodyText"/>
        <w:ind w:left="0"/>
        <w:rPr>
          <w:rFonts w:ascii="黑体"/>
          <w:sz w:val="24"/>
        </w:rPr>
      </w:pPr>
    </w:p>
    <w:p>
      <w:pPr>
        <w:pStyle w:val="BodyText"/>
        <w:ind w:left="0"/>
        <w:rPr>
          <w:rFonts w:ascii="黑体"/>
          <w:sz w:val="24"/>
        </w:rPr>
      </w:pPr>
    </w:p>
    <w:p>
      <w:pPr>
        <w:pStyle w:val="BodyText"/>
        <w:ind w:left="0"/>
        <w:rPr>
          <w:rFonts w:ascii="黑体"/>
          <w:sz w:val="24"/>
        </w:rPr>
      </w:pPr>
    </w:p>
    <w:p>
      <w:pPr>
        <w:pStyle w:val="BodyText"/>
        <w:ind w:left="0"/>
        <w:rPr>
          <w:rFonts w:ascii="黑体"/>
          <w:sz w:val="24"/>
        </w:rPr>
      </w:pPr>
    </w:p>
    <w:p>
      <w:pPr>
        <w:pStyle w:val="BodyText"/>
        <w:ind w:left="0"/>
        <w:rPr>
          <w:rFonts w:ascii="黑体"/>
          <w:sz w:val="24"/>
        </w:rPr>
      </w:pPr>
    </w:p>
    <w:p>
      <w:pPr>
        <w:pStyle w:val="BodyText"/>
        <w:ind w:left="0"/>
        <w:rPr>
          <w:rFonts w:ascii="黑体"/>
          <w:sz w:val="24"/>
        </w:rPr>
      </w:pPr>
    </w:p>
    <w:p>
      <w:pPr>
        <w:pStyle w:val="BodyText"/>
        <w:ind w:left="0"/>
        <w:rPr>
          <w:rFonts w:ascii="黑体"/>
          <w:sz w:val="24"/>
        </w:rPr>
      </w:pPr>
    </w:p>
    <w:p>
      <w:pPr>
        <w:pStyle w:val="BodyText"/>
        <w:ind w:left="0"/>
        <w:rPr>
          <w:rFonts w:ascii="黑体"/>
          <w:sz w:val="24"/>
        </w:rPr>
      </w:pPr>
    </w:p>
    <w:p>
      <w:pPr>
        <w:pStyle w:val="BodyText"/>
        <w:spacing w:before="2"/>
        <w:ind w:left="0"/>
        <w:rPr>
          <w:rFonts w:ascii="黑体"/>
          <w:sz w:val="19"/>
        </w:rPr>
      </w:pPr>
    </w:p>
    <w:p>
      <w:pPr>
        <w:spacing w:before="0"/>
        <w:ind w:left="14833" w:right="0" w:firstLine="0"/>
        <w:jc w:val="left"/>
        <w:rPr>
          <w:sz w:val="24"/>
        </w:rPr>
      </w:pPr>
      <w:r>
        <w:rPr>
          <w:sz w:val="24"/>
        </w:rPr>
        <w:t>；</w:t>
      </w: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spacing w:before="9"/>
        <w:ind w:left="0"/>
        <w:rPr>
          <w:sz w:val="23"/>
        </w:rPr>
      </w:pPr>
    </w:p>
    <w:p>
      <w:pPr>
        <w:spacing w:before="0"/>
        <w:ind w:left="14816" w:right="0" w:firstLine="0"/>
        <w:jc w:val="left"/>
        <w:rPr>
          <w:sz w:val="24"/>
        </w:rPr>
      </w:pPr>
      <w:r>
        <w:rPr>
          <w:sz w:val="24"/>
        </w:rPr>
        <w:t>、</w:t>
      </w:r>
    </w:p>
    <w:p>
      <w:pPr>
        <w:spacing w:before="4"/>
        <w:ind w:left="14816" w:right="0" w:firstLine="0"/>
        <w:jc w:val="left"/>
        <w:rPr>
          <w:sz w:val="24"/>
        </w:rPr>
      </w:pPr>
      <w:r>
        <w:rPr>
          <w:sz w:val="24"/>
        </w:rPr>
        <w:t>；</w:t>
      </w:r>
    </w:p>
    <w:p>
      <w:pPr>
        <w:pStyle w:val="BodyText"/>
        <w:spacing w:before="9"/>
        <w:ind w:left="0"/>
        <w:rPr>
          <w:sz w:val="27"/>
        </w:rPr>
      </w:pPr>
    </w:p>
    <w:p>
      <w:pPr>
        <w:spacing w:before="0"/>
        <w:ind w:left="14816" w:right="0" w:firstLine="0"/>
        <w:jc w:val="left"/>
        <w:rPr>
          <w:sz w:val="24"/>
        </w:rPr>
      </w:pPr>
      <w:r>
        <w:rPr>
          <w:sz w:val="24"/>
        </w:rPr>
        <w:t>；</w:t>
      </w:r>
    </w:p>
    <w:p>
      <w:pPr>
        <w:spacing w:after="0"/>
        <w:jc w:val="left"/>
        <w:rPr>
          <w:sz w:val="24"/>
        </w:rPr>
        <w:sectPr>
          <w:footerReference w:type="default" r:id="rId12"/>
          <w:pgSz w:w="16840" w:h="11910" w:orient="landscape"/>
          <w:pgMar w:footer="1000" w:header="0" w:top="1100" w:bottom="1180" w:left="740" w:right="640"/>
          <w:pgNumType w:start="64"/>
        </w:sectPr>
      </w:pPr>
    </w:p>
    <w:p>
      <w:pPr>
        <w:pStyle w:val="BodyText"/>
        <w:ind w:left="0"/>
        <w:rPr>
          <w:sz w:val="20"/>
        </w:rPr>
      </w:pPr>
    </w:p>
    <w:p>
      <w:pPr>
        <w:pStyle w:val="BodyText"/>
        <w:ind w:left="0"/>
        <w:rPr>
          <w:sz w:val="20"/>
        </w:rPr>
      </w:pPr>
    </w:p>
    <w:p>
      <w:pPr>
        <w:spacing w:after="0"/>
        <w:rPr>
          <w:sz w:val="20"/>
        </w:rPr>
        <w:sectPr>
          <w:pgSz w:w="16840" w:h="11910" w:orient="landscape"/>
          <w:pgMar w:header="0" w:footer="1000" w:top="1100" w:bottom="1180" w:left="740" w:right="640"/>
        </w:sectPr>
      </w:pPr>
    </w:p>
    <w:p>
      <w:pPr>
        <w:pStyle w:val="BodyText"/>
        <w:ind w:left="0"/>
        <w:rPr>
          <w:sz w:val="24"/>
        </w:rPr>
      </w:pPr>
    </w:p>
    <w:p>
      <w:pPr>
        <w:pStyle w:val="BodyText"/>
        <w:ind w:left="0"/>
        <w:rPr>
          <w:sz w:val="24"/>
        </w:rPr>
      </w:pPr>
    </w:p>
    <w:p>
      <w:pPr>
        <w:pStyle w:val="BodyText"/>
        <w:ind w:left="0"/>
        <w:rPr>
          <w:sz w:val="20"/>
        </w:rPr>
      </w:pPr>
    </w:p>
    <w:p>
      <w:pPr>
        <w:spacing w:line="242" w:lineRule="auto" w:before="0"/>
        <w:ind w:left="1604" w:right="0" w:firstLine="0"/>
        <w:jc w:val="left"/>
        <w:rPr>
          <w:sz w:val="24"/>
        </w:rPr>
      </w:pPr>
      <w:r>
        <w:rPr>
          <w:sz w:val="24"/>
        </w:rPr>
        <w:t>特种设备设施作业</w:t>
      </w:r>
    </w:p>
    <w:p>
      <w:pPr>
        <w:pStyle w:val="BodyText"/>
        <w:spacing w:before="7"/>
        <w:ind w:left="0"/>
        <w:rPr>
          <w:sz w:val="18"/>
        </w:rPr>
      </w:pPr>
      <w:r>
        <w:rPr/>
        <w:br w:type="column"/>
      </w:r>
      <w:r>
        <w:rPr>
          <w:sz w:val="18"/>
        </w:rPr>
      </w:r>
    </w:p>
    <w:p>
      <w:pPr>
        <w:spacing w:line="307" w:lineRule="auto" w:before="0"/>
        <w:ind w:left="298" w:right="0" w:firstLine="0"/>
        <w:jc w:val="both"/>
        <w:rPr>
          <w:sz w:val="24"/>
        </w:rPr>
      </w:pPr>
      <w:r>
        <w:rPr>
          <w:sz w:val="24"/>
        </w:rPr>
        <w:t>GT-003 GT-004 GT-005</w:t>
      </w:r>
    </w:p>
    <w:p>
      <w:pPr>
        <w:pStyle w:val="BodyText"/>
        <w:spacing w:before="7"/>
        <w:ind w:left="0"/>
        <w:rPr>
          <w:sz w:val="18"/>
        </w:rPr>
      </w:pPr>
      <w:r>
        <w:rPr/>
        <w:br w:type="column"/>
      </w:r>
      <w:r>
        <w:rPr>
          <w:sz w:val="18"/>
        </w:rPr>
      </w:r>
    </w:p>
    <w:p>
      <w:pPr>
        <w:spacing w:line="297" w:lineRule="auto" w:before="0"/>
        <w:ind w:left="147" w:right="0" w:firstLine="0"/>
        <w:jc w:val="left"/>
        <w:rPr>
          <w:sz w:val="24"/>
        </w:rPr>
      </w:pPr>
      <w:r>
        <w:rPr>
          <w:sz w:val="24"/>
        </w:rPr>
        <w:t>支架搭设使用无产品合格证、未经检验或检验不合格的管材、构件使用未经检验或验收不合格的起重机械</w:t>
      </w:r>
    </w:p>
    <w:p>
      <w:pPr>
        <w:spacing w:before="27"/>
        <w:ind w:left="147" w:right="0" w:firstLine="0"/>
        <w:jc w:val="left"/>
        <w:rPr>
          <w:sz w:val="24"/>
        </w:rPr>
      </w:pPr>
      <w:r>
        <w:rPr>
          <w:sz w:val="24"/>
        </w:rPr>
        <w:t>未按规范或方案要求安装拆除桥式、臂架式或缆索式等起重机械</w:t>
      </w:r>
    </w:p>
    <w:p>
      <w:pPr>
        <w:pStyle w:val="BodyText"/>
        <w:ind w:left="0"/>
        <w:rPr>
          <w:sz w:val="24"/>
        </w:rPr>
      </w:pPr>
      <w:r>
        <w:rPr/>
        <w:br w:type="column"/>
      </w:r>
      <w:r>
        <w:rPr>
          <w:sz w:val="24"/>
        </w:rPr>
      </w:r>
    </w:p>
    <w:p>
      <w:pPr>
        <w:pStyle w:val="BodyText"/>
        <w:ind w:left="0"/>
        <w:rPr>
          <w:sz w:val="24"/>
        </w:rPr>
      </w:pPr>
    </w:p>
    <w:p>
      <w:pPr>
        <w:pStyle w:val="BodyText"/>
        <w:spacing w:before="2"/>
        <w:ind w:left="0"/>
      </w:pPr>
    </w:p>
    <w:p>
      <w:pPr>
        <w:spacing w:before="0"/>
        <w:ind w:left="226" w:right="0" w:firstLine="0"/>
        <w:jc w:val="left"/>
        <w:rPr>
          <w:sz w:val="24"/>
        </w:rPr>
      </w:pPr>
      <w:r>
        <w:rPr>
          <w:sz w:val="24"/>
        </w:rPr>
        <w:t>起重伤害</w:t>
      </w:r>
    </w:p>
    <w:p>
      <w:pPr>
        <w:spacing w:before="209"/>
        <w:ind w:left="156" w:right="0" w:firstLine="0"/>
        <w:jc w:val="left"/>
        <w:rPr>
          <w:sz w:val="24"/>
        </w:rPr>
      </w:pPr>
      <w:r>
        <w:rPr/>
        <w:br w:type="column"/>
      </w:r>
      <w:r>
        <w:rPr>
          <w:sz w:val="24"/>
        </w:rPr>
        <w:t>JTG/T F50-（5.4、5.5）</w:t>
      </w:r>
    </w:p>
    <w:p>
      <w:pPr>
        <w:pStyle w:val="BodyText"/>
        <w:spacing w:before="8"/>
        <w:ind w:left="0"/>
        <w:rPr>
          <w:sz w:val="27"/>
        </w:rPr>
      </w:pPr>
    </w:p>
    <w:p>
      <w:pPr>
        <w:spacing w:line="242" w:lineRule="auto" w:before="1"/>
        <w:ind w:left="156" w:right="622" w:firstLine="0"/>
        <w:jc w:val="left"/>
        <w:rPr>
          <w:sz w:val="24"/>
        </w:rPr>
      </w:pPr>
      <w:r>
        <w:rPr/>
        <w:pict>
          <v:shape style="position:absolute;margin-left:108.824997pt;margin-top:27.249998pt;width:666.4pt;height:127.25pt;mso-position-horizontal-relative:page;mso-position-vertical-relative:paragraph;z-index:251660288"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92"/>
                    <w:gridCol w:w="1067"/>
                    <w:gridCol w:w="7231"/>
                    <w:gridCol w:w="1146"/>
                    <w:gridCol w:w="440"/>
                    <w:gridCol w:w="2150"/>
                  </w:tblGrid>
                  <w:tr>
                    <w:trPr>
                      <w:trHeight w:val="346" w:hRule="atLeast"/>
                    </w:trPr>
                    <w:tc>
                      <w:tcPr>
                        <w:tcW w:w="1292" w:type="dxa"/>
                      </w:tcPr>
                      <w:p>
                        <w:pPr>
                          <w:pStyle w:val="TableParagraph"/>
                          <w:rPr>
                            <w:rFonts w:ascii="Times New Roman"/>
                            <w:sz w:val="22"/>
                          </w:rPr>
                        </w:pPr>
                      </w:p>
                    </w:tc>
                    <w:tc>
                      <w:tcPr>
                        <w:tcW w:w="1067" w:type="dxa"/>
                        <w:tcBorders>
                          <w:top w:val="single" w:sz="4" w:space="0" w:color="000000"/>
                        </w:tcBorders>
                      </w:tcPr>
                      <w:p>
                        <w:pPr>
                          <w:pStyle w:val="TableParagraph"/>
                          <w:spacing w:before="17"/>
                          <w:ind w:right="170"/>
                          <w:jc w:val="right"/>
                          <w:rPr>
                            <w:sz w:val="24"/>
                          </w:rPr>
                        </w:pPr>
                        <w:r>
                          <w:rPr>
                            <w:sz w:val="24"/>
                          </w:rPr>
                          <w:t>GT-006</w:t>
                        </w:r>
                      </w:p>
                    </w:tc>
                    <w:tc>
                      <w:tcPr>
                        <w:tcW w:w="7231" w:type="dxa"/>
                        <w:tcBorders>
                          <w:top w:val="single" w:sz="4" w:space="0" w:color="000000"/>
                        </w:tcBorders>
                      </w:tcPr>
                      <w:p>
                        <w:pPr>
                          <w:pStyle w:val="TableParagraph"/>
                          <w:spacing w:before="17"/>
                          <w:ind w:left="14"/>
                          <w:rPr>
                            <w:sz w:val="24"/>
                          </w:rPr>
                        </w:pPr>
                        <w:r>
                          <w:rPr>
                            <w:sz w:val="24"/>
                          </w:rPr>
                          <w:t>使用吊车、塔吊等起重机械吊运人员</w:t>
                        </w:r>
                      </w:p>
                    </w:tc>
                    <w:tc>
                      <w:tcPr>
                        <w:tcW w:w="3736" w:type="dxa"/>
                        <w:gridSpan w:val="3"/>
                      </w:tcPr>
                      <w:p>
                        <w:pPr>
                          <w:pStyle w:val="TableParagraph"/>
                          <w:rPr>
                            <w:rFonts w:ascii="Times New Roman"/>
                            <w:sz w:val="22"/>
                          </w:rPr>
                        </w:pPr>
                      </w:p>
                    </w:tc>
                  </w:tr>
                  <w:tr>
                    <w:trPr>
                      <w:trHeight w:val="390" w:hRule="atLeast"/>
                    </w:trPr>
                    <w:tc>
                      <w:tcPr>
                        <w:tcW w:w="1292" w:type="dxa"/>
                      </w:tcPr>
                      <w:p>
                        <w:pPr>
                          <w:pStyle w:val="TableParagraph"/>
                          <w:spacing w:before="42"/>
                          <w:ind w:left="28" w:right="24"/>
                          <w:jc w:val="center"/>
                          <w:rPr>
                            <w:sz w:val="24"/>
                          </w:rPr>
                        </w:pPr>
                        <w:r>
                          <w:rPr>
                            <w:sz w:val="24"/>
                          </w:rPr>
                          <w:t>高边坡施工</w:t>
                        </w:r>
                      </w:p>
                    </w:tc>
                    <w:tc>
                      <w:tcPr>
                        <w:tcW w:w="1067" w:type="dxa"/>
                      </w:tcPr>
                      <w:p>
                        <w:pPr>
                          <w:pStyle w:val="TableParagraph"/>
                          <w:spacing w:before="42"/>
                          <w:ind w:right="170"/>
                          <w:jc w:val="right"/>
                          <w:rPr>
                            <w:sz w:val="24"/>
                          </w:rPr>
                        </w:pPr>
                        <w:r>
                          <w:rPr>
                            <w:sz w:val="24"/>
                          </w:rPr>
                          <w:t>GL-001</w:t>
                        </w:r>
                      </w:p>
                    </w:tc>
                    <w:tc>
                      <w:tcPr>
                        <w:tcW w:w="7231" w:type="dxa"/>
                      </w:tcPr>
                      <w:p>
                        <w:pPr>
                          <w:pStyle w:val="TableParagraph"/>
                          <w:spacing w:before="42"/>
                          <w:ind w:left="14"/>
                          <w:rPr>
                            <w:sz w:val="24"/>
                          </w:rPr>
                        </w:pPr>
                        <w:r>
                          <w:rPr>
                            <w:sz w:val="24"/>
                          </w:rPr>
                          <w:t>含岩堆、松散岩石或滑坡地段的高边坡开挖、排险、防护措施不足</w:t>
                        </w:r>
                      </w:p>
                    </w:tc>
                    <w:tc>
                      <w:tcPr>
                        <w:tcW w:w="1146" w:type="dxa"/>
                      </w:tcPr>
                      <w:p>
                        <w:pPr>
                          <w:pStyle w:val="TableParagraph"/>
                          <w:spacing w:before="42"/>
                          <w:ind w:left="314" w:right="312"/>
                          <w:jc w:val="center"/>
                          <w:rPr>
                            <w:sz w:val="24"/>
                          </w:rPr>
                        </w:pPr>
                        <w:r>
                          <w:rPr>
                            <w:sz w:val="24"/>
                          </w:rPr>
                          <w:t>坍塌</w:t>
                        </w:r>
                      </w:p>
                    </w:tc>
                    <w:tc>
                      <w:tcPr>
                        <w:tcW w:w="440" w:type="dxa"/>
                      </w:tcPr>
                      <w:p>
                        <w:pPr>
                          <w:pStyle w:val="TableParagraph"/>
                          <w:spacing w:before="42"/>
                          <w:ind w:left="2" w:right="37"/>
                          <w:jc w:val="center"/>
                          <w:rPr>
                            <w:sz w:val="24"/>
                          </w:rPr>
                        </w:pPr>
                        <w:r>
                          <w:rPr>
                            <w:sz w:val="24"/>
                          </w:rPr>
                          <w:t>JTG</w:t>
                        </w:r>
                      </w:p>
                    </w:tc>
                    <w:tc>
                      <w:tcPr>
                        <w:tcW w:w="2150" w:type="dxa"/>
                      </w:tcPr>
                      <w:p>
                        <w:pPr>
                          <w:pStyle w:val="TableParagraph"/>
                          <w:spacing w:before="42"/>
                          <w:ind w:left="61"/>
                          <w:rPr>
                            <w:sz w:val="24"/>
                          </w:rPr>
                        </w:pPr>
                        <w:r>
                          <w:rPr>
                            <w:sz w:val="24"/>
                          </w:rPr>
                          <w:t>F90-6.8.1、6.8.2</w:t>
                        </w:r>
                      </w:p>
                    </w:tc>
                  </w:tr>
                  <w:tr>
                    <w:trPr>
                      <w:trHeight w:val="442" w:hRule="atLeast"/>
                    </w:trPr>
                    <w:tc>
                      <w:tcPr>
                        <w:tcW w:w="1292" w:type="dxa"/>
                      </w:tcPr>
                      <w:p>
                        <w:pPr>
                          <w:pStyle w:val="TableParagraph"/>
                          <w:spacing w:before="67"/>
                          <w:ind w:left="28" w:right="24"/>
                          <w:jc w:val="center"/>
                          <w:rPr>
                            <w:sz w:val="24"/>
                          </w:rPr>
                        </w:pPr>
                        <w:r>
                          <w:rPr>
                            <w:sz w:val="24"/>
                          </w:rPr>
                          <w:t>爆破施工</w:t>
                        </w:r>
                      </w:p>
                    </w:tc>
                    <w:tc>
                      <w:tcPr>
                        <w:tcW w:w="1067" w:type="dxa"/>
                      </w:tcPr>
                      <w:p>
                        <w:pPr>
                          <w:pStyle w:val="TableParagraph"/>
                          <w:spacing w:before="67"/>
                          <w:ind w:right="170"/>
                          <w:jc w:val="right"/>
                          <w:rPr>
                            <w:sz w:val="24"/>
                          </w:rPr>
                        </w:pPr>
                        <w:r>
                          <w:rPr>
                            <w:sz w:val="24"/>
                          </w:rPr>
                          <w:t>GL-002</w:t>
                        </w:r>
                      </w:p>
                    </w:tc>
                    <w:tc>
                      <w:tcPr>
                        <w:tcW w:w="7231" w:type="dxa"/>
                      </w:tcPr>
                      <w:p>
                        <w:pPr>
                          <w:pStyle w:val="TableParagraph"/>
                          <w:spacing w:before="67"/>
                          <w:ind w:left="14"/>
                          <w:rPr>
                            <w:sz w:val="24"/>
                          </w:rPr>
                        </w:pPr>
                        <w:r>
                          <w:rPr>
                            <w:sz w:val="24"/>
                          </w:rPr>
                          <w:t>未设置警戒区；爆破后未排险立即施工</w:t>
                        </w:r>
                      </w:p>
                    </w:tc>
                    <w:tc>
                      <w:tcPr>
                        <w:tcW w:w="1146" w:type="dxa"/>
                      </w:tcPr>
                      <w:p>
                        <w:pPr>
                          <w:pStyle w:val="TableParagraph"/>
                          <w:spacing w:before="67"/>
                          <w:ind w:left="314" w:right="312"/>
                          <w:jc w:val="center"/>
                          <w:rPr>
                            <w:sz w:val="24"/>
                          </w:rPr>
                        </w:pPr>
                        <w:r>
                          <w:rPr>
                            <w:sz w:val="24"/>
                          </w:rPr>
                          <w:t>爆炸</w:t>
                        </w:r>
                      </w:p>
                    </w:tc>
                    <w:tc>
                      <w:tcPr>
                        <w:tcW w:w="440" w:type="dxa"/>
                      </w:tcPr>
                      <w:p>
                        <w:pPr>
                          <w:pStyle w:val="TableParagraph"/>
                          <w:spacing w:before="67"/>
                          <w:ind w:left="2" w:right="37"/>
                          <w:jc w:val="center"/>
                          <w:rPr>
                            <w:sz w:val="24"/>
                          </w:rPr>
                        </w:pPr>
                        <w:r>
                          <w:rPr>
                            <w:sz w:val="24"/>
                          </w:rPr>
                          <w:t>JTG</w:t>
                        </w:r>
                      </w:p>
                    </w:tc>
                    <w:tc>
                      <w:tcPr>
                        <w:tcW w:w="2150" w:type="dxa"/>
                      </w:tcPr>
                      <w:p>
                        <w:pPr>
                          <w:pStyle w:val="TableParagraph"/>
                          <w:spacing w:before="67"/>
                          <w:ind w:left="61"/>
                          <w:rPr>
                            <w:sz w:val="24"/>
                          </w:rPr>
                        </w:pPr>
                        <w:r>
                          <w:rPr>
                            <w:sz w:val="24"/>
                          </w:rPr>
                          <w:t>F90-5.10</w:t>
                        </w:r>
                      </w:p>
                    </w:tc>
                  </w:tr>
                  <w:tr>
                    <w:trPr>
                      <w:trHeight w:val="347" w:hRule="atLeast"/>
                    </w:trPr>
                    <w:tc>
                      <w:tcPr>
                        <w:tcW w:w="1292" w:type="dxa"/>
                        <w:tcBorders>
                          <w:bottom w:val="single" w:sz="4" w:space="0" w:color="000000"/>
                        </w:tcBorders>
                      </w:tcPr>
                      <w:p>
                        <w:pPr>
                          <w:pStyle w:val="TableParagraph"/>
                          <w:spacing w:line="303" w:lineRule="exact" w:before="24"/>
                          <w:ind w:left="28" w:right="24"/>
                          <w:jc w:val="center"/>
                          <w:rPr>
                            <w:sz w:val="24"/>
                          </w:rPr>
                        </w:pPr>
                        <w:r>
                          <w:rPr>
                            <w:sz w:val="24"/>
                          </w:rPr>
                          <w:t>深基坑施工</w:t>
                        </w:r>
                      </w:p>
                    </w:tc>
                    <w:tc>
                      <w:tcPr>
                        <w:tcW w:w="1067" w:type="dxa"/>
                        <w:tcBorders>
                          <w:bottom w:val="single" w:sz="4" w:space="0" w:color="000000"/>
                        </w:tcBorders>
                      </w:tcPr>
                      <w:p>
                        <w:pPr>
                          <w:pStyle w:val="TableParagraph"/>
                          <w:spacing w:line="303" w:lineRule="exact" w:before="24"/>
                          <w:ind w:right="170"/>
                          <w:jc w:val="right"/>
                          <w:rPr>
                            <w:sz w:val="24"/>
                          </w:rPr>
                        </w:pPr>
                        <w:r>
                          <w:rPr>
                            <w:sz w:val="24"/>
                          </w:rPr>
                          <w:t>GQ-001</w:t>
                        </w:r>
                      </w:p>
                    </w:tc>
                    <w:tc>
                      <w:tcPr>
                        <w:tcW w:w="7231" w:type="dxa"/>
                        <w:tcBorders>
                          <w:bottom w:val="single" w:sz="4" w:space="0" w:color="000000"/>
                        </w:tcBorders>
                      </w:tcPr>
                      <w:p>
                        <w:pPr>
                          <w:pStyle w:val="TableParagraph"/>
                          <w:spacing w:line="303" w:lineRule="exact" w:before="24"/>
                          <w:ind w:left="14"/>
                          <w:rPr>
                            <w:sz w:val="24"/>
                          </w:rPr>
                        </w:pPr>
                        <w:r>
                          <w:rPr>
                            <w:sz w:val="24"/>
                          </w:rPr>
                          <w:t>深基坑施工防护措施不足</w:t>
                        </w:r>
                      </w:p>
                    </w:tc>
                    <w:tc>
                      <w:tcPr>
                        <w:tcW w:w="1146" w:type="dxa"/>
                      </w:tcPr>
                      <w:p>
                        <w:pPr>
                          <w:pStyle w:val="TableParagraph"/>
                          <w:rPr>
                            <w:rFonts w:ascii="Times New Roman"/>
                            <w:sz w:val="22"/>
                          </w:rPr>
                        </w:pPr>
                      </w:p>
                    </w:tc>
                    <w:tc>
                      <w:tcPr>
                        <w:tcW w:w="440" w:type="dxa"/>
                      </w:tcPr>
                      <w:p>
                        <w:pPr>
                          <w:pStyle w:val="TableParagraph"/>
                          <w:spacing w:line="303" w:lineRule="exact" w:before="24"/>
                          <w:ind w:left="2" w:right="37"/>
                          <w:jc w:val="center"/>
                          <w:rPr>
                            <w:sz w:val="24"/>
                          </w:rPr>
                        </w:pPr>
                        <w:r>
                          <w:rPr>
                            <w:sz w:val="24"/>
                          </w:rPr>
                          <w:t>JTG</w:t>
                        </w:r>
                      </w:p>
                    </w:tc>
                    <w:tc>
                      <w:tcPr>
                        <w:tcW w:w="2150" w:type="dxa"/>
                      </w:tcPr>
                      <w:p>
                        <w:pPr>
                          <w:pStyle w:val="TableParagraph"/>
                          <w:spacing w:line="303" w:lineRule="exact" w:before="24"/>
                          <w:ind w:left="61"/>
                          <w:rPr>
                            <w:sz w:val="24"/>
                          </w:rPr>
                        </w:pPr>
                        <w:r>
                          <w:rPr>
                            <w:sz w:val="24"/>
                          </w:rPr>
                          <w:t>F90-8.8.4</w:t>
                        </w:r>
                      </w:p>
                    </w:tc>
                  </w:tr>
                  <w:tr>
                    <w:trPr>
                      <w:trHeight w:val="350" w:hRule="atLeast"/>
                    </w:trPr>
                    <w:tc>
                      <w:tcPr>
                        <w:tcW w:w="1292" w:type="dxa"/>
                        <w:tcBorders>
                          <w:top w:val="single" w:sz="4" w:space="0" w:color="000000"/>
                          <w:bottom w:val="single" w:sz="4" w:space="0" w:color="000000"/>
                        </w:tcBorders>
                      </w:tcPr>
                      <w:p>
                        <w:pPr>
                          <w:pStyle w:val="TableParagraph"/>
                          <w:spacing w:before="22"/>
                          <w:ind w:left="28" w:right="24"/>
                          <w:jc w:val="center"/>
                          <w:rPr>
                            <w:sz w:val="24"/>
                          </w:rPr>
                        </w:pPr>
                        <w:r>
                          <w:rPr>
                            <w:sz w:val="24"/>
                          </w:rPr>
                          <w:t>墩柱施工</w:t>
                        </w:r>
                      </w:p>
                    </w:tc>
                    <w:tc>
                      <w:tcPr>
                        <w:tcW w:w="1067" w:type="dxa"/>
                        <w:tcBorders>
                          <w:top w:val="single" w:sz="4" w:space="0" w:color="000000"/>
                          <w:bottom w:val="single" w:sz="4" w:space="0" w:color="000000"/>
                        </w:tcBorders>
                      </w:tcPr>
                      <w:p>
                        <w:pPr>
                          <w:pStyle w:val="TableParagraph"/>
                          <w:spacing w:before="22"/>
                          <w:ind w:right="170"/>
                          <w:jc w:val="right"/>
                          <w:rPr>
                            <w:sz w:val="24"/>
                          </w:rPr>
                        </w:pPr>
                        <w:r>
                          <w:rPr>
                            <w:sz w:val="24"/>
                          </w:rPr>
                          <w:t>GQ-002</w:t>
                        </w:r>
                      </w:p>
                    </w:tc>
                    <w:tc>
                      <w:tcPr>
                        <w:tcW w:w="7231" w:type="dxa"/>
                        <w:tcBorders>
                          <w:top w:val="single" w:sz="4" w:space="0" w:color="000000"/>
                          <w:bottom w:val="single" w:sz="4" w:space="0" w:color="000000"/>
                        </w:tcBorders>
                      </w:tcPr>
                      <w:p>
                        <w:pPr>
                          <w:pStyle w:val="TableParagraph"/>
                          <w:spacing w:before="22"/>
                          <w:ind w:left="14"/>
                          <w:rPr>
                            <w:sz w:val="24"/>
                          </w:rPr>
                        </w:pPr>
                        <w:r>
                          <w:rPr>
                            <w:sz w:val="24"/>
                          </w:rPr>
                          <w:t>桥墩施工未搭设施工作业平台</w:t>
                        </w:r>
                      </w:p>
                    </w:tc>
                    <w:tc>
                      <w:tcPr>
                        <w:tcW w:w="1146" w:type="dxa"/>
                      </w:tcPr>
                      <w:p>
                        <w:pPr>
                          <w:pStyle w:val="TableParagraph"/>
                          <w:rPr>
                            <w:rFonts w:ascii="Times New Roman"/>
                            <w:sz w:val="22"/>
                          </w:rPr>
                        </w:pPr>
                      </w:p>
                    </w:tc>
                    <w:tc>
                      <w:tcPr>
                        <w:tcW w:w="440" w:type="dxa"/>
                      </w:tcPr>
                      <w:p>
                        <w:pPr>
                          <w:pStyle w:val="TableParagraph"/>
                          <w:spacing w:before="22"/>
                          <w:ind w:left="2" w:right="37"/>
                          <w:jc w:val="center"/>
                          <w:rPr>
                            <w:sz w:val="24"/>
                          </w:rPr>
                        </w:pPr>
                        <w:r>
                          <w:rPr>
                            <w:sz w:val="24"/>
                          </w:rPr>
                          <w:t>JTG</w:t>
                        </w:r>
                      </w:p>
                    </w:tc>
                    <w:tc>
                      <w:tcPr>
                        <w:tcW w:w="2150" w:type="dxa"/>
                      </w:tcPr>
                      <w:p>
                        <w:pPr>
                          <w:pStyle w:val="TableParagraph"/>
                          <w:spacing w:before="22"/>
                          <w:ind w:left="61"/>
                          <w:rPr>
                            <w:sz w:val="24"/>
                          </w:rPr>
                        </w:pPr>
                        <w:r>
                          <w:rPr>
                            <w:sz w:val="24"/>
                          </w:rPr>
                          <w:t>F90-8.9.2</w:t>
                        </w:r>
                      </w:p>
                    </w:tc>
                  </w:tr>
                  <w:tr>
                    <w:trPr>
                      <w:trHeight w:val="341" w:hRule="atLeast"/>
                    </w:trPr>
                    <w:tc>
                      <w:tcPr>
                        <w:tcW w:w="1292" w:type="dxa"/>
                        <w:tcBorders>
                          <w:top w:val="single" w:sz="4" w:space="0" w:color="000000"/>
                          <w:bottom w:val="single" w:sz="4" w:space="0" w:color="000000"/>
                        </w:tcBorders>
                      </w:tcPr>
                      <w:p>
                        <w:pPr>
                          <w:pStyle w:val="TableParagraph"/>
                          <w:spacing w:line="305" w:lineRule="exact" w:before="17"/>
                          <w:ind w:left="28" w:right="24"/>
                          <w:jc w:val="center"/>
                          <w:rPr>
                            <w:sz w:val="24"/>
                          </w:rPr>
                        </w:pPr>
                        <w:r>
                          <w:rPr>
                            <w:sz w:val="24"/>
                          </w:rPr>
                          <w:t>梁板施工</w:t>
                        </w:r>
                      </w:p>
                    </w:tc>
                    <w:tc>
                      <w:tcPr>
                        <w:tcW w:w="1067" w:type="dxa"/>
                        <w:tcBorders>
                          <w:top w:val="single" w:sz="4" w:space="0" w:color="000000"/>
                          <w:bottom w:val="single" w:sz="4" w:space="0" w:color="000000"/>
                        </w:tcBorders>
                      </w:tcPr>
                      <w:p>
                        <w:pPr>
                          <w:pStyle w:val="TableParagraph"/>
                          <w:spacing w:line="305" w:lineRule="exact" w:before="17"/>
                          <w:ind w:right="170"/>
                          <w:jc w:val="right"/>
                          <w:rPr>
                            <w:sz w:val="24"/>
                          </w:rPr>
                        </w:pPr>
                        <w:r>
                          <w:rPr>
                            <w:sz w:val="24"/>
                          </w:rPr>
                          <w:t>GQ-003</w:t>
                        </w:r>
                      </w:p>
                    </w:tc>
                    <w:tc>
                      <w:tcPr>
                        <w:tcW w:w="7231" w:type="dxa"/>
                        <w:tcBorders>
                          <w:top w:val="single" w:sz="4" w:space="0" w:color="000000"/>
                          <w:bottom w:val="single" w:sz="4" w:space="0" w:color="000000"/>
                        </w:tcBorders>
                      </w:tcPr>
                      <w:p>
                        <w:pPr>
                          <w:pStyle w:val="TableParagraph"/>
                          <w:spacing w:line="305" w:lineRule="exact" w:before="17"/>
                          <w:ind w:left="14"/>
                          <w:rPr>
                            <w:sz w:val="24"/>
                          </w:rPr>
                        </w:pPr>
                        <w:r>
                          <w:rPr>
                            <w:sz w:val="24"/>
                          </w:rPr>
                          <w:t>梁板安装未采取防倾覆措施</w:t>
                        </w:r>
                      </w:p>
                    </w:tc>
                    <w:tc>
                      <w:tcPr>
                        <w:tcW w:w="1146" w:type="dxa"/>
                      </w:tcPr>
                      <w:p>
                        <w:pPr>
                          <w:pStyle w:val="TableParagraph"/>
                          <w:spacing w:line="301" w:lineRule="exact"/>
                          <w:ind w:left="314" w:right="312"/>
                          <w:jc w:val="center"/>
                          <w:rPr>
                            <w:sz w:val="24"/>
                          </w:rPr>
                        </w:pPr>
                        <w:r>
                          <w:rPr>
                            <w:sz w:val="24"/>
                          </w:rPr>
                          <w:t>坍塌</w:t>
                        </w:r>
                      </w:p>
                    </w:tc>
                    <w:tc>
                      <w:tcPr>
                        <w:tcW w:w="440" w:type="dxa"/>
                      </w:tcPr>
                      <w:p>
                        <w:pPr>
                          <w:pStyle w:val="TableParagraph"/>
                          <w:spacing w:line="305" w:lineRule="exact" w:before="17"/>
                          <w:ind w:left="2" w:right="37"/>
                          <w:jc w:val="center"/>
                          <w:rPr>
                            <w:sz w:val="24"/>
                          </w:rPr>
                        </w:pPr>
                        <w:r>
                          <w:rPr>
                            <w:sz w:val="24"/>
                          </w:rPr>
                          <w:t>JTG</w:t>
                        </w:r>
                      </w:p>
                    </w:tc>
                    <w:tc>
                      <w:tcPr>
                        <w:tcW w:w="2150" w:type="dxa"/>
                      </w:tcPr>
                      <w:p>
                        <w:pPr>
                          <w:pStyle w:val="TableParagraph"/>
                          <w:spacing w:line="305" w:lineRule="exact" w:before="17"/>
                          <w:ind w:left="61"/>
                          <w:rPr>
                            <w:sz w:val="24"/>
                          </w:rPr>
                        </w:pPr>
                        <w:r>
                          <w:rPr>
                            <w:sz w:val="24"/>
                          </w:rPr>
                          <w:t>F90-8.11.3</w:t>
                        </w:r>
                      </w:p>
                    </w:tc>
                  </w:tr>
                  <w:tr>
                    <w:trPr>
                      <w:trHeight w:val="291" w:hRule="atLeast"/>
                    </w:trPr>
                    <w:tc>
                      <w:tcPr>
                        <w:tcW w:w="1292" w:type="dxa"/>
                        <w:tcBorders>
                          <w:top w:val="single" w:sz="4" w:space="0" w:color="000000"/>
                        </w:tcBorders>
                      </w:tcPr>
                      <w:p>
                        <w:pPr>
                          <w:pStyle w:val="TableParagraph"/>
                          <w:rPr>
                            <w:rFonts w:ascii="Times New Roman"/>
                            <w:sz w:val="20"/>
                          </w:rPr>
                        </w:pPr>
                      </w:p>
                    </w:tc>
                    <w:tc>
                      <w:tcPr>
                        <w:tcW w:w="1067" w:type="dxa"/>
                        <w:tcBorders>
                          <w:top w:val="single" w:sz="4" w:space="0" w:color="000000"/>
                        </w:tcBorders>
                      </w:tcPr>
                      <w:p>
                        <w:pPr>
                          <w:pStyle w:val="TableParagraph"/>
                          <w:rPr>
                            <w:rFonts w:ascii="Times New Roman"/>
                            <w:sz w:val="20"/>
                          </w:rPr>
                        </w:pPr>
                      </w:p>
                    </w:tc>
                    <w:tc>
                      <w:tcPr>
                        <w:tcW w:w="7231" w:type="dxa"/>
                        <w:tcBorders>
                          <w:top w:val="single" w:sz="4" w:space="0" w:color="000000"/>
                        </w:tcBorders>
                      </w:tcPr>
                      <w:p>
                        <w:pPr>
                          <w:pStyle w:val="TableParagraph"/>
                          <w:spacing w:line="254" w:lineRule="exact" w:before="18"/>
                          <w:ind w:left="14"/>
                          <w:rPr>
                            <w:sz w:val="24"/>
                          </w:rPr>
                        </w:pPr>
                        <w:r>
                          <w:rPr>
                            <w:sz w:val="24"/>
                          </w:rPr>
                          <w:t>拱架支撑体系搭设、拆除不规范；拱圈施工工序、工艺或材料不符合</w:t>
                        </w:r>
                      </w:p>
                    </w:tc>
                    <w:tc>
                      <w:tcPr>
                        <w:tcW w:w="1146" w:type="dxa"/>
                      </w:tcPr>
                      <w:p>
                        <w:pPr>
                          <w:pStyle w:val="TableParagraph"/>
                          <w:rPr>
                            <w:rFonts w:ascii="Times New Roman"/>
                            <w:sz w:val="20"/>
                          </w:rPr>
                        </w:pPr>
                      </w:p>
                    </w:tc>
                    <w:tc>
                      <w:tcPr>
                        <w:tcW w:w="440" w:type="dxa"/>
                      </w:tcPr>
                      <w:p>
                        <w:pPr>
                          <w:pStyle w:val="TableParagraph"/>
                          <w:spacing w:line="254" w:lineRule="exact" w:before="18"/>
                          <w:ind w:left="2" w:right="37"/>
                          <w:jc w:val="center"/>
                          <w:rPr>
                            <w:sz w:val="24"/>
                          </w:rPr>
                        </w:pPr>
                        <w:r>
                          <w:rPr>
                            <w:sz w:val="24"/>
                          </w:rPr>
                          <w:t>JTG</w:t>
                        </w:r>
                      </w:p>
                    </w:tc>
                    <w:tc>
                      <w:tcPr>
                        <w:tcW w:w="2150" w:type="dxa"/>
                      </w:tcPr>
                      <w:p>
                        <w:pPr>
                          <w:pStyle w:val="TableParagraph"/>
                          <w:spacing w:line="254" w:lineRule="exact" w:before="18"/>
                          <w:ind w:left="61"/>
                          <w:rPr>
                            <w:sz w:val="24"/>
                          </w:rPr>
                        </w:pPr>
                        <w:r>
                          <w:rPr>
                            <w:sz w:val="24"/>
                          </w:rPr>
                          <w:t>F90-8.12.2；JTG/T</w:t>
                        </w:r>
                      </w:p>
                    </w:tc>
                  </w:tr>
                </w:tbl>
                <w:p>
                  <w:pPr>
                    <w:pStyle w:val="BodyText"/>
                    <w:ind w:left="0"/>
                  </w:pPr>
                </w:p>
              </w:txbxContent>
            </v:textbox>
            <w10:wrap type="none"/>
          </v:shape>
        </w:pict>
      </w:r>
      <w:r>
        <w:rPr>
          <w:sz w:val="24"/>
        </w:rPr>
        <w:t>JTG F90-5.6.1、5.6.9、5.6.16、5.6.17</w:t>
      </w:r>
    </w:p>
    <w:p>
      <w:pPr>
        <w:spacing w:after="0" w:line="242" w:lineRule="auto"/>
        <w:jc w:val="left"/>
        <w:rPr>
          <w:sz w:val="24"/>
        </w:rPr>
        <w:sectPr>
          <w:type w:val="continuous"/>
          <w:pgSz w:w="16840" w:h="11910" w:orient="landscape"/>
          <w:pgMar w:top="1580" w:bottom="280" w:left="740" w:right="640"/>
          <w:cols w:num="5" w:equalWidth="0">
            <w:col w:w="2565" w:space="40"/>
            <w:col w:w="1019" w:space="39"/>
            <w:col w:w="7108" w:space="40"/>
            <w:col w:w="1187" w:space="39"/>
            <w:col w:w="3423"/>
          </w:cols>
        </w:sectPr>
      </w:pPr>
    </w:p>
    <w:p>
      <w:pPr>
        <w:pStyle w:val="BodyText"/>
        <w:ind w:left="0"/>
        <w:rPr>
          <w:sz w:val="20"/>
        </w:rPr>
      </w:pPr>
    </w:p>
    <w:p>
      <w:pPr>
        <w:pStyle w:val="BodyText"/>
        <w:spacing w:before="10"/>
        <w:ind w:left="0"/>
        <w:rPr>
          <w:sz w:val="16"/>
        </w:rPr>
      </w:pPr>
    </w:p>
    <w:p>
      <w:pPr>
        <w:spacing w:before="66"/>
        <w:ind w:left="412" w:right="0" w:firstLine="0"/>
        <w:jc w:val="left"/>
        <w:rPr>
          <w:sz w:val="24"/>
        </w:rPr>
      </w:pPr>
      <w:r>
        <w:rPr>
          <w:sz w:val="24"/>
        </w:rPr>
        <w:t>路基工程</w:t>
      </w:r>
    </w:p>
    <w:p>
      <w:pPr>
        <w:pStyle w:val="BodyText"/>
        <w:ind w:left="0"/>
        <w:rPr>
          <w:sz w:val="20"/>
        </w:rPr>
      </w:pPr>
    </w:p>
    <w:p>
      <w:pPr>
        <w:pStyle w:val="BodyText"/>
        <w:ind w:left="0"/>
        <w:rPr>
          <w:sz w:val="20"/>
        </w:rPr>
      </w:pPr>
    </w:p>
    <w:p>
      <w:pPr>
        <w:pStyle w:val="BodyText"/>
        <w:ind w:left="0"/>
        <w:rPr>
          <w:sz w:val="20"/>
        </w:rPr>
      </w:pPr>
    </w:p>
    <w:p>
      <w:pPr>
        <w:spacing w:after="0"/>
        <w:rPr>
          <w:sz w:val="20"/>
        </w:rPr>
        <w:sectPr>
          <w:type w:val="continuous"/>
          <w:pgSz w:w="16840" w:h="11910" w:orient="landscape"/>
          <w:pgMar w:top="1580" w:bottom="280" w:left="740" w:right="640"/>
        </w:sectPr>
      </w:pPr>
    </w:p>
    <w:p>
      <w:pPr>
        <w:spacing w:before="203"/>
        <w:ind w:left="412" w:right="0" w:firstLine="0"/>
        <w:jc w:val="left"/>
        <w:rPr>
          <w:sz w:val="24"/>
        </w:rPr>
      </w:pPr>
      <w:r>
        <w:rPr/>
        <w:pict>
          <v:shape style="position:absolute;margin-left:54.060001pt;margin-top:102.669991pt;width:733.85pt;height:402.65pt;mso-position-horizontal-relative:page;mso-position-vertical-relative:page;z-index:-264585216" coordorigin="1081,2053" coordsize="14677,8053" path="m2176,1805l11768,1805m2176,2215l15698,2215m1081,3386l15698,3386m1081,4218l15758,4218m1081,5946l15758,5946m1081,9848l11768,9848m1086,1800l1086,9853m2176,3776l15758,3776m2176,7898l15758,7898m2181,1800l2181,9843m3466,2567l11768,2567m3466,6922l11768,6922m3466,8562l11768,8562m3471,1800l3471,9843m4536,1800l4536,9843m11763,1810l11763,9853m12913,1805l15698,1805m12913,4570l15758,4570m12913,4930l15758,4930m12913,5282l15758,5282m12913,6922l15758,6922m12913,8562l15758,8562m12913,9848l15758,9848m12918,1800l12918,9853m15693,1810l15693,3771m15753,3781l15753,9853e" filled="false" stroked="true" strokeweight=".48pt" strokecolor="#000000">
            <v:path arrowok="t"/>
            <v:stroke dashstyle="solid"/>
            <w10:wrap type="none"/>
          </v:shape>
        </w:pict>
      </w:r>
      <w:r>
        <w:rPr>
          <w:spacing w:val="-5"/>
          <w:sz w:val="24"/>
        </w:rPr>
        <w:t>桥梁工程</w:t>
      </w: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spacing w:before="12"/>
        <w:ind w:left="0"/>
        <w:rPr>
          <w:sz w:val="27"/>
        </w:rPr>
      </w:pPr>
    </w:p>
    <w:p>
      <w:pPr>
        <w:spacing w:before="0"/>
        <w:ind w:left="412" w:right="0" w:firstLine="0"/>
        <w:jc w:val="left"/>
        <w:rPr>
          <w:sz w:val="24"/>
        </w:rPr>
      </w:pPr>
      <w:r>
        <w:rPr>
          <w:spacing w:val="-5"/>
          <w:sz w:val="24"/>
        </w:rPr>
        <w:t>隧道工程</w:t>
      </w:r>
    </w:p>
    <w:p>
      <w:pPr>
        <w:pStyle w:val="BodyText"/>
        <w:ind w:left="0"/>
        <w:rPr>
          <w:sz w:val="24"/>
        </w:rPr>
      </w:pPr>
      <w:r>
        <w:rPr/>
        <w:br w:type="column"/>
      </w:r>
      <w:r>
        <w:rPr>
          <w:sz w:val="24"/>
        </w:rPr>
      </w:r>
    </w:p>
    <w:p>
      <w:pPr>
        <w:pStyle w:val="BodyText"/>
        <w:spacing w:before="6"/>
        <w:ind w:left="0"/>
        <w:rPr>
          <w:sz w:val="33"/>
        </w:rPr>
      </w:pPr>
    </w:p>
    <w:p>
      <w:pPr>
        <w:spacing w:before="0"/>
        <w:ind w:left="192" w:right="0" w:firstLine="0"/>
        <w:jc w:val="left"/>
        <w:rPr>
          <w:sz w:val="24"/>
        </w:rPr>
      </w:pPr>
      <w:r>
        <w:rPr>
          <w:sz w:val="24"/>
        </w:rPr>
        <w:t>拱桥施工</w:t>
      </w:r>
    </w:p>
    <w:p>
      <w:pPr>
        <w:pStyle w:val="BodyText"/>
        <w:ind w:left="0"/>
        <w:rPr>
          <w:sz w:val="24"/>
        </w:rPr>
      </w:pPr>
    </w:p>
    <w:p>
      <w:pPr>
        <w:pStyle w:val="BodyText"/>
        <w:ind w:left="0"/>
        <w:rPr>
          <w:sz w:val="24"/>
        </w:rPr>
      </w:pPr>
    </w:p>
    <w:p>
      <w:pPr>
        <w:pStyle w:val="BodyText"/>
        <w:spacing w:before="11"/>
        <w:ind w:left="0"/>
        <w:rPr>
          <w:sz w:val="17"/>
        </w:rPr>
      </w:pPr>
    </w:p>
    <w:p>
      <w:pPr>
        <w:spacing w:line="242" w:lineRule="auto" w:before="0"/>
        <w:ind w:left="312" w:right="0" w:hanging="240"/>
        <w:jc w:val="left"/>
        <w:rPr>
          <w:sz w:val="24"/>
        </w:rPr>
      </w:pPr>
      <w:r>
        <w:rPr>
          <w:spacing w:val="-4"/>
          <w:sz w:val="24"/>
        </w:rPr>
        <w:t>洞口边、仰</w:t>
      </w:r>
      <w:r>
        <w:rPr>
          <w:sz w:val="24"/>
        </w:rPr>
        <w:t>坡施工</w:t>
      </w: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0"/>
        </w:rPr>
      </w:pPr>
    </w:p>
    <w:p>
      <w:pPr>
        <w:spacing w:before="0"/>
        <w:ind w:left="192" w:right="0" w:firstLine="0"/>
        <w:jc w:val="left"/>
        <w:rPr>
          <w:sz w:val="24"/>
        </w:rPr>
      </w:pPr>
      <w:r>
        <w:rPr>
          <w:sz w:val="24"/>
        </w:rPr>
        <w:t>洞内施工</w:t>
      </w:r>
    </w:p>
    <w:p>
      <w:pPr>
        <w:pStyle w:val="BodyText"/>
        <w:ind w:left="0"/>
        <w:rPr>
          <w:sz w:val="24"/>
        </w:rPr>
      </w:pPr>
      <w:r>
        <w:rPr/>
        <w:br w:type="column"/>
      </w:r>
      <w:r>
        <w:rPr>
          <w:sz w:val="24"/>
        </w:rPr>
      </w:r>
    </w:p>
    <w:p>
      <w:pPr>
        <w:pStyle w:val="BodyText"/>
        <w:spacing w:before="6"/>
        <w:ind w:left="0"/>
        <w:rPr>
          <w:sz w:val="33"/>
        </w:rPr>
      </w:pPr>
    </w:p>
    <w:p>
      <w:pPr>
        <w:spacing w:line="640" w:lineRule="auto" w:before="0"/>
        <w:ind w:left="178" w:right="0" w:firstLine="0"/>
        <w:jc w:val="left"/>
        <w:rPr>
          <w:sz w:val="24"/>
        </w:rPr>
      </w:pPr>
      <w:r>
        <w:rPr>
          <w:sz w:val="24"/>
        </w:rPr>
        <w:t>GQ-004 GS-001</w:t>
      </w:r>
    </w:p>
    <w:p>
      <w:pPr>
        <w:spacing w:line="640" w:lineRule="auto" w:before="153"/>
        <w:ind w:left="178" w:right="0" w:firstLine="0"/>
        <w:jc w:val="left"/>
        <w:rPr>
          <w:sz w:val="24"/>
        </w:rPr>
      </w:pPr>
      <w:r>
        <w:rPr>
          <w:sz w:val="24"/>
        </w:rPr>
        <w:t>GS-002 GS-003</w:t>
      </w:r>
    </w:p>
    <w:p>
      <w:pPr>
        <w:spacing w:before="155"/>
        <w:ind w:left="178" w:right="0" w:firstLine="0"/>
        <w:jc w:val="left"/>
        <w:rPr>
          <w:sz w:val="24"/>
        </w:rPr>
      </w:pPr>
      <w:r>
        <w:rPr>
          <w:sz w:val="24"/>
        </w:rPr>
        <w:t>GS-004</w:t>
      </w:r>
    </w:p>
    <w:p>
      <w:pPr>
        <w:pStyle w:val="BodyText"/>
        <w:ind w:left="0"/>
        <w:rPr>
          <w:sz w:val="24"/>
        </w:rPr>
      </w:pPr>
      <w:r>
        <w:rPr/>
        <w:br w:type="column"/>
      </w:r>
      <w:r>
        <w:rPr>
          <w:sz w:val="24"/>
        </w:rPr>
      </w:r>
    </w:p>
    <w:p>
      <w:pPr>
        <w:pStyle w:val="BodyText"/>
        <w:ind w:left="0"/>
        <w:rPr>
          <w:sz w:val="24"/>
        </w:rPr>
      </w:pPr>
    </w:p>
    <w:p>
      <w:pPr>
        <w:pStyle w:val="BodyText"/>
        <w:spacing w:before="8"/>
        <w:ind w:left="0"/>
        <w:rPr>
          <w:sz w:val="21"/>
        </w:rPr>
      </w:pPr>
    </w:p>
    <w:p>
      <w:pPr>
        <w:spacing w:before="0"/>
        <w:ind w:left="147" w:right="0" w:firstLine="0"/>
        <w:jc w:val="left"/>
        <w:rPr>
          <w:sz w:val="24"/>
        </w:rPr>
      </w:pPr>
      <w:r>
        <w:rPr>
          <w:sz w:val="24"/>
        </w:rPr>
        <w:t>规范</w:t>
      </w:r>
    </w:p>
    <w:p>
      <w:pPr>
        <w:spacing w:line="242" w:lineRule="auto" w:before="201"/>
        <w:ind w:left="147" w:right="0" w:firstLine="0"/>
        <w:jc w:val="left"/>
        <w:rPr>
          <w:sz w:val="24"/>
        </w:rPr>
      </w:pPr>
      <w:r>
        <w:rPr>
          <w:spacing w:val="-2"/>
          <w:sz w:val="24"/>
        </w:rPr>
        <w:t>雨季、融雪季节边、仰坡施工排险、防护措施不足；边、仰坡开挖未</w:t>
      </w:r>
      <w:r>
        <w:rPr>
          <w:sz w:val="24"/>
        </w:rPr>
        <w:t>施做排水系统</w:t>
      </w:r>
    </w:p>
    <w:p>
      <w:pPr>
        <w:pStyle w:val="BodyText"/>
        <w:ind w:left="0"/>
        <w:rPr>
          <w:sz w:val="24"/>
        </w:rPr>
      </w:pPr>
    </w:p>
    <w:p>
      <w:pPr>
        <w:spacing w:line="640" w:lineRule="auto" w:before="202"/>
        <w:ind w:left="147" w:right="475" w:firstLine="0"/>
        <w:jc w:val="left"/>
        <w:rPr>
          <w:sz w:val="24"/>
        </w:rPr>
      </w:pPr>
      <w:r>
        <w:rPr>
          <w:sz w:val="24"/>
        </w:rPr>
        <w:t>含岩堆、松散岩石或滑坡地段的边坡开挖、排险、防护措施不足雨季、融雪季节，浅埋或地表径流地段未开展地表监测</w:t>
      </w:r>
    </w:p>
    <w:p>
      <w:pPr>
        <w:spacing w:before="156"/>
        <w:ind w:left="147" w:right="0" w:firstLine="0"/>
        <w:jc w:val="left"/>
        <w:rPr>
          <w:sz w:val="24"/>
        </w:rPr>
      </w:pPr>
      <w:r>
        <w:rPr>
          <w:sz w:val="24"/>
        </w:rPr>
        <w:t>未按规范或方案要求开展超前地质预报、监控量测</w:t>
      </w:r>
    </w:p>
    <w:p>
      <w:pPr>
        <w:pStyle w:val="BodyText"/>
        <w:ind w:left="0"/>
        <w:rPr>
          <w:sz w:val="24"/>
        </w:rPr>
      </w:pPr>
      <w:r>
        <w:rPr/>
        <w:br w:type="column"/>
      </w:r>
      <w:r>
        <w:rPr>
          <w:sz w:val="24"/>
        </w:rPr>
      </w:r>
    </w:p>
    <w:p>
      <w:pPr>
        <w:pStyle w:val="BodyText"/>
        <w:ind w:left="0"/>
        <w:rPr>
          <w:sz w:val="24"/>
        </w:rPr>
      </w:pPr>
    </w:p>
    <w:p>
      <w:pPr>
        <w:pStyle w:val="BodyText"/>
        <w:spacing w:before="8"/>
        <w:ind w:left="0"/>
        <w:rPr>
          <w:sz w:val="21"/>
        </w:rPr>
      </w:pPr>
    </w:p>
    <w:p>
      <w:pPr>
        <w:spacing w:line="276" w:lineRule="auto" w:before="0"/>
        <w:ind w:left="1145" w:right="367" w:firstLine="0"/>
        <w:jc w:val="left"/>
        <w:rPr>
          <w:sz w:val="24"/>
        </w:rPr>
      </w:pPr>
      <w:r>
        <w:rPr>
          <w:sz w:val="24"/>
        </w:rPr>
        <w:t>F50-15.2.2、15.2.3、15.3 JTG F90-9.2.5；</w:t>
      </w:r>
    </w:p>
    <w:p>
      <w:pPr>
        <w:spacing w:line="265" w:lineRule="exact" w:before="0"/>
        <w:ind w:left="1145" w:right="0" w:firstLine="0"/>
        <w:jc w:val="left"/>
        <w:rPr>
          <w:sz w:val="24"/>
        </w:rPr>
      </w:pPr>
      <w:r>
        <w:rPr>
          <w:sz w:val="24"/>
        </w:rPr>
        <w:t>JTG/</w:t>
      </w:r>
      <w:r>
        <w:rPr>
          <w:spacing w:val="-62"/>
          <w:sz w:val="24"/>
        </w:rPr>
        <w:t> </w:t>
      </w:r>
      <w:r>
        <w:rPr>
          <w:sz w:val="24"/>
        </w:rPr>
        <w:t>F60-（5.1.1</w:t>
      </w:r>
      <w:r>
        <w:rPr>
          <w:spacing w:val="-8"/>
          <w:sz w:val="24"/>
        </w:rPr>
        <w:t>、</w:t>
      </w:r>
      <w:r>
        <w:rPr>
          <w:sz w:val="24"/>
        </w:rPr>
        <w:t>5.1.4、</w:t>
      </w:r>
    </w:p>
    <w:p>
      <w:pPr>
        <w:spacing w:line="241" w:lineRule="exact" w:before="5"/>
        <w:ind w:left="1145" w:right="0" w:firstLine="0"/>
        <w:jc w:val="left"/>
        <w:rPr>
          <w:sz w:val="24"/>
        </w:rPr>
      </w:pPr>
      <w:r>
        <w:rPr>
          <w:sz w:val="24"/>
        </w:rPr>
        <w:t>5.1.7）；JTG/T</w:t>
      </w:r>
      <w:r>
        <w:rPr>
          <w:spacing w:val="-63"/>
          <w:sz w:val="24"/>
        </w:rPr>
        <w:t> </w:t>
      </w:r>
      <w:r>
        <w:rPr>
          <w:sz w:val="24"/>
        </w:rPr>
        <w:t>F60-5.1.3</w:t>
      </w:r>
    </w:p>
    <w:p>
      <w:pPr>
        <w:spacing w:line="175" w:lineRule="exact" w:before="0"/>
        <w:ind w:left="312" w:right="0" w:firstLine="0"/>
        <w:jc w:val="left"/>
        <w:rPr>
          <w:sz w:val="24"/>
        </w:rPr>
      </w:pPr>
      <w:r>
        <w:rPr>
          <w:sz w:val="24"/>
        </w:rPr>
        <w:t>坍塌</w:t>
      </w:r>
    </w:p>
    <w:p>
      <w:pPr>
        <w:spacing w:line="241" w:lineRule="exact" w:before="0"/>
        <w:ind w:left="1145" w:right="0" w:firstLine="0"/>
        <w:jc w:val="left"/>
        <w:rPr>
          <w:sz w:val="24"/>
        </w:rPr>
      </w:pPr>
      <w:r>
        <w:rPr>
          <w:sz w:val="24"/>
        </w:rPr>
        <w:t>JTG F90-9.2.5；</w:t>
      </w:r>
    </w:p>
    <w:p>
      <w:pPr>
        <w:spacing w:line="242" w:lineRule="auto" w:before="4"/>
        <w:ind w:left="1145" w:right="367" w:firstLine="0"/>
        <w:jc w:val="left"/>
        <w:rPr>
          <w:sz w:val="24"/>
        </w:rPr>
      </w:pPr>
      <w:r>
        <w:rPr>
          <w:sz w:val="24"/>
        </w:rPr>
        <w:t>JTG F60-（16.7、16.8）； JTG/T F60-15.7、15.8</w:t>
      </w:r>
    </w:p>
    <w:p>
      <w:pPr>
        <w:spacing w:line="242" w:lineRule="auto" w:before="44"/>
        <w:ind w:left="1145" w:right="1447" w:firstLine="0"/>
        <w:jc w:val="left"/>
        <w:rPr>
          <w:sz w:val="24"/>
        </w:rPr>
      </w:pPr>
      <w:r>
        <w:rPr>
          <w:sz w:val="24"/>
        </w:rPr>
        <w:t>JTG F90-9.2.8； JTG F60-5.1.8</w:t>
      </w:r>
    </w:p>
    <w:p>
      <w:pPr>
        <w:tabs>
          <w:tab w:pos="1145" w:val="left" w:leader="none"/>
        </w:tabs>
        <w:spacing w:line="170" w:lineRule="auto" w:before="75"/>
        <w:ind w:left="1145" w:right="862" w:hanging="833"/>
        <w:jc w:val="left"/>
        <w:rPr>
          <w:sz w:val="24"/>
        </w:rPr>
      </w:pPr>
      <w:r>
        <w:rPr>
          <w:position w:val="-12"/>
          <w:sz w:val="24"/>
        </w:rPr>
        <w:t>坍塌</w:t>
        <w:tab/>
      </w:r>
      <w:r>
        <w:rPr>
          <w:sz w:val="24"/>
        </w:rPr>
        <w:t>JTG F90-9.17；JTG F60-10.2；JTG/T</w:t>
      </w:r>
      <w:r>
        <w:rPr>
          <w:spacing w:val="2"/>
          <w:sz w:val="24"/>
        </w:rPr>
        <w:t> </w:t>
      </w:r>
      <w:r>
        <w:rPr>
          <w:spacing w:val="-5"/>
          <w:sz w:val="24"/>
        </w:rPr>
        <w:t>F60-</w:t>
      </w:r>
    </w:p>
    <w:p>
      <w:pPr>
        <w:spacing w:line="242" w:lineRule="auto" w:before="26"/>
        <w:ind w:left="1145" w:right="494" w:firstLine="0"/>
        <w:jc w:val="left"/>
        <w:rPr>
          <w:sz w:val="24"/>
        </w:rPr>
      </w:pPr>
      <w:r>
        <w:rPr>
          <w:sz w:val="24"/>
        </w:rPr>
        <w:t>（9.2、10.2）；104 号文件</w:t>
      </w:r>
    </w:p>
    <w:p>
      <w:pPr>
        <w:spacing w:after="0" w:line="242" w:lineRule="auto"/>
        <w:jc w:val="left"/>
        <w:rPr>
          <w:sz w:val="24"/>
        </w:rPr>
        <w:sectPr>
          <w:type w:val="continuous"/>
          <w:pgSz w:w="16840" w:h="11910" w:orient="landscape"/>
          <w:pgMar w:top="1580" w:bottom="280" w:left="740" w:right="640"/>
          <w:cols w:num="5" w:equalWidth="0">
            <w:col w:w="1373" w:space="40"/>
            <w:col w:w="1273" w:space="39"/>
            <w:col w:w="899" w:space="39"/>
            <w:col w:w="7345" w:space="40"/>
            <w:col w:w="4412"/>
          </w:cols>
        </w:sectPr>
      </w:pPr>
    </w:p>
    <w:p>
      <w:pPr>
        <w:pStyle w:val="BodyText"/>
        <w:ind w:left="0"/>
        <w:rPr>
          <w:sz w:val="20"/>
        </w:rPr>
      </w:pPr>
    </w:p>
    <w:p>
      <w:pPr>
        <w:pStyle w:val="BodyText"/>
        <w:ind w:left="0"/>
        <w:rPr>
          <w:sz w:val="20"/>
        </w:rPr>
      </w:pPr>
    </w:p>
    <w:p>
      <w:pPr>
        <w:pStyle w:val="BodyText"/>
        <w:spacing w:before="2"/>
        <w:ind w:left="0"/>
        <w:rPr>
          <w:sz w:val="14"/>
        </w:rPr>
      </w:pPr>
    </w:p>
    <w:tbl>
      <w:tblPr>
        <w:tblW w:w="0" w:type="auto"/>
        <w:jc w:val="left"/>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95"/>
        <w:gridCol w:w="1290"/>
        <w:gridCol w:w="1065"/>
        <w:gridCol w:w="7227"/>
        <w:gridCol w:w="1155"/>
        <w:gridCol w:w="2835"/>
      </w:tblGrid>
      <w:tr>
        <w:trPr>
          <w:trHeight w:val="653" w:hRule="atLeast"/>
        </w:trPr>
        <w:tc>
          <w:tcPr>
            <w:tcW w:w="1095" w:type="dxa"/>
            <w:vMerge w:val="restart"/>
          </w:tcPr>
          <w:p>
            <w:pPr>
              <w:pStyle w:val="TableParagraph"/>
              <w:rPr>
                <w:rFonts w:ascii="Times New Roman"/>
                <w:sz w:val="22"/>
              </w:rPr>
            </w:pPr>
          </w:p>
        </w:tc>
        <w:tc>
          <w:tcPr>
            <w:tcW w:w="1290" w:type="dxa"/>
            <w:vMerge w:val="restart"/>
          </w:tcPr>
          <w:p>
            <w:pPr>
              <w:pStyle w:val="TableParagraph"/>
              <w:rPr>
                <w:rFonts w:ascii="Times New Roman"/>
                <w:sz w:val="22"/>
              </w:rPr>
            </w:pPr>
          </w:p>
        </w:tc>
        <w:tc>
          <w:tcPr>
            <w:tcW w:w="1065" w:type="dxa"/>
          </w:tcPr>
          <w:p>
            <w:pPr>
              <w:pStyle w:val="TableParagraph"/>
              <w:spacing w:before="173"/>
              <w:ind w:right="161"/>
              <w:jc w:val="right"/>
              <w:rPr>
                <w:sz w:val="24"/>
              </w:rPr>
            </w:pPr>
            <w:r>
              <w:rPr>
                <w:sz w:val="24"/>
              </w:rPr>
              <w:t>GS-005</w:t>
            </w:r>
          </w:p>
        </w:tc>
        <w:tc>
          <w:tcPr>
            <w:tcW w:w="7227" w:type="dxa"/>
          </w:tcPr>
          <w:p>
            <w:pPr>
              <w:pStyle w:val="TableParagraph"/>
              <w:spacing w:line="310" w:lineRule="atLeast" w:before="15"/>
              <w:ind w:left="14" w:right="240"/>
              <w:rPr>
                <w:sz w:val="24"/>
              </w:rPr>
            </w:pPr>
            <w:r>
              <w:rPr>
                <w:sz w:val="24"/>
              </w:rPr>
              <w:t>开挖方法不符合设计或方案要求；开挖前未对掌子面及其临近的拱顶、拱腰围岩进行排险</w:t>
            </w:r>
          </w:p>
        </w:tc>
        <w:tc>
          <w:tcPr>
            <w:tcW w:w="1155" w:type="dxa"/>
            <w:vMerge w:val="restart"/>
            <w:tcBorders>
              <w:top w:val="nil"/>
            </w:tcBorders>
          </w:tcPr>
          <w:p>
            <w:pPr>
              <w:pStyle w:val="TableParagraph"/>
              <w:rPr>
                <w:rFonts w:ascii="Times New Roman"/>
                <w:sz w:val="22"/>
              </w:rPr>
            </w:pPr>
          </w:p>
        </w:tc>
        <w:tc>
          <w:tcPr>
            <w:tcW w:w="2835" w:type="dxa"/>
          </w:tcPr>
          <w:p>
            <w:pPr>
              <w:pStyle w:val="TableParagraph"/>
              <w:spacing w:before="173"/>
              <w:ind w:left="15"/>
              <w:rPr>
                <w:sz w:val="24"/>
              </w:rPr>
            </w:pPr>
            <w:r>
              <w:rPr>
                <w:sz w:val="24"/>
              </w:rPr>
              <w:t>JTG F90-9.3；104 号文件</w:t>
            </w:r>
          </w:p>
        </w:tc>
      </w:tr>
      <w:tr>
        <w:trPr>
          <w:trHeight w:val="653" w:hRule="atLeast"/>
        </w:trPr>
        <w:tc>
          <w:tcPr>
            <w:tcW w:w="1095" w:type="dxa"/>
            <w:vMerge/>
            <w:tcBorders>
              <w:top w:val="nil"/>
            </w:tcBorders>
          </w:tcPr>
          <w:p>
            <w:pPr>
              <w:rPr>
                <w:sz w:val="2"/>
                <w:szCs w:val="2"/>
              </w:rPr>
            </w:pPr>
          </w:p>
        </w:tc>
        <w:tc>
          <w:tcPr>
            <w:tcW w:w="1290" w:type="dxa"/>
            <w:vMerge/>
            <w:tcBorders>
              <w:top w:val="nil"/>
            </w:tcBorders>
          </w:tcPr>
          <w:p>
            <w:pPr>
              <w:rPr>
                <w:sz w:val="2"/>
                <w:szCs w:val="2"/>
              </w:rPr>
            </w:pPr>
          </w:p>
        </w:tc>
        <w:tc>
          <w:tcPr>
            <w:tcW w:w="1065" w:type="dxa"/>
          </w:tcPr>
          <w:p>
            <w:pPr>
              <w:pStyle w:val="TableParagraph"/>
              <w:spacing w:before="174"/>
              <w:ind w:right="161"/>
              <w:jc w:val="right"/>
              <w:rPr>
                <w:sz w:val="24"/>
              </w:rPr>
            </w:pPr>
            <w:r>
              <w:rPr>
                <w:sz w:val="24"/>
              </w:rPr>
              <w:t>GS-006</w:t>
            </w:r>
          </w:p>
        </w:tc>
        <w:tc>
          <w:tcPr>
            <w:tcW w:w="7227" w:type="dxa"/>
          </w:tcPr>
          <w:p>
            <w:pPr>
              <w:pStyle w:val="TableParagraph"/>
              <w:spacing w:before="174"/>
              <w:ind w:left="14"/>
              <w:rPr>
                <w:sz w:val="24"/>
              </w:rPr>
            </w:pPr>
            <w:r>
              <w:rPr>
                <w:sz w:val="24"/>
              </w:rPr>
              <w:t>未按规范或方案要求初喷及支护；拱架、锚杆等材质不符合设计要求</w:t>
            </w:r>
          </w:p>
        </w:tc>
        <w:tc>
          <w:tcPr>
            <w:tcW w:w="1155" w:type="dxa"/>
            <w:vMerge/>
            <w:tcBorders>
              <w:top w:val="nil"/>
            </w:tcBorders>
          </w:tcPr>
          <w:p>
            <w:pPr>
              <w:rPr>
                <w:sz w:val="2"/>
                <w:szCs w:val="2"/>
              </w:rPr>
            </w:pPr>
          </w:p>
        </w:tc>
        <w:tc>
          <w:tcPr>
            <w:tcW w:w="2835" w:type="dxa"/>
          </w:tcPr>
          <w:p>
            <w:pPr>
              <w:pStyle w:val="TableParagraph"/>
              <w:spacing w:before="18"/>
              <w:ind w:left="15"/>
              <w:rPr>
                <w:sz w:val="24"/>
              </w:rPr>
            </w:pPr>
            <w:r>
              <w:rPr>
                <w:sz w:val="24"/>
              </w:rPr>
              <w:t>JTG</w:t>
            </w:r>
            <w:r>
              <w:rPr>
                <w:spacing w:val="-45"/>
                <w:sz w:val="24"/>
              </w:rPr>
              <w:t> </w:t>
            </w:r>
            <w:r>
              <w:rPr>
                <w:spacing w:val="-10"/>
                <w:sz w:val="24"/>
              </w:rPr>
              <w:t>F90-（9.4～9.6）；104</w:t>
            </w:r>
          </w:p>
          <w:p>
            <w:pPr>
              <w:pStyle w:val="TableParagraph"/>
              <w:spacing w:line="304" w:lineRule="exact" w:before="5"/>
              <w:ind w:left="15"/>
              <w:rPr>
                <w:sz w:val="24"/>
              </w:rPr>
            </w:pPr>
            <w:r>
              <w:rPr>
                <w:sz w:val="24"/>
              </w:rPr>
              <w:t>号文件</w:t>
            </w:r>
          </w:p>
        </w:tc>
      </w:tr>
      <w:tr>
        <w:trPr>
          <w:trHeight w:val="966" w:hRule="atLeast"/>
        </w:trPr>
        <w:tc>
          <w:tcPr>
            <w:tcW w:w="1095" w:type="dxa"/>
            <w:vMerge/>
            <w:tcBorders>
              <w:top w:val="nil"/>
            </w:tcBorders>
          </w:tcPr>
          <w:p>
            <w:pPr>
              <w:rPr>
                <w:sz w:val="2"/>
                <w:szCs w:val="2"/>
              </w:rPr>
            </w:pPr>
          </w:p>
        </w:tc>
        <w:tc>
          <w:tcPr>
            <w:tcW w:w="1290" w:type="dxa"/>
            <w:vMerge/>
            <w:tcBorders>
              <w:top w:val="nil"/>
            </w:tcBorders>
          </w:tcPr>
          <w:p>
            <w:pPr>
              <w:rPr>
                <w:sz w:val="2"/>
                <w:szCs w:val="2"/>
              </w:rPr>
            </w:pPr>
          </w:p>
        </w:tc>
        <w:tc>
          <w:tcPr>
            <w:tcW w:w="1065" w:type="dxa"/>
          </w:tcPr>
          <w:p>
            <w:pPr>
              <w:pStyle w:val="TableParagraph"/>
              <w:spacing w:before="10"/>
              <w:rPr>
                <w:sz w:val="25"/>
              </w:rPr>
            </w:pPr>
          </w:p>
          <w:p>
            <w:pPr>
              <w:pStyle w:val="TableParagraph"/>
              <w:spacing w:before="1"/>
              <w:ind w:right="161"/>
              <w:jc w:val="right"/>
              <w:rPr>
                <w:sz w:val="24"/>
              </w:rPr>
            </w:pPr>
            <w:r>
              <w:rPr>
                <w:sz w:val="24"/>
              </w:rPr>
              <w:t>GS-007</w:t>
            </w:r>
          </w:p>
        </w:tc>
        <w:tc>
          <w:tcPr>
            <w:tcW w:w="7227" w:type="dxa"/>
          </w:tcPr>
          <w:p>
            <w:pPr>
              <w:pStyle w:val="TableParagraph"/>
              <w:spacing w:line="310" w:lineRule="atLeast" w:before="16"/>
              <w:ind w:left="14" w:right="60"/>
              <w:jc w:val="both"/>
              <w:rPr>
                <w:sz w:val="24"/>
              </w:rPr>
            </w:pPr>
            <w:r>
              <w:rPr>
                <w:sz w:val="24"/>
              </w:rPr>
              <w:t>仰拱一次开挖长度不符合方案要求；III</w:t>
            </w:r>
            <w:r>
              <w:rPr>
                <w:spacing w:val="-9"/>
                <w:sz w:val="24"/>
              </w:rPr>
              <w:t> 级围岩仰拱距掌子面的距离</w:t>
            </w:r>
            <w:r>
              <w:rPr>
                <w:spacing w:val="-20"/>
                <w:sz w:val="24"/>
              </w:rPr>
              <w:t>大于 </w:t>
            </w:r>
            <w:r>
              <w:rPr>
                <w:sz w:val="24"/>
              </w:rPr>
              <w:t>90m；Ⅳ</w:t>
            </w:r>
            <w:r>
              <w:rPr>
                <w:spacing w:val="-4"/>
                <w:sz w:val="24"/>
              </w:rPr>
              <w:t>级围岩仰拱距掌子面的距离大于 </w:t>
            </w:r>
            <w:r>
              <w:rPr>
                <w:sz w:val="24"/>
              </w:rPr>
              <w:t>50m；Ⅴ级及以上围岩</w:t>
            </w:r>
            <w:r>
              <w:rPr>
                <w:spacing w:val="-5"/>
                <w:sz w:val="24"/>
              </w:rPr>
              <w:t>仰拱距掌子面的距离大于 </w:t>
            </w:r>
            <w:r>
              <w:rPr>
                <w:sz w:val="24"/>
              </w:rPr>
              <w:t>40m；仰拱拱架未闭合</w:t>
            </w:r>
          </w:p>
        </w:tc>
        <w:tc>
          <w:tcPr>
            <w:tcW w:w="1155" w:type="dxa"/>
            <w:vMerge/>
            <w:tcBorders>
              <w:top w:val="nil"/>
            </w:tcBorders>
          </w:tcPr>
          <w:p>
            <w:pPr>
              <w:rPr>
                <w:sz w:val="2"/>
                <w:szCs w:val="2"/>
              </w:rPr>
            </w:pPr>
          </w:p>
        </w:tc>
        <w:tc>
          <w:tcPr>
            <w:tcW w:w="2835" w:type="dxa"/>
          </w:tcPr>
          <w:p>
            <w:pPr>
              <w:pStyle w:val="TableParagraph"/>
              <w:spacing w:before="175"/>
              <w:ind w:left="15"/>
              <w:rPr>
                <w:sz w:val="24"/>
              </w:rPr>
            </w:pPr>
            <w:r>
              <w:rPr>
                <w:sz w:val="24"/>
              </w:rPr>
              <w:t>JTG F90-9.3.13；104</w:t>
            </w:r>
            <w:r>
              <w:rPr>
                <w:spacing w:val="-25"/>
                <w:sz w:val="24"/>
              </w:rPr>
              <w:t> 号文</w:t>
            </w:r>
          </w:p>
          <w:p>
            <w:pPr>
              <w:pStyle w:val="TableParagraph"/>
              <w:spacing w:before="4"/>
              <w:ind w:left="15"/>
              <w:rPr>
                <w:sz w:val="24"/>
              </w:rPr>
            </w:pPr>
            <w:r>
              <w:rPr>
                <w:sz w:val="24"/>
              </w:rPr>
              <w:t>件</w:t>
            </w:r>
          </w:p>
        </w:tc>
      </w:tr>
      <w:tr>
        <w:trPr>
          <w:trHeight w:val="653" w:hRule="atLeast"/>
        </w:trPr>
        <w:tc>
          <w:tcPr>
            <w:tcW w:w="1095" w:type="dxa"/>
            <w:vMerge/>
            <w:tcBorders>
              <w:top w:val="nil"/>
            </w:tcBorders>
          </w:tcPr>
          <w:p>
            <w:pPr>
              <w:rPr>
                <w:sz w:val="2"/>
                <w:szCs w:val="2"/>
              </w:rPr>
            </w:pPr>
          </w:p>
        </w:tc>
        <w:tc>
          <w:tcPr>
            <w:tcW w:w="1290" w:type="dxa"/>
            <w:vMerge/>
            <w:tcBorders>
              <w:top w:val="nil"/>
            </w:tcBorders>
          </w:tcPr>
          <w:p>
            <w:pPr>
              <w:rPr>
                <w:sz w:val="2"/>
                <w:szCs w:val="2"/>
              </w:rPr>
            </w:pPr>
          </w:p>
        </w:tc>
        <w:tc>
          <w:tcPr>
            <w:tcW w:w="1065" w:type="dxa"/>
          </w:tcPr>
          <w:p>
            <w:pPr>
              <w:pStyle w:val="TableParagraph"/>
              <w:spacing w:before="173"/>
              <w:ind w:right="161"/>
              <w:jc w:val="right"/>
              <w:rPr>
                <w:sz w:val="24"/>
              </w:rPr>
            </w:pPr>
            <w:r>
              <w:rPr>
                <w:sz w:val="24"/>
              </w:rPr>
              <w:t>GS-008</w:t>
            </w:r>
          </w:p>
        </w:tc>
        <w:tc>
          <w:tcPr>
            <w:tcW w:w="7227" w:type="dxa"/>
          </w:tcPr>
          <w:p>
            <w:pPr>
              <w:pStyle w:val="TableParagraph"/>
              <w:spacing w:line="310" w:lineRule="atLeast" w:before="15"/>
              <w:ind w:left="14" w:right="1"/>
              <w:rPr>
                <w:sz w:val="24"/>
              </w:rPr>
            </w:pPr>
            <w:r>
              <w:rPr>
                <w:sz w:val="24"/>
              </w:rPr>
              <w:t>Ⅳ级围岩二衬距掌子面的距离大于 90m，Ⅴ级及以上围岩二衬距掌子面的距离大于 70m</w:t>
            </w:r>
          </w:p>
        </w:tc>
        <w:tc>
          <w:tcPr>
            <w:tcW w:w="1155" w:type="dxa"/>
            <w:vMerge/>
            <w:tcBorders>
              <w:top w:val="nil"/>
            </w:tcBorders>
          </w:tcPr>
          <w:p>
            <w:pPr>
              <w:rPr>
                <w:sz w:val="2"/>
                <w:szCs w:val="2"/>
              </w:rPr>
            </w:pPr>
          </w:p>
        </w:tc>
        <w:tc>
          <w:tcPr>
            <w:tcW w:w="2835" w:type="dxa"/>
          </w:tcPr>
          <w:p>
            <w:pPr>
              <w:pStyle w:val="TableParagraph"/>
              <w:spacing w:before="173"/>
              <w:ind w:left="15"/>
              <w:rPr>
                <w:sz w:val="24"/>
              </w:rPr>
            </w:pPr>
            <w:r>
              <w:rPr>
                <w:sz w:val="24"/>
              </w:rPr>
              <w:t>JTG F90-9.11.10</w:t>
            </w:r>
          </w:p>
        </w:tc>
      </w:tr>
      <w:tr>
        <w:trPr>
          <w:trHeight w:val="966" w:hRule="atLeast"/>
        </w:trPr>
        <w:tc>
          <w:tcPr>
            <w:tcW w:w="1095" w:type="dxa"/>
            <w:vMerge/>
            <w:tcBorders>
              <w:top w:val="nil"/>
            </w:tcBorders>
          </w:tcPr>
          <w:p>
            <w:pPr>
              <w:rPr>
                <w:sz w:val="2"/>
                <w:szCs w:val="2"/>
              </w:rPr>
            </w:pPr>
          </w:p>
        </w:tc>
        <w:tc>
          <w:tcPr>
            <w:tcW w:w="1290" w:type="dxa"/>
          </w:tcPr>
          <w:p>
            <w:pPr>
              <w:pStyle w:val="TableParagraph"/>
              <w:spacing w:line="242" w:lineRule="auto" w:before="174"/>
              <w:ind w:left="523" w:right="34" w:hanging="480"/>
              <w:rPr>
                <w:sz w:val="24"/>
              </w:rPr>
            </w:pPr>
            <w:r>
              <w:rPr>
                <w:sz w:val="24"/>
              </w:rPr>
              <w:t>瓦斯隧道施工</w:t>
            </w:r>
          </w:p>
        </w:tc>
        <w:tc>
          <w:tcPr>
            <w:tcW w:w="1065" w:type="dxa"/>
          </w:tcPr>
          <w:p>
            <w:pPr>
              <w:pStyle w:val="TableParagraph"/>
              <w:spacing w:before="10"/>
              <w:rPr>
                <w:sz w:val="25"/>
              </w:rPr>
            </w:pPr>
          </w:p>
          <w:p>
            <w:pPr>
              <w:pStyle w:val="TableParagraph"/>
              <w:ind w:right="161"/>
              <w:jc w:val="right"/>
              <w:rPr>
                <w:sz w:val="24"/>
              </w:rPr>
            </w:pPr>
            <w:r>
              <w:rPr>
                <w:sz w:val="24"/>
              </w:rPr>
              <w:t>GS-009</w:t>
            </w:r>
          </w:p>
        </w:tc>
        <w:tc>
          <w:tcPr>
            <w:tcW w:w="7227" w:type="dxa"/>
          </w:tcPr>
          <w:p>
            <w:pPr>
              <w:pStyle w:val="TableParagraph"/>
              <w:spacing w:line="242" w:lineRule="auto" w:before="174"/>
              <w:ind w:left="14" w:right="3"/>
              <w:rPr>
                <w:sz w:val="24"/>
              </w:rPr>
            </w:pPr>
            <w:r>
              <w:rPr>
                <w:sz w:val="24"/>
              </w:rPr>
              <w:t>工区任意位置瓦斯浓度达到限值；瓦斯检测与防爆设施不符合方案要求</w:t>
            </w:r>
          </w:p>
        </w:tc>
        <w:tc>
          <w:tcPr>
            <w:tcW w:w="1155" w:type="dxa"/>
          </w:tcPr>
          <w:p>
            <w:pPr>
              <w:pStyle w:val="TableParagraph"/>
              <w:spacing w:before="10"/>
              <w:rPr>
                <w:sz w:val="25"/>
              </w:rPr>
            </w:pPr>
          </w:p>
          <w:p>
            <w:pPr>
              <w:pStyle w:val="TableParagraph"/>
              <w:ind w:left="97"/>
              <w:rPr>
                <w:sz w:val="24"/>
              </w:rPr>
            </w:pPr>
            <w:r>
              <w:rPr>
                <w:sz w:val="24"/>
              </w:rPr>
              <w:t>瓦斯爆炸</w:t>
            </w:r>
          </w:p>
        </w:tc>
        <w:tc>
          <w:tcPr>
            <w:tcW w:w="2835" w:type="dxa"/>
          </w:tcPr>
          <w:p>
            <w:pPr>
              <w:pStyle w:val="TableParagraph"/>
              <w:spacing w:line="242" w:lineRule="auto" w:before="18"/>
              <w:ind w:left="15"/>
              <w:rPr>
                <w:sz w:val="24"/>
              </w:rPr>
            </w:pPr>
            <w:r>
              <w:rPr>
                <w:sz w:val="24"/>
              </w:rPr>
              <w:t>JTG F90-（9.11.8， 9.11.10）；JTG</w:t>
            </w:r>
            <w:r>
              <w:rPr>
                <w:spacing w:val="2"/>
                <w:sz w:val="24"/>
              </w:rPr>
              <w:t> </w:t>
            </w:r>
            <w:r>
              <w:rPr>
                <w:spacing w:val="-5"/>
                <w:sz w:val="24"/>
              </w:rPr>
              <w:t>F60-</w:t>
            </w:r>
          </w:p>
          <w:p>
            <w:pPr>
              <w:pStyle w:val="TableParagraph"/>
              <w:spacing w:line="304" w:lineRule="exact" w:before="3"/>
              <w:ind w:left="15"/>
              <w:rPr>
                <w:sz w:val="24"/>
              </w:rPr>
            </w:pPr>
            <w:r>
              <w:rPr>
                <w:sz w:val="24"/>
              </w:rPr>
              <w:t>（16.6.6、16.6.7）</w:t>
            </w:r>
          </w:p>
        </w:tc>
      </w:tr>
      <w:tr>
        <w:trPr>
          <w:trHeight w:val="342" w:hRule="atLeast"/>
        </w:trPr>
        <w:tc>
          <w:tcPr>
            <w:tcW w:w="1095" w:type="dxa"/>
            <w:vMerge/>
            <w:tcBorders>
              <w:top w:val="nil"/>
            </w:tcBorders>
          </w:tcPr>
          <w:p>
            <w:pPr>
              <w:rPr>
                <w:sz w:val="2"/>
                <w:szCs w:val="2"/>
              </w:rPr>
            </w:pPr>
          </w:p>
        </w:tc>
        <w:tc>
          <w:tcPr>
            <w:tcW w:w="1290" w:type="dxa"/>
            <w:vMerge w:val="restart"/>
          </w:tcPr>
          <w:p>
            <w:pPr>
              <w:pStyle w:val="TableParagraph"/>
              <w:spacing w:before="4"/>
              <w:rPr>
                <w:sz w:val="27"/>
              </w:rPr>
            </w:pPr>
          </w:p>
          <w:p>
            <w:pPr>
              <w:pStyle w:val="TableParagraph"/>
              <w:ind w:left="163"/>
              <w:rPr>
                <w:sz w:val="24"/>
              </w:rPr>
            </w:pPr>
            <w:r>
              <w:rPr>
                <w:sz w:val="24"/>
              </w:rPr>
              <w:t>防火防爆</w:t>
            </w:r>
          </w:p>
        </w:tc>
        <w:tc>
          <w:tcPr>
            <w:tcW w:w="1065" w:type="dxa"/>
          </w:tcPr>
          <w:p>
            <w:pPr>
              <w:pStyle w:val="TableParagraph"/>
              <w:spacing w:line="303" w:lineRule="exact" w:before="19"/>
              <w:ind w:right="161"/>
              <w:jc w:val="right"/>
              <w:rPr>
                <w:sz w:val="24"/>
              </w:rPr>
            </w:pPr>
            <w:r>
              <w:rPr>
                <w:sz w:val="24"/>
              </w:rPr>
              <w:t>GS-010</w:t>
            </w:r>
          </w:p>
        </w:tc>
        <w:tc>
          <w:tcPr>
            <w:tcW w:w="7227" w:type="dxa"/>
          </w:tcPr>
          <w:p>
            <w:pPr>
              <w:pStyle w:val="TableParagraph"/>
              <w:spacing w:line="303" w:lineRule="exact" w:before="19"/>
              <w:ind w:left="14"/>
              <w:rPr>
                <w:sz w:val="24"/>
              </w:rPr>
            </w:pPr>
            <w:r>
              <w:rPr>
                <w:sz w:val="24"/>
              </w:rPr>
              <w:t>隧道内土工布、防水板等易燃材料存在火灾隐患</w:t>
            </w:r>
          </w:p>
        </w:tc>
        <w:tc>
          <w:tcPr>
            <w:tcW w:w="1155" w:type="dxa"/>
            <w:vMerge w:val="restart"/>
          </w:tcPr>
          <w:p>
            <w:pPr>
              <w:pStyle w:val="TableParagraph"/>
              <w:spacing w:before="4"/>
              <w:rPr>
                <w:sz w:val="27"/>
              </w:rPr>
            </w:pPr>
          </w:p>
          <w:p>
            <w:pPr>
              <w:pStyle w:val="TableParagraph"/>
              <w:ind w:left="13"/>
              <w:rPr>
                <w:sz w:val="24"/>
              </w:rPr>
            </w:pPr>
            <w:r>
              <w:rPr>
                <w:spacing w:val="-18"/>
                <w:sz w:val="24"/>
              </w:rPr>
              <w:t>火灾，爆炸</w:t>
            </w:r>
          </w:p>
        </w:tc>
        <w:tc>
          <w:tcPr>
            <w:tcW w:w="2835" w:type="dxa"/>
            <w:vMerge w:val="restart"/>
          </w:tcPr>
          <w:p>
            <w:pPr>
              <w:pStyle w:val="TableParagraph"/>
              <w:tabs>
                <w:tab w:pos="615" w:val="left" w:leader="none"/>
              </w:tabs>
              <w:spacing w:before="194"/>
              <w:ind w:left="15"/>
              <w:rPr>
                <w:sz w:val="24"/>
              </w:rPr>
            </w:pPr>
            <w:r>
              <w:rPr>
                <w:sz w:val="24"/>
              </w:rPr>
              <w:t>JTG</w:t>
              <w:tab/>
              <w:t>F90-9.1.17；104</w:t>
            </w:r>
            <w:r>
              <w:rPr>
                <w:spacing w:val="-30"/>
                <w:sz w:val="24"/>
              </w:rPr>
              <w:t> 号</w:t>
            </w:r>
          </w:p>
          <w:p>
            <w:pPr>
              <w:pStyle w:val="TableParagraph"/>
              <w:spacing w:before="5"/>
              <w:ind w:left="15"/>
              <w:rPr>
                <w:sz w:val="24"/>
              </w:rPr>
            </w:pPr>
            <w:r>
              <w:rPr>
                <w:sz w:val="24"/>
              </w:rPr>
              <w:t>文件</w:t>
            </w:r>
          </w:p>
        </w:tc>
      </w:tr>
      <w:tr>
        <w:trPr>
          <w:trHeight w:val="653" w:hRule="atLeast"/>
        </w:trPr>
        <w:tc>
          <w:tcPr>
            <w:tcW w:w="1095" w:type="dxa"/>
            <w:vMerge/>
            <w:tcBorders>
              <w:top w:val="nil"/>
            </w:tcBorders>
          </w:tcPr>
          <w:p>
            <w:pPr>
              <w:rPr>
                <w:sz w:val="2"/>
                <w:szCs w:val="2"/>
              </w:rPr>
            </w:pPr>
          </w:p>
        </w:tc>
        <w:tc>
          <w:tcPr>
            <w:tcW w:w="1290" w:type="dxa"/>
            <w:vMerge/>
            <w:tcBorders>
              <w:top w:val="nil"/>
            </w:tcBorders>
          </w:tcPr>
          <w:p>
            <w:pPr>
              <w:rPr>
                <w:sz w:val="2"/>
                <w:szCs w:val="2"/>
              </w:rPr>
            </w:pPr>
          </w:p>
        </w:tc>
        <w:tc>
          <w:tcPr>
            <w:tcW w:w="1065" w:type="dxa"/>
          </w:tcPr>
          <w:p>
            <w:pPr>
              <w:pStyle w:val="TableParagraph"/>
              <w:spacing w:before="173"/>
              <w:ind w:right="161"/>
              <w:jc w:val="right"/>
              <w:rPr>
                <w:sz w:val="24"/>
              </w:rPr>
            </w:pPr>
            <w:r>
              <w:rPr>
                <w:sz w:val="24"/>
              </w:rPr>
              <w:t>GS-011</w:t>
            </w:r>
          </w:p>
        </w:tc>
        <w:tc>
          <w:tcPr>
            <w:tcW w:w="7227" w:type="dxa"/>
          </w:tcPr>
          <w:p>
            <w:pPr>
              <w:pStyle w:val="TableParagraph"/>
              <w:spacing w:line="310" w:lineRule="atLeast" w:before="15"/>
              <w:ind w:left="14" w:right="3"/>
              <w:rPr>
                <w:sz w:val="24"/>
              </w:rPr>
            </w:pPr>
            <w:r>
              <w:rPr>
                <w:sz w:val="24"/>
              </w:rPr>
              <w:t>隧道内存放、加工、销毁民用爆炸物品；使用非专用车辆运输民用爆炸物品或人药混装运输</w:t>
            </w:r>
          </w:p>
        </w:tc>
        <w:tc>
          <w:tcPr>
            <w:tcW w:w="1155" w:type="dxa"/>
            <w:vMerge/>
            <w:tcBorders>
              <w:top w:val="nil"/>
            </w:tcBorders>
          </w:tcPr>
          <w:p>
            <w:pPr>
              <w:rPr>
                <w:sz w:val="2"/>
                <w:szCs w:val="2"/>
              </w:rPr>
            </w:pPr>
          </w:p>
        </w:tc>
        <w:tc>
          <w:tcPr>
            <w:tcW w:w="2835" w:type="dxa"/>
            <w:vMerge/>
            <w:tcBorders>
              <w:top w:val="nil"/>
            </w:tcBorders>
          </w:tcPr>
          <w:p>
            <w:pPr>
              <w:rPr>
                <w:sz w:val="2"/>
                <w:szCs w:val="2"/>
              </w:rPr>
            </w:pPr>
          </w:p>
        </w:tc>
      </w:tr>
    </w:tbl>
    <w:p>
      <w:pPr>
        <w:spacing w:line="242" w:lineRule="auto" w:before="9"/>
        <w:ind w:left="1081" w:right="7519" w:hanging="720"/>
        <w:jc w:val="left"/>
        <w:rPr>
          <w:sz w:val="24"/>
        </w:rPr>
      </w:pPr>
      <w:r>
        <w:rPr>
          <w:sz w:val="24"/>
        </w:rPr>
        <w:t>备注：1.JTG F90：《公路工程施工安全技术规范》 (JTG F90-2015）； 2.JTG/T F50：《公路桥涵施工技术规范》（JTG/T F50-2011）；</w:t>
      </w:r>
    </w:p>
    <w:p>
      <w:pPr>
        <w:pStyle w:val="ListParagraph"/>
        <w:numPr>
          <w:ilvl w:val="0"/>
          <w:numId w:val="30"/>
        </w:numPr>
        <w:tabs>
          <w:tab w:pos="1323" w:val="left" w:leader="none"/>
        </w:tabs>
        <w:spacing w:line="240" w:lineRule="auto" w:before="3" w:after="0"/>
        <w:ind w:left="1322" w:right="0" w:hanging="242"/>
        <w:jc w:val="left"/>
        <w:rPr>
          <w:sz w:val="24"/>
        </w:rPr>
      </w:pPr>
      <w:r>
        <w:rPr>
          <w:sz w:val="24"/>
        </w:rPr>
        <w:t>JTG F60：《公路隧道施工技术规范》（JTG F60-2009）；</w:t>
      </w:r>
    </w:p>
    <w:p>
      <w:pPr>
        <w:pStyle w:val="ListParagraph"/>
        <w:numPr>
          <w:ilvl w:val="0"/>
          <w:numId w:val="30"/>
        </w:numPr>
        <w:tabs>
          <w:tab w:pos="1323" w:val="left" w:leader="none"/>
        </w:tabs>
        <w:spacing w:line="240" w:lineRule="auto" w:before="4" w:after="0"/>
        <w:ind w:left="1322" w:right="0" w:hanging="242"/>
        <w:jc w:val="left"/>
        <w:rPr>
          <w:sz w:val="24"/>
        </w:rPr>
      </w:pPr>
      <w:r>
        <w:rPr>
          <w:sz w:val="24"/>
        </w:rPr>
        <w:t>JTG/T F60：《公路隧道施工技术细则》（JTG/T F60-2009）；</w:t>
      </w:r>
    </w:p>
    <w:p>
      <w:pPr>
        <w:spacing w:line="242" w:lineRule="auto" w:before="5"/>
        <w:ind w:left="1321" w:right="339" w:hanging="240"/>
        <w:jc w:val="left"/>
        <w:rPr>
          <w:sz w:val="24"/>
        </w:rPr>
      </w:pPr>
      <w:r>
        <w:rPr>
          <w:sz w:val="24"/>
        </w:rPr>
        <w:t>5.77</w:t>
      </w:r>
      <w:r>
        <w:rPr>
          <w:spacing w:val="-13"/>
          <w:sz w:val="24"/>
        </w:rPr>
        <w:t> 号文件：交通运输部办公厅关于转发重庆市交通委员会关于加强桥梁工程双壁钢围堰施工安全管理工作的通知</w:t>
      </w:r>
      <w:r>
        <w:rPr>
          <w:sz w:val="24"/>
        </w:rPr>
        <w:t>（</w:t>
      </w:r>
      <w:r>
        <w:rPr>
          <w:spacing w:val="-13"/>
          <w:sz w:val="24"/>
        </w:rPr>
        <w:t>交办安监〔</w:t>
      </w:r>
      <w:r>
        <w:rPr>
          <w:sz w:val="24"/>
        </w:rPr>
        <w:t>2015</w:t>
      </w:r>
      <w:r>
        <w:rPr>
          <w:spacing w:val="-16"/>
          <w:sz w:val="24"/>
        </w:rPr>
        <w:t>〕</w:t>
      </w:r>
      <w:r>
        <w:rPr>
          <w:sz w:val="24"/>
        </w:rPr>
        <w:t>77</w:t>
      </w:r>
      <w:r>
        <w:rPr>
          <w:spacing w:val="-30"/>
          <w:sz w:val="24"/>
        </w:rPr>
        <w:t> 号</w:t>
      </w:r>
      <w:r>
        <w:rPr>
          <w:sz w:val="24"/>
        </w:rPr>
        <w:t>）；</w:t>
      </w:r>
    </w:p>
    <w:p>
      <w:pPr>
        <w:spacing w:before="2"/>
        <w:ind w:left="1081" w:right="0" w:firstLine="0"/>
        <w:jc w:val="left"/>
        <w:rPr>
          <w:sz w:val="24"/>
        </w:rPr>
      </w:pPr>
      <w:r>
        <w:rPr>
          <w:sz w:val="24"/>
        </w:rPr>
        <w:t>6.104 号文件：国家安全监管总局 交通运输部 国务院国资委 国家铁路局关于印发《隧道施工安全九条规定》的通知（安监总管二</w:t>
      </w:r>
    </w:p>
    <w:p>
      <w:pPr>
        <w:spacing w:before="5"/>
        <w:ind w:left="1201" w:right="0" w:firstLine="0"/>
        <w:jc w:val="left"/>
        <w:rPr>
          <w:sz w:val="24"/>
        </w:rPr>
      </w:pPr>
      <w:r>
        <w:rPr>
          <w:sz w:val="24"/>
        </w:rPr>
        <w:t>〔2014〕104 号）。</w:t>
      </w:r>
    </w:p>
    <w:p>
      <w:pPr>
        <w:spacing w:after="0"/>
        <w:jc w:val="left"/>
        <w:rPr>
          <w:sz w:val="24"/>
        </w:rPr>
        <w:sectPr>
          <w:pgSz w:w="16840" w:h="11910" w:orient="landscape"/>
          <w:pgMar w:header="0" w:footer="1000" w:top="1100" w:bottom="1180" w:left="740" w:right="640"/>
        </w:sectPr>
      </w:pPr>
    </w:p>
    <w:p>
      <w:pPr>
        <w:pStyle w:val="BodyText"/>
        <w:ind w:left="0"/>
        <w:rPr>
          <w:sz w:val="20"/>
        </w:rPr>
      </w:pPr>
    </w:p>
    <w:p>
      <w:pPr>
        <w:pStyle w:val="BodyText"/>
        <w:ind w:left="0"/>
        <w:rPr>
          <w:sz w:val="20"/>
        </w:rPr>
      </w:pPr>
    </w:p>
    <w:p>
      <w:pPr>
        <w:pStyle w:val="BodyText"/>
        <w:spacing w:before="4"/>
        <w:ind w:left="0"/>
        <w:rPr>
          <w:sz w:val="18"/>
        </w:rPr>
      </w:pPr>
    </w:p>
    <w:p>
      <w:pPr>
        <w:pStyle w:val="BodyText"/>
        <w:spacing w:before="55"/>
        <w:ind w:left="700"/>
      </w:pPr>
      <w:r>
        <w:rPr>
          <w:rFonts w:ascii="黑体" w:eastAsia="黑体" w:hint="eastAsia"/>
        </w:rPr>
        <w:t>附件 </w:t>
      </w:r>
      <w:r>
        <w:rPr/>
        <w:t>2</w:t>
      </w:r>
    </w:p>
    <w:p>
      <w:pPr>
        <w:pStyle w:val="BodyText"/>
        <w:ind w:left="0"/>
        <w:rPr>
          <w:sz w:val="20"/>
        </w:rPr>
      </w:pPr>
    </w:p>
    <w:p>
      <w:pPr>
        <w:pStyle w:val="Heading3"/>
        <w:spacing w:before="164"/>
        <w:ind w:left="4609" w:right="4709" w:firstLine="0"/>
        <w:jc w:val="center"/>
        <w:rPr>
          <w:rFonts w:ascii="宋体" w:eastAsia="宋体" w:hint="eastAsia"/>
        </w:rPr>
      </w:pPr>
      <w:r>
        <w:rPr>
          <w:rFonts w:ascii="Microsoft JhengHei UI" w:eastAsia="Microsoft JhengHei UI" w:hint="eastAsia"/>
        </w:rPr>
        <w:t>水运</w:t>
      </w:r>
      <w:r>
        <w:rPr>
          <w:rFonts w:ascii="宋体" w:eastAsia="宋体" w:hint="eastAsia"/>
        </w:rPr>
        <w:t>工程重大事故隐患清单（行业基础版）</w:t>
      </w: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9"/>
        </w:rPr>
      </w:pPr>
    </w:p>
    <w:p>
      <w:pPr>
        <w:spacing w:before="66"/>
        <w:ind w:left="15114" w:right="0" w:firstLine="0"/>
        <w:jc w:val="left"/>
        <w:rPr>
          <w:sz w:val="24"/>
        </w:rPr>
      </w:pPr>
      <w:r>
        <w:rPr/>
        <w:pict>
          <v:shape style="position:absolute;margin-left:42.16pt;margin-top:-128.509003pt;width:757.8pt;height:298.55pt;mso-position-horizontal-relative:page;mso-position-vertical-relative:paragraph;z-index:251661312"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16"/>
                    <w:gridCol w:w="1029"/>
                    <w:gridCol w:w="757"/>
                    <w:gridCol w:w="6880"/>
                    <w:gridCol w:w="1662"/>
                    <w:gridCol w:w="3697"/>
                  </w:tblGrid>
                  <w:tr>
                    <w:trPr>
                      <w:trHeight w:val="652" w:hRule="atLeast"/>
                    </w:trPr>
                    <w:tc>
                      <w:tcPr>
                        <w:tcW w:w="1116" w:type="dxa"/>
                      </w:tcPr>
                      <w:p>
                        <w:pPr>
                          <w:pStyle w:val="TableParagraph"/>
                          <w:spacing w:before="171"/>
                          <w:ind w:left="58" w:right="48"/>
                          <w:jc w:val="center"/>
                          <w:rPr>
                            <w:rFonts w:ascii="黑体" w:eastAsia="黑体" w:hint="eastAsia"/>
                            <w:sz w:val="24"/>
                          </w:rPr>
                        </w:pPr>
                        <w:r>
                          <w:rPr>
                            <w:rFonts w:ascii="黑体" w:eastAsia="黑体" w:hint="eastAsia"/>
                            <w:sz w:val="24"/>
                          </w:rPr>
                          <w:t>工程类别</w:t>
                        </w:r>
                      </w:p>
                    </w:tc>
                    <w:tc>
                      <w:tcPr>
                        <w:tcW w:w="1029" w:type="dxa"/>
                      </w:tcPr>
                      <w:p>
                        <w:pPr>
                          <w:pStyle w:val="TableParagraph"/>
                          <w:spacing w:before="171"/>
                          <w:ind w:left="12" w:right="6"/>
                          <w:jc w:val="center"/>
                          <w:rPr>
                            <w:rFonts w:ascii="黑体" w:eastAsia="黑体" w:hint="eastAsia"/>
                            <w:sz w:val="24"/>
                          </w:rPr>
                        </w:pPr>
                        <w:r>
                          <w:rPr>
                            <w:rFonts w:ascii="黑体" w:eastAsia="黑体" w:hint="eastAsia"/>
                            <w:sz w:val="24"/>
                          </w:rPr>
                          <w:t>施工环节</w:t>
                        </w:r>
                      </w:p>
                    </w:tc>
                    <w:tc>
                      <w:tcPr>
                        <w:tcW w:w="757" w:type="dxa"/>
                      </w:tcPr>
                      <w:p>
                        <w:pPr>
                          <w:pStyle w:val="TableParagraph"/>
                          <w:spacing w:line="310" w:lineRule="atLeast" w:before="15"/>
                          <w:ind w:left="138" w:right="126"/>
                          <w:rPr>
                            <w:rFonts w:ascii="黑体" w:eastAsia="黑体" w:hint="eastAsia"/>
                            <w:sz w:val="24"/>
                          </w:rPr>
                        </w:pPr>
                        <w:r>
                          <w:rPr>
                            <w:rFonts w:ascii="黑体" w:eastAsia="黑体" w:hint="eastAsia"/>
                            <w:sz w:val="24"/>
                          </w:rPr>
                          <w:t>隐患编号</w:t>
                        </w:r>
                      </w:p>
                    </w:tc>
                    <w:tc>
                      <w:tcPr>
                        <w:tcW w:w="6880" w:type="dxa"/>
                      </w:tcPr>
                      <w:p>
                        <w:pPr>
                          <w:pStyle w:val="TableParagraph"/>
                          <w:spacing w:before="171"/>
                          <w:ind w:left="2940" w:right="2930"/>
                          <w:jc w:val="center"/>
                          <w:rPr>
                            <w:rFonts w:ascii="黑体" w:eastAsia="黑体" w:hint="eastAsia"/>
                            <w:sz w:val="24"/>
                          </w:rPr>
                        </w:pPr>
                        <w:r>
                          <w:rPr>
                            <w:rFonts w:ascii="黑体" w:eastAsia="黑体" w:hint="eastAsia"/>
                            <w:sz w:val="24"/>
                          </w:rPr>
                          <w:t>隐患内容</w:t>
                        </w:r>
                      </w:p>
                    </w:tc>
                    <w:tc>
                      <w:tcPr>
                        <w:tcW w:w="1662" w:type="dxa"/>
                      </w:tcPr>
                      <w:p>
                        <w:pPr>
                          <w:pStyle w:val="TableParagraph"/>
                          <w:spacing w:line="310" w:lineRule="atLeast" w:before="15"/>
                          <w:ind w:left="349" w:right="340" w:firstLine="120"/>
                          <w:rPr>
                            <w:rFonts w:ascii="黑体" w:eastAsia="黑体" w:hint="eastAsia"/>
                            <w:sz w:val="24"/>
                          </w:rPr>
                        </w:pPr>
                        <w:r>
                          <w:rPr>
                            <w:rFonts w:ascii="黑体" w:eastAsia="黑体" w:hint="eastAsia"/>
                            <w:sz w:val="24"/>
                          </w:rPr>
                          <w:t>易引发事故类型</w:t>
                        </w:r>
                      </w:p>
                    </w:tc>
                    <w:tc>
                      <w:tcPr>
                        <w:tcW w:w="3697" w:type="dxa"/>
                      </w:tcPr>
                      <w:p>
                        <w:pPr>
                          <w:pStyle w:val="TableParagraph"/>
                          <w:spacing w:before="171"/>
                          <w:ind w:left="1348" w:right="1338"/>
                          <w:jc w:val="center"/>
                          <w:rPr>
                            <w:rFonts w:ascii="黑体" w:eastAsia="黑体" w:hint="eastAsia"/>
                            <w:sz w:val="24"/>
                          </w:rPr>
                        </w:pPr>
                        <w:r>
                          <w:rPr>
                            <w:rFonts w:ascii="黑体" w:eastAsia="黑体" w:hint="eastAsia"/>
                            <w:sz w:val="24"/>
                          </w:rPr>
                          <w:t>判定依据</w:t>
                        </w:r>
                      </w:p>
                    </w:tc>
                  </w:tr>
                  <w:tr>
                    <w:trPr>
                      <w:trHeight w:val="652" w:hRule="atLeast"/>
                    </w:trPr>
                    <w:tc>
                      <w:tcPr>
                        <w:tcW w:w="1116" w:type="dxa"/>
                      </w:tcPr>
                      <w:p>
                        <w:pPr>
                          <w:pStyle w:val="TableParagraph"/>
                          <w:spacing w:before="170"/>
                          <w:ind w:left="58" w:right="48"/>
                          <w:jc w:val="center"/>
                          <w:rPr>
                            <w:sz w:val="24"/>
                          </w:rPr>
                        </w:pPr>
                        <w:r>
                          <w:rPr>
                            <w:sz w:val="24"/>
                          </w:rPr>
                          <w:t>工程管理</w:t>
                        </w:r>
                      </w:p>
                    </w:tc>
                    <w:tc>
                      <w:tcPr>
                        <w:tcW w:w="1029" w:type="dxa"/>
                      </w:tcPr>
                      <w:p>
                        <w:pPr>
                          <w:pStyle w:val="TableParagraph"/>
                          <w:spacing w:before="170"/>
                          <w:ind w:left="12" w:right="6"/>
                          <w:jc w:val="center"/>
                          <w:rPr>
                            <w:sz w:val="24"/>
                          </w:rPr>
                        </w:pPr>
                        <w:r>
                          <w:rPr>
                            <w:sz w:val="24"/>
                          </w:rPr>
                          <w:t>方案管理</w:t>
                        </w:r>
                      </w:p>
                    </w:tc>
                    <w:tc>
                      <w:tcPr>
                        <w:tcW w:w="757" w:type="dxa"/>
                      </w:tcPr>
                      <w:p>
                        <w:pPr>
                          <w:pStyle w:val="TableParagraph"/>
                          <w:spacing w:before="170"/>
                          <w:ind w:right="6"/>
                          <w:jc w:val="right"/>
                          <w:rPr>
                            <w:sz w:val="24"/>
                          </w:rPr>
                        </w:pPr>
                        <w:r>
                          <w:rPr>
                            <w:sz w:val="24"/>
                          </w:rPr>
                          <w:t>SG—01</w:t>
                        </w:r>
                      </w:p>
                    </w:tc>
                    <w:tc>
                      <w:tcPr>
                        <w:tcW w:w="6880" w:type="dxa"/>
                      </w:tcPr>
                      <w:p>
                        <w:pPr>
                          <w:pStyle w:val="TableParagraph"/>
                          <w:spacing w:line="310" w:lineRule="atLeast" w:before="14"/>
                          <w:ind w:left="15" w:right="3"/>
                          <w:rPr>
                            <w:sz w:val="24"/>
                          </w:rPr>
                        </w:pPr>
                        <w:r>
                          <w:rPr>
                            <w:spacing w:val="-7"/>
                            <w:sz w:val="24"/>
                          </w:rPr>
                          <w:t>危险性较大的分部分项工程未编制专项施工方案，方案未按程序审</w:t>
                        </w:r>
                        <w:r>
                          <w:rPr>
                            <w:sz w:val="24"/>
                          </w:rPr>
                          <w:t>核批准，未按方案施工</w:t>
                        </w:r>
                      </w:p>
                    </w:tc>
                    <w:tc>
                      <w:tcPr>
                        <w:tcW w:w="1662" w:type="dxa"/>
                      </w:tcPr>
                      <w:p>
                        <w:pPr>
                          <w:pStyle w:val="TableParagraph"/>
                          <w:spacing w:before="170"/>
                          <w:ind w:left="7"/>
                          <w:jc w:val="center"/>
                          <w:rPr>
                            <w:sz w:val="24"/>
                          </w:rPr>
                        </w:pPr>
                        <w:r>
                          <w:rPr>
                            <w:sz w:val="24"/>
                          </w:rPr>
                          <w:t>各类事故</w:t>
                        </w:r>
                      </w:p>
                    </w:tc>
                    <w:tc>
                      <w:tcPr>
                        <w:tcW w:w="3697" w:type="dxa"/>
                      </w:tcPr>
                      <w:p>
                        <w:pPr>
                          <w:pStyle w:val="TableParagraph"/>
                          <w:spacing w:line="310" w:lineRule="atLeast" w:before="14"/>
                          <w:ind w:left="14" w:right="70"/>
                          <w:rPr>
                            <w:sz w:val="24"/>
                          </w:rPr>
                        </w:pPr>
                        <w:r>
                          <w:rPr>
                            <w:b/>
                            <w:sz w:val="24"/>
                          </w:rPr>
                          <w:t>《</w:t>
                        </w:r>
                        <w:r>
                          <w:rPr>
                            <w:sz w:val="24"/>
                          </w:rPr>
                          <w:t>公路水运工程安全生产监督管理办法》第 23 条；JTS205-4.7.7</w:t>
                        </w:r>
                      </w:p>
                    </w:tc>
                  </w:tr>
                  <w:tr>
                    <w:trPr>
                      <w:trHeight w:val="652" w:hRule="atLeast"/>
                    </w:trPr>
                    <w:tc>
                      <w:tcPr>
                        <w:tcW w:w="1116" w:type="dxa"/>
                        <w:vMerge w:val="restart"/>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22"/>
                          </w:rPr>
                        </w:pPr>
                      </w:p>
                      <w:p>
                        <w:pPr>
                          <w:pStyle w:val="TableParagraph"/>
                          <w:ind w:left="78"/>
                          <w:rPr>
                            <w:sz w:val="24"/>
                          </w:rPr>
                        </w:pPr>
                        <w:r>
                          <w:rPr>
                            <w:sz w:val="24"/>
                          </w:rPr>
                          <w:t>辅助施工</w:t>
                        </w:r>
                      </w:p>
                    </w:tc>
                    <w:tc>
                      <w:tcPr>
                        <w:tcW w:w="1029" w:type="dxa"/>
                        <w:vMerge w:val="restart"/>
                      </w:tcPr>
                      <w:p>
                        <w:pPr>
                          <w:pStyle w:val="TableParagraph"/>
                          <w:rPr>
                            <w:sz w:val="24"/>
                          </w:rPr>
                        </w:pPr>
                      </w:p>
                      <w:p>
                        <w:pPr>
                          <w:pStyle w:val="TableParagraph"/>
                          <w:rPr>
                            <w:sz w:val="24"/>
                          </w:rPr>
                        </w:pPr>
                      </w:p>
                      <w:p>
                        <w:pPr>
                          <w:pStyle w:val="TableParagraph"/>
                          <w:spacing w:before="2"/>
                          <w:rPr>
                            <w:sz w:val="29"/>
                          </w:rPr>
                        </w:pPr>
                      </w:p>
                      <w:p>
                        <w:pPr>
                          <w:pStyle w:val="TableParagraph"/>
                          <w:spacing w:before="1"/>
                          <w:ind w:left="32"/>
                          <w:rPr>
                            <w:sz w:val="24"/>
                          </w:rPr>
                        </w:pPr>
                        <w:r>
                          <w:rPr>
                            <w:sz w:val="24"/>
                          </w:rPr>
                          <w:t>工地建设</w:t>
                        </w:r>
                      </w:p>
                    </w:tc>
                    <w:tc>
                      <w:tcPr>
                        <w:tcW w:w="757" w:type="dxa"/>
                      </w:tcPr>
                      <w:p>
                        <w:pPr>
                          <w:pStyle w:val="TableParagraph"/>
                          <w:spacing w:before="171"/>
                          <w:ind w:right="6"/>
                          <w:jc w:val="right"/>
                          <w:rPr>
                            <w:sz w:val="24"/>
                          </w:rPr>
                        </w:pPr>
                        <w:r>
                          <w:rPr>
                            <w:sz w:val="24"/>
                          </w:rPr>
                          <w:t>SF—01</w:t>
                        </w:r>
                      </w:p>
                    </w:tc>
                    <w:tc>
                      <w:tcPr>
                        <w:tcW w:w="6880" w:type="dxa"/>
                      </w:tcPr>
                      <w:p>
                        <w:pPr>
                          <w:pStyle w:val="TableParagraph"/>
                          <w:spacing w:line="310" w:lineRule="atLeast" w:before="15"/>
                          <w:ind w:left="15" w:right="3"/>
                          <w:rPr>
                            <w:sz w:val="24"/>
                          </w:rPr>
                        </w:pPr>
                        <w:r>
                          <w:rPr>
                            <w:spacing w:val="-8"/>
                            <w:sz w:val="24"/>
                          </w:rPr>
                          <w:t>施工驻地及场站设置在易受山体滑坡、泥石流、或易受潮水、洪水</w:t>
                        </w:r>
                        <w:r>
                          <w:rPr>
                            <w:sz w:val="24"/>
                          </w:rPr>
                          <w:t>侵袭和雷击的区域</w:t>
                        </w:r>
                      </w:p>
                    </w:tc>
                    <w:tc>
                      <w:tcPr>
                        <w:tcW w:w="1662" w:type="dxa"/>
                      </w:tcPr>
                      <w:p>
                        <w:pPr>
                          <w:pStyle w:val="TableParagraph"/>
                          <w:spacing w:line="310" w:lineRule="atLeast" w:before="15"/>
                          <w:ind w:left="229" w:right="4" w:hanging="216"/>
                          <w:rPr>
                            <w:sz w:val="24"/>
                          </w:rPr>
                        </w:pPr>
                        <w:r>
                          <w:rPr>
                            <w:spacing w:val="-11"/>
                            <w:sz w:val="24"/>
                          </w:rPr>
                          <w:t>山体滑坡、泥石</w:t>
                        </w:r>
                        <w:r>
                          <w:rPr>
                            <w:sz w:val="24"/>
                          </w:rPr>
                          <w:t>流自然灾害</w:t>
                        </w:r>
                      </w:p>
                    </w:tc>
                    <w:tc>
                      <w:tcPr>
                        <w:tcW w:w="3697" w:type="dxa"/>
                      </w:tcPr>
                      <w:p>
                        <w:pPr>
                          <w:pStyle w:val="TableParagraph"/>
                          <w:spacing w:before="171"/>
                          <w:ind w:left="14"/>
                          <w:rPr>
                            <w:sz w:val="24"/>
                          </w:rPr>
                        </w:pPr>
                        <w:r>
                          <w:rPr>
                            <w:sz w:val="24"/>
                          </w:rPr>
                          <w:t>JTS205-4.1.2</w:t>
                        </w:r>
                      </w:p>
                    </w:tc>
                  </w:tr>
                  <w:tr>
                    <w:trPr>
                      <w:trHeight w:val="1275" w:hRule="atLeast"/>
                    </w:trPr>
                    <w:tc>
                      <w:tcPr>
                        <w:tcW w:w="1116" w:type="dxa"/>
                        <w:vMerge/>
                        <w:tcBorders>
                          <w:top w:val="nil"/>
                        </w:tcBorders>
                      </w:tcPr>
                      <w:p>
                        <w:pPr>
                          <w:rPr>
                            <w:sz w:val="2"/>
                            <w:szCs w:val="2"/>
                          </w:rPr>
                        </w:pPr>
                      </w:p>
                    </w:tc>
                    <w:tc>
                      <w:tcPr>
                        <w:tcW w:w="1029" w:type="dxa"/>
                        <w:vMerge/>
                        <w:tcBorders>
                          <w:top w:val="nil"/>
                        </w:tcBorders>
                      </w:tcPr>
                      <w:p>
                        <w:pPr>
                          <w:rPr>
                            <w:sz w:val="2"/>
                            <w:szCs w:val="2"/>
                          </w:rPr>
                        </w:pPr>
                      </w:p>
                    </w:tc>
                    <w:tc>
                      <w:tcPr>
                        <w:tcW w:w="757" w:type="dxa"/>
                      </w:tcPr>
                      <w:p>
                        <w:pPr>
                          <w:pStyle w:val="TableParagraph"/>
                          <w:rPr>
                            <w:sz w:val="24"/>
                          </w:rPr>
                        </w:pPr>
                      </w:p>
                      <w:p>
                        <w:pPr>
                          <w:pStyle w:val="TableParagraph"/>
                          <w:spacing w:before="175"/>
                          <w:ind w:right="6"/>
                          <w:jc w:val="right"/>
                          <w:rPr>
                            <w:sz w:val="24"/>
                          </w:rPr>
                        </w:pPr>
                        <w:r>
                          <w:rPr>
                            <w:sz w:val="24"/>
                          </w:rPr>
                          <w:t>SF—02</w:t>
                        </w:r>
                      </w:p>
                    </w:tc>
                    <w:tc>
                      <w:tcPr>
                        <w:tcW w:w="6880" w:type="dxa"/>
                      </w:tcPr>
                      <w:p>
                        <w:pPr>
                          <w:pStyle w:val="TableParagraph"/>
                          <w:spacing w:line="242" w:lineRule="auto" w:before="170"/>
                          <w:ind w:left="15" w:right="3"/>
                          <w:rPr>
                            <w:sz w:val="24"/>
                          </w:rPr>
                        </w:pPr>
                        <w:r>
                          <w:rPr>
                            <w:spacing w:val="-10"/>
                            <w:sz w:val="24"/>
                          </w:rPr>
                          <w:t>施工现场办公、生活区和作业区未分开设置或安全距离不足，易燃</w:t>
                        </w:r>
                        <w:r>
                          <w:rPr>
                            <w:sz w:val="24"/>
                          </w:rPr>
                          <w:t>易爆物品仓库或其他危险品仓库的布置以及与相邻建筑物的距离不符合国家和有关部门的规定</w:t>
                        </w:r>
                      </w:p>
                    </w:tc>
                    <w:tc>
                      <w:tcPr>
                        <w:tcW w:w="1662" w:type="dxa"/>
                      </w:tcPr>
                      <w:p>
                        <w:pPr>
                          <w:pStyle w:val="TableParagraph"/>
                          <w:rPr>
                            <w:sz w:val="24"/>
                          </w:rPr>
                        </w:pPr>
                      </w:p>
                      <w:p>
                        <w:pPr>
                          <w:pStyle w:val="TableParagraph"/>
                          <w:spacing w:before="175"/>
                          <w:ind w:left="7"/>
                          <w:jc w:val="center"/>
                          <w:rPr>
                            <w:sz w:val="24"/>
                          </w:rPr>
                        </w:pPr>
                        <w:r>
                          <w:rPr>
                            <w:sz w:val="24"/>
                          </w:rPr>
                          <w:t>火灾、爆炸</w:t>
                        </w:r>
                      </w:p>
                    </w:tc>
                    <w:tc>
                      <w:tcPr>
                        <w:tcW w:w="3697" w:type="dxa"/>
                      </w:tcPr>
                      <w:p>
                        <w:pPr>
                          <w:pStyle w:val="TableParagraph"/>
                          <w:spacing w:line="242" w:lineRule="auto" w:before="16"/>
                          <w:ind w:left="14" w:right="5"/>
                          <w:rPr>
                            <w:sz w:val="24"/>
                          </w:rPr>
                        </w:pPr>
                        <w:r>
                          <w:rPr>
                            <w:sz w:val="24"/>
                          </w:rPr>
                          <w:t>《公路水运工程安全生产监督管理</w:t>
                        </w:r>
                        <w:r>
                          <w:rPr>
                            <w:spacing w:val="-17"/>
                            <w:sz w:val="24"/>
                          </w:rPr>
                          <w:t>办法》第 </w:t>
                        </w:r>
                        <w:r>
                          <w:rPr>
                            <w:sz w:val="24"/>
                          </w:rPr>
                          <w:t>25</w:t>
                        </w:r>
                        <w:r>
                          <w:rPr>
                            <w:spacing w:val="-13"/>
                            <w:sz w:val="24"/>
                          </w:rPr>
                          <w:t> 条；《危险化学品安全</w:t>
                        </w:r>
                      </w:p>
                      <w:p>
                        <w:pPr>
                          <w:pStyle w:val="TableParagraph"/>
                          <w:spacing w:before="1"/>
                          <w:ind w:left="14"/>
                          <w:rPr>
                            <w:sz w:val="24"/>
                          </w:rPr>
                        </w:pPr>
                        <w:r>
                          <w:rPr>
                            <w:spacing w:val="-13"/>
                            <w:sz w:val="24"/>
                          </w:rPr>
                          <w:t>管理条例》第 </w:t>
                        </w:r>
                        <w:r>
                          <w:rPr>
                            <w:sz w:val="24"/>
                          </w:rPr>
                          <w:t>19</w:t>
                        </w:r>
                        <w:r>
                          <w:rPr>
                            <w:spacing w:val="-20"/>
                            <w:sz w:val="24"/>
                          </w:rPr>
                          <w:t> 条；</w:t>
                        </w:r>
                        <w:r>
                          <w:rPr>
                            <w:spacing w:val="-3"/>
                            <w:sz w:val="24"/>
                          </w:rPr>
                          <w:t>GB18265-6.1</w:t>
                        </w:r>
                      </w:p>
                      <w:p>
                        <w:pPr>
                          <w:pStyle w:val="TableParagraph"/>
                          <w:spacing w:line="307" w:lineRule="exact" w:before="2"/>
                          <w:ind w:left="14"/>
                          <w:rPr>
                            <w:sz w:val="24"/>
                          </w:rPr>
                        </w:pPr>
                        <w:r>
                          <w:rPr>
                            <w:sz w:val="24"/>
                          </w:rPr>
                          <w:t>JTS205-4.1.5、4.5.6</w:t>
                        </w:r>
                      </w:p>
                    </w:tc>
                  </w:tr>
                  <w:tr>
                    <w:trPr>
                      <w:trHeight w:val="341" w:hRule="atLeast"/>
                    </w:trPr>
                    <w:tc>
                      <w:tcPr>
                        <w:tcW w:w="1116" w:type="dxa"/>
                        <w:vMerge/>
                        <w:tcBorders>
                          <w:top w:val="nil"/>
                        </w:tcBorders>
                      </w:tcPr>
                      <w:p>
                        <w:pPr>
                          <w:rPr>
                            <w:sz w:val="2"/>
                            <w:szCs w:val="2"/>
                          </w:rPr>
                        </w:pPr>
                      </w:p>
                    </w:tc>
                    <w:tc>
                      <w:tcPr>
                        <w:tcW w:w="1029" w:type="dxa"/>
                        <w:vMerge/>
                        <w:tcBorders>
                          <w:top w:val="nil"/>
                        </w:tcBorders>
                      </w:tcPr>
                      <w:p>
                        <w:pPr>
                          <w:rPr>
                            <w:sz w:val="2"/>
                            <w:szCs w:val="2"/>
                          </w:rPr>
                        </w:pPr>
                      </w:p>
                    </w:tc>
                    <w:tc>
                      <w:tcPr>
                        <w:tcW w:w="757" w:type="dxa"/>
                      </w:tcPr>
                      <w:p>
                        <w:pPr>
                          <w:pStyle w:val="TableParagraph"/>
                          <w:spacing w:line="305" w:lineRule="exact" w:before="15"/>
                          <w:ind w:right="6"/>
                          <w:jc w:val="right"/>
                          <w:rPr>
                            <w:sz w:val="24"/>
                          </w:rPr>
                        </w:pPr>
                        <w:r>
                          <w:rPr>
                            <w:sz w:val="24"/>
                          </w:rPr>
                          <w:t>SF—03</w:t>
                        </w:r>
                      </w:p>
                    </w:tc>
                    <w:tc>
                      <w:tcPr>
                        <w:tcW w:w="6880" w:type="dxa"/>
                      </w:tcPr>
                      <w:p>
                        <w:pPr>
                          <w:pStyle w:val="TableParagraph"/>
                          <w:spacing w:line="305" w:lineRule="exact" w:before="15"/>
                          <w:ind w:left="15"/>
                          <w:rPr>
                            <w:sz w:val="24"/>
                          </w:rPr>
                        </w:pPr>
                        <w:r>
                          <w:rPr>
                            <w:sz w:val="24"/>
                          </w:rPr>
                          <w:t>生产生活区防火及用电安全措施存在严重缺陷，安全通道不畅</w:t>
                        </w:r>
                      </w:p>
                    </w:tc>
                    <w:tc>
                      <w:tcPr>
                        <w:tcW w:w="1662" w:type="dxa"/>
                      </w:tcPr>
                      <w:p>
                        <w:pPr>
                          <w:pStyle w:val="TableParagraph"/>
                          <w:spacing w:line="305" w:lineRule="exact" w:before="15"/>
                          <w:ind w:left="7"/>
                          <w:jc w:val="center"/>
                          <w:rPr>
                            <w:sz w:val="24"/>
                          </w:rPr>
                        </w:pPr>
                        <w:r>
                          <w:rPr>
                            <w:sz w:val="24"/>
                          </w:rPr>
                          <w:t>火灾、爆炸</w:t>
                        </w:r>
                      </w:p>
                    </w:tc>
                    <w:tc>
                      <w:tcPr>
                        <w:tcW w:w="3697" w:type="dxa"/>
                      </w:tcPr>
                      <w:p>
                        <w:pPr>
                          <w:pStyle w:val="TableParagraph"/>
                          <w:spacing w:line="305" w:lineRule="exact" w:before="15"/>
                          <w:ind w:left="14"/>
                          <w:rPr>
                            <w:sz w:val="24"/>
                          </w:rPr>
                        </w:pPr>
                        <w:r>
                          <w:rPr>
                            <w:sz w:val="24"/>
                          </w:rPr>
                          <w:t>JTS205-4.1.1</w:t>
                        </w:r>
                      </w:p>
                    </w:tc>
                  </w:tr>
                  <w:tr>
                    <w:trPr>
                      <w:trHeight w:val="651" w:hRule="atLeast"/>
                    </w:trPr>
                    <w:tc>
                      <w:tcPr>
                        <w:tcW w:w="1116" w:type="dxa"/>
                        <w:vMerge/>
                        <w:tcBorders>
                          <w:top w:val="nil"/>
                        </w:tcBorders>
                      </w:tcPr>
                      <w:p>
                        <w:pPr>
                          <w:rPr>
                            <w:sz w:val="2"/>
                            <w:szCs w:val="2"/>
                          </w:rPr>
                        </w:pPr>
                      </w:p>
                    </w:tc>
                    <w:tc>
                      <w:tcPr>
                        <w:tcW w:w="1029" w:type="dxa"/>
                        <w:vMerge w:val="restart"/>
                      </w:tcPr>
                      <w:p>
                        <w:pPr>
                          <w:pStyle w:val="TableParagraph"/>
                          <w:rPr>
                            <w:sz w:val="24"/>
                          </w:rPr>
                        </w:pPr>
                      </w:p>
                      <w:p>
                        <w:pPr>
                          <w:pStyle w:val="TableParagraph"/>
                          <w:spacing w:before="11"/>
                          <w:rPr>
                            <w:sz w:val="28"/>
                          </w:rPr>
                        </w:pPr>
                      </w:p>
                      <w:p>
                        <w:pPr>
                          <w:pStyle w:val="TableParagraph"/>
                          <w:ind w:left="32"/>
                          <w:rPr>
                            <w:sz w:val="24"/>
                          </w:rPr>
                        </w:pPr>
                        <w:r>
                          <w:rPr>
                            <w:sz w:val="24"/>
                          </w:rPr>
                          <w:t>围堰施工</w:t>
                        </w:r>
                      </w:p>
                    </w:tc>
                    <w:tc>
                      <w:tcPr>
                        <w:tcW w:w="757" w:type="dxa"/>
                      </w:tcPr>
                      <w:p>
                        <w:pPr>
                          <w:pStyle w:val="TableParagraph"/>
                          <w:spacing w:before="171"/>
                          <w:ind w:right="6"/>
                          <w:jc w:val="right"/>
                          <w:rPr>
                            <w:sz w:val="24"/>
                          </w:rPr>
                        </w:pPr>
                        <w:r>
                          <w:rPr>
                            <w:sz w:val="24"/>
                          </w:rPr>
                          <w:t>SF—04</w:t>
                        </w:r>
                      </w:p>
                    </w:tc>
                    <w:tc>
                      <w:tcPr>
                        <w:tcW w:w="6880" w:type="dxa"/>
                      </w:tcPr>
                      <w:p>
                        <w:pPr>
                          <w:pStyle w:val="TableParagraph"/>
                          <w:spacing w:line="310" w:lineRule="atLeast" w:before="12"/>
                          <w:ind w:left="15" w:right="3"/>
                          <w:rPr>
                            <w:sz w:val="24"/>
                          </w:rPr>
                        </w:pPr>
                        <w:r>
                          <w:rPr>
                            <w:spacing w:val="-8"/>
                            <w:sz w:val="24"/>
                          </w:rPr>
                          <w:t>未按设计或方案要求施工围堰，未定期开展监测监控，工况发生变</w:t>
                        </w:r>
                        <w:r>
                          <w:rPr>
                            <w:sz w:val="24"/>
                          </w:rPr>
                          <w:t>化时未及时采取措施</w:t>
                        </w:r>
                      </w:p>
                    </w:tc>
                    <w:tc>
                      <w:tcPr>
                        <w:tcW w:w="1662" w:type="dxa"/>
                      </w:tcPr>
                      <w:p>
                        <w:pPr>
                          <w:pStyle w:val="TableParagraph"/>
                          <w:spacing w:before="171"/>
                          <w:ind w:left="7"/>
                          <w:jc w:val="center"/>
                          <w:rPr>
                            <w:sz w:val="24"/>
                          </w:rPr>
                        </w:pPr>
                        <w:r>
                          <w:rPr>
                            <w:sz w:val="24"/>
                          </w:rPr>
                          <w:t>坍塌、淹溺</w:t>
                        </w:r>
                      </w:p>
                    </w:tc>
                    <w:tc>
                      <w:tcPr>
                        <w:tcW w:w="3697" w:type="dxa"/>
                        <w:vMerge w:val="restart"/>
                      </w:tcPr>
                      <w:p>
                        <w:pPr>
                          <w:pStyle w:val="TableParagraph"/>
                          <w:spacing w:before="9"/>
                          <w:rPr>
                            <w:sz w:val="28"/>
                          </w:rPr>
                        </w:pPr>
                      </w:p>
                      <w:p>
                        <w:pPr>
                          <w:pStyle w:val="TableParagraph"/>
                          <w:spacing w:line="242" w:lineRule="auto"/>
                          <w:ind w:left="14" w:right="124"/>
                          <w:rPr>
                            <w:sz w:val="24"/>
                          </w:rPr>
                        </w:pPr>
                        <w:r>
                          <w:rPr>
                            <w:sz w:val="24"/>
                          </w:rPr>
                          <w:t>JTG</w:t>
                        </w:r>
                        <w:r>
                          <w:rPr>
                            <w:spacing w:val="-59"/>
                            <w:sz w:val="24"/>
                          </w:rPr>
                          <w:t> </w:t>
                        </w:r>
                        <w:r>
                          <w:rPr>
                            <w:spacing w:val="-4"/>
                            <w:sz w:val="24"/>
                          </w:rPr>
                          <w:t>F90-（5.8.22</w:t>
                        </w:r>
                        <w:r>
                          <w:rPr>
                            <w:spacing w:val="-39"/>
                            <w:sz w:val="24"/>
                          </w:rPr>
                          <w:t>、</w:t>
                        </w:r>
                        <w:r>
                          <w:rPr>
                            <w:sz w:val="24"/>
                          </w:rPr>
                          <w:t>8.7.3</w:t>
                        </w:r>
                        <w:r>
                          <w:rPr>
                            <w:spacing w:val="-39"/>
                            <w:sz w:val="24"/>
                          </w:rPr>
                          <w:t>、</w:t>
                        </w:r>
                        <w:r>
                          <w:rPr>
                            <w:sz w:val="24"/>
                          </w:rPr>
                          <w:t>8.7.4 8.7.5</w:t>
                        </w:r>
                        <w:r>
                          <w:rPr>
                            <w:spacing w:val="-118"/>
                            <w:sz w:val="24"/>
                          </w:rPr>
                          <w:t>）；</w:t>
                        </w:r>
                        <w:r>
                          <w:rPr>
                            <w:sz w:val="24"/>
                          </w:rPr>
                          <w:t>JTG/T</w:t>
                        </w:r>
                        <w:r>
                          <w:rPr>
                            <w:spacing w:val="-60"/>
                            <w:sz w:val="24"/>
                          </w:rPr>
                          <w:t> </w:t>
                        </w:r>
                        <w:r>
                          <w:rPr>
                            <w:sz w:val="24"/>
                          </w:rPr>
                          <w:t>F50-12.2.1</w:t>
                        </w:r>
                        <w:r>
                          <w:rPr>
                            <w:spacing w:val="-120"/>
                            <w:sz w:val="24"/>
                          </w:rPr>
                          <w:t>、</w:t>
                        </w:r>
                        <w:r>
                          <w:rPr>
                            <w:spacing w:val="-3"/>
                            <w:sz w:val="24"/>
                          </w:rPr>
                          <w:t>12.2.2</w:t>
                        </w:r>
                      </w:p>
                      <w:p>
                        <w:pPr>
                          <w:pStyle w:val="TableParagraph"/>
                          <w:ind w:left="14"/>
                          <w:rPr>
                            <w:sz w:val="24"/>
                          </w:rPr>
                        </w:pPr>
                        <w:r>
                          <w:rPr>
                            <w:sz w:val="24"/>
                          </w:rPr>
                          <w:t>13.3.4、 13.3.8；77 号文件</w:t>
                        </w:r>
                      </w:p>
                    </w:tc>
                  </w:tr>
                  <w:tr>
                    <w:trPr>
                      <w:trHeight w:val="342" w:hRule="atLeast"/>
                    </w:trPr>
                    <w:tc>
                      <w:tcPr>
                        <w:tcW w:w="1116" w:type="dxa"/>
                        <w:vMerge/>
                        <w:tcBorders>
                          <w:top w:val="nil"/>
                        </w:tcBorders>
                      </w:tcPr>
                      <w:p>
                        <w:pPr>
                          <w:rPr>
                            <w:sz w:val="2"/>
                            <w:szCs w:val="2"/>
                          </w:rPr>
                        </w:pPr>
                      </w:p>
                    </w:tc>
                    <w:tc>
                      <w:tcPr>
                        <w:tcW w:w="1029" w:type="dxa"/>
                        <w:vMerge/>
                        <w:tcBorders>
                          <w:top w:val="nil"/>
                        </w:tcBorders>
                      </w:tcPr>
                      <w:p>
                        <w:pPr>
                          <w:rPr>
                            <w:sz w:val="2"/>
                            <w:szCs w:val="2"/>
                          </w:rPr>
                        </w:pPr>
                      </w:p>
                    </w:tc>
                    <w:tc>
                      <w:tcPr>
                        <w:tcW w:w="757" w:type="dxa"/>
                      </w:tcPr>
                      <w:p>
                        <w:pPr>
                          <w:pStyle w:val="TableParagraph"/>
                          <w:spacing w:line="304" w:lineRule="exact" w:before="18"/>
                          <w:ind w:right="6"/>
                          <w:jc w:val="right"/>
                          <w:rPr>
                            <w:sz w:val="24"/>
                          </w:rPr>
                        </w:pPr>
                        <w:r>
                          <w:rPr>
                            <w:sz w:val="24"/>
                          </w:rPr>
                          <w:t>SF—05</w:t>
                        </w:r>
                      </w:p>
                    </w:tc>
                    <w:tc>
                      <w:tcPr>
                        <w:tcW w:w="6880" w:type="dxa"/>
                      </w:tcPr>
                      <w:p>
                        <w:pPr>
                          <w:pStyle w:val="TableParagraph"/>
                          <w:spacing w:line="304" w:lineRule="exact" w:before="18"/>
                          <w:ind w:left="15"/>
                          <w:rPr>
                            <w:sz w:val="24"/>
                          </w:rPr>
                        </w:pPr>
                        <w:r>
                          <w:rPr>
                            <w:spacing w:val="-12"/>
                            <w:sz w:val="24"/>
                          </w:rPr>
                          <w:t>碰撞、随意拆除、擅自削弱钢围堰内部支撑杆件或在其上堆放重物</w:t>
                        </w:r>
                      </w:p>
                    </w:tc>
                    <w:tc>
                      <w:tcPr>
                        <w:tcW w:w="1662" w:type="dxa"/>
                      </w:tcPr>
                      <w:p>
                        <w:pPr>
                          <w:pStyle w:val="TableParagraph"/>
                          <w:spacing w:line="304" w:lineRule="exact" w:before="18"/>
                          <w:ind w:left="7"/>
                          <w:jc w:val="center"/>
                          <w:rPr>
                            <w:sz w:val="24"/>
                          </w:rPr>
                        </w:pPr>
                        <w:r>
                          <w:rPr>
                            <w:sz w:val="24"/>
                          </w:rPr>
                          <w:t>坍塌、淹溺</w:t>
                        </w:r>
                      </w:p>
                    </w:tc>
                    <w:tc>
                      <w:tcPr>
                        <w:tcW w:w="3697" w:type="dxa"/>
                        <w:vMerge/>
                        <w:tcBorders>
                          <w:top w:val="nil"/>
                        </w:tcBorders>
                      </w:tcPr>
                      <w:p>
                        <w:pPr>
                          <w:rPr>
                            <w:sz w:val="2"/>
                            <w:szCs w:val="2"/>
                          </w:rPr>
                        </w:pPr>
                      </w:p>
                    </w:tc>
                  </w:tr>
                  <w:tr>
                    <w:trPr>
                      <w:trHeight w:val="651" w:hRule="atLeast"/>
                    </w:trPr>
                    <w:tc>
                      <w:tcPr>
                        <w:tcW w:w="1116" w:type="dxa"/>
                        <w:vMerge/>
                        <w:tcBorders>
                          <w:top w:val="nil"/>
                        </w:tcBorders>
                      </w:tcPr>
                      <w:p>
                        <w:pPr>
                          <w:rPr>
                            <w:sz w:val="2"/>
                            <w:szCs w:val="2"/>
                          </w:rPr>
                        </w:pPr>
                      </w:p>
                    </w:tc>
                    <w:tc>
                      <w:tcPr>
                        <w:tcW w:w="1029" w:type="dxa"/>
                        <w:vMerge/>
                        <w:tcBorders>
                          <w:top w:val="nil"/>
                        </w:tcBorders>
                      </w:tcPr>
                      <w:p>
                        <w:pPr>
                          <w:rPr>
                            <w:sz w:val="2"/>
                            <w:szCs w:val="2"/>
                          </w:rPr>
                        </w:pPr>
                      </w:p>
                    </w:tc>
                    <w:tc>
                      <w:tcPr>
                        <w:tcW w:w="757" w:type="dxa"/>
                      </w:tcPr>
                      <w:p>
                        <w:pPr>
                          <w:pStyle w:val="TableParagraph"/>
                          <w:spacing w:before="170"/>
                          <w:ind w:right="6"/>
                          <w:jc w:val="right"/>
                          <w:rPr>
                            <w:sz w:val="24"/>
                          </w:rPr>
                        </w:pPr>
                        <w:r>
                          <w:rPr>
                            <w:sz w:val="24"/>
                          </w:rPr>
                          <w:t>SF—06</w:t>
                        </w:r>
                      </w:p>
                    </w:tc>
                    <w:tc>
                      <w:tcPr>
                        <w:tcW w:w="6880" w:type="dxa"/>
                      </w:tcPr>
                      <w:p>
                        <w:pPr>
                          <w:pStyle w:val="TableParagraph"/>
                          <w:spacing w:line="310" w:lineRule="atLeast" w:before="14"/>
                          <w:ind w:left="15" w:right="3"/>
                          <w:rPr>
                            <w:sz w:val="24"/>
                          </w:rPr>
                        </w:pPr>
                        <w:r>
                          <w:rPr>
                            <w:spacing w:val="-8"/>
                            <w:sz w:val="24"/>
                          </w:rPr>
                          <w:t>土石围堰无防排水和防汛措施；钢围堰无防撞措施，侧壁随意驻泊</w:t>
                        </w:r>
                        <w:r>
                          <w:rPr>
                            <w:sz w:val="24"/>
                          </w:rPr>
                          <w:t>施工船舶</w:t>
                        </w:r>
                      </w:p>
                    </w:tc>
                    <w:tc>
                      <w:tcPr>
                        <w:tcW w:w="1662" w:type="dxa"/>
                      </w:tcPr>
                      <w:p>
                        <w:pPr>
                          <w:pStyle w:val="TableParagraph"/>
                          <w:spacing w:before="170"/>
                          <w:ind w:left="7"/>
                          <w:jc w:val="center"/>
                          <w:rPr>
                            <w:sz w:val="24"/>
                          </w:rPr>
                        </w:pPr>
                        <w:r>
                          <w:rPr>
                            <w:spacing w:val="-8"/>
                            <w:sz w:val="24"/>
                          </w:rPr>
                          <w:t>坍塌、船舶沉没</w:t>
                        </w:r>
                      </w:p>
                    </w:tc>
                    <w:tc>
                      <w:tcPr>
                        <w:tcW w:w="3697" w:type="dxa"/>
                        <w:vMerge/>
                        <w:tcBorders>
                          <w:top w:val="nil"/>
                        </w:tcBorders>
                      </w:tcPr>
                      <w:p>
                        <w:pPr>
                          <w:rPr>
                            <w:sz w:val="2"/>
                            <w:szCs w:val="2"/>
                          </w:rPr>
                        </w:pPr>
                      </w:p>
                    </w:tc>
                  </w:tr>
                  <w:tr>
                    <w:trPr>
                      <w:trHeight w:val="651" w:hRule="atLeast"/>
                    </w:trPr>
                    <w:tc>
                      <w:tcPr>
                        <w:tcW w:w="1116" w:type="dxa"/>
                      </w:tcPr>
                      <w:p>
                        <w:pPr>
                          <w:pStyle w:val="TableParagraph"/>
                          <w:spacing w:before="173"/>
                          <w:ind w:left="58" w:right="48"/>
                          <w:jc w:val="center"/>
                          <w:rPr>
                            <w:sz w:val="24"/>
                          </w:rPr>
                        </w:pPr>
                        <w:r>
                          <w:rPr>
                            <w:sz w:val="24"/>
                          </w:rPr>
                          <w:t>通用作业</w:t>
                        </w:r>
                      </w:p>
                    </w:tc>
                    <w:tc>
                      <w:tcPr>
                        <w:tcW w:w="1029" w:type="dxa"/>
                      </w:tcPr>
                      <w:p>
                        <w:pPr>
                          <w:pStyle w:val="TableParagraph"/>
                          <w:spacing w:before="173"/>
                          <w:ind w:left="12" w:right="6"/>
                          <w:jc w:val="center"/>
                          <w:rPr>
                            <w:sz w:val="24"/>
                          </w:rPr>
                        </w:pPr>
                        <w:r>
                          <w:rPr>
                            <w:sz w:val="24"/>
                          </w:rPr>
                          <w:t>支架作业</w:t>
                        </w:r>
                      </w:p>
                    </w:tc>
                    <w:tc>
                      <w:tcPr>
                        <w:tcW w:w="757" w:type="dxa"/>
                      </w:tcPr>
                      <w:p>
                        <w:pPr>
                          <w:pStyle w:val="TableParagraph"/>
                          <w:spacing w:before="173"/>
                          <w:ind w:right="6"/>
                          <w:jc w:val="right"/>
                          <w:rPr>
                            <w:sz w:val="24"/>
                          </w:rPr>
                        </w:pPr>
                        <w:r>
                          <w:rPr>
                            <w:sz w:val="24"/>
                          </w:rPr>
                          <w:t>ST—01</w:t>
                        </w:r>
                      </w:p>
                    </w:tc>
                    <w:tc>
                      <w:tcPr>
                        <w:tcW w:w="6880" w:type="dxa"/>
                      </w:tcPr>
                      <w:p>
                        <w:pPr>
                          <w:pStyle w:val="TableParagraph"/>
                          <w:spacing w:before="173"/>
                          <w:ind w:left="15"/>
                          <w:rPr>
                            <w:sz w:val="24"/>
                          </w:rPr>
                        </w:pPr>
                        <w:r>
                          <w:rPr>
                            <w:sz w:val="24"/>
                          </w:rPr>
                          <w:t>未处置支架基础，支架未按规范或方案要求搭设、预压、验收</w:t>
                        </w:r>
                      </w:p>
                    </w:tc>
                    <w:tc>
                      <w:tcPr>
                        <w:tcW w:w="1662" w:type="dxa"/>
                      </w:tcPr>
                      <w:p>
                        <w:pPr>
                          <w:pStyle w:val="TableParagraph"/>
                          <w:spacing w:before="173"/>
                          <w:ind w:left="7"/>
                          <w:jc w:val="center"/>
                          <w:rPr>
                            <w:sz w:val="24"/>
                          </w:rPr>
                        </w:pPr>
                        <w:r>
                          <w:rPr>
                            <w:sz w:val="24"/>
                          </w:rPr>
                          <w:t>坍塌</w:t>
                        </w:r>
                      </w:p>
                    </w:tc>
                    <w:tc>
                      <w:tcPr>
                        <w:tcW w:w="3697" w:type="dxa"/>
                      </w:tcPr>
                      <w:p>
                        <w:pPr>
                          <w:pStyle w:val="TableParagraph"/>
                          <w:spacing w:line="310" w:lineRule="atLeast" w:before="14"/>
                          <w:ind w:left="14" w:right="893"/>
                          <w:rPr>
                            <w:sz w:val="24"/>
                          </w:rPr>
                        </w:pPr>
                        <w:r>
                          <w:rPr>
                            <w:sz w:val="24"/>
                          </w:rPr>
                          <w:t>JTG F90-（5.2.1-5.2.7） JTG/T F50-（5.4、5.5）</w:t>
                        </w:r>
                      </w:p>
                    </w:tc>
                  </w:tr>
                </w:tbl>
                <w:p>
                  <w:pPr>
                    <w:pStyle w:val="BodyText"/>
                    <w:ind w:left="0"/>
                  </w:pPr>
                </w:p>
              </w:txbxContent>
            </v:textbox>
            <w10:wrap type="none"/>
          </v:shape>
        </w:pict>
      </w:r>
      <w:r>
        <w:rPr>
          <w:sz w:val="24"/>
        </w:rPr>
        <w:t>；</w:t>
      </w:r>
    </w:p>
    <w:p>
      <w:pPr>
        <w:pStyle w:val="BodyText"/>
        <w:ind w:left="0"/>
        <w:rPr>
          <w:sz w:val="24"/>
        </w:rPr>
      </w:pPr>
    </w:p>
    <w:p>
      <w:pPr>
        <w:pStyle w:val="BodyText"/>
        <w:ind w:left="0"/>
        <w:rPr>
          <w:sz w:val="24"/>
        </w:rPr>
      </w:pPr>
    </w:p>
    <w:p>
      <w:pPr>
        <w:pStyle w:val="BodyText"/>
        <w:spacing w:before="8"/>
        <w:ind w:left="0"/>
        <w:rPr>
          <w:sz w:val="34"/>
        </w:rPr>
      </w:pPr>
    </w:p>
    <w:p>
      <w:pPr>
        <w:spacing w:before="0"/>
        <w:ind w:left="15112" w:right="0" w:firstLine="0"/>
        <w:jc w:val="left"/>
        <w:rPr>
          <w:sz w:val="24"/>
        </w:rPr>
      </w:pPr>
      <w:r>
        <w:rPr>
          <w:sz w:val="24"/>
        </w:rPr>
        <w:t>、</w:t>
      </w:r>
    </w:p>
    <w:p>
      <w:pPr>
        <w:spacing w:before="2"/>
        <w:ind w:left="15112" w:right="0" w:firstLine="0"/>
        <w:jc w:val="left"/>
        <w:rPr>
          <w:sz w:val="24"/>
        </w:rPr>
      </w:pPr>
      <w:r>
        <w:rPr>
          <w:sz w:val="24"/>
        </w:rPr>
        <w:t>、</w:t>
      </w:r>
    </w:p>
    <w:p>
      <w:pPr>
        <w:spacing w:after="0"/>
        <w:jc w:val="left"/>
        <w:rPr>
          <w:sz w:val="24"/>
        </w:rPr>
        <w:sectPr>
          <w:pgSz w:w="16840" w:h="11910" w:orient="landscape"/>
          <w:pgMar w:header="0" w:footer="1000" w:top="1100" w:bottom="1180" w:left="740" w:right="640"/>
        </w:sect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2"/>
        </w:rPr>
      </w:pPr>
    </w:p>
    <w:p>
      <w:pPr>
        <w:spacing w:before="67"/>
        <w:ind w:left="0" w:right="104" w:firstLine="0"/>
        <w:jc w:val="right"/>
        <w:rPr>
          <w:sz w:val="24"/>
        </w:rPr>
      </w:pPr>
      <w:r>
        <w:rPr/>
        <w:pict>
          <v:shape style="position:absolute;margin-left:42.16pt;margin-top:-248.459pt;width:757.8pt;height:333.9pt;mso-position-horizontal-relative:page;mso-position-vertical-relative:paragraph;z-index:251662336"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16"/>
                    <w:gridCol w:w="1029"/>
                    <w:gridCol w:w="757"/>
                    <w:gridCol w:w="6880"/>
                    <w:gridCol w:w="1662"/>
                    <w:gridCol w:w="3697"/>
                  </w:tblGrid>
                  <w:tr>
                    <w:trPr>
                      <w:trHeight w:val="652" w:hRule="atLeast"/>
                    </w:trPr>
                    <w:tc>
                      <w:tcPr>
                        <w:tcW w:w="1116" w:type="dxa"/>
                        <w:vMerge w:val="restart"/>
                      </w:tcPr>
                      <w:p>
                        <w:pPr>
                          <w:pStyle w:val="TableParagraph"/>
                          <w:rPr>
                            <w:rFonts w:ascii="Times New Roman"/>
                            <w:sz w:val="22"/>
                          </w:rPr>
                        </w:pPr>
                      </w:p>
                    </w:tc>
                    <w:tc>
                      <w:tcPr>
                        <w:tcW w:w="1029" w:type="dxa"/>
                      </w:tcPr>
                      <w:p>
                        <w:pPr>
                          <w:pStyle w:val="TableParagraph"/>
                          <w:rPr>
                            <w:rFonts w:ascii="Times New Roman"/>
                            <w:sz w:val="22"/>
                          </w:rPr>
                        </w:pPr>
                      </w:p>
                    </w:tc>
                    <w:tc>
                      <w:tcPr>
                        <w:tcW w:w="757" w:type="dxa"/>
                      </w:tcPr>
                      <w:p>
                        <w:pPr>
                          <w:pStyle w:val="TableParagraph"/>
                          <w:spacing w:before="171"/>
                          <w:ind w:right="6"/>
                          <w:jc w:val="right"/>
                          <w:rPr>
                            <w:sz w:val="24"/>
                          </w:rPr>
                        </w:pPr>
                        <w:r>
                          <w:rPr>
                            <w:sz w:val="24"/>
                          </w:rPr>
                          <w:t>ST—02</w:t>
                        </w:r>
                      </w:p>
                    </w:tc>
                    <w:tc>
                      <w:tcPr>
                        <w:tcW w:w="6880" w:type="dxa"/>
                      </w:tcPr>
                      <w:p>
                        <w:pPr>
                          <w:pStyle w:val="TableParagraph"/>
                          <w:spacing w:before="171"/>
                          <w:ind w:left="15"/>
                          <w:rPr>
                            <w:sz w:val="24"/>
                          </w:rPr>
                        </w:pPr>
                        <w:r>
                          <w:rPr>
                            <w:spacing w:val="-8"/>
                            <w:sz w:val="24"/>
                          </w:rPr>
                          <w:t>支架搭设使用无产品合格证、未经检验或验收不合格的管材、构件</w:t>
                        </w:r>
                      </w:p>
                    </w:tc>
                    <w:tc>
                      <w:tcPr>
                        <w:tcW w:w="1662" w:type="dxa"/>
                      </w:tcPr>
                      <w:p>
                        <w:pPr>
                          <w:pStyle w:val="TableParagraph"/>
                          <w:spacing w:before="171"/>
                          <w:ind w:left="7"/>
                          <w:jc w:val="center"/>
                          <w:rPr>
                            <w:sz w:val="24"/>
                          </w:rPr>
                        </w:pPr>
                        <w:r>
                          <w:rPr>
                            <w:sz w:val="24"/>
                          </w:rPr>
                          <w:t>坍塌</w:t>
                        </w:r>
                      </w:p>
                    </w:tc>
                    <w:tc>
                      <w:tcPr>
                        <w:tcW w:w="3697" w:type="dxa"/>
                      </w:tcPr>
                      <w:p>
                        <w:pPr>
                          <w:pStyle w:val="TableParagraph"/>
                          <w:spacing w:line="310" w:lineRule="atLeast" w:before="15"/>
                          <w:ind w:left="14" w:right="893"/>
                          <w:rPr>
                            <w:sz w:val="24"/>
                          </w:rPr>
                        </w:pPr>
                        <w:r>
                          <w:rPr>
                            <w:sz w:val="24"/>
                          </w:rPr>
                          <w:t>JTG F90-（5.2.1-5.2.7） JTG/T F50-（5.4、5.5）</w:t>
                        </w:r>
                      </w:p>
                    </w:tc>
                  </w:tr>
                  <w:tr>
                    <w:trPr>
                      <w:trHeight w:val="341" w:hRule="atLeast"/>
                    </w:trPr>
                    <w:tc>
                      <w:tcPr>
                        <w:tcW w:w="1116" w:type="dxa"/>
                        <w:vMerge/>
                        <w:tcBorders>
                          <w:top w:val="nil"/>
                        </w:tcBorders>
                      </w:tcPr>
                      <w:p>
                        <w:pPr>
                          <w:rPr>
                            <w:sz w:val="2"/>
                            <w:szCs w:val="2"/>
                          </w:rPr>
                        </w:pPr>
                      </w:p>
                    </w:tc>
                    <w:tc>
                      <w:tcPr>
                        <w:tcW w:w="1029" w:type="dxa"/>
                      </w:tcPr>
                      <w:p>
                        <w:pPr>
                          <w:pStyle w:val="TableParagraph"/>
                          <w:spacing w:line="304" w:lineRule="exact" w:before="17"/>
                          <w:ind w:left="12" w:right="6"/>
                          <w:jc w:val="center"/>
                          <w:rPr>
                            <w:sz w:val="24"/>
                          </w:rPr>
                        </w:pPr>
                        <w:r>
                          <w:rPr>
                            <w:sz w:val="24"/>
                          </w:rPr>
                          <w:t>模板作业</w:t>
                        </w:r>
                      </w:p>
                    </w:tc>
                    <w:tc>
                      <w:tcPr>
                        <w:tcW w:w="757" w:type="dxa"/>
                      </w:tcPr>
                      <w:p>
                        <w:pPr>
                          <w:pStyle w:val="TableParagraph"/>
                          <w:spacing w:line="304" w:lineRule="exact" w:before="17"/>
                          <w:ind w:right="6"/>
                          <w:jc w:val="right"/>
                          <w:rPr>
                            <w:sz w:val="24"/>
                          </w:rPr>
                        </w:pPr>
                        <w:r>
                          <w:rPr>
                            <w:sz w:val="24"/>
                          </w:rPr>
                          <w:t>ST—03</w:t>
                        </w:r>
                      </w:p>
                    </w:tc>
                    <w:tc>
                      <w:tcPr>
                        <w:tcW w:w="6880" w:type="dxa"/>
                      </w:tcPr>
                      <w:p>
                        <w:pPr>
                          <w:pStyle w:val="TableParagraph"/>
                          <w:spacing w:line="304" w:lineRule="exact" w:before="17"/>
                          <w:ind w:left="15"/>
                          <w:rPr>
                            <w:sz w:val="24"/>
                          </w:rPr>
                        </w:pPr>
                        <w:r>
                          <w:rPr>
                            <w:sz w:val="24"/>
                          </w:rPr>
                          <w:t>未按规范或方案要求安装或拆除沉箱、胸墙、闸墙等处的模板</w:t>
                        </w:r>
                      </w:p>
                    </w:tc>
                    <w:tc>
                      <w:tcPr>
                        <w:tcW w:w="1662" w:type="dxa"/>
                      </w:tcPr>
                      <w:p>
                        <w:pPr>
                          <w:pStyle w:val="TableParagraph"/>
                          <w:spacing w:line="304" w:lineRule="exact" w:before="17"/>
                          <w:ind w:left="7"/>
                          <w:jc w:val="center"/>
                          <w:rPr>
                            <w:sz w:val="24"/>
                          </w:rPr>
                        </w:pPr>
                        <w:r>
                          <w:rPr>
                            <w:sz w:val="24"/>
                          </w:rPr>
                          <w:t>坍塌</w:t>
                        </w:r>
                      </w:p>
                    </w:tc>
                    <w:tc>
                      <w:tcPr>
                        <w:tcW w:w="3697" w:type="dxa"/>
                      </w:tcPr>
                      <w:p>
                        <w:pPr>
                          <w:pStyle w:val="TableParagraph"/>
                          <w:spacing w:line="304" w:lineRule="exact" w:before="17"/>
                          <w:ind w:left="14"/>
                          <w:rPr>
                            <w:sz w:val="24"/>
                          </w:rPr>
                        </w:pPr>
                        <w:r>
                          <w:rPr>
                            <w:sz w:val="24"/>
                          </w:rPr>
                          <w:t>JTS205-5.3.4.2；JTG F90-5.2.14</w:t>
                        </w:r>
                      </w:p>
                    </w:tc>
                  </w:tr>
                  <w:tr>
                    <w:trPr>
                      <w:trHeight w:val="651" w:hRule="atLeast"/>
                    </w:trPr>
                    <w:tc>
                      <w:tcPr>
                        <w:tcW w:w="1116" w:type="dxa"/>
                        <w:vMerge/>
                        <w:tcBorders>
                          <w:top w:val="nil"/>
                        </w:tcBorders>
                      </w:tcPr>
                      <w:p>
                        <w:pPr>
                          <w:rPr>
                            <w:sz w:val="2"/>
                            <w:szCs w:val="2"/>
                          </w:rPr>
                        </w:pPr>
                      </w:p>
                    </w:tc>
                    <w:tc>
                      <w:tcPr>
                        <w:tcW w:w="1029" w:type="dxa"/>
                      </w:tcPr>
                      <w:p>
                        <w:pPr>
                          <w:pStyle w:val="TableParagraph"/>
                          <w:spacing w:line="310" w:lineRule="atLeast" w:before="14"/>
                          <w:ind w:left="32" w:right="24"/>
                          <w:rPr>
                            <w:sz w:val="24"/>
                          </w:rPr>
                        </w:pPr>
                        <w:r>
                          <w:rPr>
                            <w:sz w:val="24"/>
                          </w:rPr>
                          <w:t>特种设备设施作业</w:t>
                        </w:r>
                      </w:p>
                    </w:tc>
                    <w:tc>
                      <w:tcPr>
                        <w:tcW w:w="757" w:type="dxa"/>
                      </w:tcPr>
                      <w:p>
                        <w:pPr>
                          <w:pStyle w:val="TableParagraph"/>
                          <w:spacing w:before="170"/>
                          <w:ind w:right="6"/>
                          <w:jc w:val="right"/>
                          <w:rPr>
                            <w:sz w:val="24"/>
                          </w:rPr>
                        </w:pPr>
                        <w:r>
                          <w:rPr>
                            <w:sz w:val="24"/>
                          </w:rPr>
                          <w:t>ST—04</w:t>
                        </w:r>
                      </w:p>
                    </w:tc>
                    <w:tc>
                      <w:tcPr>
                        <w:tcW w:w="6880" w:type="dxa"/>
                      </w:tcPr>
                      <w:p>
                        <w:pPr>
                          <w:pStyle w:val="TableParagraph"/>
                          <w:spacing w:before="170"/>
                          <w:ind w:left="15"/>
                          <w:rPr>
                            <w:sz w:val="24"/>
                          </w:rPr>
                        </w:pPr>
                        <w:r>
                          <w:rPr>
                            <w:sz w:val="24"/>
                          </w:rPr>
                          <w:t>使用未经检验或验收不合格的起重机械</w:t>
                        </w:r>
                      </w:p>
                    </w:tc>
                    <w:tc>
                      <w:tcPr>
                        <w:tcW w:w="1662" w:type="dxa"/>
                      </w:tcPr>
                      <w:p>
                        <w:pPr>
                          <w:pStyle w:val="TableParagraph"/>
                          <w:spacing w:before="170"/>
                          <w:ind w:left="7"/>
                          <w:jc w:val="center"/>
                          <w:rPr>
                            <w:sz w:val="24"/>
                          </w:rPr>
                        </w:pPr>
                        <w:r>
                          <w:rPr>
                            <w:sz w:val="24"/>
                          </w:rPr>
                          <w:t>起重伤害</w:t>
                        </w:r>
                      </w:p>
                    </w:tc>
                    <w:tc>
                      <w:tcPr>
                        <w:tcW w:w="3697" w:type="dxa"/>
                      </w:tcPr>
                      <w:p>
                        <w:pPr>
                          <w:pStyle w:val="TableParagraph"/>
                          <w:spacing w:line="310" w:lineRule="atLeast" w:before="14"/>
                          <w:ind w:left="14" w:right="2"/>
                          <w:rPr>
                            <w:sz w:val="24"/>
                          </w:rPr>
                        </w:pPr>
                        <w:r>
                          <w:rPr>
                            <w:spacing w:val="-12"/>
                            <w:sz w:val="24"/>
                          </w:rPr>
                          <w:t>《特种设备安全法》第 </w:t>
                        </w:r>
                        <w:r>
                          <w:rPr>
                            <w:sz w:val="24"/>
                          </w:rPr>
                          <w:t>14</w:t>
                        </w:r>
                        <w:r>
                          <w:rPr>
                            <w:spacing w:val="-36"/>
                            <w:sz w:val="24"/>
                          </w:rPr>
                          <w:t> 条、第 </w:t>
                        </w:r>
                        <w:r>
                          <w:rPr>
                            <w:spacing w:val="-8"/>
                            <w:sz w:val="24"/>
                          </w:rPr>
                          <w:t>40 </w:t>
                        </w:r>
                        <w:r>
                          <w:rPr>
                            <w:sz w:val="24"/>
                          </w:rPr>
                          <w:t>条；JTS205－5.7.1</w:t>
                        </w:r>
                      </w:p>
                    </w:tc>
                  </w:tr>
                  <w:tr>
                    <w:trPr>
                      <w:trHeight w:val="342" w:hRule="atLeast"/>
                    </w:trPr>
                    <w:tc>
                      <w:tcPr>
                        <w:tcW w:w="1116" w:type="dxa"/>
                        <w:vMerge/>
                        <w:tcBorders>
                          <w:top w:val="nil"/>
                        </w:tcBorders>
                      </w:tcPr>
                      <w:p>
                        <w:pPr>
                          <w:rPr>
                            <w:sz w:val="2"/>
                            <w:szCs w:val="2"/>
                          </w:rPr>
                        </w:pPr>
                      </w:p>
                    </w:tc>
                    <w:tc>
                      <w:tcPr>
                        <w:tcW w:w="1029" w:type="dxa"/>
                        <w:vMerge w:val="restart"/>
                      </w:tcPr>
                      <w:p>
                        <w:pPr>
                          <w:pStyle w:val="TableParagraph"/>
                          <w:rPr>
                            <w:sz w:val="24"/>
                          </w:rPr>
                        </w:pPr>
                      </w:p>
                      <w:p>
                        <w:pPr>
                          <w:pStyle w:val="TableParagraph"/>
                          <w:spacing w:line="242" w:lineRule="auto" w:before="215"/>
                          <w:ind w:left="272" w:right="24" w:hanging="240"/>
                          <w:rPr>
                            <w:sz w:val="24"/>
                          </w:rPr>
                        </w:pPr>
                        <w:r>
                          <w:rPr>
                            <w:sz w:val="24"/>
                          </w:rPr>
                          <w:t>施工船舶作业</w:t>
                        </w:r>
                      </w:p>
                    </w:tc>
                    <w:tc>
                      <w:tcPr>
                        <w:tcW w:w="757" w:type="dxa"/>
                      </w:tcPr>
                      <w:p>
                        <w:pPr>
                          <w:pStyle w:val="TableParagraph"/>
                          <w:spacing w:line="305" w:lineRule="exact" w:before="16"/>
                          <w:ind w:right="6"/>
                          <w:jc w:val="right"/>
                          <w:rPr>
                            <w:sz w:val="24"/>
                          </w:rPr>
                        </w:pPr>
                        <w:r>
                          <w:rPr>
                            <w:sz w:val="24"/>
                          </w:rPr>
                          <w:t>ST—05</w:t>
                        </w:r>
                      </w:p>
                    </w:tc>
                    <w:tc>
                      <w:tcPr>
                        <w:tcW w:w="6880" w:type="dxa"/>
                      </w:tcPr>
                      <w:p>
                        <w:pPr>
                          <w:pStyle w:val="TableParagraph"/>
                          <w:spacing w:line="305" w:lineRule="exact" w:before="16"/>
                          <w:ind w:left="15"/>
                          <w:rPr>
                            <w:sz w:val="24"/>
                          </w:rPr>
                        </w:pPr>
                        <w:r>
                          <w:rPr>
                            <w:sz w:val="24"/>
                          </w:rPr>
                          <w:t>运输船舶无配载图，超航区运输，上下船设施不安全稳固</w:t>
                        </w:r>
                      </w:p>
                    </w:tc>
                    <w:tc>
                      <w:tcPr>
                        <w:tcW w:w="1662" w:type="dxa"/>
                      </w:tcPr>
                      <w:p>
                        <w:pPr>
                          <w:pStyle w:val="TableParagraph"/>
                          <w:spacing w:line="305" w:lineRule="exact" w:before="16"/>
                          <w:ind w:left="7"/>
                          <w:jc w:val="center"/>
                          <w:rPr>
                            <w:sz w:val="24"/>
                          </w:rPr>
                        </w:pPr>
                        <w:r>
                          <w:rPr>
                            <w:spacing w:val="-8"/>
                            <w:sz w:val="24"/>
                          </w:rPr>
                          <w:t>船舶沉没、淹溺</w:t>
                        </w:r>
                      </w:p>
                    </w:tc>
                    <w:tc>
                      <w:tcPr>
                        <w:tcW w:w="3697" w:type="dxa"/>
                      </w:tcPr>
                      <w:p>
                        <w:pPr>
                          <w:pStyle w:val="TableParagraph"/>
                          <w:spacing w:line="305" w:lineRule="exact" w:before="16"/>
                          <w:ind w:left="14"/>
                          <w:rPr>
                            <w:sz w:val="24"/>
                          </w:rPr>
                        </w:pPr>
                        <w:r>
                          <w:rPr>
                            <w:sz w:val="24"/>
                          </w:rPr>
                          <w:t>JTS205-6.2.8、10.1.3、10.1.9</w:t>
                        </w:r>
                      </w:p>
                    </w:tc>
                  </w:tr>
                  <w:tr>
                    <w:trPr>
                      <w:trHeight w:val="652" w:hRule="atLeast"/>
                    </w:trPr>
                    <w:tc>
                      <w:tcPr>
                        <w:tcW w:w="1116" w:type="dxa"/>
                        <w:vMerge/>
                        <w:tcBorders>
                          <w:top w:val="nil"/>
                        </w:tcBorders>
                      </w:tcPr>
                      <w:p>
                        <w:pPr>
                          <w:rPr>
                            <w:sz w:val="2"/>
                            <w:szCs w:val="2"/>
                          </w:rPr>
                        </w:pPr>
                      </w:p>
                    </w:tc>
                    <w:tc>
                      <w:tcPr>
                        <w:tcW w:w="1029" w:type="dxa"/>
                        <w:vMerge/>
                        <w:tcBorders>
                          <w:top w:val="nil"/>
                        </w:tcBorders>
                      </w:tcPr>
                      <w:p>
                        <w:pPr>
                          <w:rPr>
                            <w:sz w:val="2"/>
                            <w:szCs w:val="2"/>
                          </w:rPr>
                        </w:pPr>
                      </w:p>
                    </w:tc>
                    <w:tc>
                      <w:tcPr>
                        <w:tcW w:w="757" w:type="dxa"/>
                      </w:tcPr>
                      <w:p>
                        <w:pPr>
                          <w:pStyle w:val="TableParagraph"/>
                          <w:spacing w:before="171"/>
                          <w:ind w:right="6"/>
                          <w:jc w:val="right"/>
                          <w:rPr>
                            <w:sz w:val="24"/>
                          </w:rPr>
                        </w:pPr>
                        <w:r>
                          <w:rPr>
                            <w:sz w:val="24"/>
                          </w:rPr>
                          <w:t>ST—06</w:t>
                        </w:r>
                      </w:p>
                    </w:tc>
                    <w:tc>
                      <w:tcPr>
                        <w:tcW w:w="6880" w:type="dxa"/>
                      </w:tcPr>
                      <w:p>
                        <w:pPr>
                          <w:pStyle w:val="TableParagraph"/>
                          <w:spacing w:line="310" w:lineRule="atLeast" w:before="12"/>
                          <w:ind w:left="15" w:right="3"/>
                          <w:rPr>
                            <w:sz w:val="24"/>
                          </w:rPr>
                        </w:pPr>
                        <w:r>
                          <w:rPr>
                            <w:spacing w:val="-8"/>
                            <w:sz w:val="24"/>
                          </w:rPr>
                          <w:t>工程船舶防台防汛防突风无应急预案，或救生设施、应急拖轮等配</w:t>
                        </w:r>
                        <w:r>
                          <w:rPr>
                            <w:sz w:val="24"/>
                          </w:rPr>
                          <w:t>备不足</w:t>
                        </w:r>
                      </w:p>
                    </w:tc>
                    <w:tc>
                      <w:tcPr>
                        <w:tcW w:w="1662" w:type="dxa"/>
                      </w:tcPr>
                      <w:p>
                        <w:pPr>
                          <w:pStyle w:val="TableParagraph"/>
                          <w:spacing w:before="171"/>
                          <w:ind w:left="7"/>
                          <w:jc w:val="center"/>
                          <w:rPr>
                            <w:sz w:val="24"/>
                          </w:rPr>
                        </w:pPr>
                        <w:r>
                          <w:rPr>
                            <w:sz w:val="24"/>
                          </w:rPr>
                          <w:t>船舶沉没</w:t>
                        </w:r>
                      </w:p>
                    </w:tc>
                    <w:tc>
                      <w:tcPr>
                        <w:tcW w:w="3697" w:type="dxa"/>
                      </w:tcPr>
                      <w:p>
                        <w:pPr>
                          <w:pStyle w:val="TableParagraph"/>
                          <w:spacing w:before="15"/>
                          <w:ind w:left="14"/>
                          <w:rPr>
                            <w:sz w:val="24"/>
                          </w:rPr>
                        </w:pPr>
                        <w:r>
                          <w:rPr>
                            <w:sz w:val="24"/>
                          </w:rPr>
                          <w:t>JTS205-12.1.1.1</w:t>
                        </w:r>
                        <w:r>
                          <w:rPr>
                            <w:spacing w:val="-27"/>
                            <w:sz w:val="24"/>
                          </w:rPr>
                          <w:t>、</w:t>
                        </w:r>
                        <w:r>
                          <w:rPr>
                            <w:sz w:val="24"/>
                          </w:rPr>
                          <w:t>12.2.1</w:t>
                        </w:r>
                        <w:r>
                          <w:rPr>
                            <w:spacing w:val="-27"/>
                            <w:sz w:val="24"/>
                          </w:rPr>
                          <w:t>、</w:t>
                        </w:r>
                        <w:r>
                          <w:rPr>
                            <w:spacing w:val="-3"/>
                            <w:sz w:val="24"/>
                          </w:rPr>
                          <w:t>10.1.4</w:t>
                        </w:r>
                      </w:p>
                    </w:tc>
                  </w:tr>
                  <w:tr>
                    <w:trPr>
                      <w:trHeight w:val="652" w:hRule="atLeast"/>
                    </w:trPr>
                    <w:tc>
                      <w:tcPr>
                        <w:tcW w:w="1116" w:type="dxa"/>
                        <w:vMerge/>
                        <w:tcBorders>
                          <w:top w:val="nil"/>
                        </w:tcBorders>
                      </w:tcPr>
                      <w:p>
                        <w:pPr>
                          <w:rPr>
                            <w:sz w:val="2"/>
                            <w:szCs w:val="2"/>
                          </w:rPr>
                        </w:pPr>
                      </w:p>
                    </w:tc>
                    <w:tc>
                      <w:tcPr>
                        <w:tcW w:w="1029" w:type="dxa"/>
                        <w:vMerge/>
                        <w:tcBorders>
                          <w:top w:val="nil"/>
                        </w:tcBorders>
                      </w:tcPr>
                      <w:p>
                        <w:pPr>
                          <w:rPr>
                            <w:sz w:val="2"/>
                            <w:szCs w:val="2"/>
                          </w:rPr>
                        </w:pPr>
                      </w:p>
                    </w:tc>
                    <w:tc>
                      <w:tcPr>
                        <w:tcW w:w="757" w:type="dxa"/>
                      </w:tcPr>
                      <w:p>
                        <w:pPr>
                          <w:pStyle w:val="TableParagraph"/>
                          <w:spacing w:before="174"/>
                          <w:ind w:right="6"/>
                          <w:jc w:val="right"/>
                          <w:rPr>
                            <w:sz w:val="24"/>
                          </w:rPr>
                        </w:pPr>
                        <w:r>
                          <w:rPr>
                            <w:sz w:val="24"/>
                          </w:rPr>
                          <w:t>ST—07</w:t>
                        </w:r>
                      </w:p>
                    </w:tc>
                    <w:tc>
                      <w:tcPr>
                        <w:tcW w:w="6880" w:type="dxa"/>
                      </w:tcPr>
                      <w:p>
                        <w:pPr>
                          <w:pStyle w:val="TableParagraph"/>
                          <w:spacing w:line="310" w:lineRule="atLeast" w:before="15"/>
                          <w:ind w:left="15" w:right="3"/>
                          <w:rPr>
                            <w:sz w:val="24"/>
                          </w:rPr>
                        </w:pPr>
                        <w:r>
                          <w:rPr>
                            <w:spacing w:val="-12"/>
                            <w:sz w:val="24"/>
                          </w:rPr>
                          <w:t>工程船舶改造、船舶与陆用设备组合作业未按规定验算船舶稳定性</w:t>
                        </w:r>
                        <w:r>
                          <w:rPr>
                            <w:sz w:val="24"/>
                          </w:rPr>
                          <w:t>和结构强度等</w:t>
                        </w:r>
                      </w:p>
                    </w:tc>
                    <w:tc>
                      <w:tcPr>
                        <w:tcW w:w="1662" w:type="dxa"/>
                      </w:tcPr>
                      <w:p>
                        <w:pPr>
                          <w:pStyle w:val="TableParagraph"/>
                          <w:spacing w:before="171"/>
                          <w:ind w:left="7"/>
                          <w:jc w:val="center"/>
                          <w:rPr>
                            <w:sz w:val="24"/>
                          </w:rPr>
                        </w:pPr>
                        <w:r>
                          <w:rPr>
                            <w:spacing w:val="-8"/>
                            <w:sz w:val="24"/>
                          </w:rPr>
                          <w:t>船舶沉没、淹溺</w:t>
                        </w:r>
                      </w:p>
                    </w:tc>
                    <w:tc>
                      <w:tcPr>
                        <w:tcW w:w="3697" w:type="dxa"/>
                      </w:tcPr>
                      <w:p>
                        <w:pPr>
                          <w:pStyle w:val="TableParagraph"/>
                          <w:spacing w:before="18"/>
                          <w:ind w:left="14"/>
                          <w:rPr>
                            <w:sz w:val="24"/>
                          </w:rPr>
                        </w:pPr>
                        <w:r>
                          <w:rPr>
                            <w:sz w:val="24"/>
                          </w:rPr>
                          <w:t>JTS205-4.7.3</w:t>
                        </w:r>
                      </w:p>
                    </w:tc>
                  </w:tr>
                  <w:tr>
                    <w:trPr>
                      <w:trHeight w:val="1278" w:hRule="atLeast"/>
                    </w:trPr>
                    <w:tc>
                      <w:tcPr>
                        <w:tcW w:w="1116" w:type="dxa"/>
                        <w:vMerge w:val="restart"/>
                      </w:tcPr>
                      <w:p>
                        <w:pPr>
                          <w:pStyle w:val="TableParagraph"/>
                          <w:rPr>
                            <w:sz w:val="24"/>
                          </w:rPr>
                        </w:pPr>
                      </w:p>
                      <w:p>
                        <w:pPr>
                          <w:pStyle w:val="TableParagraph"/>
                          <w:rPr>
                            <w:sz w:val="24"/>
                          </w:rPr>
                        </w:pPr>
                      </w:p>
                      <w:p>
                        <w:pPr>
                          <w:pStyle w:val="TableParagraph"/>
                          <w:spacing w:before="11"/>
                          <w:rPr>
                            <w:sz w:val="30"/>
                          </w:rPr>
                        </w:pPr>
                      </w:p>
                      <w:p>
                        <w:pPr>
                          <w:pStyle w:val="TableParagraph"/>
                          <w:ind w:left="78"/>
                          <w:rPr>
                            <w:sz w:val="24"/>
                          </w:rPr>
                        </w:pPr>
                        <w:r>
                          <w:rPr>
                            <w:sz w:val="24"/>
                          </w:rPr>
                          <w:t>码头工程</w:t>
                        </w:r>
                      </w:p>
                    </w:tc>
                    <w:tc>
                      <w:tcPr>
                        <w:tcW w:w="1029" w:type="dxa"/>
                      </w:tcPr>
                      <w:p>
                        <w:pPr>
                          <w:pStyle w:val="TableParagraph"/>
                          <w:rPr>
                            <w:sz w:val="24"/>
                          </w:rPr>
                        </w:pPr>
                      </w:p>
                      <w:p>
                        <w:pPr>
                          <w:pStyle w:val="TableParagraph"/>
                          <w:spacing w:before="175"/>
                          <w:ind w:left="12" w:right="6"/>
                          <w:jc w:val="center"/>
                          <w:rPr>
                            <w:sz w:val="24"/>
                          </w:rPr>
                        </w:pPr>
                        <w:r>
                          <w:rPr>
                            <w:sz w:val="24"/>
                          </w:rPr>
                          <w:t>水下爆夯</w:t>
                        </w:r>
                      </w:p>
                    </w:tc>
                    <w:tc>
                      <w:tcPr>
                        <w:tcW w:w="757" w:type="dxa"/>
                      </w:tcPr>
                      <w:p>
                        <w:pPr>
                          <w:pStyle w:val="TableParagraph"/>
                          <w:rPr>
                            <w:sz w:val="24"/>
                          </w:rPr>
                        </w:pPr>
                      </w:p>
                      <w:p>
                        <w:pPr>
                          <w:pStyle w:val="TableParagraph"/>
                          <w:spacing w:before="175"/>
                          <w:ind w:right="6"/>
                          <w:jc w:val="right"/>
                          <w:rPr>
                            <w:sz w:val="24"/>
                          </w:rPr>
                        </w:pPr>
                        <w:r>
                          <w:rPr>
                            <w:sz w:val="24"/>
                          </w:rPr>
                          <w:t>SM—01</w:t>
                        </w:r>
                      </w:p>
                    </w:tc>
                    <w:tc>
                      <w:tcPr>
                        <w:tcW w:w="6880" w:type="dxa"/>
                      </w:tcPr>
                      <w:p>
                        <w:pPr>
                          <w:pStyle w:val="TableParagraph"/>
                          <w:rPr>
                            <w:sz w:val="24"/>
                          </w:rPr>
                        </w:pPr>
                      </w:p>
                      <w:p>
                        <w:pPr>
                          <w:pStyle w:val="TableParagraph"/>
                          <w:spacing w:before="175"/>
                          <w:ind w:left="15"/>
                          <w:rPr>
                            <w:sz w:val="24"/>
                          </w:rPr>
                        </w:pPr>
                        <w:r>
                          <w:rPr>
                            <w:sz w:val="24"/>
                          </w:rPr>
                          <w:t>爆破器材无公安机关核定的准用手续，无领用退库等台账资料</w:t>
                        </w:r>
                      </w:p>
                    </w:tc>
                    <w:tc>
                      <w:tcPr>
                        <w:tcW w:w="1662" w:type="dxa"/>
                      </w:tcPr>
                      <w:p>
                        <w:pPr>
                          <w:pStyle w:val="TableParagraph"/>
                          <w:rPr>
                            <w:sz w:val="24"/>
                          </w:rPr>
                        </w:pPr>
                      </w:p>
                      <w:p>
                        <w:pPr>
                          <w:pStyle w:val="TableParagraph"/>
                          <w:spacing w:before="175"/>
                          <w:ind w:left="7"/>
                          <w:jc w:val="center"/>
                          <w:rPr>
                            <w:sz w:val="24"/>
                          </w:rPr>
                        </w:pPr>
                        <w:r>
                          <w:rPr>
                            <w:sz w:val="24"/>
                          </w:rPr>
                          <w:t>爆炸</w:t>
                        </w:r>
                      </w:p>
                    </w:tc>
                    <w:tc>
                      <w:tcPr>
                        <w:tcW w:w="3697" w:type="dxa"/>
                      </w:tcPr>
                      <w:p>
                        <w:pPr>
                          <w:pStyle w:val="TableParagraph"/>
                          <w:spacing w:line="242" w:lineRule="auto" w:before="17"/>
                          <w:ind w:left="14" w:right="10"/>
                          <w:rPr>
                            <w:sz w:val="24"/>
                          </w:rPr>
                        </w:pPr>
                        <w:r>
                          <w:rPr>
                            <w:sz w:val="24"/>
                          </w:rPr>
                          <w:t>《民用爆炸物品安全管理条例》第37</w:t>
                        </w:r>
                        <w:r>
                          <w:rPr>
                            <w:spacing w:val="-30"/>
                            <w:sz w:val="24"/>
                          </w:rPr>
                          <w:t> 条</w:t>
                        </w:r>
                        <w:r>
                          <w:rPr>
                            <w:sz w:val="24"/>
                          </w:rPr>
                          <w:t>；GB6722（5.2.4.3、5.3.1</w:t>
                        </w:r>
                        <w:r>
                          <w:rPr>
                            <w:spacing w:val="-17"/>
                            <w:sz w:val="24"/>
                          </w:rPr>
                          <w:t>、</w:t>
                        </w:r>
                      </w:p>
                      <w:p>
                        <w:pPr>
                          <w:pStyle w:val="TableParagraph"/>
                          <w:spacing w:before="3"/>
                          <w:ind w:left="14"/>
                          <w:rPr>
                            <w:sz w:val="24"/>
                          </w:rPr>
                        </w:pPr>
                        <w:r>
                          <w:rPr>
                            <w:sz w:val="24"/>
                          </w:rPr>
                          <w:t>6.3.1.1、10.1.4、14.3.2）；</w:t>
                        </w:r>
                      </w:p>
                      <w:p>
                        <w:pPr>
                          <w:pStyle w:val="TableParagraph"/>
                          <w:spacing w:line="305" w:lineRule="exact" w:before="4"/>
                          <w:ind w:left="14"/>
                          <w:rPr>
                            <w:sz w:val="24"/>
                          </w:rPr>
                        </w:pPr>
                        <w:r>
                          <w:rPr>
                            <w:sz w:val="24"/>
                          </w:rPr>
                          <w:t>JTS205-5.12.1</w:t>
                        </w:r>
                      </w:p>
                    </w:tc>
                  </w:tr>
                  <w:tr>
                    <w:trPr>
                      <w:trHeight w:val="340" w:hRule="atLeast"/>
                    </w:trPr>
                    <w:tc>
                      <w:tcPr>
                        <w:tcW w:w="1116" w:type="dxa"/>
                        <w:vMerge/>
                        <w:tcBorders>
                          <w:top w:val="nil"/>
                        </w:tcBorders>
                      </w:tcPr>
                      <w:p>
                        <w:pPr>
                          <w:rPr>
                            <w:sz w:val="2"/>
                            <w:szCs w:val="2"/>
                          </w:rPr>
                        </w:pPr>
                      </w:p>
                    </w:tc>
                    <w:tc>
                      <w:tcPr>
                        <w:tcW w:w="1029" w:type="dxa"/>
                      </w:tcPr>
                      <w:p>
                        <w:pPr>
                          <w:pStyle w:val="TableParagraph"/>
                          <w:spacing w:line="305" w:lineRule="exact" w:before="15"/>
                          <w:ind w:left="12" w:right="6"/>
                          <w:jc w:val="center"/>
                          <w:rPr>
                            <w:sz w:val="24"/>
                          </w:rPr>
                        </w:pPr>
                        <w:r>
                          <w:rPr>
                            <w:sz w:val="24"/>
                          </w:rPr>
                          <w:t>沉箱浮运</w:t>
                        </w:r>
                      </w:p>
                    </w:tc>
                    <w:tc>
                      <w:tcPr>
                        <w:tcW w:w="757" w:type="dxa"/>
                      </w:tcPr>
                      <w:p>
                        <w:pPr>
                          <w:pStyle w:val="TableParagraph"/>
                          <w:spacing w:line="305" w:lineRule="exact" w:before="15"/>
                          <w:ind w:right="6"/>
                          <w:jc w:val="right"/>
                          <w:rPr>
                            <w:sz w:val="24"/>
                          </w:rPr>
                        </w:pPr>
                        <w:r>
                          <w:rPr>
                            <w:sz w:val="24"/>
                          </w:rPr>
                          <w:t>SM—02</w:t>
                        </w:r>
                      </w:p>
                    </w:tc>
                    <w:tc>
                      <w:tcPr>
                        <w:tcW w:w="6880" w:type="dxa"/>
                      </w:tcPr>
                      <w:p>
                        <w:pPr>
                          <w:pStyle w:val="TableParagraph"/>
                          <w:spacing w:line="305" w:lineRule="exact" w:before="15"/>
                          <w:ind w:left="15"/>
                          <w:rPr>
                            <w:sz w:val="24"/>
                          </w:rPr>
                        </w:pPr>
                        <w:r>
                          <w:rPr>
                            <w:sz w:val="24"/>
                          </w:rPr>
                          <w:t>沉箱浮运未验算浮游稳定性</w:t>
                        </w:r>
                      </w:p>
                    </w:tc>
                    <w:tc>
                      <w:tcPr>
                        <w:tcW w:w="1662" w:type="dxa"/>
                      </w:tcPr>
                      <w:p>
                        <w:pPr>
                          <w:pStyle w:val="TableParagraph"/>
                          <w:spacing w:line="305" w:lineRule="exact" w:before="15"/>
                          <w:ind w:left="7"/>
                          <w:jc w:val="center"/>
                          <w:rPr>
                            <w:sz w:val="24"/>
                          </w:rPr>
                        </w:pPr>
                        <w:r>
                          <w:rPr>
                            <w:sz w:val="24"/>
                          </w:rPr>
                          <w:t>沉箱沉没</w:t>
                        </w:r>
                      </w:p>
                    </w:tc>
                    <w:tc>
                      <w:tcPr>
                        <w:tcW w:w="3697" w:type="dxa"/>
                      </w:tcPr>
                      <w:p>
                        <w:pPr>
                          <w:pStyle w:val="TableParagraph"/>
                          <w:spacing w:line="305" w:lineRule="exact" w:before="15"/>
                          <w:ind w:left="14"/>
                          <w:rPr>
                            <w:sz w:val="24"/>
                          </w:rPr>
                        </w:pPr>
                        <w:r>
                          <w:rPr>
                            <w:sz w:val="24"/>
                          </w:rPr>
                          <w:t>JTS205-6.2.15、6.2.17</w:t>
                        </w:r>
                      </w:p>
                    </w:tc>
                  </w:tr>
                  <w:tr>
                    <w:trPr>
                      <w:trHeight w:val="341" w:hRule="atLeast"/>
                    </w:trPr>
                    <w:tc>
                      <w:tcPr>
                        <w:tcW w:w="1116" w:type="dxa"/>
                        <w:vMerge/>
                        <w:tcBorders>
                          <w:top w:val="nil"/>
                        </w:tcBorders>
                      </w:tcPr>
                      <w:p>
                        <w:pPr>
                          <w:rPr>
                            <w:sz w:val="2"/>
                            <w:szCs w:val="2"/>
                          </w:rPr>
                        </w:pPr>
                      </w:p>
                    </w:tc>
                    <w:tc>
                      <w:tcPr>
                        <w:tcW w:w="1029" w:type="dxa"/>
                        <w:vMerge w:val="restart"/>
                      </w:tcPr>
                      <w:p>
                        <w:pPr>
                          <w:pStyle w:val="TableParagraph"/>
                          <w:spacing w:line="242" w:lineRule="auto" w:before="34"/>
                          <w:ind w:left="272" w:right="144" w:hanging="120"/>
                          <w:rPr>
                            <w:sz w:val="24"/>
                          </w:rPr>
                        </w:pPr>
                        <w:r>
                          <w:rPr>
                            <w:sz w:val="24"/>
                          </w:rPr>
                          <w:t>深基坑施工</w:t>
                        </w:r>
                      </w:p>
                    </w:tc>
                    <w:tc>
                      <w:tcPr>
                        <w:tcW w:w="757" w:type="dxa"/>
                      </w:tcPr>
                      <w:p>
                        <w:pPr>
                          <w:pStyle w:val="TableParagraph"/>
                          <w:spacing w:line="306" w:lineRule="exact" w:before="15"/>
                          <w:ind w:right="6"/>
                          <w:jc w:val="right"/>
                          <w:rPr>
                            <w:sz w:val="24"/>
                          </w:rPr>
                        </w:pPr>
                        <w:r>
                          <w:rPr>
                            <w:sz w:val="24"/>
                          </w:rPr>
                          <w:t>SM—03</w:t>
                        </w:r>
                      </w:p>
                    </w:tc>
                    <w:tc>
                      <w:tcPr>
                        <w:tcW w:w="6880" w:type="dxa"/>
                      </w:tcPr>
                      <w:p>
                        <w:pPr>
                          <w:pStyle w:val="TableParagraph"/>
                          <w:spacing w:line="306" w:lineRule="exact" w:before="15"/>
                          <w:ind w:left="15"/>
                          <w:rPr>
                            <w:sz w:val="24"/>
                          </w:rPr>
                        </w:pPr>
                        <w:r>
                          <w:rPr>
                            <w:sz w:val="24"/>
                          </w:rPr>
                          <w:t>深基坑无降（排）水方案或无施工监测措施</w:t>
                        </w:r>
                      </w:p>
                    </w:tc>
                    <w:tc>
                      <w:tcPr>
                        <w:tcW w:w="1662" w:type="dxa"/>
                      </w:tcPr>
                      <w:p>
                        <w:pPr>
                          <w:pStyle w:val="TableParagraph"/>
                          <w:spacing w:line="306" w:lineRule="exact" w:before="15"/>
                          <w:ind w:left="7"/>
                          <w:jc w:val="center"/>
                          <w:rPr>
                            <w:sz w:val="24"/>
                          </w:rPr>
                        </w:pPr>
                        <w:r>
                          <w:rPr>
                            <w:sz w:val="24"/>
                          </w:rPr>
                          <w:t>坍塌</w:t>
                        </w:r>
                      </w:p>
                    </w:tc>
                    <w:tc>
                      <w:tcPr>
                        <w:tcW w:w="3697" w:type="dxa"/>
                        <w:vMerge w:val="restart"/>
                      </w:tcPr>
                      <w:p>
                        <w:pPr>
                          <w:pStyle w:val="TableParagraph"/>
                          <w:spacing w:line="242" w:lineRule="auto" w:before="34"/>
                          <w:ind w:left="14" w:right="124"/>
                          <w:rPr>
                            <w:sz w:val="24"/>
                          </w:rPr>
                        </w:pPr>
                        <w:r>
                          <w:rPr>
                            <w:sz w:val="24"/>
                          </w:rPr>
                          <w:t>JTS205</w:t>
                        </w:r>
                        <w:r>
                          <w:rPr>
                            <w:spacing w:val="-58"/>
                            <w:sz w:val="24"/>
                          </w:rPr>
                          <w:t>-</w:t>
                        </w:r>
                        <w:r>
                          <w:rPr>
                            <w:sz w:val="24"/>
                          </w:rPr>
                          <w:t>（8.5.1</w:t>
                        </w:r>
                        <w:r>
                          <w:rPr>
                            <w:spacing w:val="-58"/>
                            <w:sz w:val="24"/>
                          </w:rPr>
                          <w:t>、</w:t>
                        </w:r>
                        <w:r>
                          <w:rPr>
                            <w:sz w:val="24"/>
                          </w:rPr>
                          <w:t>8.1.5.1</w:t>
                        </w:r>
                        <w:r>
                          <w:rPr>
                            <w:spacing w:val="-60"/>
                            <w:sz w:val="24"/>
                          </w:rPr>
                          <w:t>、</w:t>
                        </w:r>
                        <w:r>
                          <w:rPr>
                            <w:spacing w:val="-3"/>
                            <w:sz w:val="24"/>
                          </w:rPr>
                          <w:t>8.1.3</w:t>
                        </w:r>
                        <w:r>
                          <w:rPr>
                            <w:spacing w:val="-123"/>
                            <w:sz w:val="24"/>
                          </w:rPr>
                          <w:t>）</w:t>
                        </w:r>
                        <w:r>
                          <w:rPr>
                            <w:spacing w:val="-120"/>
                            <w:sz w:val="24"/>
                          </w:rPr>
                          <w:t> </w:t>
                        </w:r>
                        <w:r>
                          <w:rPr>
                            <w:sz w:val="24"/>
                          </w:rPr>
                          <w:t>JTG F90-8.8.4</w:t>
                        </w:r>
                      </w:p>
                    </w:tc>
                  </w:tr>
                  <w:tr>
                    <w:trPr>
                      <w:trHeight w:val="341" w:hRule="atLeast"/>
                    </w:trPr>
                    <w:tc>
                      <w:tcPr>
                        <w:tcW w:w="1116" w:type="dxa"/>
                        <w:vMerge/>
                        <w:tcBorders>
                          <w:top w:val="nil"/>
                        </w:tcBorders>
                      </w:tcPr>
                      <w:p>
                        <w:pPr>
                          <w:rPr>
                            <w:sz w:val="2"/>
                            <w:szCs w:val="2"/>
                          </w:rPr>
                        </w:pPr>
                      </w:p>
                    </w:tc>
                    <w:tc>
                      <w:tcPr>
                        <w:tcW w:w="1029" w:type="dxa"/>
                        <w:vMerge/>
                        <w:tcBorders>
                          <w:top w:val="nil"/>
                        </w:tcBorders>
                      </w:tcPr>
                      <w:p>
                        <w:pPr>
                          <w:rPr>
                            <w:sz w:val="2"/>
                            <w:szCs w:val="2"/>
                          </w:rPr>
                        </w:pPr>
                      </w:p>
                    </w:tc>
                    <w:tc>
                      <w:tcPr>
                        <w:tcW w:w="757" w:type="dxa"/>
                      </w:tcPr>
                      <w:p>
                        <w:pPr>
                          <w:pStyle w:val="TableParagraph"/>
                          <w:spacing w:line="304" w:lineRule="exact" w:before="17"/>
                          <w:ind w:right="6"/>
                          <w:jc w:val="right"/>
                          <w:rPr>
                            <w:sz w:val="24"/>
                          </w:rPr>
                        </w:pPr>
                        <w:r>
                          <w:rPr>
                            <w:sz w:val="24"/>
                          </w:rPr>
                          <w:t>SM—04</w:t>
                        </w:r>
                      </w:p>
                    </w:tc>
                    <w:tc>
                      <w:tcPr>
                        <w:tcW w:w="6880" w:type="dxa"/>
                      </w:tcPr>
                      <w:p>
                        <w:pPr>
                          <w:pStyle w:val="TableParagraph"/>
                          <w:spacing w:line="304" w:lineRule="exact" w:before="17"/>
                          <w:ind w:left="15"/>
                          <w:rPr>
                            <w:sz w:val="24"/>
                          </w:rPr>
                        </w:pPr>
                        <w:r>
                          <w:rPr>
                            <w:sz w:val="24"/>
                          </w:rPr>
                          <w:t>基坑周边 1 米范围内随意堆载、停放设备</w:t>
                        </w:r>
                      </w:p>
                    </w:tc>
                    <w:tc>
                      <w:tcPr>
                        <w:tcW w:w="1662" w:type="dxa"/>
                      </w:tcPr>
                      <w:p>
                        <w:pPr>
                          <w:pStyle w:val="TableParagraph"/>
                          <w:spacing w:line="304" w:lineRule="exact" w:before="17"/>
                          <w:ind w:left="7"/>
                          <w:jc w:val="center"/>
                          <w:rPr>
                            <w:sz w:val="24"/>
                          </w:rPr>
                        </w:pPr>
                        <w:r>
                          <w:rPr>
                            <w:sz w:val="24"/>
                          </w:rPr>
                          <w:t>坍塌</w:t>
                        </w:r>
                      </w:p>
                    </w:tc>
                    <w:tc>
                      <w:tcPr>
                        <w:tcW w:w="3697" w:type="dxa"/>
                        <w:vMerge/>
                        <w:tcBorders>
                          <w:top w:val="nil"/>
                        </w:tcBorders>
                      </w:tcPr>
                      <w:p>
                        <w:pPr>
                          <w:rPr>
                            <w:sz w:val="2"/>
                            <w:szCs w:val="2"/>
                          </w:rPr>
                        </w:pPr>
                      </w:p>
                    </w:tc>
                  </w:tr>
                  <w:tr>
                    <w:trPr>
                      <w:trHeight w:val="963" w:hRule="atLeast"/>
                    </w:trPr>
                    <w:tc>
                      <w:tcPr>
                        <w:tcW w:w="1116" w:type="dxa"/>
                      </w:tcPr>
                      <w:p>
                        <w:pPr>
                          <w:pStyle w:val="TableParagraph"/>
                          <w:spacing w:before="16"/>
                          <w:ind w:left="78" w:hanging="63"/>
                          <w:rPr>
                            <w:sz w:val="24"/>
                          </w:rPr>
                        </w:pPr>
                        <w:r>
                          <w:rPr>
                            <w:sz w:val="24"/>
                          </w:rPr>
                          <w:t>航道整治</w:t>
                        </w:r>
                      </w:p>
                      <w:p>
                        <w:pPr>
                          <w:pStyle w:val="TableParagraph"/>
                          <w:spacing w:line="310" w:lineRule="atLeast" w:before="2"/>
                          <w:ind w:left="78" w:right="65"/>
                          <w:rPr>
                            <w:sz w:val="24"/>
                          </w:rPr>
                        </w:pPr>
                        <w:r>
                          <w:rPr>
                            <w:spacing w:val="-5"/>
                            <w:sz w:val="24"/>
                          </w:rPr>
                          <w:t>防波堤及护岸工程</w:t>
                        </w:r>
                      </w:p>
                    </w:tc>
                    <w:tc>
                      <w:tcPr>
                        <w:tcW w:w="1029" w:type="dxa"/>
                      </w:tcPr>
                      <w:p>
                        <w:pPr>
                          <w:pStyle w:val="TableParagraph"/>
                          <w:spacing w:before="16"/>
                          <w:ind w:left="-141"/>
                          <w:rPr>
                            <w:sz w:val="24"/>
                          </w:rPr>
                        </w:pPr>
                        <w:r>
                          <w:rPr>
                            <w:sz w:val="24"/>
                          </w:rPr>
                          <w:t>、</w:t>
                        </w:r>
                      </w:p>
                      <w:p>
                        <w:pPr>
                          <w:pStyle w:val="TableParagraph"/>
                          <w:spacing w:before="2"/>
                          <w:ind w:left="32"/>
                          <w:rPr>
                            <w:sz w:val="24"/>
                          </w:rPr>
                        </w:pPr>
                        <w:r>
                          <w:rPr>
                            <w:sz w:val="24"/>
                          </w:rPr>
                          <w:t>铺排施工</w:t>
                        </w:r>
                      </w:p>
                    </w:tc>
                    <w:tc>
                      <w:tcPr>
                        <w:tcW w:w="757" w:type="dxa"/>
                      </w:tcPr>
                      <w:p>
                        <w:pPr>
                          <w:pStyle w:val="TableParagraph"/>
                          <w:spacing w:before="5"/>
                          <w:rPr>
                            <w:sz w:val="25"/>
                          </w:rPr>
                        </w:pPr>
                      </w:p>
                      <w:p>
                        <w:pPr>
                          <w:pStyle w:val="TableParagraph"/>
                          <w:ind w:right="6"/>
                          <w:jc w:val="right"/>
                          <w:rPr>
                            <w:sz w:val="24"/>
                          </w:rPr>
                        </w:pPr>
                        <w:r>
                          <w:rPr>
                            <w:sz w:val="24"/>
                          </w:rPr>
                          <w:t>SD—01</w:t>
                        </w:r>
                      </w:p>
                    </w:tc>
                    <w:tc>
                      <w:tcPr>
                        <w:tcW w:w="6880" w:type="dxa"/>
                      </w:tcPr>
                      <w:p>
                        <w:pPr>
                          <w:pStyle w:val="TableParagraph"/>
                          <w:spacing w:before="5"/>
                          <w:rPr>
                            <w:sz w:val="25"/>
                          </w:rPr>
                        </w:pPr>
                      </w:p>
                      <w:p>
                        <w:pPr>
                          <w:pStyle w:val="TableParagraph"/>
                          <w:ind w:left="15"/>
                          <w:rPr>
                            <w:sz w:val="24"/>
                          </w:rPr>
                        </w:pPr>
                        <w:r>
                          <w:rPr>
                            <w:sz w:val="24"/>
                          </w:rPr>
                          <w:t>人员站立于正在溜放的软体排上方</w:t>
                        </w:r>
                      </w:p>
                    </w:tc>
                    <w:tc>
                      <w:tcPr>
                        <w:tcW w:w="1662" w:type="dxa"/>
                      </w:tcPr>
                      <w:p>
                        <w:pPr>
                          <w:pStyle w:val="TableParagraph"/>
                          <w:spacing w:before="5"/>
                          <w:rPr>
                            <w:sz w:val="25"/>
                          </w:rPr>
                        </w:pPr>
                      </w:p>
                      <w:p>
                        <w:pPr>
                          <w:pStyle w:val="TableParagraph"/>
                          <w:ind w:left="7"/>
                          <w:jc w:val="center"/>
                          <w:rPr>
                            <w:sz w:val="24"/>
                          </w:rPr>
                        </w:pPr>
                        <w:r>
                          <w:rPr>
                            <w:sz w:val="24"/>
                          </w:rPr>
                          <w:t>淹溺</w:t>
                        </w:r>
                      </w:p>
                    </w:tc>
                    <w:tc>
                      <w:tcPr>
                        <w:tcW w:w="3697" w:type="dxa"/>
                      </w:tcPr>
                      <w:p>
                        <w:pPr>
                          <w:pStyle w:val="TableParagraph"/>
                          <w:spacing w:before="5"/>
                          <w:rPr>
                            <w:sz w:val="25"/>
                          </w:rPr>
                        </w:pPr>
                      </w:p>
                      <w:p>
                        <w:pPr>
                          <w:pStyle w:val="TableParagraph"/>
                          <w:ind w:left="14"/>
                          <w:rPr>
                            <w:sz w:val="24"/>
                          </w:rPr>
                        </w:pPr>
                        <w:r>
                          <w:rPr>
                            <w:sz w:val="24"/>
                          </w:rPr>
                          <w:t>JTS205-5.10.4</w:t>
                        </w:r>
                      </w:p>
                    </w:tc>
                  </w:tr>
                </w:tbl>
                <w:p>
                  <w:pPr>
                    <w:pStyle w:val="BodyText"/>
                    <w:ind w:left="0"/>
                  </w:pPr>
                </w:p>
              </w:txbxContent>
            </v:textbox>
            <w10:wrap type="none"/>
          </v:shape>
        </w:pict>
      </w:r>
      <w:r>
        <w:rPr>
          <w:sz w:val="24"/>
        </w:rPr>
        <w:t>；</w:t>
      </w:r>
    </w:p>
    <w:p>
      <w:pPr>
        <w:pStyle w:val="BodyText"/>
        <w:ind w:left="0"/>
        <w:rPr>
          <w:sz w:val="24"/>
        </w:rPr>
      </w:pPr>
    </w:p>
    <w:p>
      <w:pPr>
        <w:pStyle w:val="BodyText"/>
        <w:ind w:left="0"/>
        <w:rPr>
          <w:sz w:val="24"/>
        </w:rPr>
      </w:pPr>
    </w:p>
    <w:p>
      <w:pPr>
        <w:pStyle w:val="BodyText"/>
        <w:ind w:left="0"/>
        <w:rPr>
          <w:sz w:val="24"/>
        </w:rPr>
      </w:pPr>
    </w:p>
    <w:p>
      <w:pPr>
        <w:pStyle w:val="BodyText"/>
        <w:spacing w:before="4"/>
        <w:ind w:left="0"/>
      </w:pPr>
    </w:p>
    <w:p>
      <w:pPr>
        <w:spacing w:line="242" w:lineRule="auto" w:before="0"/>
        <w:ind w:left="1420" w:right="5740" w:hanging="720"/>
        <w:jc w:val="left"/>
        <w:rPr>
          <w:sz w:val="24"/>
        </w:rPr>
      </w:pPr>
      <w:r>
        <w:rPr>
          <w:sz w:val="24"/>
        </w:rPr>
        <w:t>备注：1.JTS205：《水运工程施工安全防护技术规范》（JTS205-1-2008）； 2.GB18265：《危险化学品经营企业开业条件和技术要求》（GB18265-2000）；</w:t>
      </w:r>
    </w:p>
    <w:p>
      <w:pPr>
        <w:pStyle w:val="ListParagraph"/>
        <w:numPr>
          <w:ilvl w:val="1"/>
          <w:numId w:val="30"/>
        </w:numPr>
        <w:tabs>
          <w:tab w:pos="1661" w:val="left" w:leader="none"/>
        </w:tabs>
        <w:spacing w:line="240" w:lineRule="auto" w:before="0" w:after="0"/>
        <w:ind w:left="1661" w:right="0" w:hanging="241"/>
        <w:jc w:val="left"/>
        <w:rPr>
          <w:sz w:val="24"/>
        </w:rPr>
      </w:pPr>
      <w:r>
        <w:rPr>
          <w:sz w:val="24"/>
        </w:rPr>
        <w:t>JTG F90：《公路工程施工安全技术规范》（JTG F90-2015）；</w:t>
      </w:r>
    </w:p>
    <w:p>
      <w:pPr>
        <w:pStyle w:val="ListParagraph"/>
        <w:numPr>
          <w:ilvl w:val="1"/>
          <w:numId w:val="30"/>
        </w:numPr>
        <w:tabs>
          <w:tab w:pos="1661" w:val="left" w:leader="none"/>
        </w:tabs>
        <w:spacing w:line="240" w:lineRule="auto" w:before="5" w:after="0"/>
        <w:ind w:left="1661" w:right="0" w:hanging="241"/>
        <w:jc w:val="left"/>
        <w:rPr>
          <w:sz w:val="24"/>
        </w:rPr>
      </w:pPr>
      <w:r>
        <w:rPr>
          <w:sz w:val="24"/>
        </w:rPr>
        <w:t>JTG/T F50：《公路桥涵施工技术规范》（JTG/T F50-2011）；</w:t>
      </w:r>
    </w:p>
    <w:p>
      <w:pPr>
        <w:spacing w:before="4"/>
        <w:ind w:left="1420" w:right="0" w:firstLine="0"/>
        <w:jc w:val="left"/>
        <w:rPr>
          <w:sz w:val="24"/>
        </w:rPr>
      </w:pPr>
      <w:r>
        <w:rPr>
          <w:sz w:val="24"/>
        </w:rPr>
        <w:t>5.GB6722：《爆破安全规程》（GB6722－2014）；</w:t>
      </w:r>
    </w:p>
    <w:p>
      <w:pPr>
        <w:spacing w:after="0"/>
        <w:jc w:val="left"/>
        <w:rPr>
          <w:sz w:val="24"/>
        </w:rPr>
        <w:sectPr>
          <w:pgSz w:w="16840" w:h="11910" w:orient="landscape"/>
          <w:pgMar w:header="0" w:footer="1000" w:top="1100" w:bottom="1180" w:left="740" w:right="640"/>
        </w:sectPr>
      </w:pPr>
    </w:p>
    <w:p>
      <w:pPr>
        <w:pStyle w:val="BodyText"/>
        <w:ind w:left="0"/>
        <w:rPr>
          <w:sz w:val="20"/>
        </w:rPr>
      </w:pPr>
    </w:p>
    <w:p>
      <w:pPr>
        <w:pStyle w:val="BodyText"/>
        <w:ind w:left="0"/>
        <w:rPr>
          <w:sz w:val="20"/>
        </w:rPr>
      </w:pPr>
    </w:p>
    <w:p>
      <w:pPr>
        <w:pStyle w:val="BodyText"/>
        <w:spacing w:before="2"/>
        <w:ind w:left="0"/>
        <w:rPr>
          <w:sz w:val="14"/>
        </w:rPr>
      </w:pPr>
    </w:p>
    <w:p>
      <w:pPr>
        <w:pStyle w:val="Heading2"/>
        <w:spacing w:line="237" w:lineRule="auto" w:before="45"/>
        <w:ind w:left="2693" w:right="1353" w:hanging="1541"/>
        <w:jc w:val="left"/>
      </w:pPr>
      <w:bookmarkStart w:name="公路交通事故多发点段及严重安全隐患" w:id="24"/>
      <w:bookmarkEnd w:id="24"/>
      <w:r>
        <w:rPr/>
      </w:r>
      <w:bookmarkStart w:name="_bookmark12" w:id="25"/>
      <w:bookmarkEnd w:id="25"/>
      <w:r>
        <w:rPr/>
      </w:r>
      <w:r>
        <w:rPr/>
        <w:t>公路交通事故多发点段及严重安全隐患排查工作规范（试行）</w:t>
      </w:r>
    </w:p>
    <w:p>
      <w:pPr>
        <w:pStyle w:val="BodyText"/>
        <w:spacing w:before="3"/>
        <w:ind w:left="0"/>
        <w:rPr>
          <w:sz w:val="65"/>
        </w:rPr>
      </w:pPr>
    </w:p>
    <w:p>
      <w:pPr>
        <w:pStyle w:val="Heading3"/>
        <w:ind w:left="722" w:right="286" w:firstLine="0"/>
        <w:jc w:val="center"/>
        <w:rPr>
          <w:rFonts w:ascii="黑体" w:eastAsia="黑体" w:hint="eastAsia"/>
        </w:rPr>
      </w:pPr>
      <w:r>
        <w:rPr>
          <w:rFonts w:ascii="黑体" w:eastAsia="黑体" w:hint="eastAsia"/>
        </w:rPr>
        <w:t>第一章 总则</w:t>
      </w:r>
    </w:p>
    <w:p>
      <w:pPr>
        <w:pStyle w:val="BodyText"/>
        <w:spacing w:line="560" w:lineRule="exact" w:before="179"/>
        <w:ind w:left="526" w:right="654" w:firstLine="640"/>
      </w:pPr>
      <w:r>
        <w:rPr>
          <w:rFonts w:ascii="Microsoft JhengHei" w:eastAsia="Microsoft JhengHei" w:hint="eastAsia"/>
          <w:b/>
          <w:spacing w:val="18"/>
        </w:rPr>
        <w:t>第一条 </w:t>
      </w:r>
      <w:r>
        <w:rPr/>
        <w:t>为健全完善公路交通安全隐患排查工作长效机制， 规范公路交通事故多发点段的排查工作，有效防范和减少道路交通事故的发生，根据《道路交通安全法》及其实施条例的规</w:t>
      </w:r>
    </w:p>
    <w:p>
      <w:pPr>
        <w:pStyle w:val="BodyText"/>
        <w:spacing w:before="128"/>
        <w:ind w:left="526"/>
      </w:pPr>
      <w:r>
        <w:rPr>
          <w:w w:val="95"/>
        </w:rPr>
        <w:t>定，以及《国务院关于加强道路交通安全工作的意见》（国发</w:t>
      </w:r>
    </w:p>
    <w:p>
      <w:pPr>
        <w:pStyle w:val="BodyText"/>
        <w:spacing w:before="150"/>
        <w:ind w:left="526"/>
      </w:pPr>
      <w:r>
        <w:rPr/>
        <w:t>〔2012〕30 号）及其分工方案的要求，制定本规范。</w:t>
      </w:r>
    </w:p>
    <w:p>
      <w:pPr>
        <w:pStyle w:val="BodyText"/>
        <w:spacing w:before="43"/>
        <w:ind w:left="1167"/>
      </w:pPr>
      <w:r>
        <w:rPr>
          <w:rFonts w:ascii="Microsoft JhengHei" w:eastAsia="Microsoft JhengHei" w:hint="eastAsia"/>
          <w:b/>
        </w:rPr>
        <w:t>第二条 </w:t>
      </w:r>
      <w:r>
        <w:rPr/>
        <w:t>本规范适用于已经投入使用的高速公路及一、二、</w:t>
      </w:r>
    </w:p>
    <w:p>
      <w:pPr>
        <w:pStyle w:val="BodyText"/>
        <w:spacing w:line="326" w:lineRule="auto" w:before="79"/>
        <w:ind w:left="526" w:right="818"/>
      </w:pPr>
      <w:r>
        <w:rPr/>
        <w:t>三、四级公路的交通事故多发点段排查和交通严重安全隐患排查。</w:t>
      </w:r>
    </w:p>
    <w:p>
      <w:pPr>
        <w:pStyle w:val="BodyText"/>
        <w:spacing w:before="3"/>
        <w:ind w:left="1167"/>
      </w:pPr>
      <w:r>
        <w:rPr/>
        <w:t>等外公路可以参照执行。</w:t>
      </w:r>
    </w:p>
    <w:p>
      <w:pPr>
        <w:pStyle w:val="BodyText"/>
        <w:spacing w:line="560" w:lineRule="exact" w:before="24"/>
        <w:ind w:left="526" w:right="818" w:firstLine="640"/>
      </w:pPr>
      <w:r>
        <w:rPr>
          <w:rFonts w:ascii="Microsoft JhengHei" w:eastAsia="Microsoft JhengHei" w:hint="eastAsia"/>
          <w:b/>
        </w:rPr>
        <w:t>第三条 </w:t>
      </w:r>
      <w:r>
        <w:rPr/>
        <w:t>公路交通事故多发点段及严重安全隐患排查要坚持以预防和减少道路交通事故为目标，通过强化交通事故统计分析，排查确定事故多发点段和存在严重安全隐患路段，提出</w:t>
      </w:r>
    </w:p>
    <w:p>
      <w:pPr>
        <w:pStyle w:val="BodyText"/>
        <w:spacing w:line="326" w:lineRule="auto" w:before="128"/>
        <w:ind w:left="526" w:right="818"/>
      </w:pPr>
      <w:r>
        <w:rPr/>
        <w:t>针对性的治理意见和建议，推动隐患整改和公路安全水平的提升。</w:t>
      </w:r>
    </w:p>
    <w:p>
      <w:pPr>
        <w:pStyle w:val="Heading3"/>
        <w:spacing w:before="159"/>
        <w:ind w:left="722" w:right="286" w:firstLine="0"/>
        <w:jc w:val="center"/>
        <w:rPr>
          <w:rFonts w:ascii="黑体" w:eastAsia="黑体" w:hint="eastAsia"/>
        </w:rPr>
      </w:pPr>
      <w:r>
        <w:rPr>
          <w:rFonts w:ascii="黑体" w:eastAsia="黑体" w:hint="eastAsia"/>
        </w:rPr>
        <w:t>第二章 公路交通事故多发点段排查</w:t>
      </w:r>
    </w:p>
    <w:p>
      <w:pPr>
        <w:pStyle w:val="BodyText"/>
        <w:spacing w:line="271" w:lineRule="auto" w:before="202"/>
        <w:ind w:left="526" w:right="818" w:firstLine="640"/>
      </w:pPr>
      <w:r>
        <w:rPr>
          <w:rFonts w:ascii="Microsoft JhengHei" w:eastAsia="Microsoft JhengHei" w:hint="eastAsia"/>
          <w:b/>
        </w:rPr>
        <w:t>第四条 </w:t>
      </w:r>
      <w:r>
        <w:rPr/>
        <w:t>公路交通事故多发点段排查由县级以上公安机关交通管理部门组织开展，由事故处理及预防、秩序管理、交通</w:t>
      </w:r>
    </w:p>
    <w:p>
      <w:pPr>
        <w:spacing w:after="0" w:line="271" w:lineRule="auto"/>
        <w:sectPr>
          <w:footerReference w:type="default" r:id="rId13"/>
          <w:pgSz w:w="11910" w:h="16840"/>
          <w:pgMar w:footer="985" w:header="0" w:top="1580" w:bottom="1180" w:left="1060" w:right="860"/>
          <w:pgNumType w:start="69"/>
        </w:sectPr>
      </w:pPr>
    </w:p>
    <w:p>
      <w:pPr>
        <w:pStyle w:val="BodyText"/>
        <w:spacing w:before="10"/>
        <w:ind w:left="0"/>
        <w:rPr>
          <w:sz w:val="13"/>
        </w:rPr>
      </w:pPr>
    </w:p>
    <w:p>
      <w:pPr>
        <w:pStyle w:val="BodyText"/>
        <w:spacing w:line="328" w:lineRule="auto" w:before="54"/>
        <w:ind w:left="526" w:right="818"/>
      </w:pPr>
      <w:r>
        <w:rPr/>
        <w:t>设施等相关人员参加。可以根据需要，会同当地交通运输、应急管理等部门联合开展排查工作。</w:t>
      </w:r>
    </w:p>
    <w:p>
      <w:pPr>
        <w:pStyle w:val="BodyText"/>
        <w:spacing w:line="326" w:lineRule="auto"/>
        <w:ind w:left="526" w:right="818" w:firstLine="640"/>
      </w:pPr>
      <w:r>
        <w:rPr/>
        <w:t>上级公安机关交通管理部门负责对下级公安机关交通管理部门开展排查工作进行业务指导和技术支持。</w:t>
      </w:r>
    </w:p>
    <w:p>
      <w:pPr>
        <w:pStyle w:val="BodyText"/>
        <w:spacing w:line="488" w:lineRule="exact"/>
        <w:ind w:left="1167"/>
        <w:jc w:val="both"/>
      </w:pPr>
      <w:r>
        <w:rPr>
          <w:rFonts w:ascii="Microsoft JhengHei" w:eastAsia="Microsoft JhengHei" w:hint="eastAsia"/>
          <w:b/>
        </w:rPr>
        <w:t>第五条 </w:t>
      </w:r>
      <w:r>
        <w:rPr/>
        <w:t>公路交通事故多发点段排查工作应当按照以下程</w:t>
      </w:r>
    </w:p>
    <w:p>
      <w:pPr>
        <w:pStyle w:val="BodyText"/>
        <w:spacing w:line="328" w:lineRule="auto" w:before="74"/>
        <w:ind w:left="526" w:right="818"/>
        <w:jc w:val="both"/>
      </w:pPr>
      <w:r>
        <w:rPr/>
        <w:t>序进行：分析处理交通事故数据、筛查分类事故多发点段、深入调查分析、提出治理建议、制作排查报告，每年度不少于 1 次。</w:t>
      </w:r>
    </w:p>
    <w:p>
      <w:pPr>
        <w:pStyle w:val="BodyText"/>
        <w:spacing w:line="478" w:lineRule="exact"/>
        <w:ind w:left="1167"/>
      </w:pPr>
      <w:r>
        <w:rPr>
          <w:rFonts w:ascii="Microsoft JhengHei" w:eastAsia="Microsoft JhengHei" w:hint="eastAsia"/>
          <w:b/>
        </w:rPr>
        <w:t>第六条 </w:t>
      </w:r>
      <w:r>
        <w:rPr/>
        <w:t>分析处理交通事故数据应当在充分收集整理辖区</w:t>
      </w:r>
    </w:p>
    <w:p>
      <w:pPr>
        <w:pStyle w:val="BodyText"/>
        <w:spacing w:before="76"/>
        <w:ind w:left="526"/>
      </w:pPr>
      <w:r>
        <w:rPr/>
        <w:t>近 3 年道路交通事故数据基础上，深入研判事故特点。</w:t>
      </w:r>
    </w:p>
    <w:p>
      <w:pPr>
        <w:pStyle w:val="BodyText"/>
        <w:spacing w:line="560" w:lineRule="exact" w:before="24"/>
        <w:ind w:left="526" w:right="818" w:firstLine="640"/>
      </w:pPr>
      <w:r>
        <w:rPr>
          <w:rFonts w:ascii="Microsoft JhengHei" w:eastAsia="Microsoft JhengHei" w:hint="eastAsia"/>
          <w:b/>
        </w:rPr>
        <w:t>第七条 </w:t>
      </w:r>
      <w:r>
        <w:rPr/>
        <w:t>公路交通事故多发点段根据事故发生频次及严重程度分为一类多发点段、二类多发点段和三类多发点段，筛查分类标准参照附录 1 执行。</w:t>
      </w:r>
    </w:p>
    <w:p>
      <w:pPr>
        <w:pStyle w:val="BodyText"/>
        <w:spacing w:line="326" w:lineRule="auto" w:before="128"/>
        <w:ind w:left="526" w:right="818" w:firstLine="640"/>
      </w:pPr>
      <w:r>
        <w:rPr/>
        <w:t>其中，一、二、三类多发点段排查分别由省、市、县三级公安机关交通管理部门督办。</w:t>
      </w:r>
    </w:p>
    <w:p>
      <w:pPr>
        <w:pStyle w:val="BodyText"/>
        <w:spacing w:line="486" w:lineRule="exact"/>
        <w:ind w:left="1167"/>
      </w:pPr>
      <w:r>
        <w:rPr>
          <w:rFonts w:ascii="Microsoft JhengHei" w:eastAsia="Microsoft JhengHei" w:hint="eastAsia"/>
          <w:b/>
        </w:rPr>
        <w:t>第八条 </w:t>
      </w:r>
      <w:r>
        <w:rPr/>
        <w:t>排查公路交通事故多发点段应当根据历史交通事</w:t>
      </w:r>
    </w:p>
    <w:p>
      <w:pPr>
        <w:pStyle w:val="BodyText"/>
        <w:spacing w:line="326" w:lineRule="auto" w:before="78"/>
        <w:ind w:left="526" w:right="565"/>
      </w:pPr>
      <w:r>
        <w:rPr/>
        <w:t>故数据，分析事故多发的原因、事故特征及分布特点等，确定</w:t>
      </w:r>
      <w:r>
        <w:rPr>
          <w:spacing w:val="-6"/>
        </w:rPr>
        <w:t>与道路相关的重点调查内容，并对暴露出的安全隐患进行分析。</w:t>
      </w:r>
      <w:r>
        <w:rPr>
          <w:spacing w:val="-11"/>
        </w:rPr>
        <w:t>相关调查分析方法可以参考附录 </w:t>
      </w:r>
      <w:r>
        <w:rPr/>
        <w:t>2</w:t>
      </w:r>
      <w:r>
        <w:rPr>
          <w:spacing w:val="-21"/>
        </w:rPr>
        <w:t> 执行。</w:t>
      </w:r>
    </w:p>
    <w:p>
      <w:pPr>
        <w:pStyle w:val="BodyText"/>
        <w:spacing w:line="490" w:lineRule="exact"/>
        <w:ind w:left="1167"/>
      </w:pPr>
      <w:r>
        <w:rPr>
          <w:rFonts w:ascii="Microsoft JhengHei" w:eastAsia="Microsoft JhengHei" w:hint="eastAsia"/>
          <w:b/>
        </w:rPr>
        <w:t>第九条 </w:t>
      </w:r>
      <w:r>
        <w:rPr/>
        <w:t>公安机关交通管理部门应当对调查分析确认的公</w:t>
      </w:r>
    </w:p>
    <w:p>
      <w:pPr>
        <w:pStyle w:val="BodyText"/>
        <w:spacing w:before="77"/>
        <w:ind w:left="526"/>
      </w:pPr>
      <w:r>
        <w:rPr/>
        <w:t>路安全隐患，提出消除隐患的建议。</w:t>
      </w:r>
    </w:p>
    <w:p>
      <w:pPr>
        <w:pStyle w:val="BodyText"/>
        <w:spacing w:line="271" w:lineRule="auto" w:before="43"/>
        <w:ind w:left="526" w:right="726" w:firstLine="640"/>
      </w:pPr>
      <w:r>
        <w:rPr>
          <w:rFonts w:ascii="Microsoft JhengHei" w:eastAsia="Microsoft JhengHei" w:hint="eastAsia"/>
          <w:b/>
          <w:spacing w:val="18"/>
        </w:rPr>
        <w:t>第十条 </w:t>
      </w:r>
      <w:r>
        <w:rPr>
          <w:spacing w:val="2"/>
        </w:rPr>
        <w:t>公路交通事故多发点段排查报告应当参照附录</w:t>
      </w:r>
      <w:r>
        <w:rPr/>
        <w:t>3</w:t>
      </w:r>
      <w:r>
        <w:rPr>
          <w:spacing w:val="-59"/>
        </w:rPr>
        <w:t> 的格式制作，且包含下列内容：</w:t>
      </w:r>
    </w:p>
    <w:p>
      <w:pPr>
        <w:pStyle w:val="BodyText"/>
        <w:spacing w:before="99"/>
        <w:ind w:left="1167"/>
      </w:pPr>
      <w:r>
        <w:rPr/>
        <w:t>（一）排查单位及成员名单；</w:t>
      </w:r>
    </w:p>
    <w:p>
      <w:pPr>
        <w:spacing w:after="0"/>
        <w:sectPr>
          <w:footerReference w:type="default" r:id="rId14"/>
          <w:pgSz w:w="11910" w:h="16840"/>
          <w:pgMar w:footer="985" w:header="0" w:top="1580" w:bottom="1180" w:left="1060" w:right="860"/>
          <w:pgNumType w:start="70"/>
        </w:sectPr>
      </w:pPr>
    </w:p>
    <w:p>
      <w:pPr>
        <w:pStyle w:val="BodyText"/>
        <w:spacing w:before="10"/>
        <w:ind w:left="0"/>
        <w:rPr>
          <w:sz w:val="13"/>
        </w:rPr>
      </w:pPr>
    </w:p>
    <w:p>
      <w:pPr>
        <w:pStyle w:val="BodyText"/>
        <w:spacing w:before="54"/>
        <w:ind w:left="1167"/>
      </w:pPr>
      <w:r>
        <w:rPr/>
        <w:t>（二）排查时间及工作方式、方法、过程；</w:t>
      </w:r>
    </w:p>
    <w:p>
      <w:pPr>
        <w:pStyle w:val="BodyText"/>
        <w:spacing w:before="152"/>
        <w:ind w:left="1167"/>
      </w:pPr>
      <w:r>
        <w:rPr/>
        <w:t>（三）排查路段基本信息；</w:t>
      </w:r>
    </w:p>
    <w:p>
      <w:pPr>
        <w:pStyle w:val="BodyText"/>
        <w:spacing w:before="149"/>
        <w:ind w:left="1167"/>
      </w:pPr>
      <w:r>
        <w:rPr/>
        <w:t>（四）多发点段分类；</w:t>
      </w:r>
    </w:p>
    <w:p>
      <w:pPr>
        <w:pStyle w:val="BodyText"/>
        <w:spacing w:before="149"/>
        <w:ind w:left="1167"/>
      </w:pPr>
      <w:r>
        <w:rPr/>
        <w:t>（五）安全隐患调查分析；</w:t>
      </w:r>
    </w:p>
    <w:p>
      <w:pPr>
        <w:pStyle w:val="BodyText"/>
        <w:spacing w:before="152"/>
        <w:ind w:left="1167"/>
      </w:pPr>
      <w:r>
        <w:rPr/>
        <w:t>（六）消除隐患的建议；</w:t>
      </w:r>
    </w:p>
    <w:p>
      <w:pPr>
        <w:pStyle w:val="BodyText"/>
        <w:spacing w:before="149"/>
        <w:ind w:left="1167"/>
      </w:pPr>
      <w:r>
        <w:rPr/>
        <w:t>（七）相关附件。</w:t>
      </w:r>
    </w:p>
    <w:p>
      <w:pPr>
        <w:pStyle w:val="BodyText"/>
        <w:spacing w:before="10"/>
        <w:ind w:left="0"/>
        <w:rPr>
          <w:sz w:val="23"/>
        </w:rPr>
      </w:pPr>
    </w:p>
    <w:p>
      <w:pPr>
        <w:pStyle w:val="Heading3"/>
        <w:ind w:left="722" w:right="286" w:firstLine="0"/>
        <w:jc w:val="center"/>
        <w:rPr>
          <w:rFonts w:ascii="黑体" w:eastAsia="黑体" w:hint="eastAsia"/>
        </w:rPr>
      </w:pPr>
      <w:r>
        <w:rPr>
          <w:rFonts w:ascii="黑体" w:eastAsia="黑体" w:hint="eastAsia"/>
        </w:rPr>
        <w:t>第三章 公路严重安全隐患排查</w:t>
      </w:r>
    </w:p>
    <w:p>
      <w:pPr>
        <w:pStyle w:val="BodyText"/>
        <w:spacing w:line="560" w:lineRule="exact" w:before="180"/>
        <w:ind w:left="526" w:right="818" w:firstLine="640"/>
      </w:pPr>
      <w:r>
        <w:rPr>
          <w:rFonts w:ascii="Microsoft JhengHei" w:eastAsia="Microsoft JhengHei" w:hint="eastAsia"/>
          <w:b/>
        </w:rPr>
        <w:t>第十一条 </w:t>
      </w:r>
      <w:r>
        <w:rPr/>
        <w:t>县级以上公安机关交通管理部门根据管理体制及职责分工，负责本辖区公路交通严重安全隐患的排查工作， 实行日常排查和专项排查相结合的工作方式，并配合同级交通</w:t>
      </w:r>
    </w:p>
    <w:p>
      <w:pPr>
        <w:pStyle w:val="BodyText"/>
        <w:spacing w:before="128"/>
        <w:ind w:left="526"/>
      </w:pPr>
      <w:r>
        <w:rPr/>
        <w:t>运输部门开展相关工作。</w:t>
      </w:r>
    </w:p>
    <w:p>
      <w:pPr>
        <w:pStyle w:val="BodyText"/>
        <w:spacing w:line="271" w:lineRule="auto" w:before="44"/>
        <w:ind w:left="526" w:right="818" w:firstLine="640"/>
      </w:pPr>
      <w:r>
        <w:rPr>
          <w:rFonts w:ascii="Microsoft JhengHei" w:eastAsia="Microsoft JhengHei" w:hint="eastAsia"/>
          <w:b/>
        </w:rPr>
        <w:t>第十二条 </w:t>
      </w:r>
      <w:r>
        <w:rPr/>
        <w:t>日常排查是指公安机关交通管理部门日常执勤执法过程中，发现急弯、陡坡、临崖、临水、长下坡等重点路</w:t>
      </w:r>
    </w:p>
    <w:p>
      <w:pPr>
        <w:pStyle w:val="BodyText"/>
        <w:spacing w:line="326" w:lineRule="auto" w:before="98"/>
        <w:ind w:left="526" w:right="818"/>
        <w:jc w:val="both"/>
      </w:pPr>
      <w:r>
        <w:rPr/>
        <w:t>段标志标线和安全防护设施严重缺失、损坏，以及群众或者其他公安机关交通管理部门、有关部门认为明显危及交通安全的公路安全隐患。</w:t>
      </w:r>
    </w:p>
    <w:p>
      <w:pPr>
        <w:pStyle w:val="BodyText"/>
        <w:spacing w:line="490" w:lineRule="exact"/>
        <w:ind w:left="1167"/>
        <w:jc w:val="both"/>
      </w:pPr>
      <w:r>
        <w:rPr>
          <w:rFonts w:ascii="Microsoft JhengHei" w:eastAsia="Microsoft JhengHei" w:hint="eastAsia"/>
          <w:b/>
        </w:rPr>
        <w:t>第十三条 </w:t>
      </w:r>
      <w:r>
        <w:rPr/>
        <w:t>专项排查是指公安机关交通管理部门根据工作</w:t>
      </w:r>
    </w:p>
    <w:p>
      <w:pPr>
        <w:pStyle w:val="BodyText"/>
        <w:spacing w:line="328" w:lineRule="auto" w:before="76"/>
        <w:ind w:left="526" w:right="818"/>
        <w:jc w:val="both"/>
      </w:pPr>
      <w:r>
        <w:rPr/>
        <w:t>需要，在特定时段针对重点路段或者突出安全隐患类型开展的公路严重安全隐患排查，排查内容和方式由组织专项排查的公安机关交通管理部门自行确定。</w:t>
      </w:r>
    </w:p>
    <w:p>
      <w:pPr>
        <w:pStyle w:val="BodyText"/>
        <w:spacing w:line="266" w:lineRule="auto"/>
        <w:ind w:left="1167" w:right="565"/>
        <w:jc w:val="both"/>
      </w:pPr>
      <w:r>
        <w:rPr>
          <w:spacing w:val="-8"/>
        </w:rPr>
        <w:t>必要时，可以提请同级人民政府牵头，相关部门共同开展。</w:t>
      </w:r>
      <w:r>
        <w:rPr>
          <w:rFonts w:ascii="Microsoft JhengHei" w:eastAsia="Microsoft JhengHei" w:hint="eastAsia"/>
          <w:b/>
          <w:spacing w:val="9"/>
        </w:rPr>
        <w:t>第十四条 </w:t>
      </w:r>
      <w:r>
        <w:rPr/>
        <w:t>公安机关交通管理部门对排查确认的公路交通</w:t>
      </w:r>
    </w:p>
    <w:p>
      <w:pPr>
        <w:pStyle w:val="BodyText"/>
        <w:spacing w:before="8"/>
        <w:ind w:left="526"/>
      </w:pPr>
      <w:r>
        <w:rPr/>
        <w:t>安全严重隐患，应当提出消除隐患的建议。</w:t>
      </w:r>
    </w:p>
    <w:p>
      <w:pPr>
        <w:spacing w:after="0"/>
        <w:sectPr>
          <w:pgSz w:w="11910" w:h="16840"/>
          <w:pgMar w:header="0" w:footer="985" w:top="1580" w:bottom="1180" w:left="1060" w:right="860"/>
        </w:sectPr>
      </w:pPr>
    </w:p>
    <w:p>
      <w:pPr>
        <w:pStyle w:val="BodyText"/>
        <w:spacing w:before="10"/>
        <w:ind w:left="0"/>
        <w:rPr>
          <w:sz w:val="13"/>
        </w:rPr>
      </w:pPr>
    </w:p>
    <w:p>
      <w:pPr>
        <w:pStyle w:val="BodyText"/>
        <w:spacing w:line="537" w:lineRule="exact"/>
        <w:ind w:left="1167"/>
      </w:pPr>
      <w:r>
        <w:rPr>
          <w:rFonts w:ascii="Microsoft JhengHei" w:eastAsia="Microsoft JhengHei" w:hint="eastAsia"/>
          <w:b/>
        </w:rPr>
        <w:t>第十五条 </w:t>
      </w:r>
      <w:r>
        <w:rPr/>
        <w:t>公安机关交通管理部门制作公路交通安全严重</w:t>
      </w:r>
    </w:p>
    <w:p>
      <w:pPr>
        <w:pStyle w:val="BodyText"/>
        <w:spacing w:before="78"/>
        <w:ind w:left="0" w:right="4338"/>
        <w:jc w:val="right"/>
      </w:pPr>
      <w:r>
        <w:rPr>
          <w:w w:val="95"/>
        </w:rPr>
        <w:t>隐患排查报告，应当包含下列内容：</w:t>
      </w:r>
    </w:p>
    <w:p>
      <w:pPr>
        <w:pStyle w:val="BodyText"/>
        <w:spacing w:before="150"/>
        <w:ind w:left="0" w:right="4338"/>
        <w:jc w:val="right"/>
      </w:pPr>
      <w:r>
        <w:rPr>
          <w:w w:val="95"/>
        </w:rPr>
        <w:t>（一）排查单位、时间及过程；</w:t>
      </w:r>
    </w:p>
    <w:p>
      <w:pPr>
        <w:pStyle w:val="BodyText"/>
        <w:spacing w:before="149"/>
        <w:ind w:left="1167"/>
      </w:pPr>
      <w:r>
        <w:rPr/>
        <w:t>（二）公路交通严重安全隐患情况及分析；</w:t>
      </w:r>
    </w:p>
    <w:p>
      <w:pPr>
        <w:pStyle w:val="BodyText"/>
        <w:spacing w:before="151"/>
        <w:ind w:left="1167"/>
      </w:pPr>
      <w:r>
        <w:rPr/>
        <w:t>（三）消除隐患的建议；</w:t>
      </w:r>
    </w:p>
    <w:p>
      <w:pPr>
        <w:pStyle w:val="BodyText"/>
        <w:spacing w:before="150"/>
        <w:ind w:left="1167"/>
      </w:pPr>
      <w:r>
        <w:rPr/>
        <w:t>（四）相关附件。</w:t>
      </w:r>
    </w:p>
    <w:p>
      <w:pPr>
        <w:pStyle w:val="BodyText"/>
        <w:spacing w:before="10"/>
        <w:ind w:left="0"/>
        <w:rPr>
          <w:sz w:val="23"/>
        </w:rPr>
      </w:pPr>
    </w:p>
    <w:p>
      <w:pPr>
        <w:pStyle w:val="Heading3"/>
        <w:ind w:left="722" w:right="286" w:firstLine="0"/>
        <w:jc w:val="center"/>
        <w:rPr>
          <w:rFonts w:ascii="黑体" w:eastAsia="黑体" w:hint="eastAsia"/>
        </w:rPr>
      </w:pPr>
      <w:r>
        <w:rPr>
          <w:rFonts w:ascii="黑体" w:eastAsia="黑体" w:hint="eastAsia"/>
        </w:rPr>
        <w:t>第四章 推动整改和治理</w:t>
      </w:r>
    </w:p>
    <w:p>
      <w:pPr>
        <w:pStyle w:val="BodyText"/>
        <w:spacing w:line="560" w:lineRule="exact" w:before="180"/>
        <w:ind w:left="526" w:right="818" w:firstLine="640"/>
      </w:pPr>
      <w:r>
        <w:rPr>
          <w:rFonts w:ascii="Microsoft JhengHei" w:eastAsia="Microsoft JhengHei" w:hint="eastAsia"/>
          <w:b/>
        </w:rPr>
        <w:t>第十六条 </w:t>
      </w:r>
      <w:r>
        <w:rPr/>
        <w:t>公安机关交通管理部门应当将排查结果书面报告同级人民政府，并抄送同级交通运输、应急管理等行业主管部门及产权单位，同时报上一级公安机关交通管理部门备案。</w:t>
      </w:r>
    </w:p>
    <w:p>
      <w:pPr>
        <w:pStyle w:val="BodyText"/>
        <w:spacing w:line="326" w:lineRule="auto" w:before="128"/>
        <w:ind w:left="526" w:right="818" w:firstLine="640"/>
      </w:pPr>
      <w:r>
        <w:rPr/>
        <w:t>对于高速公路，应当将排查结果向有路产管辖权的人民政府报告，并抄送相应层级行业主管部门。</w:t>
      </w:r>
    </w:p>
    <w:p>
      <w:pPr>
        <w:pStyle w:val="BodyText"/>
        <w:spacing w:line="486" w:lineRule="exact"/>
        <w:ind w:left="1167"/>
      </w:pPr>
      <w:r>
        <w:rPr>
          <w:rFonts w:ascii="Microsoft JhengHei" w:eastAsia="Microsoft JhengHei" w:hint="eastAsia"/>
          <w:b/>
        </w:rPr>
        <w:t>第十七条 </w:t>
      </w:r>
      <w:r>
        <w:rPr/>
        <w:t>公安机关交通管理部门可以根据交通事故多发</w:t>
      </w:r>
    </w:p>
    <w:p>
      <w:pPr>
        <w:pStyle w:val="BodyText"/>
        <w:spacing w:line="326" w:lineRule="auto" w:before="79"/>
        <w:ind w:left="526" w:right="818"/>
      </w:pPr>
      <w:r>
        <w:rPr/>
        <w:t>点段类别或者严重安全隐患治理难度，提请同级人民政府或者道路交通安全工作联席会议等议事协调机构挂牌督办。</w:t>
      </w:r>
    </w:p>
    <w:p>
      <w:pPr>
        <w:pStyle w:val="BodyText"/>
        <w:spacing w:line="328" w:lineRule="auto" w:before="3"/>
        <w:ind w:left="526" w:right="818" w:firstLine="640"/>
      </w:pPr>
      <w:r>
        <w:rPr/>
        <w:t>对隐患治理难度较大或者投入超出本地财政承担能力的， 可以由上级公安机关交通管理部门提级督办。</w:t>
      </w:r>
    </w:p>
    <w:p>
      <w:pPr>
        <w:pStyle w:val="BodyText"/>
        <w:spacing w:line="480" w:lineRule="exact"/>
        <w:ind w:left="1167"/>
      </w:pPr>
      <w:r>
        <w:rPr>
          <w:rFonts w:ascii="Microsoft JhengHei" w:eastAsia="Microsoft JhengHei" w:hint="eastAsia"/>
          <w:b/>
        </w:rPr>
        <w:t>第十八条 </w:t>
      </w:r>
      <w:r>
        <w:rPr/>
        <w:t>公安机关交通管理部门可以联合有关部门对排</w:t>
      </w:r>
    </w:p>
    <w:p>
      <w:pPr>
        <w:pStyle w:val="BodyText"/>
        <w:spacing w:line="328" w:lineRule="auto" w:before="76"/>
        <w:ind w:left="526" w:right="565"/>
      </w:pPr>
      <w:r>
        <w:rPr/>
        <w:t>查出的公路交通事故多发点段及严重安全隐患路段，通过跟踪</w:t>
      </w:r>
      <w:r>
        <w:rPr>
          <w:w w:val="95"/>
        </w:rPr>
        <w:t>整改、公布提示、宣传曝光等方式，推动排查发现问题的治理。</w:t>
      </w:r>
    </w:p>
    <w:p>
      <w:pPr>
        <w:pStyle w:val="BodyText"/>
        <w:spacing w:line="480" w:lineRule="exact"/>
        <w:ind w:left="1167"/>
      </w:pPr>
      <w:r>
        <w:rPr>
          <w:rFonts w:ascii="Microsoft JhengHei" w:eastAsia="Microsoft JhengHei" w:hint="eastAsia"/>
          <w:b/>
        </w:rPr>
        <w:t>第十九条 </w:t>
      </w:r>
      <w:r>
        <w:rPr/>
        <w:t>公安机关交通管理部门应当定期了解掌握已报</w:t>
      </w:r>
    </w:p>
    <w:p>
      <w:pPr>
        <w:pStyle w:val="BodyText"/>
        <w:spacing w:before="77"/>
        <w:ind w:left="526"/>
      </w:pPr>
      <w:r>
        <w:rPr/>
        <w:t>告的隐患问题治理进度。对于未及时处理的，应当督促提醒。</w:t>
      </w:r>
    </w:p>
    <w:p>
      <w:pPr>
        <w:spacing w:after="0"/>
        <w:sectPr>
          <w:pgSz w:w="11910" w:h="16840"/>
          <w:pgMar w:header="0" w:footer="985" w:top="1580" w:bottom="1180" w:left="1060" w:right="860"/>
        </w:sectPr>
      </w:pPr>
    </w:p>
    <w:p>
      <w:pPr>
        <w:pStyle w:val="BodyText"/>
        <w:spacing w:before="10"/>
        <w:ind w:left="0"/>
        <w:rPr>
          <w:sz w:val="13"/>
        </w:rPr>
      </w:pPr>
    </w:p>
    <w:p>
      <w:pPr>
        <w:pStyle w:val="BodyText"/>
        <w:spacing w:line="537" w:lineRule="exact"/>
        <w:ind w:left="1167"/>
      </w:pPr>
      <w:r>
        <w:rPr>
          <w:rFonts w:ascii="Microsoft JhengHei" w:eastAsia="Microsoft JhengHei" w:hint="eastAsia"/>
          <w:b/>
        </w:rPr>
        <w:t>第二十条 </w:t>
      </w:r>
      <w:r>
        <w:rPr/>
        <w:t>公安机关交通管理部门可以对事故多发点段及</w:t>
      </w:r>
    </w:p>
    <w:p>
      <w:pPr>
        <w:pStyle w:val="BodyText"/>
        <w:spacing w:line="326" w:lineRule="auto" w:before="78"/>
        <w:ind w:left="526" w:right="818"/>
      </w:pPr>
      <w:r>
        <w:rPr/>
        <w:t>严重安全隐患路段的治理情况，依据交通事故数据评价治理效果。</w:t>
      </w:r>
    </w:p>
    <w:p>
      <w:pPr>
        <w:pStyle w:val="Heading3"/>
        <w:spacing w:before="160"/>
        <w:ind w:left="722" w:right="286" w:firstLine="0"/>
        <w:jc w:val="center"/>
        <w:rPr>
          <w:rFonts w:ascii="黑体" w:eastAsia="黑体" w:hint="eastAsia"/>
        </w:rPr>
      </w:pPr>
      <w:r>
        <w:rPr>
          <w:rFonts w:ascii="黑体" w:eastAsia="黑体" w:hint="eastAsia"/>
        </w:rPr>
        <w:t>第五章 档案记录与考核</w:t>
      </w:r>
    </w:p>
    <w:p>
      <w:pPr>
        <w:pStyle w:val="BodyText"/>
        <w:spacing w:line="560" w:lineRule="exact" w:before="179"/>
        <w:ind w:left="526" w:right="818" w:firstLine="640"/>
      </w:pPr>
      <w:r>
        <w:rPr>
          <w:rFonts w:ascii="Microsoft JhengHei" w:eastAsia="Microsoft JhengHei" w:hint="eastAsia"/>
          <w:b/>
        </w:rPr>
        <w:t>第二十一条 </w:t>
      </w:r>
      <w:r>
        <w:rPr/>
        <w:t>公安机关交通管理部门应当将交通事故多发点段和严重安全隐患路段排查过程中制作或者收集的资料以及排查报告书、相关函件、工作记录等资料及时存档，保存期限</w:t>
      </w:r>
    </w:p>
    <w:p>
      <w:pPr>
        <w:pStyle w:val="BodyText"/>
        <w:spacing w:before="128"/>
        <w:ind w:left="526"/>
      </w:pPr>
      <w:r>
        <w:rPr/>
        <w:t>不少于 3 年。</w:t>
      </w:r>
    </w:p>
    <w:p>
      <w:pPr>
        <w:pStyle w:val="BodyText"/>
        <w:spacing w:line="271" w:lineRule="auto" w:before="44"/>
        <w:ind w:left="526" w:right="818" w:firstLine="640"/>
      </w:pPr>
      <w:r>
        <w:rPr>
          <w:rFonts w:ascii="Microsoft JhengHei" w:eastAsia="Microsoft JhengHei" w:hint="eastAsia"/>
          <w:b/>
        </w:rPr>
        <w:t>第二十二条 </w:t>
      </w:r>
      <w:r>
        <w:rPr/>
        <w:t>省级公安机关交通管理部门应当建立完善公路交通事故多发点段和严重安全隐患排查数据库，开展动态监</w:t>
      </w:r>
    </w:p>
    <w:p>
      <w:pPr>
        <w:pStyle w:val="BodyText"/>
        <w:spacing w:before="98"/>
        <w:ind w:left="526"/>
      </w:pPr>
      <w:r>
        <w:rPr/>
        <w:t>测。</w:t>
      </w:r>
    </w:p>
    <w:p>
      <w:pPr>
        <w:pStyle w:val="BodyText"/>
        <w:spacing w:line="271" w:lineRule="auto" w:before="44"/>
        <w:ind w:left="526" w:right="818" w:firstLine="640"/>
      </w:pPr>
      <w:r>
        <w:rPr>
          <w:rFonts w:ascii="Microsoft JhengHei" w:eastAsia="Microsoft JhengHei" w:hint="eastAsia"/>
          <w:b/>
        </w:rPr>
        <w:t>第二十三条 </w:t>
      </w:r>
      <w:r>
        <w:rPr/>
        <w:t>公路交通事故多发点段和严重安全隐患排查工作应当纳入各级公安机关交通管理部门的工作考核内容，设</w:t>
      </w:r>
    </w:p>
    <w:p>
      <w:pPr>
        <w:pStyle w:val="BodyText"/>
        <w:spacing w:before="98"/>
        <w:ind w:left="526"/>
      </w:pPr>
      <w:r>
        <w:rPr/>
        <w:t>立相应奖罚措施。</w:t>
      </w:r>
    </w:p>
    <w:p>
      <w:pPr>
        <w:pStyle w:val="BodyText"/>
        <w:spacing w:before="10"/>
        <w:ind w:left="0"/>
        <w:rPr>
          <w:sz w:val="23"/>
        </w:rPr>
      </w:pPr>
    </w:p>
    <w:p>
      <w:pPr>
        <w:pStyle w:val="Heading3"/>
        <w:ind w:left="722" w:right="286" w:firstLine="0"/>
        <w:jc w:val="center"/>
        <w:rPr>
          <w:rFonts w:ascii="黑体" w:eastAsia="黑体" w:hint="eastAsia"/>
        </w:rPr>
      </w:pPr>
      <w:r>
        <w:rPr>
          <w:rFonts w:ascii="黑体" w:eastAsia="黑体" w:hint="eastAsia"/>
        </w:rPr>
        <w:t>第六章 附则</w:t>
      </w:r>
    </w:p>
    <w:p>
      <w:pPr>
        <w:pStyle w:val="BodyText"/>
        <w:spacing w:line="271" w:lineRule="auto" w:before="200"/>
        <w:ind w:left="526" w:right="818" w:firstLine="640"/>
      </w:pPr>
      <w:r>
        <w:rPr>
          <w:rFonts w:ascii="Microsoft JhengHei" w:eastAsia="Microsoft JhengHei" w:hint="eastAsia"/>
          <w:b/>
        </w:rPr>
        <w:t>第二十四条 </w:t>
      </w:r>
      <w:r>
        <w:rPr/>
        <w:t>各级公安机关交通管理部门应当将开展公路交通事故多发点段及严重安全隐患排查的费用纳入经费保障。</w:t>
      </w:r>
    </w:p>
    <w:p>
      <w:pPr>
        <w:pStyle w:val="BodyText"/>
        <w:spacing w:before="1"/>
        <w:ind w:left="0"/>
        <w:rPr>
          <w:sz w:val="43"/>
        </w:rPr>
      </w:pPr>
    </w:p>
    <w:p>
      <w:pPr>
        <w:spacing w:before="0"/>
        <w:ind w:left="1167" w:right="0" w:firstLine="0"/>
        <w:jc w:val="left"/>
        <w:rPr>
          <w:sz w:val="32"/>
        </w:rPr>
      </w:pPr>
      <w:r>
        <w:rPr>
          <w:rFonts w:ascii="Microsoft JhengHei" w:eastAsia="Microsoft JhengHei" w:hint="eastAsia"/>
          <w:b/>
          <w:sz w:val="32"/>
        </w:rPr>
        <w:t>第二十五条 </w:t>
      </w:r>
      <w:r>
        <w:rPr>
          <w:sz w:val="32"/>
        </w:rPr>
        <w:t>上级公安机关交通管理部门应当定期对下级</w:t>
      </w:r>
    </w:p>
    <w:p>
      <w:pPr>
        <w:pStyle w:val="BodyText"/>
        <w:spacing w:line="326" w:lineRule="auto" w:before="79"/>
        <w:ind w:left="526" w:right="818"/>
      </w:pPr>
      <w:r>
        <w:rPr/>
        <w:t>开展公路交通事故多发点段及严重安全隐患排查工作进行教育培训。</w:t>
      </w:r>
    </w:p>
    <w:p>
      <w:pPr>
        <w:spacing w:after="0" w:line="326" w:lineRule="auto"/>
        <w:sectPr>
          <w:pgSz w:w="11910" w:h="16840"/>
          <w:pgMar w:header="0" w:footer="985" w:top="1580" w:bottom="1180" w:left="1060" w:right="860"/>
        </w:sectPr>
      </w:pPr>
    </w:p>
    <w:p>
      <w:pPr>
        <w:pStyle w:val="BodyText"/>
        <w:spacing w:before="10"/>
        <w:ind w:left="0"/>
        <w:rPr>
          <w:sz w:val="13"/>
        </w:rPr>
      </w:pPr>
    </w:p>
    <w:p>
      <w:pPr>
        <w:spacing w:line="537" w:lineRule="exact" w:before="0"/>
        <w:ind w:left="1167" w:right="0" w:firstLine="0"/>
        <w:jc w:val="left"/>
        <w:rPr>
          <w:sz w:val="32"/>
        </w:rPr>
      </w:pPr>
      <w:r>
        <w:rPr>
          <w:rFonts w:ascii="Microsoft JhengHei" w:eastAsia="Microsoft JhengHei" w:hint="eastAsia"/>
          <w:b/>
          <w:sz w:val="32"/>
        </w:rPr>
        <w:t>第二十六条 </w:t>
      </w:r>
      <w:r>
        <w:rPr>
          <w:sz w:val="32"/>
        </w:rPr>
        <w:t>公安机关交通管理部门可以聘请专业机构或</w:t>
      </w:r>
    </w:p>
    <w:p>
      <w:pPr>
        <w:pStyle w:val="BodyText"/>
        <w:spacing w:line="326" w:lineRule="auto" w:before="78"/>
        <w:ind w:left="526" w:right="1139"/>
      </w:pPr>
      <w:r>
        <w:rPr/>
        <w:t>者人员参与公路交通事故多发点段及严重安全隐患的排查工作，形成消除隐患的综合对策建议。</w:t>
      </w:r>
    </w:p>
    <w:p>
      <w:pPr>
        <w:pStyle w:val="BodyText"/>
        <w:spacing w:line="328" w:lineRule="auto" w:before="4"/>
        <w:ind w:left="526" w:right="818" w:firstLine="640"/>
      </w:pPr>
      <w:r>
        <w:rPr/>
        <w:t>各级公安机关交通管理部门可以视情况建立本辖区排查工作专家库以及专业机构推荐清单。</w:t>
      </w:r>
    </w:p>
    <w:p>
      <w:pPr>
        <w:spacing w:line="480" w:lineRule="exact" w:before="0"/>
        <w:ind w:left="1167" w:right="0" w:firstLine="0"/>
        <w:jc w:val="left"/>
        <w:rPr>
          <w:sz w:val="32"/>
        </w:rPr>
      </w:pPr>
      <w:r>
        <w:rPr>
          <w:rFonts w:ascii="Microsoft JhengHei" w:eastAsia="Microsoft JhengHei" w:hint="eastAsia"/>
          <w:b/>
          <w:sz w:val="32"/>
        </w:rPr>
        <w:t>第二十七条 </w:t>
      </w:r>
      <w:r>
        <w:rPr>
          <w:sz w:val="32"/>
        </w:rPr>
        <w:t>鼓励采用新技术、新方法开展公路交通事故易</w:t>
      </w:r>
    </w:p>
    <w:p>
      <w:pPr>
        <w:pStyle w:val="BodyText"/>
        <w:spacing w:line="328" w:lineRule="auto" w:before="76"/>
        <w:ind w:left="526" w:right="818"/>
      </w:pPr>
      <w:r>
        <w:rPr/>
        <w:t>发风险评估，特别是提早发现新建及改扩建路段存在的交通安全隐患。</w:t>
      </w:r>
    </w:p>
    <w:p>
      <w:pPr>
        <w:spacing w:line="480" w:lineRule="exact" w:before="0"/>
        <w:ind w:left="1167" w:right="0" w:firstLine="0"/>
        <w:jc w:val="left"/>
        <w:rPr>
          <w:sz w:val="32"/>
        </w:rPr>
      </w:pPr>
      <w:r>
        <w:rPr>
          <w:rFonts w:ascii="Microsoft JhengHei" w:eastAsia="Microsoft JhengHei" w:hint="eastAsia"/>
          <w:b/>
          <w:sz w:val="32"/>
        </w:rPr>
        <w:t>第二十八条 </w:t>
      </w:r>
      <w:r>
        <w:rPr>
          <w:sz w:val="32"/>
        </w:rPr>
        <w:t>各省级公安机关交通管理部门应当在每年年</w:t>
      </w:r>
    </w:p>
    <w:p>
      <w:pPr>
        <w:pStyle w:val="BodyText"/>
        <w:spacing w:line="328" w:lineRule="auto" w:before="76"/>
        <w:ind w:left="526" w:right="818"/>
      </w:pPr>
      <w:r>
        <w:rPr/>
        <w:t>底最后一周将年度本省（区、市）公路交通事故多发点段及严重安全隐患排查工作情况上报公安部交通管理局。</w:t>
      </w:r>
    </w:p>
    <w:p>
      <w:pPr>
        <w:spacing w:line="480" w:lineRule="exact" w:before="0"/>
        <w:ind w:left="1167" w:right="0" w:firstLine="0"/>
        <w:jc w:val="left"/>
        <w:rPr>
          <w:sz w:val="32"/>
        </w:rPr>
      </w:pPr>
      <w:r>
        <w:rPr>
          <w:rFonts w:ascii="Microsoft JhengHei" w:eastAsia="Microsoft JhengHei" w:hint="eastAsia"/>
          <w:b/>
          <w:sz w:val="32"/>
        </w:rPr>
        <w:t>第二十九条 </w:t>
      </w:r>
      <w:r>
        <w:rPr>
          <w:sz w:val="32"/>
        </w:rPr>
        <w:t>省级公安机关交通管理部门可以根据本规范，</w:t>
      </w:r>
    </w:p>
    <w:p>
      <w:pPr>
        <w:pStyle w:val="BodyText"/>
        <w:spacing w:before="77"/>
        <w:ind w:left="526"/>
      </w:pPr>
      <w:r>
        <w:rPr/>
        <w:t>结合本地实际，制定具体实施办法。</w:t>
      </w:r>
    </w:p>
    <w:p>
      <w:pPr>
        <w:tabs>
          <w:tab w:pos="2772" w:val="left" w:leader="none"/>
        </w:tabs>
        <w:spacing w:before="46"/>
        <w:ind w:left="1167" w:right="0" w:firstLine="0"/>
        <w:jc w:val="left"/>
        <w:rPr>
          <w:sz w:val="32"/>
        </w:rPr>
      </w:pPr>
      <w:r>
        <w:rPr>
          <w:rFonts w:ascii="Microsoft JhengHei" w:eastAsia="Microsoft JhengHei" w:hint="eastAsia"/>
          <w:b/>
          <w:sz w:val="32"/>
        </w:rPr>
        <w:t>第三十条</w:t>
        <w:tab/>
      </w:r>
      <w:r>
        <w:rPr>
          <w:sz w:val="32"/>
        </w:rPr>
        <w:t>本规范自下发之日起施行。</w:t>
      </w:r>
    </w:p>
    <w:p>
      <w:pPr>
        <w:pStyle w:val="BodyText"/>
        <w:ind w:left="0"/>
      </w:pPr>
    </w:p>
    <w:p>
      <w:pPr>
        <w:pStyle w:val="BodyText"/>
        <w:spacing w:before="225"/>
        <w:ind w:left="1167"/>
      </w:pPr>
      <w:r>
        <w:rPr>
          <w:rFonts w:ascii="黑体" w:eastAsia="黑体" w:hint="eastAsia"/>
        </w:rPr>
        <w:t>附录 </w:t>
      </w:r>
      <w:r>
        <w:rPr/>
        <w:t>1</w:t>
      </w:r>
      <w:r>
        <w:rPr>
          <w:rFonts w:ascii="黑体" w:eastAsia="黑体" w:hint="eastAsia"/>
        </w:rPr>
        <w:t>：</w:t>
      </w:r>
      <w:r>
        <w:rPr/>
        <w:t>公路交通事故多发点段分类参考标准</w:t>
      </w:r>
    </w:p>
    <w:p>
      <w:pPr>
        <w:pStyle w:val="BodyText"/>
        <w:spacing w:before="152"/>
        <w:ind w:left="1167"/>
      </w:pPr>
      <w:r>
        <w:rPr>
          <w:rFonts w:ascii="黑体" w:eastAsia="黑体" w:hint="eastAsia"/>
        </w:rPr>
        <w:t>附录 </w:t>
      </w:r>
      <w:r>
        <w:rPr/>
        <w:t>2</w:t>
      </w:r>
      <w:r>
        <w:rPr>
          <w:rFonts w:ascii="黑体" w:eastAsia="黑体" w:hint="eastAsia"/>
        </w:rPr>
        <w:t>：</w:t>
      </w:r>
      <w:r>
        <w:rPr/>
        <w:t>公路交通事故多发点段隐患调查分析方法（略）</w:t>
      </w:r>
    </w:p>
    <w:p>
      <w:pPr>
        <w:pStyle w:val="BodyText"/>
        <w:spacing w:before="149"/>
        <w:ind w:left="1167"/>
      </w:pPr>
      <w:r>
        <w:rPr>
          <w:rFonts w:ascii="黑体" w:eastAsia="黑体" w:hint="eastAsia"/>
        </w:rPr>
        <w:t>附录 </w:t>
      </w:r>
      <w:r>
        <w:rPr/>
        <w:t>3</w:t>
      </w:r>
      <w:r>
        <w:rPr>
          <w:rFonts w:ascii="黑体" w:eastAsia="黑体" w:hint="eastAsia"/>
        </w:rPr>
        <w:t>：</w:t>
      </w:r>
      <w:r>
        <w:rPr/>
        <w:t>公路交通事故多发点段排查报告格式（略）</w:t>
      </w:r>
    </w:p>
    <w:p>
      <w:pPr>
        <w:spacing w:after="0"/>
        <w:sectPr>
          <w:pgSz w:w="11910" w:h="16840"/>
          <w:pgMar w:header="0" w:footer="985" w:top="1580" w:bottom="1180" w:left="1060" w:right="860"/>
        </w:sectPr>
      </w:pPr>
    </w:p>
    <w:p>
      <w:pPr>
        <w:pStyle w:val="BodyText"/>
        <w:spacing w:before="3"/>
        <w:ind w:left="0"/>
        <w:rPr>
          <w:sz w:val="12"/>
        </w:rPr>
      </w:pPr>
    </w:p>
    <w:p>
      <w:pPr>
        <w:spacing w:after="0"/>
        <w:rPr>
          <w:sz w:val="12"/>
        </w:rPr>
        <w:sectPr>
          <w:pgSz w:w="11910" w:h="16840"/>
          <w:pgMar w:header="0" w:footer="985" w:top="1580" w:bottom="1180" w:left="1060" w:right="860"/>
        </w:sectPr>
      </w:pPr>
    </w:p>
    <w:p>
      <w:pPr>
        <w:pStyle w:val="BodyText"/>
        <w:spacing w:before="55"/>
        <w:ind w:left="526"/>
        <w:rPr>
          <w:rFonts w:ascii="黑体" w:eastAsia="黑体" w:hint="eastAsia"/>
        </w:rPr>
      </w:pPr>
      <w:r>
        <w:rPr>
          <w:rFonts w:ascii="黑体" w:eastAsia="黑体" w:hint="eastAsia"/>
          <w:spacing w:val="-27"/>
        </w:rPr>
        <w:t>附录 </w:t>
      </w:r>
      <w:r>
        <w:rPr>
          <w:spacing w:val="-10"/>
        </w:rPr>
        <w:t>1</w:t>
      </w:r>
      <w:r>
        <w:rPr>
          <w:rFonts w:ascii="黑体" w:eastAsia="黑体" w:hint="eastAsia"/>
          <w:spacing w:val="-10"/>
        </w:rPr>
        <w:t>：</w:t>
      </w:r>
    </w:p>
    <w:p>
      <w:pPr>
        <w:pStyle w:val="BodyText"/>
        <w:spacing w:before="1"/>
        <w:ind w:left="0"/>
        <w:rPr>
          <w:rFonts w:ascii="黑体"/>
          <w:sz w:val="45"/>
        </w:rPr>
      </w:pPr>
      <w:r>
        <w:rPr/>
        <w:br w:type="column"/>
      </w:r>
      <w:r>
        <w:rPr>
          <w:rFonts w:ascii="黑体"/>
          <w:sz w:val="45"/>
        </w:rPr>
      </w:r>
    </w:p>
    <w:p>
      <w:pPr>
        <w:pStyle w:val="Heading2"/>
        <w:spacing w:before="0"/>
        <w:ind w:left="46"/>
        <w:jc w:val="left"/>
      </w:pPr>
      <w:r>
        <w:rPr/>
        <w:t>公路交通事故多发点段分类参考标准</w:t>
      </w:r>
    </w:p>
    <w:p>
      <w:pPr>
        <w:spacing w:after="0"/>
        <w:jc w:val="left"/>
        <w:sectPr>
          <w:type w:val="continuous"/>
          <w:pgSz w:w="11910" w:h="16840"/>
          <w:pgMar w:top="1580" w:bottom="280" w:left="1060" w:right="860"/>
          <w:cols w:num="2" w:equalWidth="0">
            <w:col w:w="1727" w:space="40"/>
            <w:col w:w="8223"/>
          </w:cols>
        </w:sectPr>
      </w:pPr>
    </w:p>
    <w:p>
      <w:pPr>
        <w:pStyle w:val="BodyText"/>
        <w:ind w:left="0"/>
        <w:rPr>
          <w:sz w:val="20"/>
        </w:rPr>
      </w:pPr>
    </w:p>
    <w:p>
      <w:pPr>
        <w:pStyle w:val="BodyText"/>
        <w:spacing w:before="8"/>
        <w:ind w:left="0"/>
        <w:rPr>
          <w:sz w:val="28"/>
        </w:rPr>
      </w:pPr>
    </w:p>
    <w:p>
      <w:pPr>
        <w:pStyle w:val="Heading3"/>
        <w:spacing w:before="54"/>
        <w:ind w:left="1167" w:firstLine="0"/>
        <w:rPr>
          <w:rFonts w:ascii="黑体" w:eastAsia="黑体" w:hint="eastAsia"/>
        </w:rPr>
      </w:pPr>
      <w:r>
        <w:rPr>
          <w:rFonts w:ascii="黑体" w:eastAsia="黑体" w:hint="eastAsia"/>
        </w:rPr>
        <w:t>一、交通事故多发点段划分</w:t>
      </w:r>
    </w:p>
    <w:p>
      <w:pPr>
        <w:pStyle w:val="BodyText"/>
        <w:spacing w:line="328" w:lineRule="auto" w:before="150"/>
        <w:ind w:left="526" w:right="817" w:firstLine="640"/>
      </w:pPr>
      <w:r>
        <w:rPr>
          <w:spacing w:val="-6"/>
        </w:rPr>
        <w:t>道路交通事故多发点、段是指 </w:t>
      </w:r>
      <w:r>
        <w:rPr/>
        <w:t>3</w:t>
      </w:r>
      <w:r>
        <w:rPr>
          <w:spacing w:val="-10"/>
        </w:rPr>
        <w:t> 年内，发生多起交通事故或事故损害后果极其严重，有一定规律特点的道路点、段。</w:t>
      </w:r>
    </w:p>
    <w:p>
      <w:pPr>
        <w:pStyle w:val="Heading3"/>
        <w:spacing w:line="480" w:lineRule="exact"/>
        <w:ind w:left="1167" w:firstLine="0"/>
      </w:pPr>
      <w:r>
        <w:rPr>
          <w:rFonts w:ascii="宋体" w:eastAsia="宋体" w:hint="eastAsia"/>
        </w:rPr>
        <w:t>1</w:t>
      </w:r>
      <w:r>
        <w:rPr/>
        <w:t>、普通公路</w:t>
      </w:r>
    </w:p>
    <w:p>
      <w:pPr>
        <w:pStyle w:val="BodyText"/>
        <w:spacing w:before="76"/>
        <w:ind w:left="1167"/>
      </w:pPr>
      <w:r>
        <w:rPr/>
        <w:t>普通公路交通事故多发点的范围为：距交叉路口中心点 250</w:t>
      </w:r>
    </w:p>
    <w:p>
      <w:pPr>
        <w:pStyle w:val="BodyText"/>
        <w:spacing w:line="326" w:lineRule="auto" w:before="152"/>
        <w:ind w:left="526" w:right="565"/>
      </w:pPr>
      <w:r>
        <w:rPr>
          <w:spacing w:val="-17"/>
        </w:rPr>
        <w:t>米</w:t>
      </w:r>
      <w:r>
        <w:rPr/>
        <w:t>（</w:t>
      </w:r>
      <w:r>
        <w:rPr>
          <w:spacing w:val="-5"/>
        </w:rPr>
        <w:t>含，下同</w:t>
      </w:r>
      <w:r>
        <w:rPr>
          <w:spacing w:val="-17"/>
        </w:rPr>
        <w:t>）</w:t>
      </w:r>
      <w:r>
        <w:rPr>
          <w:spacing w:val="-9"/>
        </w:rPr>
        <w:t>范围内或一般路段上 </w:t>
      </w:r>
      <w:r>
        <w:rPr/>
        <w:t>500</w:t>
      </w:r>
      <w:r>
        <w:rPr>
          <w:spacing w:val="-11"/>
        </w:rPr>
        <w:t> 米范围内，及隧道口、接入口等。</w:t>
      </w:r>
    </w:p>
    <w:p>
      <w:pPr>
        <w:pStyle w:val="BodyText"/>
        <w:spacing w:line="328" w:lineRule="auto" w:before="3"/>
        <w:ind w:left="526" w:right="726" w:firstLine="640"/>
      </w:pPr>
      <w:r>
        <w:rPr>
          <w:spacing w:val="-10"/>
        </w:rPr>
        <w:t>普通公路交通事故多发段的范围为：道路上 </w:t>
      </w:r>
      <w:r>
        <w:rPr/>
        <w:t>2000</w:t>
      </w:r>
      <w:r>
        <w:rPr>
          <w:spacing w:val="-18"/>
        </w:rPr>
        <w:t> 米范围内或桥梁、隧道、长大下（上）坡全程。</w:t>
      </w:r>
    </w:p>
    <w:p>
      <w:pPr>
        <w:pStyle w:val="Heading3"/>
        <w:spacing w:line="480" w:lineRule="exact"/>
        <w:ind w:left="1167" w:firstLine="0"/>
      </w:pPr>
      <w:r>
        <w:rPr>
          <w:rFonts w:ascii="宋体" w:eastAsia="宋体" w:hint="eastAsia"/>
        </w:rPr>
        <w:t>2</w:t>
      </w:r>
      <w:r>
        <w:rPr/>
        <w:t>、高速、一级公路</w:t>
      </w:r>
    </w:p>
    <w:p>
      <w:pPr>
        <w:pStyle w:val="BodyText"/>
        <w:spacing w:line="328" w:lineRule="auto" w:before="76"/>
        <w:ind w:left="526" w:right="565" w:firstLine="640"/>
        <w:jc w:val="both"/>
      </w:pPr>
      <w:r>
        <w:rPr>
          <w:spacing w:val="-5"/>
        </w:rPr>
        <w:t>高速公路、一级公路多发点范围为：道路上 </w:t>
      </w:r>
      <w:r>
        <w:rPr/>
        <w:t>1000</w:t>
      </w:r>
      <w:r>
        <w:rPr>
          <w:spacing w:val="-42"/>
        </w:rPr>
        <w:t> 米</w:t>
      </w:r>
      <w:r>
        <w:rPr/>
        <w:t>（含） </w:t>
      </w:r>
      <w:r>
        <w:rPr>
          <w:spacing w:val="-4"/>
          <w:w w:val="95"/>
        </w:rPr>
        <w:t>范围内或收费站、隧道口、匝道口</w:t>
      </w:r>
      <w:r>
        <w:rPr>
          <w:w w:val="95"/>
        </w:rPr>
        <w:t>（含加减速车道</w:t>
      </w:r>
      <w:r>
        <w:rPr>
          <w:spacing w:val="-12"/>
          <w:w w:val="95"/>
        </w:rPr>
        <w:t>）</w:t>
      </w:r>
      <w:r>
        <w:rPr>
          <w:spacing w:val="-3"/>
          <w:w w:val="95"/>
        </w:rPr>
        <w:t>、接入口、 </w:t>
      </w:r>
      <w:r>
        <w:rPr>
          <w:spacing w:val="-3"/>
        </w:rPr>
        <w:t>平面交叉口等点。</w:t>
      </w:r>
    </w:p>
    <w:p>
      <w:pPr>
        <w:pStyle w:val="BodyText"/>
        <w:spacing w:line="405" w:lineRule="exact"/>
        <w:ind w:left="1167"/>
        <w:jc w:val="both"/>
      </w:pPr>
      <w:r>
        <w:rPr/>
        <w:t>高速公路、一级公路交通事故多发段的范围为：道路上 4000</w:t>
      </w:r>
    </w:p>
    <w:p>
      <w:pPr>
        <w:pStyle w:val="BodyText"/>
        <w:spacing w:before="152"/>
        <w:ind w:left="526"/>
      </w:pPr>
      <w:r>
        <w:rPr/>
        <w:t>米范围内（单向）或桥梁、隧道、长大下（上）坡全程。</w:t>
      </w:r>
    </w:p>
    <w:p>
      <w:pPr>
        <w:pStyle w:val="Heading3"/>
        <w:spacing w:before="149"/>
        <w:ind w:left="1167" w:firstLine="0"/>
        <w:rPr>
          <w:rFonts w:ascii="黑体" w:eastAsia="黑体" w:hint="eastAsia"/>
        </w:rPr>
      </w:pPr>
      <w:r>
        <w:rPr>
          <w:rFonts w:ascii="黑体" w:eastAsia="黑体" w:hint="eastAsia"/>
        </w:rPr>
        <w:t>二、交通事故多发点段分类</w:t>
      </w:r>
    </w:p>
    <w:p>
      <w:pPr>
        <w:pStyle w:val="BodyText"/>
        <w:spacing w:line="328" w:lineRule="auto" w:before="149"/>
        <w:ind w:left="526" w:right="818" w:firstLine="640"/>
        <w:jc w:val="both"/>
      </w:pPr>
      <w:r>
        <w:rPr/>
        <w:t>按照公路所发生交通事故的数量及后果（不含毒驾、酒驾等事故），公路交通事故多发点段分为一类、二类、三类三种类型。其中：</w:t>
      </w:r>
    </w:p>
    <w:p>
      <w:pPr>
        <w:pStyle w:val="Heading3"/>
        <w:spacing w:line="478" w:lineRule="exact"/>
        <w:ind w:left="1167" w:firstLine="0"/>
      </w:pPr>
      <w:r>
        <w:rPr>
          <w:rFonts w:ascii="宋体" w:eastAsia="宋体" w:hint="eastAsia"/>
        </w:rPr>
        <w:t>1</w:t>
      </w:r>
      <w:r>
        <w:rPr/>
        <w:t>、一类点、段需符合下列条件之一：</w:t>
      </w:r>
    </w:p>
    <w:p>
      <w:pPr>
        <w:spacing w:after="0" w:line="478" w:lineRule="exact"/>
        <w:sectPr>
          <w:type w:val="continuous"/>
          <w:pgSz w:w="11910" w:h="16840"/>
          <w:pgMar w:top="1580" w:bottom="280" w:left="1060" w:right="860"/>
        </w:sectPr>
      </w:pPr>
    </w:p>
    <w:p>
      <w:pPr>
        <w:pStyle w:val="BodyText"/>
        <w:spacing w:before="11"/>
        <w:ind w:left="0"/>
        <w:rPr>
          <w:rFonts w:ascii="Microsoft JhengHei"/>
          <w:b/>
          <w:sz w:val="9"/>
        </w:rPr>
      </w:pPr>
    </w:p>
    <w:p>
      <w:pPr>
        <w:pStyle w:val="ListParagraph"/>
        <w:numPr>
          <w:ilvl w:val="0"/>
          <w:numId w:val="31"/>
        </w:numPr>
        <w:tabs>
          <w:tab w:pos="1968" w:val="left" w:leader="none"/>
        </w:tabs>
        <w:spacing w:line="328" w:lineRule="auto" w:before="54" w:after="0"/>
        <w:ind w:left="526" w:right="726" w:firstLine="640"/>
        <w:jc w:val="left"/>
        <w:rPr>
          <w:sz w:val="32"/>
        </w:rPr>
      </w:pPr>
      <w:bookmarkStart w:name="水上客运重大事故隐患判定指南（暂行）" w:id="26"/>
      <w:bookmarkEnd w:id="26"/>
      <w:r>
        <w:rPr/>
      </w:r>
      <w:bookmarkStart w:name="水上客运重大事故隐患判定指南（暂行）" w:id="27"/>
      <w:bookmarkEnd w:id="27"/>
      <w:r>
        <w:rPr>
          <w:spacing w:val="-41"/>
          <w:sz w:val="32"/>
        </w:rPr>
        <w:t>近 </w:t>
      </w:r>
      <w:r>
        <w:rPr>
          <w:sz w:val="32"/>
        </w:rPr>
        <w:t>3</w:t>
      </w:r>
      <w:r>
        <w:rPr>
          <w:spacing w:val="-27"/>
          <w:sz w:val="32"/>
        </w:rPr>
        <w:t> 年内，发生 </w:t>
      </w:r>
      <w:r>
        <w:rPr>
          <w:sz w:val="32"/>
        </w:rPr>
        <w:t>1</w:t>
      </w:r>
      <w:r>
        <w:rPr>
          <w:spacing w:val="-18"/>
          <w:sz w:val="32"/>
        </w:rPr>
        <w:t> 起及以上一次死亡 </w:t>
      </w:r>
      <w:r>
        <w:rPr>
          <w:sz w:val="32"/>
        </w:rPr>
        <w:t>5</w:t>
      </w:r>
      <w:r>
        <w:rPr>
          <w:spacing w:val="-49"/>
          <w:sz w:val="32"/>
        </w:rPr>
        <w:t> 人</w:t>
      </w:r>
      <w:r>
        <w:rPr>
          <w:sz w:val="32"/>
        </w:rPr>
        <w:t>（含</w:t>
      </w:r>
      <w:r>
        <w:rPr>
          <w:spacing w:val="-17"/>
          <w:sz w:val="32"/>
        </w:rPr>
        <w:t>）</w:t>
      </w:r>
      <w:r>
        <w:rPr>
          <w:sz w:val="32"/>
        </w:rPr>
        <w:t>以上道路交通事故，且事故的发生与道路因素有关的；</w:t>
      </w:r>
    </w:p>
    <w:p>
      <w:pPr>
        <w:pStyle w:val="ListParagraph"/>
        <w:numPr>
          <w:ilvl w:val="0"/>
          <w:numId w:val="31"/>
        </w:numPr>
        <w:tabs>
          <w:tab w:pos="1968" w:val="left" w:leader="none"/>
        </w:tabs>
        <w:spacing w:line="326" w:lineRule="auto" w:before="0" w:after="0"/>
        <w:ind w:left="526" w:right="726" w:firstLine="640"/>
        <w:jc w:val="left"/>
        <w:rPr>
          <w:sz w:val="32"/>
        </w:rPr>
      </w:pPr>
      <w:r>
        <w:rPr>
          <w:spacing w:val="-41"/>
          <w:sz w:val="32"/>
        </w:rPr>
        <w:t>近 </w:t>
      </w:r>
      <w:r>
        <w:rPr>
          <w:sz w:val="32"/>
        </w:rPr>
        <w:t>3</w:t>
      </w:r>
      <w:r>
        <w:rPr>
          <w:spacing w:val="-27"/>
          <w:sz w:val="32"/>
        </w:rPr>
        <w:t> 年内，发生 </w:t>
      </w:r>
      <w:r>
        <w:rPr>
          <w:sz w:val="32"/>
        </w:rPr>
        <w:t>2</w:t>
      </w:r>
      <w:r>
        <w:rPr>
          <w:spacing w:val="-18"/>
          <w:sz w:val="32"/>
        </w:rPr>
        <w:t> 起及以上一次死亡 </w:t>
      </w:r>
      <w:r>
        <w:rPr>
          <w:sz w:val="32"/>
        </w:rPr>
        <w:t>3</w:t>
      </w:r>
      <w:r>
        <w:rPr>
          <w:spacing w:val="-49"/>
          <w:sz w:val="32"/>
        </w:rPr>
        <w:t> 人</w:t>
      </w:r>
      <w:r>
        <w:rPr>
          <w:sz w:val="32"/>
        </w:rPr>
        <w:t>（含</w:t>
      </w:r>
      <w:r>
        <w:rPr>
          <w:spacing w:val="-17"/>
          <w:sz w:val="32"/>
        </w:rPr>
        <w:t>）</w:t>
      </w:r>
      <w:r>
        <w:rPr>
          <w:sz w:val="32"/>
        </w:rPr>
        <w:t>以上道路交通事故的；</w:t>
      </w:r>
    </w:p>
    <w:p>
      <w:pPr>
        <w:pStyle w:val="ListParagraph"/>
        <w:numPr>
          <w:ilvl w:val="0"/>
          <w:numId w:val="31"/>
        </w:numPr>
        <w:tabs>
          <w:tab w:pos="1968" w:val="left" w:leader="none"/>
        </w:tabs>
        <w:spacing w:line="240" w:lineRule="auto" w:before="3" w:after="0"/>
        <w:ind w:left="1967" w:right="0" w:hanging="801"/>
        <w:jc w:val="left"/>
        <w:rPr>
          <w:sz w:val="32"/>
        </w:rPr>
      </w:pPr>
      <w:r>
        <w:rPr>
          <w:spacing w:val="-40"/>
          <w:sz w:val="32"/>
        </w:rPr>
        <w:t>近 </w:t>
      </w:r>
      <w:r>
        <w:rPr>
          <w:sz w:val="32"/>
        </w:rPr>
        <w:t>3</w:t>
      </w:r>
      <w:r>
        <w:rPr>
          <w:spacing w:val="-25"/>
          <w:sz w:val="32"/>
        </w:rPr>
        <w:t> 年内，发生 </w:t>
      </w:r>
      <w:r>
        <w:rPr>
          <w:sz w:val="32"/>
        </w:rPr>
        <w:t>6</w:t>
      </w:r>
      <w:r>
        <w:rPr>
          <w:spacing w:val="-10"/>
          <w:sz w:val="32"/>
        </w:rPr>
        <w:t> 起以上死亡交通事故的；</w:t>
      </w:r>
    </w:p>
    <w:p>
      <w:pPr>
        <w:pStyle w:val="ListParagraph"/>
        <w:numPr>
          <w:ilvl w:val="0"/>
          <w:numId w:val="31"/>
        </w:numPr>
        <w:tabs>
          <w:tab w:pos="1968" w:val="left" w:leader="none"/>
        </w:tabs>
        <w:spacing w:line="326" w:lineRule="auto" w:before="149" w:after="0"/>
        <w:ind w:left="526" w:right="726" w:firstLine="640"/>
        <w:jc w:val="left"/>
        <w:rPr>
          <w:sz w:val="32"/>
        </w:rPr>
      </w:pPr>
      <w:r>
        <w:rPr>
          <w:sz w:val="32"/>
        </w:rPr>
        <w:t>公安机关交通管理部门认为存在特别严重安全隐患的其它事故多发点、段。</w:t>
      </w:r>
    </w:p>
    <w:p>
      <w:pPr>
        <w:pStyle w:val="Heading3"/>
        <w:spacing w:line="488" w:lineRule="exact"/>
        <w:ind w:left="1167" w:firstLine="0"/>
      </w:pPr>
      <w:r>
        <w:rPr>
          <w:rFonts w:ascii="宋体" w:eastAsia="宋体" w:hint="eastAsia"/>
        </w:rPr>
        <w:t>2</w:t>
      </w:r>
      <w:r>
        <w:rPr/>
        <w:t>、二类点、段需符合下列条件之一：</w:t>
      </w:r>
    </w:p>
    <w:p>
      <w:pPr>
        <w:pStyle w:val="ListParagraph"/>
        <w:numPr>
          <w:ilvl w:val="0"/>
          <w:numId w:val="32"/>
        </w:numPr>
        <w:tabs>
          <w:tab w:pos="1968" w:val="left" w:leader="none"/>
        </w:tabs>
        <w:spacing w:line="326" w:lineRule="auto" w:before="77" w:after="0"/>
        <w:ind w:left="526" w:right="658" w:firstLine="640"/>
        <w:jc w:val="left"/>
        <w:rPr>
          <w:sz w:val="32"/>
        </w:rPr>
      </w:pPr>
      <w:r>
        <w:rPr>
          <w:spacing w:val="-41"/>
          <w:sz w:val="32"/>
        </w:rPr>
        <w:t>近 </w:t>
      </w:r>
      <w:r>
        <w:rPr>
          <w:sz w:val="32"/>
        </w:rPr>
        <w:t>3</w:t>
      </w:r>
      <w:r>
        <w:rPr>
          <w:spacing w:val="-25"/>
          <w:sz w:val="32"/>
        </w:rPr>
        <w:t> 年内，发生 </w:t>
      </w:r>
      <w:r>
        <w:rPr>
          <w:sz w:val="32"/>
        </w:rPr>
        <w:t>1</w:t>
      </w:r>
      <w:r>
        <w:rPr>
          <w:spacing w:val="-25"/>
          <w:sz w:val="32"/>
        </w:rPr>
        <w:t> 起一次死亡 </w:t>
      </w:r>
      <w:r>
        <w:rPr>
          <w:sz w:val="32"/>
        </w:rPr>
        <w:t>3-4</w:t>
      </w:r>
      <w:r>
        <w:rPr>
          <w:spacing w:val="-11"/>
          <w:sz w:val="32"/>
        </w:rPr>
        <w:t> 人道路交通事故， 且事故的发生与道路因素有关的；</w:t>
      </w:r>
    </w:p>
    <w:p>
      <w:pPr>
        <w:pStyle w:val="ListParagraph"/>
        <w:numPr>
          <w:ilvl w:val="0"/>
          <w:numId w:val="32"/>
        </w:numPr>
        <w:tabs>
          <w:tab w:pos="1968" w:val="left" w:leader="none"/>
        </w:tabs>
        <w:spacing w:line="240" w:lineRule="auto" w:before="5" w:after="0"/>
        <w:ind w:left="1967" w:right="0" w:hanging="801"/>
        <w:jc w:val="left"/>
        <w:rPr>
          <w:sz w:val="32"/>
        </w:rPr>
      </w:pPr>
      <w:r>
        <w:rPr>
          <w:spacing w:val="-40"/>
          <w:sz w:val="32"/>
        </w:rPr>
        <w:t>近 </w:t>
      </w:r>
      <w:r>
        <w:rPr>
          <w:sz w:val="32"/>
        </w:rPr>
        <w:t>3</w:t>
      </w:r>
      <w:r>
        <w:rPr>
          <w:spacing w:val="-25"/>
          <w:sz w:val="32"/>
        </w:rPr>
        <w:t> 年内，发生 </w:t>
      </w:r>
      <w:r>
        <w:rPr>
          <w:sz w:val="32"/>
        </w:rPr>
        <w:t>3-5</w:t>
      </w:r>
      <w:r>
        <w:rPr>
          <w:spacing w:val="-10"/>
          <w:sz w:val="32"/>
        </w:rPr>
        <w:t> 起致人死亡的交通事故的；</w:t>
      </w:r>
    </w:p>
    <w:p>
      <w:pPr>
        <w:pStyle w:val="ListParagraph"/>
        <w:numPr>
          <w:ilvl w:val="0"/>
          <w:numId w:val="32"/>
        </w:numPr>
        <w:tabs>
          <w:tab w:pos="1968" w:val="left" w:leader="none"/>
        </w:tabs>
        <w:spacing w:line="240" w:lineRule="auto" w:before="150" w:after="0"/>
        <w:ind w:left="1967" w:right="0" w:hanging="801"/>
        <w:jc w:val="left"/>
        <w:rPr>
          <w:sz w:val="32"/>
        </w:rPr>
      </w:pPr>
      <w:r>
        <w:rPr>
          <w:spacing w:val="-40"/>
          <w:sz w:val="32"/>
        </w:rPr>
        <w:t>近 </w:t>
      </w:r>
      <w:r>
        <w:rPr>
          <w:sz w:val="32"/>
        </w:rPr>
        <w:t>3</w:t>
      </w:r>
      <w:r>
        <w:rPr>
          <w:spacing w:val="-25"/>
          <w:sz w:val="32"/>
        </w:rPr>
        <w:t> 年内，发生 </w:t>
      </w:r>
      <w:r>
        <w:rPr>
          <w:sz w:val="32"/>
        </w:rPr>
        <w:t>6</w:t>
      </w:r>
      <w:r>
        <w:rPr>
          <w:spacing w:val="-10"/>
          <w:sz w:val="32"/>
        </w:rPr>
        <w:t> 起以上致人伤亡的交通事故的；</w:t>
      </w:r>
    </w:p>
    <w:p>
      <w:pPr>
        <w:pStyle w:val="ListParagraph"/>
        <w:numPr>
          <w:ilvl w:val="0"/>
          <w:numId w:val="32"/>
        </w:numPr>
        <w:tabs>
          <w:tab w:pos="1968" w:val="left" w:leader="none"/>
        </w:tabs>
        <w:spacing w:line="328" w:lineRule="auto" w:before="149" w:after="0"/>
        <w:ind w:left="526" w:right="726" w:firstLine="640"/>
        <w:jc w:val="left"/>
        <w:rPr>
          <w:sz w:val="32"/>
        </w:rPr>
      </w:pPr>
      <w:r>
        <w:rPr>
          <w:sz w:val="32"/>
        </w:rPr>
        <w:t>公安机关交通管理部门认为存在严重安全隐患的其它事故多发点、段。</w:t>
      </w:r>
    </w:p>
    <w:p>
      <w:pPr>
        <w:pStyle w:val="Heading3"/>
        <w:spacing w:line="480" w:lineRule="exact"/>
        <w:ind w:left="1167" w:firstLine="0"/>
      </w:pPr>
      <w:r>
        <w:rPr>
          <w:rFonts w:ascii="宋体" w:eastAsia="宋体" w:hint="eastAsia"/>
        </w:rPr>
        <w:t>3</w:t>
      </w:r>
      <w:r>
        <w:rPr/>
        <w:t>、三类点、段需符合下列条件之一：</w:t>
      </w:r>
    </w:p>
    <w:p>
      <w:pPr>
        <w:pStyle w:val="ListParagraph"/>
        <w:numPr>
          <w:ilvl w:val="0"/>
          <w:numId w:val="33"/>
        </w:numPr>
        <w:tabs>
          <w:tab w:pos="1968" w:val="left" w:leader="none"/>
        </w:tabs>
        <w:spacing w:line="328" w:lineRule="auto" w:before="76" w:after="0"/>
        <w:ind w:left="526" w:right="724" w:firstLine="640"/>
        <w:jc w:val="left"/>
        <w:rPr>
          <w:sz w:val="32"/>
        </w:rPr>
      </w:pPr>
      <w:r>
        <w:rPr>
          <w:spacing w:val="-42"/>
          <w:sz w:val="32"/>
        </w:rPr>
        <w:t>近 </w:t>
      </w:r>
      <w:r>
        <w:rPr>
          <w:sz w:val="32"/>
        </w:rPr>
        <w:t>3</w:t>
      </w:r>
      <w:r>
        <w:rPr>
          <w:spacing w:val="-28"/>
          <w:sz w:val="32"/>
        </w:rPr>
        <w:t> 年内，发生 </w:t>
      </w:r>
      <w:r>
        <w:rPr>
          <w:sz w:val="32"/>
        </w:rPr>
        <w:t>1-2</w:t>
      </w:r>
      <w:r>
        <w:rPr>
          <w:spacing w:val="-11"/>
          <w:sz w:val="32"/>
        </w:rPr>
        <w:t> 起死亡交通事故，且事故的发生与道路因素有关的；</w:t>
      </w:r>
    </w:p>
    <w:p>
      <w:pPr>
        <w:pStyle w:val="ListParagraph"/>
        <w:numPr>
          <w:ilvl w:val="0"/>
          <w:numId w:val="33"/>
        </w:numPr>
        <w:tabs>
          <w:tab w:pos="1968" w:val="left" w:leader="none"/>
        </w:tabs>
        <w:spacing w:line="407" w:lineRule="exact" w:before="0" w:after="0"/>
        <w:ind w:left="1967" w:right="0" w:hanging="801"/>
        <w:jc w:val="left"/>
        <w:rPr>
          <w:sz w:val="32"/>
        </w:rPr>
      </w:pPr>
      <w:r>
        <w:rPr>
          <w:spacing w:val="-40"/>
          <w:sz w:val="32"/>
        </w:rPr>
        <w:t>近 </w:t>
      </w:r>
      <w:r>
        <w:rPr>
          <w:sz w:val="32"/>
        </w:rPr>
        <w:t>3</w:t>
      </w:r>
      <w:r>
        <w:rPr>
          <w:spacing w:val="-25"/>
          <w:sz w:val="32"/>
        </w:rPr>
        <w:t> 年内，发生 </w:t>
      </w:r>
      <w:r>
        <w:rPr>
          <w:sz w:val="32"/>
        </w:rPr>
        <w:t>3-5</w:t>
      </w:r>
      <w:r>
        <w:rPr>
          <w:spacing w:val="-10"/>
          <w:sz w:val="32"/>
        </w:rPr>
        <w:t> 起致人伤亡的交通事故的；</w:t>
      </w:r>
    </w:p>
    <w:p>
      <w:pPr>
        <w:pStyle w:val="ListParagraph"/>
        <w:numPr>
          <w:ilvl w:val="0"/>
          <w:numId w:val="33"/>
        </w:numPr>
        <w:tabs>
          <w:tab w:pos="1968" w:val="left" w:leader="none"/>
        </w:tabs>
        <w:spacing w:line="328" w:lineRule="auto" w:before="149" w:after="0"/>
        <w:ind w:left="526" w:right="726" w:firstLine="640"/>
        <w:jc w:val="left"/>
        <w:rPr>
          <w:sz w:val="32"/>
        </w:rPr>
      </w:pPr>
      <w:r>
        <w:rPr>
          <w:spacing w:val="-4"/>
          <w:sz w:val="32"/>
        </w:rPr>
        <w:t>一定时间内，发生道路交通事故</w:t>
      </w:r>
      <w:r>
        <w:rPr>
          <w:sz w:val="32"/>
        </w:rPr>
        <w:t>（含简易事故</w:t>
      </w:r>
      <w:r>
        <w:rPr>
          <w:spacing w:val="-17"/>
          <w:sz w:val="32"/>
        </w:rPr>
        <w:t>）</w:t>
      </w:r>
      <w:r>
        <w:rPr>
          <w:sz w:val="32"/>
        </w:rPr>
        <w:t>情况突出的；</w:t>
      </w:r>
    </w:p>
    <w:p>
      <w:pPr>
        <w:pStyle w:val="ListParagraph"/>
        <w:numPr>
          <w:ilvl w:val="0"/>
          <w:numId w:val="33"/>
        </w:numPr>
        <w:tabs>
          <w:tab w:pos="1968" w:val="left" w:leader="none"/>
        </w:tabs>
        <w:spacing w:line="326" w:lineRule="auto" w:before="0" w:after="0"/>
        <w:ind w:left="526" w:right="726" w:firstLine="640"/>
        <w:jc w:val="left"/>
        <w:rPr>
          <w:sz w:val="32"/>
        </w:rPr>
      </w:pPr>
      <w:r>
        <w:rPr>
          <w:sz w:val="32"/>
        </w:rPr>
        <w:t>公安机关交通管理部门认为存在安全隐患的其它事故多发点、段。</w:t>
      </w:r>
    </w:p>
    <w:p>
      <w:pPr>
        <w:spacing w:after="0" w:line="326" w:lineRule="auto"/>
        <w:jc w:val="left"/>
        <w:rPr>
          <w:sz w:val="32"/>
        </w:rPr>
        <w:sectPr>
          <w:pgSz w:w="11910" w:h="16840"/>
          <w:pgMar w:header="0" w:footer="985" w:top="1580" w:bottom="1180" w:left="1060" w:right="860"/>
        </w:sectPr>
      </w:pPr>
    </w:p>
    <w:p>
      <w:pPr>
        <w:pStyle w:val="BodyText"/>
        <w:ind w:left="0"/>
        <w:rPr>
          <w:sz w:val="20"/>
        </w:rPr>
      </w:pPr>
    </w:p>
    <w:p>
      <w:pPr>
        <w:pStyle w:val="BodyText"/>
        <w:ind w:left="0"/>
        <w:rPr>
          <w:sz w:val="20"/>
        </w:rPr>
      </w:pPr>
    </w:p>
    <w:p>
      <w:pPr>
        <w:pStyle w:val="BodyText"/>
        <w:spacing w:before="2"/>
        <w:ind w:left="0"/>
        <w:rPr>
          <w:sz w:val="14"/>
        </w:rPr>
      </w:pPr>
    </w:p>
    <w:p>
      <w:pPr>
        <w:pStyle w:val="Heading2"/>
        <w:ind w:left="931"/>
        <w:jc w:val="left"/>
      </w:pPr>
      <w:bookmarkStart w:name="_bookmark14" w:id="28"/>
      <w:bookmarkEnd w:id="28"/>
      <w:r>
        <w:rPr/>
      </w:r>
      <w:r>
        <w:rPr/>
        <w:t>水上客运重大事故隐患判定指南（暂行）</w:t>
      </w:r>
    </w:p>
    <w:p>
      <w:pPr>
        <w:pStyle w:val="BodyText"/>
        <w:spacing w:before="10"/>
        <w:ind w:left="0"/>
        <w:rPr>
          <w:sz w:val="52"/>
        </w:rPr>
      </w:pPr>
    </w:p>
    <w:p>
      <w:pPr>
        <w:pStyle w:val="BodyText"/>
        <w:tabs>
          <w:tab w:pos="2227" w:val="left" w:leader="none"/>
        </w:tabs>
        <w:spacing w:line="328" w:lineRule="auto" w:before="1"/>
        <w:ind w:left="526" w:right="818" w:firstLine="420"/>
      </w:pPr>
      <w:r>
        <w:rPr>
          <w:rFonts w:ascii="黑体" w:eastAsia="黑体" w:hint="eastAsia"/>
          <w:color w:val="333333"/>
        </w:rPr>
        <w:t>第一条</w:t>
        <w:tab/>
      </w:r>
      <w:r>
        <w:rPr>
          <w:color w:val="333333"/>
        </w:rPr>
        <w:t>为指导水路运输和港口经营人判定水上客运重大事故隐患，根据《中华人民共和国安全生产法》《中华人民共和国海上交通安全法》《中华人民共和国港口法》《中华人民共和国内河交通安全管理条例》《国内水路运输管理条例》等法律、法规和交通运输部有关安全生产隐患治理的规定，制定本指南。</w:t>
      </w:r>
    </w:p>
    <w:p>
      <w:pPr>
        <w:pStyle w:val="BodyText"/>
        <w:tabs>
          <w:tab w:pos="2227" w:val="left" w:leader="none"/>
        </w:tabs>
        <w:spacing w:line="400" w:lineRule="exact"/>
        <w:ind w:left="946"/>
      </w:pPr>
      <w:r>
        <w:rPr>
          <w:rFonts w:ascii="黑体" w:eastAsia="黑体" w:hint="eastAsia"/>
          <w:color w:val="333333"/>
        </w:rPr>
        <w:t>第二条</w:t>
        <w:tab/>
      </w:r>
      <w:r>
        <w:rPr>
          <w:color w:val="333333"/>
        </w:rPr>
        <w:t>本指南适用于判定水上客运重大事故隐患。</w:t>
      </w:r>
    </w:p>
    <w:p>
      <w:pPr>
        <w:pStyle w:val="BodyText"/>
        <w:tabs>
          <w:tab w:pos="2227" w:val="left" w:leader="none"/>
        </w:tabs>
        <w:spacing w:line="328" w:lineRule="auto" w:before="149"/>
        <w:ind w:left="526" w:right="818" w:firstLine="420"/>
      </w:pPr>
      <w:r>
        <w:rPr>
          <w:rFonts w:ascii="黑体" w:eastAsia="黑体" w:hint="eastAsia"/>
          <w:color w:val="333333"/>
        </w:rPr>
        <w:t>第三条</w:t>
        <w:tab/>
      </w:r>
      <w:r>
        <w:rPr>
          <w:color w:val="333333"/>
        </w:rPr>
        <w:t>本指南中的事故隐患是指水上客运生产经营单位违反安全生产法律、法规、规章、标准、规程和安全生产管理制度的规定，或者因其他因素在生产经营活动中存在可能导致事故发生的物的危险状态、人的不安全行为和管理上的缺陷。</w:t>
      </w:r>
    </w:p>
    <w:p>
      <w:pPr>
        <w:pStyle w:val="BodyText"/>
        <w:spacing w:line="328" w:lineRule="auto"/>
        <w:ind w:left="526" w:right="726" w:firstLine="420"/>
      </w:pPr>
      <w:r>
        <w:rPr>
          <w:color w:val="333333"/>
          <w:spacing w:val="-1"/>
        </w:rPr>
        <w:t>重大事故隐患是指危害和整改难度较大，应当全部或者局部停产停业，并经过一定时间整改治理方能排除的隐患，或者因外部因素影响致使水上客运生产经营单位自身难以排除的隐 患。</w:t>
      </w:r>
    </w:p>
    <w:p>
      <w:pPr>
        <w:pStyle w:val="BodyText"/>
        <w:spacing w:line="326" w:lineRule="auto"/>
        <w:ind w:left="526" w:right="685" w:firstLine="420"/>
      </w:pPr>
      <w:r>
        <w:rPr>
          <w:color w:val="333333"/>
        </w:rPr>
        <w:t>水上客运生产经营单位包括客船及其所有人、经营人、管理人，客运码头（含客运站，下同）经营人。</w:t>
      </w:r>
    </w:p>
    <w:p>
      <w:pPr>
        <w:pStyle w:val="BodyText"/>
        <w:tabs>
          <w:tab w:pos="2227" w:val="left" w:leader="none"/>
        </w:tabs>
        <w:ind w:left="946"/>
      </w:pPr>
      <w:r>
        <w:rPr>
          <w:rFonts w:ascii="黑体" w:eastAsia="黑体" w:hint="eastAsia"/>
          <w:color w:val="333333"/>
        </w:rPr>
        <w:t>第四条</w:t>
        <w:tab/>
      </w:r>
      <w:r>
        <w:rPr>
          <w:color w:val="333333"/>
        </w:rPr>
        <w:t>水上客运重大事故隐患主要包括以下六个方面：</w:t>
      </w:r>
    </w:p>
    <w:p>
      <w:pPr>
        <w:pStyle w:val="BodyText"/>
        <w:spacing w:before="142"/>
        <w:ind w:left="946"/>
      </w:pPr>
      <w:r>
        <w:rPr>
          <w:color w:val="333333"/>
        </w:rPr>
        <w:t>（一）客船安全技术状况、重要设备存在严重缺陷；</w:t>
      </w:r>
    </w:p>
    <w:p>
      <w:pPr>
        <w:pStyle w:val="BodyText"/>
        <w:spacing w:before="149"/>
        <w:ind w:left="946"/>
      </w:pPr>
      <w:r>
        <w:rPr>
          <w:color w:val="333333"/>
        </w:rPr>
        <w:t>（二）客船配员或船员履职能力严重不足；</w:t>
      </w:r>
    </w:p>
    <w:p>
      <w:pPr>
        <w:pStyle w:val="BodyText"/>
        <w:spacing w:before="152"/>
        <w:ind w:left="946"/>
      </w:pPr>
      <w:r>
        <w:rPr>
          <w:color w:val="333333"/>
        </w:rPr>
        <w:t>（三）客运码头重要设备及应急设备存在严重缺陷或故障；</w:t>
      </w:r>
    </w:p>
    <w:p>
      <w:pPr>
        <w:spacing w:after="0"/>
        <w:sectPr>
          <w:pgSz w:w="11910" w:h="16840"/>
          <w:pgMar w:header="0" w:footer="985" w:top="1580" w:bottom="1180" w:left="1060" w:right="860"/>
        </w:sectPr>
      </w:pPr>
    </w:p>
    <w:p>
      <w:pPr>
        <w:pStyle w:val="BodyText"/>
        <w:spacing w:before="10"/>
        <w:ind w:left="0"/>
        <w:rPr>
          <w:sz w:val="13"/>
        </w:rPr>
      </w:pPr>
    </w:p>
    <w:p>
      <w:pPr>
        <w:pStyle w:val="BodyText"/>
        <w:spacing w:before="54"/>
        <w:ind w:left="946"/>
      </w:pPr>
      <w:r>
        <w:rPr>
          <w:color w:val="333333"/>
        </w:rPr>
        <w:t>（四）水上客运生产经营单位违法经营、作业；</w:t>
      </w:r>
    </w:p>
    <w:p>
      <w:pPr>
        <w:pStyle w:val="BodyText"/>
        <w:spacing w:before="152"/>
        <w:ind w:left="946"/>
      </w:pPr>
      <w:r>
        <w:rPr>
          <w:color w:val="333333"/>
        </w:rPr>
        <w:t>（五）水上客运生产经营单位安全管理存在严重问题；</w:t>
      </w:r>
    </w:p>
    <w:p>
      <w:pPr>
        <w:pStyle w:val="BodyText"/>
        <w:spacing w:before="149"/>
        <w:ind w:left="946"/>
      </w:pPr>
      <w:r>
        <w:rPr>
          <w:color w:val="333333"/>
        </w:rPr>
        <w:t>（六）其他重大事故隐患。</w:t>
      </w:r>
    </w:p>
    <w:p>
      <w:pPr>
        <w:pStyle w:val="BodyText"/>
        <w:tabs>
          <w:tab w:pos="2227" w:val="left" w:leader="none"/>
        </w:tabs>
        <w:spacing w:line="328" w:lineRule="auto" w:before="149"/>
        <w:ind w:left="526" w:right="718" w:firstLine="420"/>
      </w:pPr>
      <w:r>
        <w:rPr>
          <w:rFonts w:ascii="黑体" w:hAnsi="黑体" w:eastAsia="黑体" w:hint="eastAsia"/>
          <w:color w:val="333333"/>
        </w:rPr>
        <w:t>第五条</w:t>
        <w:tab/>
      </w:r>
      <w:r>
        <w:rPr>
          <w:color w:val="333333"/>
        </w:rPr>
        <w:t>“客船安全技术状况、重要设备存在严重缺陷</w:t>
      </w:r>
      <w:r>
        <w:rPr>
          <w:color w:val="333333"/>
          <w:spacing w:val="-5"/>
        </w:rPr>
        <w:t>”， </w:t>
      </w:r>
      <w:r>
        <w:rPr>
          <w:color w:val="333333"/>
        </w:rPr>
        <w:t>是指下列情形之一的：</w:t>
      </w:r>
    </w:p>
    <w:p>
      <w:pPr>
        <w:pStyle w:val="BodyText"/>
        <w:spacing w:line="407" w:lineRule="exact"/>
        <w:ind w:left="946"/>
      </w:pPr>
      <w:r>
        <w:rPr>
          <w:color w:val="333333"/>
        </w:rPr>
        <w:t>（一）客船擅自改建；</w:t>
      </w:r>
    </w:p>
    <w:p>
      <w:pPr>
        <w:pStyle w:val="BodyText"/>
        <w:spacing w:line="328" w:lineRule="auto" w:before="149"/>
        <w:ind w:left="526" w:right="724" w:firstLine="420"/>
      </w:pPr>
      <w:r>
        <w:rPr>
          <w:color w:val="333333"/>
          <w:w w:val="95"/>
        </w:rPr>
        <w:t>（二</w:t>
      </w:r>
      <w:r>
        <w:rPr>
          <w:color w:val="333333"/>
          <w:spacing w:val="-3"/>
          <w:w w:val="95"/>
        </w:rPr>
        <w:t>）</w:t>
      </w:r>
      <w:r>
        <w:rPr>
          <w:color w:val="333333"/>
          <w:w w:val="95"/>
        </w:rPr>
        <w:t>客船改装后，船舶适航性、救生和防火要求，不满足 </w:t>
      </w:r>
      <w:r>
        <w:rPr>
          <w:color w:val="333333"/>
        </w:rPr>
        <w:t>技术法规要求；</w:t>
      </w:r>
    </w:p>
    <w:p>
      <w:pPr>
        <w:pStyle w:val="BodyText"/>
        <w:spacing w:line="326" w:lineRule="auto"/>
        <w:ind w:left="526" w:right="685" w:firstLine="420"/>
      </w:pPr>
      <w:r>
        <w:rPr>
          <w:color w:val="333333"/>
        </w:rPr>
        <w:t>（三）客船船体破损、航行设备损坏影响船舶安全航行，未及时修复；</w:t>
      </w:r>
    </w:p>
    <w:p>
      <w:pPr>
        <w:pStyle w:val="BodyText"/>
        <w:spacing w:line="326" w:lineRule="auto" w:before="3"/>
        <w:ind w:left="526" w:right="726" w:firstLine="420"/>
      </w:pPr>
      <w:r>
        <w:rPr>
          <w:color w:val="333333"/>
          <w:w w:val="95"/>
        </w:rPr>
        <w:t>（四</w:t>
      </w:r>
      <w:r>
        <w:rPr>
          <w:color w:val="333333"/>
          <w:spacing w:val="-3"/>
          <w:w w:val="95"/>
        </w:rPr>
        <w:t>）</w:t>
      </w:r>
      <w:r>
        <w:rPr>
          <w:color w:val="333333"/>
          <w:spacing w:val="-1"/>
          <w:w w:val="95"/>
        </w:rPr>
        <w:t>客船应急操舵装置、应急发电机等应急设施设备出现 </w:t>
      </w:r>
      <w:r>
        <w:rPr>
          <w:color w:val="333333"/>
          <w:spacing w:val="-1"/>
        </w:rPr>
        <w:t>故障；</w:t>
      </w:r>
    </w:p>
    <w:p>
      <w:pPr>
        <w:pStyle w:val="BodyText"/>
        <w:spacing w:line="328" w:lineRule="auto" w:before="4"/>
        <w:ind w:left="526" w:right="726" w:firstLine="420"/>
      </w:pPr>
      <w:r>
        <w:rPr>
          <w:color w:val="333333"/>
        </w:rPr>
        <w:t>（五</w:t>
      </w:r>
      <w:r>
        <w:rPr>
          <w:color w:val="333333"/>
          <w:spacing w:val="-7"/>
        </w:rPr>
        <w:t>）</w:t>
      </w:r>
      <w:r>
        <w:rPr>
          <w:color w:val="333333"/>
        </w:rPr>
        <w:t>客船未按规定配备足额消防救生设备设施或存在严重缺陷。</w:t>
      </w:r>
    </w:p>
    <w:p>
      <w:pPr>
        <w:pStyle w:val="BodyText"/>
        <w:tabs>
          <w:tab w:pos="2225" w:val="left" w:leader="none"/>
        </w:tabs>
        <w:spacing w:line="326" w:lineRule="auto"/>
        <w:ind w:left="526" w:right="726" w:firstLine="420"/>
      </w:pPr>
      <w:r>
        <w:rPr>
          <w:rFonts w:ascii="黑体" w:hAnsi="黑体" w:eastAsia="黑体" w:hint="eastAsia"/>
          <w:color w:val="333333"/>
        </w:rPr>
        <w:t>第六条</w:t>
        <w:tab/>
      </w:r>
      <w:r>
        <w:rPr>
          <w:color w:val="333333"/>
        </w:rPr>
        <w:t>“客船配员或船员履职能力严重不足</w:t>
      </w:r>
      <w:r>
        <w:rPr>
          <w:color w:val="333333"/>
          <w:spacing w:val="-3"/>
        </w:rPr>
        <w:t>”，</w:t>
      </w:r>
      <w:r>
        <w:rPr>
          <w:color w:val="333333"/>
        </w:rPr>
        <w:t>是指下列情形之一的：</w:t>
      </w:r>
    </w:p>
    <w:p>
      <w:pPr>
        <w:pStyle w:val="BodyText"/>
        <w:spacing w:before="3"/>
        <w:ind w:left="946"/>
      </w:pPr>
      <w:r>
        <w:rPr>
          <w:color w:val="333333"/>
        </w:rPr>
        <w:t>（一）船长或者高级船员的配备未满足最低安全配员要求；</w:t>
      </w:r>
    </w:p>
    <w:p>
      <w:pPr>
        <w:pStyle w:val="BodyText"/>
        <w:spacing w:line="326" w:lineRule="auto" w:before="149"/>
        <w:ind w:left="526" w:right="724" w:firstLine="420"/>
      </w:pPr>
      <w:r>
        <w:rPr>
          <w:color w:val="333333"/>
        </w:rPr>
        <w:t>（二）参加航行、停泊值班的船员违反规定饮酒或服用国家管制的麻醉药品或者精神药品。</w:t>
      </w:r>
    </w:p>
    <w:p>
      <w:pPr>
        <w:pStyle w:val="BodyText"/>
        <w:tabs>
          <w:tab w:pos="2218" w:val="left" w:leader="none"/>
        </w:tabs>
        <w:spacing w:line="326" w:lineRule="auto" w:before="5"/>
        <w:ind w:left="526" w:right="724" w:firstLine="420"/>
      </w:pPr>
      <w:r>
        <w:rPr>
          <w:rFonts w:ascii="黑体" w:hAnsi="黑体" w:eastAsia="黑体" w:hint="eastAsia"/>
          <w:color w:val="333333"/>
        </w:rPr>
        <w:t>第七条</w:t>
        <w:tab/>
      </w:r>
      <w:r>
        <w:rPr>
          <w:color w:val="333333"/>
        </w:rPr>
        <w:t>“客运码头重要设备及应急设备存在严重缺陷或</w:t>
      </w:r>
      <w:r>
        <w:rPr>
          <w:color w:val="333333"/>
          <w:spacing w:val="-11"/>
        </w:rPr>
        <w:t>故</w:t>
      </w:r>
      <w:r>
        <w:rPr>
          <w:color w:val="333333"/>
        </w:rPr>
        <w:t>障”，是指下列情形之一的：</w:t>
      </w:r>
    </w:p>
    <w:p>
      <w:pPr>
        <w:pStyle w:val="BodyText"/>
        <w:spacing w:line="328" w:lineRule="auto" w:before="4"/>
        <w:ind w:left="526" w:right="685" w:firstLine="420"/>
      </w:pPr>
      <w:r>
        <w:rPr>
          <w:color w:val="333333"/>
        </w:rPr>
        <w:t>（一）未按规定配备足额消防救生设备设施或配备的设备设施存在严重缺陷；</w:t>
      </w:r>
    </w:p>
    <w:p>
      <w:pPr>
        <w:spacing w:after="0" w:line="328" w:lineRule="auto"/>
        <w:sectPr>
          <w:pgSz w:w="11910" w:h="16840"/>
          <w:pgMar w:header="0" w:footer="985" w:top="1580" w:bottom="1180" w:left="1060" w:right="860"/>
        </w:sectPr>
      </w:pPr>
    </w:p>
    <w:p>
      <w:pPr>
        <w:pStyle w:val="BodyText"/>
        <w:spacing w:before="10"/>
        <w:ind w:left="0"/>
        <w:rPr>
          <w:sz w:val="13"/>
        </w:rPr>
      </w:pPr>
    </w:p>
    <w:p>
      <w:pPr>
        <w:pStyle w:val="BodyText"/>
        <w:spacing w:line="328" w:lineRule="auto" w:before="54"/>
        <w:ind w:left="526" w:right="685" w:firstLine="420"/>
      </w:pPr>
      <w:r>
        <w:rPr>
          <w:color w:val="333333"/>
        </w:rPr>
        <w:t>（二）未按规定设置旅客、车辆上下船设施，安全设施，应急救援设备，或者设置的设备设施不能正常使用。</w:t>
      </w:r>
    </w:p>
    <w:p>
      <w:pPr>
        <w:pStyle w:val="BodyText"/>
        <w:tabs>
          <w:tab w:pos="2225" w:val="left" w:leader="none"/>
        </w:tabs>
        <w:spacing w:line="326" w:lineRule="auto"/>
        <w:ind w:left="526" w:right="726" w:firstLine="420"/>
      </w:pPr>
      <w:r>
        <w:rPr>
          <w:rFonts w:ascii="黑体" w:hAnsi="黑体" w:eastAsia="黑体" w:hint="eastAsia"/>
          <w:color w:val="333333"/>
        </w:rPr>
        <w:t>第八条</w:t>
        <w:tab/>
      </w:r>
      <w:r>
        <w:rPr>
          <w:color w:val="333333"/>
          <w:w w:val="95"/>
        </w:rPr>
        <w:t>“水上客运生产经营单位违法经营</w:t>
      </w:r>
      <w:r>
        <w:rPr>
          <w:color w:val="333333"/>
          <w:spacing w:val="-3"/>
          <w:w w:val="95"/>
        </w:rPr>
        <w:t>、</w:t>
      </w:r>
      <w:r>
        <w:rPr>
          <w:color w:val="333333"/>
          <w:w w:val="95"/>
        </w:rPr>
        <w:t>作业”，是指 </w:t>
      </w:r>
      <w:r>
        <w:rPr>
          <w:color w:val="333333"/>
        </w:rPr>
        <w:t>下列情形之一的：</w:t>
      </w:r>
    </w:p>
    <w:p>
      <w:pPr>
        <w:pStyle w:val="BodyText"/>
        <w:spacing w:before="3"/>
        <w:ind w:left="946"/>
      </w:pPr>
      <w:r>
        <w:rPr>
          <w:color w:val="333333"/>
        </w:rPr>
        <w:t>（一）客船未持有有效的法定证书</w:t>
      </w:r>
    </w:p>
    <w:p>
      <w:pPr>
        <w:pStyle w:val="BodyText"/>
        <w:spacing w:before="149"/>
        <w:ind w:left="946"/>
      </w:pPr>
      <w:r>
        <w:rPr>
          <w:color w:val="333333"/>
        </w:rPr>
        <w:t>（二）客船未遵守恶劣天气限制、夜航规定航行；</w:t>
      </w:r>
    </w:p>
    <w:p>
      <w:pPr>
        <w:pStyle w:val="BodyText"/>
        <w:spacing w:line="328" w:lineRule="auto" w:before="150"/>
        <w:ind w:left="526" w:right="726" w:firstLine="420"/>
        <w:jc w:val="both"/>
      </w:pPr>
      <w:r>
        <w:rPr>
          <w:color w:val="333333"/>
          <w:w w:val="95"/>
        </w:rPr>
        <w:t>（三</w:t>
      </w:r>
      <w:r>
        <w:rPr>
          <w:color w:val="333333"/>
          <w:spacing w:val="-3"/>
          <w:w w:val="95"/>
        </w:rPr>
        <w:t>）</w:t>
      </w:r>
      <w:r>
        <w:rPr>
          <w:color w:val="333333"/>
          <w:spacing w:val="-1"/>
          <w:w w:val="95"/>
        </w:rPr>
        <w:t>客船载运旅客人数超出乘客定额人数的、或未按规定 </w:t>
      </w:r>
      <w:r>
        <w:rPr>
          <w:color w:val="333333"/>
          <w:spacing w:val="-1"/>
        </w:rPr>
        <w:t>载运或载运的车辆不符合相关规定、或未按规定执行“车客分离”要求；</w:t>
      </w:r>
    </w:p>
    <w:p>
      <w:pPr>
        <w:pStyle w:val="BodyText"/>
        <w:spacing w:line="328" w:lineRule="auto"/>
        <w:ind w:left="526" w:right="724" w:firstLine="420"/>
      </w:pPr>
      <w:r>
        <w:rPr>
          <w:color w:val="333333"/>
        </w:rPr>
        <w:t>（四）客运码头未按规定履行安检查危职责，违规放行人员和车辆；</w:t>
      </w:r>
    </w:p>
    <w:p>
      <w:pPr>
        <w:pStyle w:val="BodyText"/>
        <w:spacing w:line="407" w:lineRule="exact"/>
        <w:ind w:left="946"/>
      </w:pPr>
      <w:r>
        <w:rPr>
          <w:color w:val="333333"/>
        </w:rPr>
        <w:t>（五）未按规定执行水路旅客运输实名制管理规定；</w:t>
      </w:r>
    </w:p>
    <w:p>
      <w:pPr>
        <w:pStyle w:val="BodyText"/>
        <w:spacing w:before="144"/>
        <w:ind w:left="946"/>
      </w:pPr>
      <w:r>
        <w:rPr>
          <w:color w:val="333333"/>
        </w:rPr>
        <w:t>（六）超出经营许可范围和许可有效期经营。</w:t>
      </w:r>
    </w:p>
    <w:p>
      <w:pPr>
        <w:pStyle w:val="BodyText"/>
        <w:spacing w:line="326" w:lineRule="auto" w:before="151"/>
        <w:ind w:left="526" w:right="524" w:firstLine="420"/>
      </w:pPr>
      <w:r>
        <w:rPr>
          <w:rFonts w:ascii="黑体" w:hAnsi="黑体" w:eastAsia="黑体" w:hint="eastAsia"/>
          <w:color w:val="333333"/>
        </w:rPr>
        <w:t>第九条 </w:t>
      </w:r>
      <w:r>
        <w:rPr>
          <w:color w:val="333333"/>
        </w:rPr>
        <w:t>“水上客运生产经营单位安全管理存在严重问题”， 是指下列情形之一的：</w:t>
      </w:r>
    </w:p>
    <w:p>
      <w:pPr>
        <w:pStyle w:val="BodyText"/>
        <w:spacing w:before="3"/>
        <w:ind w:left="946"/>
      </w:pPr>
      <w:r>
        <w:rPr>
          <w:color w:val="333333"/>
        </w:rPr>
        <w:t>（一）未按规定建立安全管理制度或安全管理体系；</w:t>
      </w:r>
    </w:p>
    <w:p>
      <w:pPr>
        <w:pStyle w:val="BodyText"/>
        <w:spacing w:line="326" w:lineRule="auto" w:before="152"/>
        <w:ind w:left="526" w:right="685" w:firstLine="420"/>
      </w:pPr>
      <w:r>
        <w:rPr>
          <w:color w:val="333333"/>
        </w:rPr>
        <w:t>（二）未切实执行安全管理制度或安全管理体系没有得到有效运行；</w:t>
      </w:r>
    </w:p>
    <w:p>
      <w:pPr>
        <w:pStyle w:val="BodyText"/>
        <w:spacing w:line="328" w:lineRule="auto" w:before="3"/>
        <w:ind w:left="526" w:right="685" w:firstLine="420"/>
      </w:pPr>
      <w:r>
        <w:rPr>
          <w:color w:val="333333"/>
        </w:rPr>
        <w:t>（三）安全管理相关人员不符合规定的任职要求或履职能力严重不足；</w:t>
      </w:r>
    </w:p>
    <w:p>
      <w:pPr>
        <w:pStyle w:val="BodyText"/>
        <w:spacing w:line="326" w:lineRule="auto"/>
        <w:ind w:left="526" w:right="724" w:firstLine="420"/>
      </w:pPr>
      <w:r>
        <w:rPr>
          <w:color w:val="333333"/>
        </w:rPr>
        <w:t>（四）未按规定制定应急预案或者未定期组织演练，且逾期不改正。</w:t>
      </w:r>
    </w:p>
    <w:p>
      <w:pPr>
        <w:pStyle w:val="BodyText"/>
        <w:tabs>
          <w:tab w:pos="2227" w:val="left" w:leader="none"/>
        </w:tabs>
        <w:spacing w:before="3"/>
        <w:ind w:left="946"/>
      </w:pPr>
      <w:r>
        <w:rPr>
          <w:rFonts w:ascii="黑体" w:eastAsia="黑体" w:hint="eastAsia"/>
          <w:color w:val="333333"/>
        </w:rPr>
        <w:t>第十条</w:t>
        <w:tab/>
      </w:r>
      <w:r>
        <w:rPr>
          <w:color w:val="333333"/>
        </w:rPr>
        <w:t>其他重大事故隐患，是指下列情形之一的：</w:t>
      </w:r>
    </w:p>
    <w:p>
      <w:pPr>
        <w:pStyle w:val="BodyText"/>
        <w:spacing w:before="149"/>
        <w:ind w:left="946"/>
      </w:pPr>
      <w:r>
        <w:rPr>
          <w:color w:val="333333"/>
        </w:rPr>
        <w:t>（一）客船人员应急疏散通道严重堵塞；</w:t>
      </w:r>
    </w:p>
    <w:p>
      <w:pPr>
        <w:spacing w:after="0"/>
        <w:sectPr>
          <w:pgSz w:w="11910" w:h="16840"/>
          <w:pgMar w:header="0" w:footer="985" w:top="1580" w:bottom="1180" w:left="1060" w:right="860"/>
        </w:sectPr>
      </w:pPr>
    </w:p>
    <w:p>
      <w:pPr>
        <w:pStyle w:val="BodyText"/>
        <w:spacing w:before="10"/>
        <w:ind w:left="0"/>
        <w:rPr>
          <w:sz w:val="13"/>
        </w:rPr>
      </w:pPr>
    </w:p>
    <w:p>
      <w:pPr>
        <w:pStyle w:val="BodyText"/>
        <w:spacing w:before="54"/>
        <w:ind w:left="946"/>
      </w:pPr>
      <w:bookmarkStart w:name="危险货物港口作业重大事故隐患判定指南" w:id="29"/>
      <w:bookmarkEnd w:id="29"/>
      <w:r>
        <w:rPr/>
      </w:r>
      <w:r>
        <w:rPr>
          <w:color w:val="333333"/>
        </w:rPr>
        <w:t>（二）客船压载严重不当；</w:t>
      </w:r>
    </w:p>
    <w:p>
      <w:pPr>
        <w:pStyle w:val="BodyText"/>
        <w:spacing w:before="152"/>
        <w:ind w:left="946"/>
      </w:pPr>
      <w:r>
        <w:rPr>
          <w:color w:val="333333"/>
        </w:rPr>
        <w:t>（三）客船积载、系固及绑扎严重不当；</w:t>
      </w:r>
    </w:p>
    <w:p>
      <w:pPr>
        <w:pStyle w:val="BodyText"/>
        <w:spacing w:before="149"/>
        <w:ind w:left="946"/>
      </w:pPr>
      <w:r>
        <w:rPr>
          <w:color w:val="333333"/>
        </w:rPr>
        <w:t>（四）客船登离装置存在重大安全缺陷未及时纠正；</w:t>
      </w:r>
    </w:p>
    <w:p>
      <w:pPr>
        <w:pStyle w:val="BodyText"/>
        <w:spacing w:line="328" w:lineRule="auto" w:before="149"/>
        <w:ind w:left="526" w:right="685" w:firstLine="420"/>
      </w:pPr>
      <w:r>
        <w:rPr>
          <w:color w:val="333333"/>
        </w:rPr>
        <w:t>（五）客运码头未按相关标准配备安全检测设备或者设备无法正常使用；</w:t>
      </w:r>
    </w:p>
    <w:p>
      <w:pPr>
        <w:pStyle w:val="BodyText"/>
        <w:spacing w:line="326" w:lineRule="auto"/>
        <w:ind w:left="526" w:right="724" w:firstLine="420"/>
      </w:pPr>
      <w:r>
        <w:rPr>
          <w:color w:val="333333"/>
        </w:rPr>
        <w:t>（六）客运码头及其停车场与污染源、危险区域的距离不符合规定。</w:t>
      </w:r>
    </w:p>
    <w:p>
      <w:pPr>
        <w:pStyle w:val="BodyText"/>
        <w:tabs>
          <w:tab w:pos="2547" w:val="left" w:leader="none"/>
        </w:tabs>
        <w:spacing w:line="326" w:lineRule="auto" w:before="3"/>
        <w:ind w:left="526" w:right="568" w:firstLine="420"/>
      </w:pPr>
      <w:r>
        <w:rPr>
          <w:rFonts w:ascii="黑体" w:eastAsia="黑体" w:hint="eastAsia"/>
          <w:color w:val="333333"/>
        </w:rPr>
        <w:t>第十一条</w:t>
        <w:tab/>
      </w:r>
      <w:r>
        <w:rPr>
          <w:color w:val="333333"/>
        </w:rPr>
        <w:t>对于不能依据本指南直接判断是否为重大事故  </w:t>
      </w:r>
      <w:r>
        <w:rPr>
          <w:color w:val="333333"/>
          <w:w w:val="95"/>
        </w:rPr>
        <w:t>隐患的情况</w:t>
      </w:r>
      <w:r>
        <w:rPr>
          <w:color w:val="333333"/>
          <w:spacing w:val="-22"/>
          <w:w w:val="95"/>
        </w:rPr>
        <w:t>，</w:t>
      </w:r>
      <w:r>
        <w:rPr>
          <w:color w:val="333333"/>
          <w:w w:val="95"/>
        </w:rPr>
        <w:t>可组织有关专家</w:t>
      </w:r>
      <w:r>
        <w:rPr>
          <w:color w:val="333333"/>
          <w:spacing w:val="-22"/>
          <w:w w:val="95"/>
        </w:rPr>
        <w:t>，</w:t>
      </w:r>
      <w:r>
        <w:rPr>
          <w:color w:val="333333"/>
          <w:w w:val="95"/>
        </w:rPr>
        <w:t>依据安全生产法律法规</w:t>
      </w:r>
      <w:r>
        <w:rPr>
          <w:color w:val="333333"/>
          <w:spacing w:val="-22"/>
          <w:w w:val="95"/>
        </w:rPr>
        <w:t>、</w:t>
      </w:r>
      <w:r>
        <w:rPr>
          <w:color w:val="333333"/>
          <w:w w:val="95"/>
        </w:rPr>
        <w:t>规章、 </w:t>
      </w:r>
      <w:r>
        <w:rPr>
          <w:color w:val="333333"/>
        </w:rPr>
        <w:t>标准、规程和安全生产管理制度，进行论证、综合判定。</w:t>
      </w:r>
    </w:p>
    <w:p>
      <w:pPr>
        <w:pStyle w:val="BodyText"/>
        <w:tabs>
          <w:tab w:pos="2547" w:val="left" w:leader="none"/>
        </w:tabs>
        <w:spacing w:before="7"/>
        <w:ind w:left="946"/>
      </w:pPr>
      <w:r>
        <w:rPr>
          <w:rFonts w:ascii="黑体" w:eastAsia="黑体" w:hint="eastAsia"/>
          <w:color w:val="333333"/>
        </w:rPr>
        <w:t>第十二条</w:t>
        <w:tab/>
      </w:r>
      <w:r>
        <w:rPr>
          <w:color w:val="333333"/>
        </w:rPr>
        <w:t>本指南所指客船系指载客超过</w:t>
      </w:r>
      <w:r>
        <w:rPr>
          <w:color w:val="333333"/>
          <w:spacing w:val="-80"/>
        </w:rPr>
        <w:t> </w:t>
      </w:r>
      <w:r>
        <w:rPr>
          <w:color w:val="333333"/>
        </w:rPr>
        <w:t>12</w:t>
      </w:r>
      <w:r>
        <w:rPr>
          <w:color w:val="333333"/>
          <w:spacing w:val="-82"/>
        </w:rPr>
        <w:t> </w:t>
      </w:r>
      <w:r>
        <w:rPr>
          <w:color w:val="333333"/>
        </w:rPr>
        <w:t>人的船舶。</w:t>
      </w:r>
    </w:p>
    <w:p>
      <w:pPr>
        <w:pStyle w:val="BodyText"/>
        <w:tabs>
          <w:tab w:pos="2547" w:val="left" w:leader="none"/>
        </w:tabs>
        <w:spacing w:before="150"/>
        <w:ind w:left="946"/>
      </w:pPr>
      <w:r>
        <w:rPr>
          <w:rFonts w:ascii="黑体" w:eastAsia="黑体" w:hint="eastAsia"/>
          <w:color w:val="333333"/>
        </w:rPr>
        <w:t>第十三条</w:t>
        <w:tab/>
      </w:r>
      <w:r>
        <w:rPr>
          <w:color w:val="333333"/>
        </w:rPr>
        <w:t>本指南自</w:t>
      </w:r>
      <w:r>
        <w:rPr>
          <w:color w:val="333333"/>
          <w:spacing w:val="-80"/>
        </w:rPr>
        <w:t> </w:t>
      </w:r>
      <w:r>
        <w:rPr>
          <w:color w:val="333333"/>
        </w:rPr>
        <w:t>2018</w:t>
      </w:r>
      <w:r>
        <w:rPr>
          <w:color w:val="333333"/>
          <w:spacing w:val="-80"/>
        </w:rPr>
        <w:t> </w:t>
      </w:r>
      <w:r>
        <w:rPr>
          <w:color w:val="333333"/>
        </w:rPr>
        <w:t>年</w:t>
      </w:r>
      <w:r>
        <w:rPr>
          <w:color w:val="333333"/>
          <w:spacing w:val="-81"/>
        </w:rPr>
        <w:t> </w:t>
      </w:r>
      <w:r>
        <w:rPr>
          <w:color w:val="333333"/>
        </w:rPr>
        <w:t>1</w:t>
      </w:r>
      <w:r>
        <w:rPr>
          <w:color w:val="333333"/>
          <w:spacing w:val="-81"/>
        </w:rPr>
        <w:t> </w:t>
      </w:r>
      <w:r>
        <w:rPr>
          <w:color w:val="333333"/>
        </w:rPr>
        <w:t>月</w:t>
      </w:r>
      <w:r>
        <w:rPr>
          <w:color w:val="333333"/>
          <w:spacing w:val="-79"/>
        </w:rPr>
        <w:t> </w:t>
      </w:r>
      <w:r>
        <w:rPr>
          <w:color w:val="333333"/>
        </w:rPr>
        <w:t>1</w:t>
      </w:r>
      <w:r>
        <w:rPr>
          <w:color w:val="333333"/>
          <w:spacing w:val="-80"/>
        </w:rPr>
        <w:t> </w:t>
      </w:r>
      <w:r>
        <w:rPr>
          <w:color w:val="333333"/>
        </w:rPr>
        <w:t>日起施行。</w:t>
      </w:r>
    </w:p>
    <w:p>
      <w:pPr>
        <w:spacing w:after="0"/>
        <w:sectPr>
          <w:footerReference w:type="default" r:id="rId15"/>
          <w:pgSz w:w="11910" w:h="16840"/>
          <w:pgMar w:footer="985" w:header="0" w:top="1580" w:bottom="1180" w:left="1060" w:right="860"/>
          <w:pgNumType w:start="80"/>
        </w:sectPr>
      </w:pPr>
    </w:p>
    <w:p>
      <w:pPr>
        <w:pStyle w:val="BodyText"/>
        <w:ind w:left="0"/>
        <w:rPr>
          <w:sz w:val="20"/>
        </w:rPr>
      </w:pPr>
    </w:p>
    <w:p>
      <w:pPr>
        <w:pStyle w:val="BodyText"/>
        <w:ind w:left="0"/>
        <w:rPr>
          <w:sz w:val="20"/>
        </w:rPr>
      </w:pPr>
    </w:p>
    <w:p>
      <w:pPr>
        <w:pStyle w:val="BodyText"/>
        <w:spacing w:before="2"/>
        <w:ind w:left="0"/>
        <w:rPr>
          <w:sz w:val="14"/>
        </w:rPr>
      </w:pPr>
    </w:p>
    <w:p>
      <w:pPr>
        <w:pStyle w:val="Heading2"/>
        <w:ind w:left="946"/>
        <w:jc w:val="left"/>
      </w:pPr>
      <w:bookmarkStart w:name="_bookmark15" w:id="30"/>
      <w:bookmarkEnd w:id="30"/>
      <w:r>
        <w:rPr/>
      </w:r>
      <w:r>
        <w:rPr/>
        <w:t>危险货物港口作业重大事故隐患判定指南</w:t>
      </w:r>
    </w:p>
    <w:p>
      <w:pPr>
        <w:pStyle w:val="BodyText"/>
        <w:spacing w:before="10"/>
        <w:ind w:left="0"/>
        <w:rPr>
          <w:sz w:val="52"/>
        </w:rPr>
      </w:pPr>
    </w:p>
    <w:p>
      <w:pPr>
        <w:pStyle w:val="BodyText"/>
        <w:spacing w:line="328" w:lineRule="auto" w:before="1"/>
        <w:ind w:left="526" w:right="817" w:firstLine="420"/>
        <w:jc w:val="both"/>
      </w:pPr>
      <w:r>
        <w:rPr>
          <w:rFonts w:ascii="黑体" w:eastAsia="黑体" w:hint="eastAsia"/>
          <w:b/>
          <w:color w:val="333333"/>
        </w:rPr>
        <w:t>第一条 </w:t>
      </w:r>
      <w:r>
        <w:rPr>
          <w:color w:val="333333"/>
        </w:rPr>
        <w:t>为了准确判定、及时消除危险货物港口作业重大事故隐患(以下简称重大事故隐患)，根据《安全生产法》《港口法》《危险化学品安全管理条例》《港口经营管理规定》《港口危险货物安全管理规定》等法律、法规、规章和交通运输部有关隐患治理的规定，制定本指南。</w:t>
      </w:r>
    </w:p>
    <w:p>
      <w:pPr>
        <w:pStyle w:val="BodyText"/>
        <w:spacing w:line="326" w:lineRule="auto"/>
        <w:ind w:left="526" w:right="818" w:firstLine="420"/>
        <w:jc w:val="both"/>
      </w:pPr>
      <w:r>
        <w:rPr>
          <w:rFonts w:ascii="黑体" w:eastAsia="黑体" w:hint="eastAsia"/>
          <w:b/>
          <w:color w:val="333333"/>
        </w:rPr>
        <w:t>第二条 </w:t>
      </w:r>
      <w:r>
        <w:rPr>
          <w:color w:val="333333"/>
        </w:rPr>
        <w:t>本指南适用港口区域内危险货物作业，用于指导危险货物港口经营人和港口行政管理部门判定各类危险货物港口作业重大事故隐患。</w:t>
      </w:r>
    </w:p>
    <w:p>
      <w:pPr>
        <w:pStyle w:val="BodyText"/>
        <w:ind w:left="946"/>
      </w:pPr>
      <w:r>
        <w:rPr>
          <w:rFonts w:ascii="黑体" w:eastAsia="黑体" w:hint="eastAsia"/>
          <w:b/>
          <w:color w:val="333333"/>
        </w:rPr>
        <w:t>第三条 </w:t>
      </w:r>
      <w:r>
        <w:rPr>
          <w:color w:val="333333"/>
        </w:rPr>
        <w:t>危险货物港口作业重大事故隐患包括以下 5 个方面：</w:t>
      </w:r>
    </w:p>
    <w:p>
      <w:pPr>
        <w:pStyle w:val="BodyText"/>
        <w:spacing w:line="326" w:lineRule="auto" w:before="148"/>
        <w:ind w:left="526" w:right="726" w:firstLine="420"/>
      </w:pPr>
      <w:r>
        <w:rPr>
          <w:color w:val="333333"/>
          <w:w w:val="95"/>
        </w:rPr>
        <w:t>（一</w:t>
      </w:r>
      <w:r>
        <w:rPr>
          <w:color w:val="333333"/>
          <w:spacing w:val="-3"/>
          <w:w w:val="95"/>
        </w:rPr>
        <w:t>）</w:t>
      </w:r>
      <w:r>
        <w:rPr>
          <w:color w:val="333333"/>
          <w:spacing w:val="-1"/>
          <w:w w:val="95"/>
        </w:rPr>
        <w:t>存在超范围、超能力、超期限作业情况，或者危险货 </w:t>
      </w:r>
      <w:r>
        <w:rPr>
          <w:color w:val="333333"/>
          <w:spacing w:val="-1"/>
        </w:rPr>
        <w:t>物存放不符合安全要求的；</w:t>
      </w:r>
    </w:p>
    <w:p>
      <w:pPr>
        <w:pStyle w:val="BodyText"/>
        <w:spacing w:line="326" w:lineRule="auto" w:before="6"/>
        <w:ind w:left="526" w:right="685" w:firstLine="420"/>
      </w:pPr>
      <w:r>
        <w:rPr>
          <w:color w:val="333333"/>
        </w:rPr>
        <w:t>（二）危险货物作业工艺设备设施不满足危险货物的危险有害特性的安全防范要求，或者不能正常运行的；</w:t>
      </w:r>
    </w:p>
    <w:p>
      <w:pPr>
        <w:pStyle w:val="BodyText"/>
        <w:spacing w:line="328" w:lineRule="auto" w:before="3"/>
        <w:ind w:left="526" w:right="724" w:firstLine="420"/>
      </w:pPr>
      <w:r>
        <w:rPr>
          <w:color w:val="333333"/>
        </w:rPr>
        <w:t>（三）危险货物作业场所的安全设施、应急设备的配备不能满足要求，或者不能正常运行、使用的；</w:t>
      </w:r>
    </w:p>
    <w:p>
      <w:pPr>
        <w:pStyle w:val="BodyText"/>
        <w:spacing w:line="407" w:lineRule="exact"/>
        <w:ind w:left="946"/>
      </w:pPr>
      <w:r>
        <w:rPr>
          <w:color w:val="333333"/>
        </w:rPr>
        <w:t>（四）危险货物作业场所或装卸储运设备设施的安全距离</w:t>
      </w:r>
    </w:p>
    <w:p>
      <w:pPr>
        <w:pStyle w:val="BodyText"/>
        <w:spacing w:before="149"/>
        <w:ind w:left="526"/>
      </w:pPr>
      <w:r>
        <w:rPr>
          <w:color w:val="333333"/>
        </w:rPr>
        <w:t>（间距）不符合规定的；</w:t>
      </w:r>
    </w:p>
    <w:p>
      <w:pPr>
        <w:pStyle w:val="BodyText"/>
        <w:spacing w:before="152"/>
        <w:ind w:left="946"/>
      </w:pPr>
      <w:r>
        <w:rPr>
          <w:color w:val="333333"/>
        </w:rPr>
        <w:t>（五）安全管理存在重大缺陷的。</w:t>
      </w:r>
    </w:p>
    <w:p>
      <w:pPr>
        <w:pStyle w:val="BodyText"/>
        <w:spacing w:line="328" w:lineRule="auto" w:before="149"/>
        <w:ind w:left="526" w:right="817" w:firstLine="420"/>
        <w:jc w:val="both"/>
      </w:pPr>
      <w:r>
        <w:rPr>
          <w:rFonts w:ascii="黑体" w:hAnsi="黑体" w:eastAsia="黑体" w:hint="eastAsia"/>
          <w:b/>
          <w:color w:val="333333"/>
        </w:rPr>
        <w:t>第四条 </w:t>
      </w:r>
      <w:r>
        <w:rPr>
          <w:color w:val="333333"/>
        </w:rPr>
        <w:t>“存在超范围、超能力、超期限作业情况，或者危险货物存放不符合安全要求的”重大事故隐患，是指有下列情形之一的：</w:t>
      </w:r>
    </w:p>
    <w:p>
      <w:pPr>
        <w:spacing w:after="0" w:line="328" w:lineRule="auto"/>
        <w:jc w:val="both"/>
        <w:sectPr>
          <w:pgSz w:w="11910" w:h="16840"/>
          <w:pgMar w:header="0" w:footer="985" w:top="1580" w:bottom="1180" w:left="1060" w:right="860"/>
        </w:sectPr>
      </w:pPr>
    </w:p>
    <w:p>
      <w:pPr>
        <w:pStyle w:val="BodyText"/>
        <w:spacing w:before="10"/>
        <w:ind w:left="0"/>
        <w:rPr>
          <w:sz w:val="13"/>
        </w:rPr>
      </w:pPr>
    </w:p>
    <w:p>
      <w:pPr>
        <w:pStyle w:val="BodyText"/>
        <w:spacing w:line="328" w:lineRule="auto" w:before="54"/>
        <w:ind w:left="526" w:right="718" w:firstLine="420"/>
      </w:pPr>
      <w:r>
        <w:rPr>
          <w:color w:val="333333"/>
        </w:rPr>
        <w:t>（一）超出《港口经营许可证》《港口危险货物作业附证》许可范围和有效期从事危险货物作业的；</w:t>
      </w:r>
    </w:p>
    <w:p>
      <w:pPr>
        <w:pStyle w:val="BodyText"/>
        <w:spacing w:line="326" w:lineRule="auto"/>
        <w:ind w:left="526" w:right="718" w:firstLine="420"/>
      </w:pPr>
      <w:r>
        <w:rPr>
          <w:color w:val="333333"/>
        </w:rPr>
        <w:t>（二）仓储设施（堆场、仓库、储罐，下同）超设计能力、超容量储存危险货物，或者储罐未按规定检验、检测评估的；</w:t>
      </w:r>
    </w:p>
    <w:p>
      <w:pPr>
        <w:pStyle w:val="BodyText"/>
        <w:spacing w:line="326" w:lineRule="auto" w:before="3"/>
        <w:ind w:left="526" w:right="726" w:firstLine="420"/>
      </w:pPr>
      <w:r>
        <w:rPr>
          <w:color w:val="333333"/>
          <w:w w:val="95"/>
        </w:rPr>
        <w:t>（三</w:t>
      </w:r>
      <w:r>
        <w:rPr>
          <w:color w:val="333333"/>
          <w:spacing w:val="-3"/>
          <w:w w:val="95"/>
        </w:rPr>
        <w:t>）</w:t>
      </w:r>
      <w:r>
        <w:rPr>
          <w:color w:val="333333"/>
          <w:spacing w:val="-1"/>
          <w:w w:val="95"/>
        </w:rPr>
        <w:t>储罐超温、超压、超液位储存，管道超温、超压、超 </w:t>
      </w:r>
      <w:r>
        <w:rPr>
          <w:color w:val="333333"/>
          <w:spacing w:val="-1"/>
        </w:rPr>
        <w:t>流速输送，危险货物港口作业重要设备设施超负荷运行的；</w:t>
      </w:r>
    </w:p>
    <w:p>
      <w:pPr>
        <w:pStyle w:val="BodyText"/>
        <w:spacing w:line="328" w:lineRule="auto" w:before="3"/>
        <w:ind w:left="526" w:right="685" w:firstLine="420"/>
      </w:pPr>
      <w:r>
        <w:rPr>
          <w:color w:val="333333"/>
        </w:rPr>
        <w:t>（四）危险货物港口作业相关设备设施超期限服役且无法出具检测或检验合格证明、无法满足安全生产要求的；</w:t>
      </w:r>
    </w:p>
    <w:p>
      <w:pPr>
        <w:pStyle w:val="BodyText"/>
        <w:spacing w:line="328" w:lineRule="auto"/>
        <w:ind w:left="526" w:right="724" w:firstLine="420"/>
      </w:pPr>
      <w:r>
        <w:rPr>
          <w:color w:val="333333"/>
        </w:rPr>
        <w:t>（五）装载《危险货物品名表》（GB12268）和《国际海运</w:t>
      </w:r>
      <w:r>
        <w:rPr>
          <w:color w:val="333333"/>
          <w:spacing w:val="-16"/>
        </w:rPr>
        <w:t>危险货物规则》规定的 </w:t>
      </w:r>
      <w:r>
        <w:rPr>
          <w:color w:val="333333"/>
        </w:rPr>
        <w:t>1.1</w:t>
      </w:r>
      <w:r>
        <w:rPr>
          <w:color w:val="333333"/>
          <w:spacing w:val="-53"/>
        </w:rPr>
        <w:t> 项、</w:t>
      </w:r>
      <w:r>
        <w:rPr>
          <w:color w:val="333333"/>
        </w:rPr>
        <w:t>1.2</w:t>
      </w:r>
      <w:r>
        <w:rPr>
          <w:color w:val="333333"/>
          <w:spacing w:val="-10"/>
        </w:rPr>
        <w:t> 项爆炸品和硝酸铵类物质的危险货物集装箱未按照规定实行直装直取作业的；</w:t>
      </w:r>
    </w:p>
    <w:p>
      <w:pPr>
        <w:pStyle w:val="BodyText"/>
        <w:spacing w:line="326" w:lineRule="auto"/>
        <w:ind w:left="526" w:right="577" w:firstLine="420"/>
      </w:pPr>
      <w:r>
        <w:rPr>
          <w:color w:val="333333"/>
        </w:rPr>
        <w:t>（六）装载《危险货物品名表》（GB12268）和《国际海运</w:t>
      </w:r>
      <w:r>
        <w:rPr>
          <w:color w:val="333333"/>
          <w:spacing w:val="-8"/>
        </w:rPr>
        <w:t>危险货物规则》规定的 </w:t>
      </w:r>
      <w:r>
        <w:rPr>
          <w:color w:val="333333"/>
        </w:rPr>
        <w:t>1</w:t>
      </w:r>
      <w:r>
        <w:rPr>
          <w:color w:val="333333"/>
          <w:spacing w:val="-17"/>
        </w:rPr>
        <w:t> 类爆炸品</w:t>
      </w:r>
      <w:r>
        <w:rPr>
          <w:color w:val="333333"/>
        </w:rPr>
        <w:t>（</w:t>
      </w:r>
      <w:r>
        <w:rPr>
          <w:color w:val="333333"/>
          <w:spacing w:val="-42"/>
        </w:rPr>
        <w:t>除 </w:t>
      </w:r>
      <w:r>
        <w:rPr>
          <w:color w:val="333333"/>
        </w:rPr>
        <w:t>1.1</w:t>
      </w:r>
      <w:r>
        <w:rPr>
          <w:color w:val="333333"/>
          <w:spacing w:val="-28"/>
        </w:rPr>
        <w:t> 项、</w:t>
      </w:r>
      <w:r>
        <w:rPr>
          <w:color w:val="333333"/>
        </w:rPr>
        <w:t>1.2</w:t>
      </w:r>
      <w:r>
        <w:rPr>
          <w:color w:val="333333"/>
          <w:spacing w:val="-21"/>
        </w:rPr>
        <w:t> 项以外</w:t>
      </w:r>
      <w:r>
        <w:rPr>
          <w:color w:val="333333"/>
        </w:rPr>
        <w:t>）、</w:t>
      </w:r>
    </w:p>
    <w:p>
      <w:pPr>
        <w:pStyle w:val="BodyText"/>
        <w:spacing w:line="326" w:lineRule="auto"/>
        <w:ind w:left="526" w:right="726"/>
      </w:pPr>
      <w:r>
        <w:rPr>
          <w:color w:val="333333"/>
        </w:rPr>
        <w:t>2</w:t>
      </w:r>
      <w:r>
        <w:rPr>
          <w:color w:val="333333"/>
          <w:spacing w:val="-29"/>
        </w:rPr>
        <w:t> 类气体和 </w:t>
      </w:r>
      <w:r>
        <w:rPr>
          <w:color w:val="333333"/>
        </w:rPr>
        <w:t>7</w:t>
      </w:r>
      <w:r>
        <w:rPr>
          <w:color w:val="333333"/>
          <w:spacing w:val="-18"/>
        </w:rPr>
        <w:t> 类放射性物质的危险货物集装箱超时、超量等违规存放的；</w:t>
      </w:r>
    </w:p>
    <w:p>
      <w:pPr>
        <w:pStyle w:val="BodyText"/>
        <w:spacing w:line="328" w:lineRule="auto" w:before="1"/>
        <w:ind w:left="526" w:right="726" w:firstLine="420"/>
        <w:jc w:val="both"/>
      </w:pPr>
      <w:r>
        <w:rPr>
          <w:color w:val="333333"/>
        </w:rPr>
        <w:t>（七</w:t>
      </w:r>
      <w:r>
        <w:rPr>
          <w:color w:val="333333"/>
          <w:spacing w:val="-3"/>
        </w:rPr>
        <w:t>）</w:t>
      </w:r>
      <w:r>
        <w:rPr>
          <w:color w:val="333333"/>
          <w:spacing w:val="-1"/>
        </w:rPr>
        <w:t>危险货物未根据理化特性和灭火方式分区、分类和分库储存隔离，或者储存隔离间距不符合规定，或者存在禁忌物违规混存情况的。</w:t>
      </w:r>
    </w:p>
    <w:p>
      <w:pPr>
        <w:pStyle w:val="BodyText"/>
        <w:spacing w:line="328" w:lineRule="auto"/>
        <w:ind w:left="526" w:right="817" w:firstLine="420"/>
        <w:jc w:val="both"/>
      </w:pPr>
      <w:r>
        <w:rPr>
          <w:rFonts w:ascii="黑体" w:hAnsi="黑体" w:eastAsia="黑体" w:hint="eastAsia"/>
          <w:b/>
          <w:color w:val="333333"/>
        </w:rPr>
        <w:t>第五条 </w:t>
      </w:r>
      <w:r>
        <w:rPr>
          <w:color w:val="333333"/>
        </w:rPr>
        <w:t>“危险货物作业工艺设备设施不满足危险货物的危险有害特性的安全防范要求，或者不能正常运行的”重大事故隐患，是指有下列情形之一的：</w:t>
      </w:r>
    </w:p>
    <w:p>
      <w:pPr>
        <w:pStyle w:val="BodyText"/>
        <w:spacing w:line="328" w:lineRule="auto"/>
        <w:ind w:left="526" w:right="724" w:firstLine="420"/>
      </w:pPr>
      <w:r>
        <w:rPr>
          <w:color w:val="333333"/>
        </w:rPr>
        <w:t>（一）装卸甲、乙类火灾危险性货物的码头，未按《海港总体设计规范》（JTS165）等规定设置快速脱缆钩、靠泊辅助系</w:t>
      </w:r>
    </w:p>
    <w:p>
      <w:pPr>
        <w:spacing w:after="0" w:line="328" w:lineRule="auto"/>
        <w:sectPr>
          <w:pgSz w:w="11910" w:h="16840"/>
          <w:pgMar w:header="0" w:footer="985" w:top="1580" w:bottom="1180" w:left="1060" w:right="860"/>
        </w:sectPr>
      </w:pPr>
    </w:p>
    <w:p>
      <w:pPr>
        <w:pStyle w:val="BodyText"/>
        <w:spacing w:before="10"/>
        <w:ind w:left="0"/>
        <w:rPr>
          <w:sz w:val="13"/>
        </w:rPr>
      </w:pPr>
    </w:p>
    <w:p>
      <w:pPr>
        <w:pStyle w:val="BodyText"/>
        <w:spacing w:line="328" w:lineRule="auto" w:before="54"/>
        <w:ind w:left="526" w:right="818"/>
      </w:pPr>
      <w:r>
        <w:rPr>
          <w:color w:val="333333"/>
        </w:rPr>
        <w:t>统、缆绳张力监测系统和作业环境监测系统，或者不能正常运行的；</w:t>
      </w:r>
    </w:p>
    <w:p>
      <w:pPr>
        <w:pStyle w:val="BodyText"/>
        <w:spacing w:line="328" w:lineRule="auto"/>
        <w:ind w:left="526" w:right="726" w:firstLine="420"/>
        <w:jc w:val="both"/>
      </w:pPr>
      <w:r>
        <w:rPr>
          <w:color w:val="333333"/>
        </w:rPr>
        <w:t>（二</w:t>
      </w:r>
      <w:r>
        <w:rPr>
          <w:color w:val="333333"/>
          <w:spacing w:val="-7"/>
        </w:rPr>
        <w:t>）</w:t>
      </w:r>
      <w:r>
        <w:rPr>
          <w:color w:val="333333"/>
        </w:rPr>
        <w:t>液体散货码头装卸设备与管道未按装卸及检修要求设置排空系统，或者不能正常运行的；吹扫介质的选用不满足安全要求的；</w:t>
      </w:r>
    </w:p>
    <w:p>
      <w:pPr>
        <w:pStyle w:val="BodyText"/>
        <w:spacing w:line="326" w:lineRule="auto"/>
        <w:ind w:left="526" w:right="685" w:firstLine="420"/>
      </w:pPr>
      <w:r>
        <w:rPr>
          <w:color w:val="333333"/>
        </w:rPr>
        <w:t>（三）对可能产生超压的工艺管道系统未按规定设置压力检测和安全泄放装置，或者不能正常运行的；</w:t>
      </w:r>
    </w:p>
    <w:p>
      <w:pPr>
        <w:pStyle w:val="BodyText"/>
        <w:spacing w:line="326" w:lineRule="auto"/>
        <w:ind w:left="526" w:right="726" w:firstLine="420"/>
        <w:jc w:val="both"/>
      </w:pPr>
      <w:r>
        <w:rPr>
          <w:color w:val="333333"/>
          <w:w w:val="95"/>
        </w:rPr>
        <w:t>（四</w:t>
      </w:r>
      <w:r>
        <w:rPr>
          <w:color w:val="333333"/>
          <w:spacing w:val="-3"/>
          <w:w w:val="95"/>
        </w:rPr>
        <w:t>）</w:t>
      </w:r>
      <w:r>
        <w:rPr>
          <w:color w:val="333333"/>
          <w:spacing w:val="-1"/>
          <w:w w:val="95"/>
        </w:rPr>
        <w:t>储罐未根据储存危险货物的危险有害特性要求，采取 </w:t>
      </w:r>
      <w:r>
        <w:rPr>
          <w:color w:val="333333"/>
          <w:spacing w:val="-1"/>
        </w:rPr>
        <w:t>氮气密封保护系统、添加抗氧化剂或阻聚剂、保温储存等特殊安全措施的；</w:t>
      </w:r>
    </w:p>
    <w:p>
      <w:pPr>
        <w:pStyle w:val="BodyText"/>
        <w:spacing w:line="326" w:lineRule="auto" w:before="5"/>
        <w:ind w:left="526" w:right="718" w:firstLine="420"/>
      </w:pPr>
      <w:r>
        <w:rPr>
          <w:color w:val="333333"/>
        </w:rPr>
        <w:t>（五）储罐（罐区）、管道的选型、布置及防火堤（隔堤） 的设置不符合规定的。</w:t>
      </w:r>
    </w:p>
    <w:p>
      <w:pPr>
        <w:pStyle w:val="BodyText"/>
        <w:spacing w:line="328" w:lineRule="auto" w:before="3"/>
        <w:ind w:left="526" w:right="817" w:firstLine="420"/>
        <w:jc w:val="both"/>
      </w:pPr>
      <w:r>
        <w:rPr>
          <w:rFonts w:ascii="黑体" w:hAnsi="黑体" w:eastAsia="黑体" w:hint="eastAsia"/>
          <w:b/>
          <w:color w:val="333333"/>
        </w:rPr>
        <w:t>第六条 </w:t>
      </w:r>
      <w:r>
        <w:rPr>
          <w:color w:val="333333"/>
        </w:rPr>
        <w:t>“危险货物作业场所的安全设施、应急设备的配备不能满足要求，或者不能正常运行、使用的”重大事故隐患， 是指有下列情形之一的：</w:t>
      </w:r>
    </w:p>
    <w:p>
      <w:pPr>
        <w:pStyle w:val="BodyText"/>
        <w:spacing w:line="328" w:lineRule="auto"/>
        <w:ind w:left="526" w:right="718" w:firstLine="420"/>
        <w:jc w:val="both"/>
      </w:pPr>
      <w:r>
        <w:rPr>
          <w:color w:val="333333"/>
        </w:rPr>
        <w:t>（一）危险货物作业场所未按规定设置相应的防火、防爆、防雷、防静电、防泄漏等安全设施、措施，或者不能正常运行的；</w:t>
      </w:r>
    </w:p>
    <w:p>
      <w:pPr>
        <w:pStyle w:val="BodyText"/>
        <w:spacing w:line="328" w:lineRule="auto"/>
        <w:ind w:left="526" w:right="685" w:firstLine="420"/>
      </w:pPr>
      <w:r>
        <w:rPr>
          <w:color w:val="333333"/>
        </w:rPr>
        <w:t>（二）危险货物作业大型机械未按规定设置防阵风和防台风装置，或者不能正常运行的；</w:t>
      </w:r>
    </w:p>
    <w:p>
      <w:pPr>
        <w:pStyle w:val="BodyText"/>
        <w:spacing w:line="326" w:lineRule="auto"/>
        <w:ind w:left="526" w:right="685" w:firstLine="420"/>
      </w:pPr>
      <w:r>
        <w:rPr>
          <w:color w:val="333333"/>
        </w:rPr>
        <w:t>（三）危险货物作业场所未按规定设置通信、报警装置，或者不能正常运行的；</w:t>
      </w:r>
    </w:p>
    <w:p>
      <w:pPr>
        <w:spacing w:after="0" w:line="326" w:lineRule="auto"/>
        <w:sectPr>
          <w:pgSz w:w="11910" w:h="16840"/>
          <w:pgMar w:header="0" w:footer="985" w:top="1580" w:bottom="1180" w:left="1060" w:right="860"/>
        </w:sectPr>
      </w:pPr>
    </w:p>
    <w:p>
      <w:pPr>
        <w:pStyle w:val="BodyText"/>
        <w:spacing w:before="10"/>
        <w:ind w:left="0"/>
        <w:rPr>
          <w:sz w:val="13"/>
        </w:rPr>
      </w:pPr>
    </w:p>
    <w:p>
      <w:pPr>
        <w:pStyle w:val="BodyText"/>
        <w:spacing w:line="328" w:lineRule="auto" w:before="54"/>
        <w:ind w:left="526" w:right="494" w:firstLine="420"/>
      </w:pPr>
      <w:r>
        <w:rPr>
          <w:color w:val="333333"/>
        </w:rPr>
        <w:t>（四）重大危险源未按规定配备温度、压力、液位、流量、组份等信息的不间断采集和监测系统的；储存剧毒物质的场所、设施，未按规定设置视频监控系统，或者不能正常运行的；</w:t>
      </w:r>
    </w:p>
    <w:p>
      <w:pPr>
        <w:pStyle w:val="BodyText"/>
        <w:spacing w:line="328" w:lineRule="auto"/>
        <w:ind w:left="526" w:right="565" w:firstLine="420"/>
      </w:pPr>
      <w:r>
        <w:rPr>
          <w:color w:val="333333"/>
        </w:rPr>
        <w:t>（五</w:t>
      </w:r>
      <w:r>
        <w:rPr>
          <w:color w:val="333333"/>
          <w:spacing w:val="-7"/>
        </w:rPr>
        <w:t>）</w:t>
      </w:r>
      <w:r>
        <w:rPr>
          <w:color w:val="333333"/>
        </w:rPr>
        <w:t>工艺设备及管道未根据输送物料的火灾危险性及作业</w:t>
      </w:r>
      <w:r>
        <w:rPr>
          <w:color w:val="333333"/>
          <w:spacing w:val="-9"/>
          <w:w w:val="95"/>
        </w:rPr>
        <w:t>条件，设置相应的仪表、自动联锁保护系统或者紧急切断措施， </w:t>
      </w:r>
      <w:r>
        <w:rPr>
          <w:color w:val="333333"/>
          <w:spacing w:val="-9"/>
        </w:rPr>
        <w:t>或者不能正常运行的；</w:t>
      </w:r>
    </w:p>
    <w:p>
      <w:pPr>
        <w:pStyle w:val="BodyText"/>
        <w:spacing w:line="328" w:lineRule="auto"/>
        <w:ind w:left="526" w:right="494" w:firstLine="420"/>
      </w:pPr>
      <w:r>
        <w:rPr>
          <w:color w:val="333333"/>
        </w:rPr>
        <w:t>（六）未按规定配备必要的应急救援器材、设备的；应急救援器材、设备不能满足可能发生的火灾、爆炸、泄漏、中毒事故的应急处置的类型、功能、数量要求，或者不能正常使用的。</w:t>
      </w:r>
    </w:p>
    <w:p>
      <w:pPr>
        <w:pStyle w:val="BodyText"/>
        <w:spacing w:line="328" w:lineRule="auto"/>
        <w:ind w:left="526" w:right="817" w:firstLine="420"/>
        <w:jc w:val="both"/>
      </w:pPr>
      <w:r>
        <w:rPr>
          <w:rFonts w:ascii="黑体" w:hAnsi="黑体" w:eastAsia="黑体" w:hint="eastAsia"/>
          <w:b/>
          <w:color w:val="333333"/>
        </w:rPr>
        <w:t>第七条 </w:t>
      </w:r>
      <w:r>
        <w:rPr>
          <w:color w:val="333333"/>
        </w:rPr>
        <w:t>“危险货物作业场所或装卸储运设备设施的安全距离（间距）不符合规定的”重大事故隐患，是指有下列情形之一的：</w:t>
      </w:r>
    </w:p>
    <w:p>
      <w:pPr>
        <w:pStyle w:val="BodyText"/>
        <w:spacing w:line="328" w:lineRule="auto"/>
        <w:ind w:left="526" w:right="718" w:firstLine="420"/>
        <w:jc w:val="both"/>
      </w:pPr>
      <w:r>
        <w:rPr>
          <w:color w:val="333333"/>
        </w:rPr>
        <w:t>（一）危险货物作业场所与其外部周边地区人员密集场所、重要公共设施、重要交通基础设施等的安全距离（间距）不符合规定的；</w:t>
      </w:r>
    </w:p>
    <w:p>
      <w:pPr>
        <w:pStyle w:val="BodyText"/>
        <w:spacing w:line="328" w:lineRule="auto"/>
        <w:ind w:left="526" w:right="685" w:firstLine="420"/>
      </w:pPr>
      <w:r>
        <w:rPr>
          <w:color w:val="333333"/>
        </w:rPr>
        <w:t>（二）危险货物港口经营人内部装卸储运设备设施以及建构筑物之间的安全距离（间距）不符合规定的。</w:t>
      </w:r>
    </w:p>
    <w:p>
      <w:pPr>
        <w:pStyle w:val="BodyText"/>
        <w:spacing w:line="326" w:lineRule="auto"/>
        <w:ind w:left="526" w:right="873" w:firstLine="420"/>
      </w:pPr>
      <w:r>
        <w:rPr>
          <w:rFonts w:ascii="黑体" w:hAnsi="黑体" w:eastAsia="黑体" w:hint="eastAsia"/>
          <w:b/>
          <w:color w:val="333333"/>
        </w:rPr>
        <w:t>第八条 </w:t>
      </w:r>
      <w:r>
        <w:rPr>
          <w:color w:val="333333"/>
        </w:rPr>
        <w:t>“安全管理存在重大缺陷的”重大事故隐患，是指有下列情形之一的：</w:t>
      </w:r>
    </w:p>
    <w:p>
      <w:pPr>
        <w:pStyle w:val="BodyText"/>
        <w:spacing w:line="326" w:lineRule="auto"/>
        <w:ind w:left="526" w:right="726" w:firstLine="420"/>
        <w:jc w:val="both"/>
      </w:pPr>
      <w:r>
        <w:rPr>
          <w:color w:val="333333"/>
          <w:w w:val="95"/>
        </w:rPr>
        <w:t>（一</w:t>
      </w:r>
      <w:r>
        <w:rPr>
          <w:color w:val="333333"/>
          <w:spacing w:val="-3"/>
          <w:w w:val="95"/>
        </w:rPr>
        <w:t>）</w:t>
      </w:r>
      <w:r>
        <w:rPr>
          <w:color w:val="333333"/>
          <w:spacing w:val="-1"/>
          <w:w w:val="95"/>
        </w:rPr>
        <w:t>未按规定设置安全生产管理机构、配备专职安全生产 </w:t>
      </w:r>
      <w:r>
        <w:rPr>
          <w:color w:val="333333"/>
          <w:spacing w:val="-1"/>
        </w:rPr>
        <w:t>管理人员的；未建立安全生产责任制、安全教育培训制度、安全操作规程、安全事故隐患排查治理、重大危险源管理、火灾</w:t>
      </w:r>
    </w:p>
    <w:p>
      <w:pPr>
        <w:pStyle w:val="BodyText"/>
        <w:spacing w:line="326" w:lineRule="auto"/>
        <w:ind w:left="526" w:right="818"/>
      </w:pPr>
      <w:r>
        <w:rPr>
          <w:color w:val="333333"/>
        </w:rPr>
        <w:t>（爆炸、泄漏、中毒）等重大事故应急预案等安全管理制度， 或者落实不到位且情节严重的；</w:t>
      </w:r>
    </w:p>
    <w:p>
      <w:pPr>
        <w:spacing w:after="0" w:line="326" w:lineRule="auto"/>
        <w:sectPr>
          <w:pgSz w:w="11910" w:h="16840"/>
          <w:pgMar w:header="0" w:footer="985" w:top="1580" w:bottom="1180" w:left="1060" w:right="860"/>
        </w:sectPr>
      </w:pPr>
    </w:p>
    <w:p>
      <w:pPr>
        <w:pStyle w:val="BodyText"/>
        <w:spacing w:before="10"/>
        <w:ind w:left="0"/>
        <w:rPr>
          <w:sz w:val="13"/>
        </w:rPr>
      </w:pPr>
    </w:p>
    <w:p>
      <w:pPr>
        <w:pStyle w:val="BodyText"/>
        <w:spacing w:before="54"/>
        <w:ind w:left="946"/>
      </w:pPr>
      <w:r>
        <w:rPr>
          <w:color w:val="333333"/>
        </w:rPr>
        <w:t>（二）未按规定对安全生产条件定期进行安全评价的；</w:t>
      </w:r>
    </w:p>
    <w:p>
      <w:pPr>
        <w:pStyle w:val="BodyText"/>
        <w:spacing w:line="326" w:lineRule="auto" w:before="152"/>
        <w:ind w:left="526" w:right="685" w:firstLine="420"/>
      </w:pPr>
      <w:r>
        <w:rPr>
          <w:color w:val="333333"/>
        </w:rPr>
        <w:t>（三）从业人员未按规定取得相关从业资格证书并持证上岗的；</w:t>
      </w:r>
    </w:p>
    <w:p>
      <w:pPr>
        <w:pStyle w:val="BodyText"/>
        <w:spacing w:line="328" w:lineRule="auto" w:before="3"/>
        <w:ind w:left="526" w:right="726" w:firstLine="420"/>
        <w:jc w:val="both"/>
      </w:pPr>
      <w:r>
        <w:rPr>
          <w:color w:val="333333"/>
          <w:w w:val="95"/>
        </w:rPr>
        <w:t>（四</w:t>
      </w:r>
      <w:r>
        <w:rPr>
          <w:color w:val="333333"/>
          <w:spacing w:val="-3"/>
          <w:w w:val="95"/>
        </w:rPr>
        <w:t>）</w:t>
      </w:r>
      <w:r>
        <w:rPr>
          <w:color w:val="333333"/>
          <w:spacing w:val="-1"/>
          <w:w w:val="95"/>
        </w:rPr>
        <w:t>违反安全规范或操作规程在作业区域进行动火、受限 </w:t>
      </w:r>
      <w:r>
        <w:rPr>
          <w:color w:val="333333"/>
          <w:spacing w:val="-1"/>
        </w:rPr>
        <w:t>空间作业、盲板抽堵、高处作业、吊装、临时用电、动土、断路作业等危险作业的。</w:t>
      </w:r>
    </w:p>
    <w:p>
      <w:pPr>
        <w:pStyle w:val="BodyText"/>
        <w:spacing w:line="328" w:lineRule="auto"/>
        <w:ind w:left="526" w:right="725" w:firstLine="420"/>
      </w:pPr>
      <w:r>
        <w:rPr>
          <w:rFonts w:ascii="黑体" w:eastAsia="黑体" w:hint="eastAsia"/>
          <w:b/>
          <w:color w:val="333333"/>
          <w:spacing w:val="-1"/>
        </w:rPr>
        <w:t>第九条 </w:t>
      </w:r>
      <w:r>
        <w:rPr>
          <w:color w:val="333333"/>
        </w:rPr>
        <w:t>除以上列明的情形外，各地可结合本地实际，对发</w:t>
      </w:r>
      <w:r>
        <w:rPr>
          <w:color w:val="333333"/>
          <w:spacing w:val="-11"/>
        </w:rPr>
        <w:t>现的风险较大且难以直接判断为重大事故隐患的，组织 </w:t>
      </w:r>
      <w:r>
        <w:rPr>
          <w:color w:val="333333"/>
        </w:rPr>
        <w:t>5</w:t>
      </w:r>
      <w:r>
        <w:rPr>
          <w:color w:val="333333"/>
          <w:spacing w:val="-42"/>
        </w:rPr>
        <w:t> 名或 </w:t>
      </w:r>
      <w:r>
        <w:rPr>
          <w:color w:val="333333"/>
        </w:rPr>
        <w:t>7 名危险货物港口作业领域专家，依据安全生产法律法规、国家标准和行业标准，结合同类型重特大事故案例，针对事故发生的概率和可能造成的后果、整改难易程度，采用风险矩阵、专家分析等方法，进行论证分析、综合判定。</w:t>
      </w:r>
    </w:p>
    <w:p>
      <w:pPr>
        <w:pStyle w:val="BodyText"/>
        <w:spacing w:line="328" w:lineRule="auto"/>
        <w:ind w:left="526" w:right="726" w:firstLine="420"/>
        <w:jc w:val="both"/>
      </w:pPr>
      <w:r>
        <w:rPr>
          <w:rFonts w:ascii="黑体" w:eastAsia="黑体" w:hint="eastAsia"/>
          <w:b/>
          <w:color w:val="333333"/>
          <w:spacing w:val="-2"/>
        </w:rPr>
        <w:t>第十条 </w:t>
      </w:r>
      <w:r>
        <w:rPr>
          <w:color w:val="333333"/>
        </w:rPr>
        <w:t>关于危险货物港口作业特种设备相关重大事故隐患判定依照国家相关法律法规、标准规范执行，消防相关重大事</w:t>
      </w:r>
      <w:r>
        <w:rPr>
          <w:color w:val="333333"/>
          <w:spacing w:val="-5"/>
        </w:rPr>
        <w:t>故隐患判定依照《重大火灾隐患判定方法》</w:t>
      </w:r>
      <w:r>
        <w:rPr>
          <w:color w:val="333333"/>
          <w:spacing w:val="-3"/>
        </w:rPr>
        <w:t>（GA653）</w:t>
      </w:r>
      <w:r>
        <w:rPr>
          <w:color w:val="333333"/>
        </w:rPr>
        <w:t>等标准规范执行。</w:t>
      </w:r>
    </w:p>
    <w:p>
      <w:pPr>
        <w:pStyle w:val="BodyText"/>
        <w:spacing w:line="326" w:lineRule="auto"/>
        <w:ind w:left="526" w:right="873" w:firstLine="420"/>
        <w:jc w:val="both"/>
      </w:pPr>
      <w:r>
        <w:rPr>
          <w:rFonts w:ascii="黑体" w:eastAsia="黑体" w:hint="eastAsia"/>
          <w:b/>
          <w:color w:val="333333"/>
        </w:rPr>
        <w:t>第十一条 </w:t>
      </w:r>
      <w:r>
        <w:rPr>
          <w:color w:val="333333"/>
        </w:rPr>
        <w:t>依照本指南判定为重大事故隐患的，应依法依规采取相应处置措施。</w:t>
      </w:r>
    </w:p>
    <w:p>
      <w:pPr>
        <w:spacing w:before="0"/>
        <w:ind w:left="946" w:right="0" w:firstLine="0"/>
        <w:jc w:val="both"/>
        <w:rPr>
          <w:sz w:val="32"/>
        </w:rPr>
      </w:pPr>
      <w:r>
        <w:rPr>
          <w:rFonts w:ascii="黑体" w:eastAsia="黑体" w:hint="eastAsia"/>
          <w:b/>
          <w:color w:val="333333"/>
          <w:sz w:val="32"/>
        </w:rPr>
        <w:t>第十二条 </w:t>
      </w:r>
      <w:r>
        <w:rPr>
          <w:color w:val="333333"/>
          <w:sz w:val="32"/>
        </w:rPr>
        <w:t>本指南下列用语的含义：</w:t>
      </w:r>
    </w:p>
    <w:p>
      <w:pPr>
        <w:pStyle w:val="BodyText"/>
        <w:spacing w:line="328" w:lineRule="auto" w:before="134"/>
        <w:ind w:left="526" w:right="724" w:firstLine="420"/>
        <w:jc w:val="both"/>
      </w:pPr>
      <w:r>
        <w:rPr>
          <w:color w:val="333333"/>
        </w:rPr>
        <w:t>（一</w:t>
      </w:r>
      <w:r>
        <w:rPr>
          <w:color w:val="333333"/>
          <w:spacing w:val="-3"/>
        </w:rPr>
        <w:t>）</w:t>
      </w:r>
      <w:r>
        <w:rPr>
          <w:color w:val="333333"/>
          <w:spacing w:val="-2"/>
        </w:rPr>
        <w:t>港口危险货物重大危险源，是指依照《危险化学品重</w:t>
      </w:r>
      <w:r>
        <w:rPr>
          <w:color w:val="333333"/>
          <w:spacing w:val="-6"/>
          <w:w w:val="95"/>
        </w:rPr>
        <w:t>大危险源辨识》</w:t>
      </w:r>
      <w:r>
        <w:rPr>
          <w:color w:val="333333"/>
          <w:w w:val="95"/>
        </w:rPr>
        <w:t>（GB18218）</w:t>
      </w:r>
      <w:r>
        <w:rPr>
          <w:color w:val="333333"/>
          <w:spacing w:val="-6"/>
          <w:w w:val="95"/>
        </w:rPr>
        <w:t>、《港口危险货物重大危险源监督 </w:t>
      </w:r>
      <w:r>
        <w:rPr>
          <w:color w:val="333333"/>
          <w:spacing w:val="-6"/>
        </w:rPr>
        <w:t>管理办法（试行）》辨识确定，港口区域内储存危险货物的数量等于或者超过临界量的单元（包括场所和设施）；</w:t>
      </w:r>
    </w:p>
    <w:p>
      <w:pPr>
        <w:spacing w:after="0" w:line="328" w:lineRule="auto"/>
        <w:jc w:val="both"/>
        <w:sectPr>
          <w:pgSz w:w="11910" w:h="16840"/>
          <w:pgMar w:header="0" w:footer="985" w:top="1580" w:bottom="1180" w:left="1060" w:right="860"/>
        </w:sectPr>
      </w:pPr>
    </w:p>
    <w:p>
      <w:pPr>
        <w:pStyle w:val="BodyText"/>
        <w:spacing w:before="10"/>
        <w:ind w:left="0"/>
        <w:rPr>
          <w:sz w:val="13"/>
        </w:rPr>
      </w:pPr>
    </w:p>
    <w:p>
      <w:pPr>
        <w:pStyle w:val="BodyText"/>
        <w:spacing w:line="328" w:lineRule="auto" w:before="54"/>
        <w:ind w:left="526" w:right="726" w:firstLine="420"/>
      </w:pPr>
      <w:r>
        <w:rPr>
          <w:color w:val="333333"/>
          <w:w w:val="95"/>
        </w:rPr>
        <w:t>（二</w:t>
      </w:r>
      <w:r>
        <w:rPr>
          <w:color w:val="333333"/>
          <w:spacing w:val="-3"/>
          <w:w w:val="95"/>
        </w:rPr>
        <w:t>）</w:t>
      </w:r>
      <w:r>
        <w:rPr>
          <w:color w:val="333333"/>
          <w:spacing w:val="-1"/>
          <w:w w:val="95"/>
        </w:rPr>
        <w:t>液体散货码头，是指原油、成品油、液体化工品和液 </w:t>
      </w:r>
      <w:r>
        <w:rPr>
          <w:color w:val="333333"/>
          <w:spacing w:val="-1"/>
        </w:rPr>
        <w:t>化石油气、液化天然气等散装液体货物的装卸码头；</w:t>
      </w:r>
    </w:p>
    <w:p>
      <w:pPr>
        <w:pStyle w:val="BodyText"/>
        <w:spacing w:line="328" w:lineRule="auto"/>
        <w:ind w:left="526" w:right="724" w:firstLine="420"/>
        <w:jc w:val="both"/>
      </w:pPr>
      <w:r>
        <w:rPr>
          <w:color w:val="333333"/>
        </w:rPr>
        <w:t>（三</w:t>
      </w:r>
      <w:r>
        <w:rPr>
          <w:color w:val="333333"/>
          <w:spacing w:val="-3"/>
        </w:rPr>
        <w:t>）</w:t>
      </w:r>
      <w:r>
        <w:rPr>
          <w:color w:val="333333"/>
          <w:spacing w:val="-1"/>
        </w:rPr>
        <w:t>事故隐患，是指危险货物港口经营人违反安全生产法律、法规、规章、标准、规程和安全生产管理制度的规定，或者因其他因素在生产经营活动中存在可能导致事故发生的人的不安全行为、物的危险状态、场所的不安全因素和管理上的缺陷。</w:t>
      </w:r>
    </w:p>
    <w:p>
      <w:pPr>
        <w:pStyle w:val="BodyText"/>
        <w:spacing w:line="328" w:lineRule="auto"/>
        <w:ind w:left="526" w:right="726" w:firstLine="420"/>
        <w:jc w:val="both"/>
      </w:pPr>
      <w:r>
        <w:rPr>
          <w:color w:val="333333"/>
          <w:spacing w:val="-2"/>
        </w:rPr>
        <w:t>重大事故隐患，是指危害和整改难度较大，需要局部或者全部停产停业，并经过一定时间整改治理方能消除的事故隐患， 或者因外部因素影响致使生产经营单位自身难以消除的事故隐患。</w:t>
      </w:r>
    </w:p>
    <w:p>
      <w:pPr>
        <w:spacing w:after="0" w:line="328" w:lineRule="auto"/>
        <w:jc w:val="both"/>
        <w:sectPr>
          <w:pgSz w:w="11910" w:h="16840"/>
          <w:pgMar w:header="0" w:footer="985" w:top="1580" w:bottom="1180" w:left="1060" w:right="860"/>
        </w:sectPr>
      </w:pPr>
    </w:p>
    <w:p>
      <w:pPr>
        <w:pStyle w:val="BodyText"/>
        <w:ind w:left="0"/>
        <w:rPr>
          <w:sz w:val="20"/>
        </w:rPr>
      </w:pPr>
    </w:p>
    <w:p>
      <w:pPr>
        <w:pStyle w:val="BodyText"/>
        <w:spacing w:before="1"/>
        <w:ind w:left="0"/>
        <w:rPr>
          <w:sz w:val="29"/>
        </w:rPr>
      </w:pPr>
    </w:p>
    <w:p>
      <w:pPr>
        <w:pStyle w:val="Heading2"/>
        <w:ind w:left="505" w:right="705"/>
      </w:pPr>
      <w:bookmarkStart w:name="水利工程生产安全重大事故隐患清单指南" w:id="31"/>
      <w:bookmarkEnd w:id="31"/>
      <w:r>
        <w:rPr/>
      </w:r>
      <w:r>
        <w:rPr/>
        <w:t>水利工程生产安全重大事故隐患清单指南</w:t>
      </w:r>
    </w:p>
    <w:p>
      <w:pPr>
        <w:pStyle w:val="BodyText"/>
        <w:spacing w:before="118"/>
        <w:ind w:left="508" w:right="705"/>
        <w:jc w:val="center"/>
        <w:rPr>
          <w:rFonts w:ascii="黑体" w:eastAsia="黑体" w:hint="eastAsia"/>
        </w:rPr>
      </w:pPr>
      <w:r>
        <w:rPr>
          <w:rFonts w:ascii="黑体" w:eastAsia="黑体" w:hint="eastAsia"/>
        </w:rPr>
        <w:t>（</w:t>
      </w:r>
      <w:r>
        <w:rPr/>
        <w:t>2021</w:t>
      </w:r>
      <w:r>
        <w:rPr>
          <w:spacing w:val="-81"/>
        </w:rPr>
        <w:t> </w:t>
      </w:r>
      <w:r>
        <w:rPr>
          <w:rFonts w:ascii="黑体" w:eastAsia="黑体" w:hint="eastAsia"/>
        </w:rPr>
        <w:t>年版）</w:t>
      </w:r>
    </w:p>
    <w:p>
      <w:pPr>
        <w:pStyle w:val="BodyText"/>
        <w:ind w:left="0"/>
        <w:rPr>
          <w:rFonts w:ascii="黑体"/>
          <w:sz w:val="36"/>
        </w:rPr>
      </w:pPr>
    </w:p>
    <w:p>
      <w:pPr>
        <w:pStyle w:val="BodyText"/>
        <w:spacing w:line="328" w:lineRule="auto"/>
        <w:ind w:left="526" w:right="726" w:firstLine="741"/>
        <w:jc w:val="both"/>
      </w:pPr>
      <w:r>
        <w:rPr>
          <w:color w:val="333333"/>
          <w:spacing w:val="-3"/>
          <w:w w:val="95"/>
        </w:rPr>
        <w:t>根据《中华人民共和国安全生产法》《水库大坝安全管理 </w:t>
      </w:r>
      <w:r>
        <w:rPr>
          <w:color w:val="333333"/>
          <w:spacing w:val="-3"/>
        </w:rPr>
        <w:t>条例》和《水利工程建设安全生产管理规定》等法律法规和部门规章，为进一步完善水利安全生产双重预防机制建设，准确判定、及时整改水利工程生产安全重大事故隐患，防范生产安</w:t>
      </w:r>
      <w:r>
        <w:rPr>
          <w:color w:val="333333"/>
          <w:spacing w:val="-13"/>
        </w:rPr>
        <w:t>全事故发生，结合水利行业实际，水利部监督司组织对 </w:t>
      </w:r>
      <w:r>
        <w:rPr>
          <w:color w:val="333333"/>
        </w:rPr>
        <w:t>2017</w:t>
      </w:r>
      <w:r>
        <w:rPr>
          <w:color w:val="333333"/>
          <w:spacing w:val="-43"/>
        </w:rPr>
        <w:t> 年印发的水利工程生产安全重大事故隐患判定清单（指南）进行修订。现将水利工程生产安全重大事故隐患清单指南（2021</w:t>
      </w:r>
      <w:r>
        <w:rPr>
          <w:color w:val="333333"/>
          <w:spacing w:val="-45"/>
        </w:rPr>
        <w:t> 年版）（以下简称清单）印发给你单位，并就贯彻执行工作提出以下要求。</w:t>
      </w:r>
    </w:p>
    <w:p>
      <w:pPr>
        <w:spacing w:line="454" w:lineRule="exact" w:before="0"/>
        <w:ind w:left="0" w:right="726" w:firstLine="0"/>
        <w:jc w:val="right"/>
        <w:rPr>
          <w:rFonts w:ascii="Microsoft JhengHei" w:eastAsia="Microsoft JhengHei" w:hint="eastAsia"/>
          <w:b/>
          <w:sz w:val="32"/>
        </w:rPr>
      </w:pPr>
      <w:r>
        <w:rPr>
          <w:rFonts w:ascii="Microsoft JhengHei" w:eastAsia="Microsoft JhengHei" w:hint="eastAsia"/>
          <w:b/>
          <w:color w:val="333333"/>
          <w:sz w:val="32"/>
        </w:rPr>
        <w:t>一、事故隐患排查治理是水利安全生产工作的重点，科学</w:t>
      </w:r>
    </w:p>
    <w:p>
      <w:pPr>
        <w:spacing w:line="575" w:lineRule="exact" w:before="0"/>
        <w:ind w:left="0" w:right="791" w:firstLine="0"/>
        <w:jc w:val="right"/>
        <w:rPr>
          <w:sz w:val="32"/>
        </w:rPr>
      </w:pPr>
      <w:r>
        <w:rPr>
          <w:rFonts w:ascii="Microsoft JhengHei" w:eastAsia="Microsoft JhengHei" w:hint="eastAsia"/>
          <w:b/>
          <w:color w:val="333333"/>
          <w:sz w:val="32"/>
        </w:rPr>
        <w:t>判定重大事故隐患并有效治理是防范风险的关键。</w:t>
      </w:r>
      <w:r>
        <w:rPr>
          <w:color w:val="333333"/>
          <w:sz w:val="32"/>
        </w:rPr>
        <w:t>各级水行政</w:t>
      </w:r>
    </w:p>
    <w:p>
      <w:pPr>
        <w:pStyle w:val="BodyText"/>
        <w:spacing w:line="328" w:lineRule="auto" w:before="76"/>
        <w:ind w:left="526" w:right="494"/>
      </w:pPr>
      <w:r>
        <w:rPr>
          <w:color w:val="333333"/>
        </w:rPr>
        <w:t>主管部门要进一步提高认识，认真组织做好隐患排查治理工作， 强化对本辖区（单位）内有关单位相关工作的指导和监督，督促水利生产经营单位及时发现和消除事故隐患。</w:t>
      </w:r>
    </w:p>
    <w:p>
      <w:pPr>
        <w:spacing w:line="463" w:lineRule="exact" w:before="0"/>
        <w:ind w:left="0" w:right="726" w:firstLine="0"/>
        <w:jc w:val="right"/>
        <w:rPr>
          <w:rFonts w:ascii="Microsoft JhengHei" w:eastAsia="Microsoft JhengHei" w:hint="eastAsia"/>
          <w:b/>
          <w:sz w:val="32"/>
        </w:rPr>
      </w:pPr>
      <w:r>
        <w:rPr>
          <w:rFonts w:ascii="Microsoft JhengHei" w:eastAsia="Microsoft JhengHei" w:hint="eastAsia"/>
          <w:b/>
          <w:color w:val="333333"/>
          <w:sz w:val="32"/>
        </w:rPr>
        <w:t>二、水利工程建设各参建单位和运行管理单位是事故隐患</w:t>
      </w:r>
    </w:p>
    <w:p>
      <w:pPr>
        <w:spacing w:line="574" w:lineRule="exact" w:before="0"/>
        <w:ind w:left="526" w:right="0" w:firstLine="0"/>
        <w:jc w:val="left"/>
        <w:rPr>
          <w:sz w:val="32"/>
        </w:rPr>
      </w:pPr>
      <w:r>
        <w:rPr>
          <w:rFonts w:ascii="Microsoft JhengHei" w:eastAsia="Microsoft JhengHei" w:hint="eastAsia"/>
          <w:b/>
          <w:color w:val="333333"/>
          <w:w w:val="95"/>
          <w:sz w:val="32"/>
        </w:rPr>
        <w:t>判定工作的主体。</w:t>
      </w:r>
      <w:r>
        <w:rPr>
          <w:color w:val="333333"/>
          <w:w w:val="95"/>
          <w:sz w:val="32"/>
        </w:rPr>
        <w:t>清单中列出了重大事故隐患内容，各单位可</w:t>
      </w:r>
    </w:p>
    <w:p>
      <w:pPr>
        <w:pStyle w:val="BodyText"/>
        <w:spacing w:line="326" w:lineRule="auto" w:before="79"/>
        <w:ind w:left="526" w:right="817"/>
        <w:jc w:val="both"/>
      </w:pPr>
      <w:r>
        <w:rPr>
          <w:color w:val="333333"/>
        </w:rPr>
        <w:t>按照清单直接判定隐患等级。对于排查出的事故隐患，有关责任单位要立即组织整改，不能立即整改的，要做到整改责任、</w:t>
      </w:r>
      <w:r>
        <w:rPr>
          <w:color w:val="333333"/>
          <w:w w:val="95"/>
        </w:rPr>
        <w:t>资金、措施、时限和应急预案“五落实”。重大事故隐患及其</w:t>
      </w:r>
    </w:p>
    <w:p>
      <w:pPr>
        <w:spacing w:after="0" w:line="326" w:lineRule="auto"/>
        <w:jc w:val="both"/>
        <w:sectPr>
          <w:pgSz w:w="11910" w:h="16840"/>
          <w:pgMar w:header="0" w:footer="985" w:top="1580" w:bottom="1180" w:left="1060" w:right="860"/>
        </w:sectPr>
      </w:pPr>
    </w:p>
    <w:p>
      <w:pPr>
        <w:pStyle w:val="BodyText"/>
        <w:spacing w:before="10"/>
        <w:ind w:left="0"/>
        <w:rPr>
          <w:sz w:val="13"/>
        </w:rPr>
      </w:pPr>
    </w:p>
    <w:p>
      <w:pPr>
        <w:pStyle w:val="BodyText"/>
        <w:spacing w:line="328" w:lineRule="auto" w:before="54"/>
        <w:ind w:left="526" w:right="818"/>
      </w:pPr>
      <w:r>
        <w:rPr>
          <w:color w:val="333333"/>
        </w:rPr>
        <w:t>整改进展情况需经本单位负责人同意后报有管辖权的水行政主管部门，同时，在水利安全生产信息系统中逐级上报。</w:t>
      </w:r>
    </w:p>
    <w:p>
      <w:pPr>
        <w:spacing w:line="466" w:lineRule="exact" w:before="0"/>
        <w:ind w:left="722" w:right="183" w:firstLine="0"/>
        <w:jc w:val="center"/>
        <w:rPr>
          <w:rFonts w:ascii="Microsoft JhengHei" w:eastAsia="Microsoft JhengHei" w:hint="eastAsia"/>
          <w:b/>
          <w:sz w:val="32"/>
        </w:rPr>
      </w:pPr>
      <w:r>
        <w:rPr>
          <w:rFonts w:ascii="Microsoft JhengHei" w:eastAsia="Microsoft JhengHei" w:hint="eastAsia"/>
          <w:b/>
          <w:color w:val="333333"/>
          <w:sz w:val="32"/>
        </w:rPr>
        <w:t>三、地方各级水行政主管部门要建立健全并落实重大事故</w:t>
      </w:r>
    </w:p>
    <w:p>
      <w:pPr>
        <w:spacing w:line="574" w:lineRule="exact" w:before="0"/>
        <w:ind w:left="526" w:right="0" w:firstLine="0"/>
        <w:jc w:val="left"/>
        <w:rPr>
          <w:rFonts w:ascii="Microsoft JhengHei" w:eastAsia="Microsoft JhengHei" w:hint="eastAsia"/>
          <w:b/>
          <w:sz w:val="32"/>
        </w:rPr>
      </w:pPr>
      <w:r>
        <w:rPr>
          <w:rFonts w:ascii="Microsoft JhengHei" w:eastAsia="Microsoft JhengHei" w:hint="eastAsia"/>
          <w:b/>
          <w:color w:val="333333"/>
          <w:sz w:val="32"/>
        </w:rPr>
        <w:t>隐患治理督办制度，督促水利生产经营单位消除重大事故隐患。</w:t>
      </w:r>
    </w:p>
    <w:p>
      <w:pPr>
        <w:pStyle w:val="BodyText"/>
        <w:spacing w:line="326" w:lineRule="auto" w:before="79"/>
        <w:ind w:left="526" w:right="818"/>
      </w:pPr>
      <w:r>
        <w:rPr>
          <w:color w:val="333333"/>
        </w:rPr>
        <w:t>对重大事故隐患整改不力的要实行约谈告诫、公开曝光，情节严重的依法依规严肃问责。</w:t>
      </w:r>
    </w:p>
    <w:p>
      <w:pPr>
        <w:spacing w:after="0" w:line="326" w:lineRule="auto"/>
        <w:sectPr>
          <w:pgSz w:w="11910" w:h="16840"/>
          <w:pgMar w:header="0" w:footer="985" w:top="1580" w:bottom="1180" w:left="1060" w:right="860"/>
        </w:sectPr>
      </w:pPr>
    </w:p>
    <w:p>
      <w:pPr>
        <w:pStyle w:val="BodyText"/>
        <w:spacing w:before="10"/>
        <w:ind w:left="0"/>
        <w:rPr>
          <w:sz w:val="13"/>
        </w:rPr>
      </w:pPr>
    </w:p>
    <w:p>
      <w:pPr>
        <w:pStyle w:val="BodyText"/>
        <w:spacing w:before="54"/>
        <w:ind w:left="526"/>
      </w:pPr>
      <w:r>
        <w:rPr>
          <w:rFonts w:ascii="黑体" w:eastAsia="黑体" w:hint="eastAsia"/>
        </w:rPr>
        <w:t>附件 </w:t>
      </w:r>
      <w:r>
        <w:rPr/>
        <w:t>1</w:t>
      </w:r>
    </w:p>
    <w:p>
      <w:pPr>
        <w:pStyle w:val="BodyText"/>
        <w:spacing w:before="11"/>
        <w:ind w:left="0"/>
        <w:rPr>
          <w:sz w:val="43"/>
        </w:rPr>
      </w:pPr>
    </w:p>
    <w:p>
      <w:pPr>
        <w:pStyle w:val="BodyText"/>
        <w:ind w:left="848"/>
        <w:rPr>
          <w:rFonts w:ascii="黑体" w:eastAsia="黑体" w:hint="eastAsia"/>
        </w:rPr>
      </w:pPr>
      <w:r>
        <w:rPr>
          <w:rFonts w:ascii="黑体" w:eastAsia="黑体" w:hint="eastAsia"/>
        </w:rPr>
        <w:t>水利工程建设项目生产安全重大事故隐患判定清单（指南）</w:t>
      </w:r>
    </w:p>
    <w:p>
      <w:pPr>
        <w:pStyle w:val="BodyText"/>
        <w:ind w:left="0"/>
        <w:rPr>
          <w:rFonts w:ascii="黑体"/>
          <w:sz w:val="20"/>
        </w:rPr>
      </w:pPr>
    </w:p>
    <w:p>
      <w:pPr>
        <w:pStyle w:val="BodyText"/>
        <w:spacing w:before="8"/>
        <w:ind w:left="0"/>
        <w:rPr>
          <w:rFonts w:ascii="黑体"/>
          <w:sz w:val="12"/>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88"/>
        <w:gridCol w:w="975"/>
        <w:gridCol w:w="1386"/>
        <w:gridCol w:w="1087"/>
        <w:gridCol w:w="5299"/>
      </w:tblGrid>
      <w:tr>
        <w:trPr>
          <w:trHeight w:val="719" w:hRule="atLeast"/>
        </w:trPr>
        <w:tc>
          <w:tcPr>
            <w:tcW w:w="788" w:type="dxa"/>
          </w:tcPr>
          <w:p>
            <w:pPr>
              <w:pStyle w:val="TableParagraph"/>
              <w:spacing w:before="204"/>
              <w:ind w:left="134" w:right="124"/>
              <w:jc w:val="center"/>
              <w:rPr>
                <w:rFonts w:ascii="黑体" w:eastAsia="黑体" w:hint="eastAsia"/>
                <w:sz w:val="24"/>
              </w:rPr>
            </w:pPr>
            <w:r>
              <w:rPr>
                <w:rFonts w:ascii="黑体" w:eastAsia="黑体" w:hint="eastAsia"/>
                <w:sz w:val="24"/>
              </w:rPr>
              <w:t>序号</w:t>
            </w:r>
          </w:p>
        </w:tc>
        <w:tc>
          <w:tcPr>
            <w:tcW w:w="975" w:type="dxa"/>
          </w:tcPr>
          <w:p>
            <w:pPr>
              <w:pStyle w:val="TableParagraph"/>
              <w:spacing w:before="204"/>
              <w:ind w:left="247"/>
              <w:rPr>
                <w:rFonts w:ascii="黑体" w:eastAsia="黑体" w:hint="eastAsia"/>
                <w:sz w:val="24"/>
              </w:rPr>
            </w:pPr>
            <w:r>
              <w:rPr>
                <w:rFonts w:ascii="黑体" w:eastAsia="黑体" w:hint="eastAsia"/>
                <w:sz w:val="24"/>
              </w:rPr>
              <w:t>类别</w:t>
            </w:r>
          </w:p>
        </w:tc>
        <w:tc>
          <w:tcPr>
            <w:tcW w:w="1386" w:type="dxa"/>
          </w:tcPr>
          <w:p>
            <w:pPr>
              <w:pStyle w:val="TableParagraph"/>
              <w:spacing w:before="204"/>
              <w:ind w:left="72" w:right="63"/>
              <w:jc w:val="center"/>
              <w:rPr>
                <w:rFonts w:ascii="黑体" w:eastAsia="黑体" w:hint="eastAsia"/>
                <w:sz w:val="24"/>
              </w:rPr>
            </w:pPr>
            <w:r>
              <w:rPr>
                <w:rFonts w:ascii="黑体" w:eastAsia="黑体" w:hint="eastAsia"/>
                <w:sz w:val="24"/>
              </w:rPr>
              <w:t>管理环节</w:t>
            </w:r>
          </w:p>
        </w:tc>
        <w:tc>
          <w:tcPr>
            <w:tcW w:w="1087" w:type="dxa"/>
          </w:tcPr>
          <w:p>
            <w:pPr>
              <w:pStyle w:val="TableParagraph"/>
              <w:spacing w:line="242" w:lineRule="auto" w:before="51"/>
              <w:ind w:left="302" w:right="292"/>
              <w:rPr>
                <w:rFonts w:ascii="黑体" w:eastAsia="黑体" w:hint="eastAsia"/>
                <w:sz w:val="24"/>
              </w:rPr>
            </w:pPr>
            <w:r>
              <w:rPr>
                <w:rFonts w:ascii="黑体" w:eastAsia="黑体" w:hint="eastAsia"/>
                <w:sz w:val="24"/>
              </w:rPr>
              <w:t>隐患编号</w:t>
            </w:r>
          </w:p>
        </w:tc>
        <w:tc>
          <w:tcPr>
            <w:tcW w:w="5299" w:type="dxa"/>
          </w:tcPr>
          <w:p>
            <w:pPr>
              <w:pStyle w:val="TableParagraph"/>
              <w:spacing w:before="204"/>
              <w:ind w:left="2147" w:right="2141"/>
              <w:jc w:val="center"/>
              <w:rPr>
                <w:rFonts w:ascii="黑体" w:eastAsia="黑体" w:hint="eastAsia"/>
                <w:sz w:val="24"/>
              </w:rPr>
            </w:pPr>
            <w:r>
              <w:rPr>
                <w:rFonts w:ascii="黑体" w:eastAsia="黑体" w:hint="eastAsia"/>
                <w:sz w:val="24"/>
              </w:rPr>
              <w:t>隐患内容</w:t>
            </w:r>
          </w:p>
        </w:tc>
      </w:tr>
      <w:tr>
        <w:trPr>
          <w:trHeight w:val="1868" w:hRule="atLeast"/>
        </w:trPr>
        <w:tc>
          <w:tcPr>
            <w:tcW w:w="788" w:type="dxa"/>
          </w:tcPr>
          <w:p>
            <w:pPr>
              <w:pStyle w:val="TableParagraph"/>
              <w:rPr>
                <w:rFonts w:ascii="黑体"/>
                <w:sz w:val="24"/>
              </w:rPr>
            </w:pPr>
          </w:p>
          <w:p>
            <w:pPr>
              <w:pStyle w:val="TableParagraph"/>
              <w:rPr>
                <w:rFonts w:ascii="黑体"/>
                <w:sz w:val="24"/>
              </w:rPr>
            </w:pPr>
          </w:p>
          <w:p>
            <w:pPr>
              <w:pStyle w:val="TableParagraph"/>
              <w:spacing w:before="163"/>
              <w:ind w:left="10"/>
              <w:jc w:val="center"/>
              <w:rPr>
                <w:sz w:val="24"/>
              </w:rPr>
            </w:pPr>
            <w:r>
              <w:rPr>
                <w:sz w:val="24"/>
              </w:rPr>
              <w:t>1</w:t>
            </w:r>
          </w:p>
        </w:tc>
        <w:tc>
          <w:tcPr>
            <w:tcW w:w="975" w:type="dxa"/>
            <w:vMerge w:val="restart"/>
          </w:tcPr>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6"/>
              </w:rPr>
            </w:pPr>
          </w:p>
          <w:p>
            <w:pPr>
              <w:pStyle w:val="TableParagraph"/>
              <w:spacing w:line="242" w:lineRule="auto"/>
              <w:ind w:left="247" w:right="235"/>
              <w:rPr>
                <w:sz w:val="24"/>
              </w:rPr>
            </w:pPr>
            <w:r>
              <w:rPr>
                <w:sz w:val="24"/>
              </w:rPr>
              <w:t>基础管理</w:t>
            </w:r>
          </w:p>
        </w:tc>
        <w:tc>
          <w:tcPr>
            <w:tcW w:w="1386" w:type="dxa"/>
          </w:tcPr>
          <w:p>
            <w:pPr>
              <w:pStyle w:val="TableParagraph"/>
              <w:rPr>
                <w:rFonts w:ascii="黑体"/>
                <w:sz w:val="24"/>
              </w:rPr>
            </w:pPr>
          </w:p>
          <w:p>
            <w:pPr>
              <w:pStyle w:val="TableParagraph"/>
              <w:rPr>
                <w:rFonts w:ascii="黑体"/>
                <w:sz w:val="24"/>
              </w:rPr>
            </w:pPr>
          </w:p>
          <w:p>
            <w:pPr>
              <w:pStyle w:val="TableParagraph"/>
              <w:spacing w:before="163"/>
              <w:ind w:left="72" w:right="63"/>
              <w:jc w:val="center"/>
              <w:rPr>
                <w:sz w:val="24"/>
              </w:rPr>
            </w:pPr>
            <w:r>
              <w:rPr>
                <w:sz w:val="24"/>
              </w:rPr>
              <w:t>人员管理</w:t>
            </w:r>
          </w:p>
        </w:tc>
        <w:tc>
          <w:tcPr>
            <w:tcW w:w="1087" w:type="dxa"/>
          </w:tcPr>
          <w:p>
            <w:pPr>
              <w:pStyle w:val="TableParagraph"/>
              <w:rPr>
                <w:rFonts w:ascii="黑体"/>
                <w:sz w:val="24"/>
              </w:rPr>
            </w:pPr>
          </w:p>
          <w:p>
            <w:pPr>
              <w:pStyle w:val="TableParagraph"/>
              <w:rPr>
                <w:rFonts w:ascii="黑体"/>
                <w:sz w:val="24"/>
              </w:rPr>
            </w:pPr>
          </w:p>
          <w:p>
            <w:pPr>
              <w:pStyle w:val="TableParagraph"/>
              <w:spacing w:before="163"/>
              <w:ind w:left="102" w:right="94"/>
              <w:jc w:val="center"/>
              <w:rPr>
                <w:sz w:val="24"/>
              </w:rPr>
            </w:pPr>
            <w:r>
              <w:rPr>
                <w:sz w:val="24"/>
              </w:rPr>
              <w:t>SJ-J001</w:t>
            </w:r>
          </w:p>
        </w:tc>
        <w:tc>
          <w:tcPr>
            <w:tcW w:w="5299" w:type="dxa"/>
          </w:tcPr>
          <w:p>
            <w:pPr>
              <w:pStyle w:val="TableParagraph"/>
              <w:spacing w:line="242" w:lineRule="auto" w:before="1"/>
              <w:ind w:left="108" w:right="138"/>
              <w:jc w:val="both"/>
              <w:rPr>
                <w:sz w:val="24"/>
              </w:rPr>
            </w:pPr>
            <w:r>
              <w:rPr>
                <w:sz w:val="24"/>
              </w:rPr>
              <w:t>项目法人和施工企业未按规定设置安全生产管理机构或未按规定配备专职安全生产管理人员；施工企业主要负责人、项目负责人和专职安全生产管理人员未按规定持有效的安全生产考核合格证书；特种（设备）作业人员未持有效证件上岗作</w:t>
            </w:r>
          </w:p>
          <w:p>
            <w:pPr>
              <w:pStyle w:val="TableParagraph"/>
              <w:spacing w:line="289" w:lineRule="exact" w:before="5"/>
              <w:ind w:left="108"/>
              <w:rPr>
                <w:sz w:val="24"/>
              </w:rPr>
            </w:pPr>
            <w:r>
              <w:rPr>
                <w:sz w:val="24"/>
              </w:rPr>
              <w:t>业</w:t>
            </w:r>
          </w:p>
        </w:tc>
      </w:tr>
      <w:tr>
        <w:trPr>
          <w:trHeight w:val="1866" w:hRule="atLeast"/>
        </w:trPr>
        <w:tc>
          <w:tcPr>
            <w:tcW w:w="788" w:type="dxa"/>
          </w:tcPr>
          <w:p>
            <w:pPr>
              <w:pStyle w:val="TableParagraph"/>
              <w:rPr>
                <w:rFonts w:ascii="黑体"/>
                <w:sz w:val="24"/>
              </w:rPr>
            </w:pPr>
          </w:p>
          <w:p>
            <w:pPr>
              <w:pStyle w:val="TableParagraph"/>
              <w:rPr>
                <w:rFonts w:ascii="黑体"/>
                <w:sz w:val="24"/>
              </w:rPr>
            </w:pPr>
          </w:p>
          <w:p>
            <w:pPr>
              <w:pStyle w:val="TableParagraph"/>
              <w:spacing w:before="162"/>
              <w:ind w:left="10"/>
              <w:jc w:val="center"/>
              <w:rPr>
                <w:sz w:val="24"/>
              </w:rPr>
            </w:pPr>
            <w:r>
              <w:rPr>
                <w:sz w:val="24"/>
              </w:rPr>
              <w:t>2</w:t>
            </w:r>
          </w:p>
        </w:tc>
        <w:tc>
          <w:tcPr>
            <w:tcW w:w="975" w:type="dxa"/>
            <w:vMerge/>
            <w:tcBorders>
              <w:top w:val="nil"/>
            </w:tcBorders>
          </w:tcPr>
          <w:p>
            <w:pPr>
              <w:rPr>
                <w:sz w:val="2"/>
                <w:szCs w:val="2"/>
              </w:rPr>
            </w:pPr>
          </w:p>
        </w:tc>
        <w:tc>
          <w:tcPr>
            <w:tcW w:w="1386" w:type="dxa"/>
          </w:tcPr>
          <w:p>
            <w:pPr>
              <w:pStyle w:val="TableParagraph"/>
              <w:rPr>
                <w:rFonts w:ascii="黑体"/>
                <w:sz w:val="24"/>
              </w:rPr>
            </w:pPr>
          </w:p>
          <w:p>
            <w:pPr>
              <w:pStyle w:val="TableParagraph"/>
              <w:rPr>
                <w:rFonts w:ascii="黑体"/>
                <w:sz w:val="24"/>
              </w:rPr>
            </w:pPr>
          </w:p>
          <w:p>
            <w:pPr>
              <w:pStyle w:val="TableParagraph"/>
              <w:spacing w:before="162"/>
              <w:ind w:left="72" w:right="63"/>
              <w:jc w:val="center"/>
              <w:rPr>
                <w:sz w:val="24"/>
              </w:rPr>
            </w:pPr>
            <w:r>
              <w:rPr>
                <w:sz w:val="24"/>
              </w:rPr>
              <w:t>方案管理</w:t>
            </w:r>
          </w:p>
        </w:tc>
        <w:tc>
          <w:tcPr>
            <w:tcW w:w="1087" w:type="dxa"/>
          </w:tcPr>
          <w:p>
            <w:pPr>
              <w:pStyle w:val="TableParagraph"/>
              <w:rPr>
                <w:rFonts w:ascii="黑体"/>
                <w:sz w:val="24"/>
              </w:rPr>
            </w:pPr>
          </w:p>
          <w:p>
            <w:pPr>
              <w:pStyle w:val="TableParagraph"/>
              <w:rPr>
                <w:rFonts w:ascii="黑体"/>
                <w:sz w:val="24"/>
              </w:rPr>
            </w:pPr>
          </w:p>
          <w:p>
            <w:pPr>
              <w:pStyle w:val="TableParagraph"/>
              <w:spacing w:before="162"/>
              <w:ind w:left="102" w:right="94"/>
              <w:jc w:val="center"/>
              <w:rPr>
                <w:sz w:val="24"/>
              </w:rPr>
            </w:pPr>
            <w:r>
              <w:rPr>
                <w:sz w:val="24"/>
              </w:rPr>
              <w:t>SJ-J002</w:t>
            </w:r>
          </w:p>
        </w:tc>
        <w:tc>
          <w:tcPr>
            <w:tcW w:w="5299" w:type="dxa"/>
          </w:tcPr>
          <w:p>
            <w:pPr>
              <w:pStyle w:val="TableParagraph"/>
              <w:spacing w:line="242" w:lineRule="auto"/>
              <w:ind w:left="108" w:right="-29"/>
              <w:rPr>
                <w:sz w:val="24"/>
              </w:rPr>
            </w:pPr>
            <w:r>
              <w:rPr>
                <w:sz w:val="24"/>
              </w:rPr>
              <w:t>无施工组织设计施工；危险性较大的单项工程无专项施工方案；超过一定规模的危险性较大单项工程的专项施工方案未按规定组织专家论证、审</w:t>
            </w:r>
            <w:r>
              <w:rPr>
                <w:spacing w:val="-9"/>
                <w:sz w:val="24"/>
              </w:rPr>
              <w:t>查擅自施工；未按批准的专项施工方案组织实施； 需要验收的危险性较大的单项工程未经验收合格</w:t>
            </w:r>
          </w:p>
          <w:p>
            <w:pPr>
              <w:pStyle w:val="TableParagraph"/>
              <w:spacing w:line="289" w:lineRule="exact" w:before="4"/>
              <w:ind w:left="108"/>
              <w:rPr>
                <w:sz w:val="24"/>
              </w:rPr>
            </w:pPr>
            <w:r>
              <w:rPr>
                <w:sz w:val="24"/>
              </w:rPr>
              <w:t>转入后续工程施工</w:t>
            </w:r>
          </w:p>
        </w:tc>
      </w:tr>
      <w:tr>
        <w:trPr>
          <w:trHeight w:val="933" w:hRule="atLeast"/>
        </w:trPr>
        <w:tc>
          <w:tcPr>
            <w:tcW w:w="788" w:type="dxa"/>
          </w:tcPr>
          <w:p>
            <w:pPr>
              <w:pStyle w:val="TableParagraph"/>
              <w:spacing w:before="4"/>
              <w:rPr>
                <w:rFonts w:ascii="黑体"/>
                <w:sz w:val="24"/>
              </w:rPr>
            </w:pPr>
          </w:p>
          <w:p>
            <w:pPr>
              <w:pStyle w:val="TableParagraph"/>
              <w:ind w:left="10"/>
              <w:jc w:val="center"/>
              <w:rPr>
                <w:sz w:val="24"/>
              </w:rPr>
            </w:pPr>
            <w:r>
              <w:rPr>
                <w:sz w:val="24"/>
              </w:rPr>
              <w:t>3</w:t>
            </w:r>
          </w:p>
        </w:tc>
        <w:tc>
          <w:tcPr>
            <w:tcW w:w="975" w:type="dxa"/>
            <w:vMerge w:val="restart"/>
          </w:tcPr>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spacing w:before="7"/>
              <w:rPr>
                <w:rFonts w:ascii="黑体"/>
                <w:sz w:val="22"/>
              </w:rPr>
            </w:pPr>
          </w:p>
          <w:p>
            <w:pPr>
              <w:pStyle w:val="TableParagraph"/>
              <w:spacing w:line="242" w:lineRule="auto"/>
              <w:ind w:left="247" w:right="235"/>
              <w:rPr>
                <w:sz w:val="24"/>
              </w:rPr>
            </w:pPr>
            <w:r>
              <w:rPr>
                <w:sz w:val="24"/>
              </w:rPr>
              <w:t>临时工程</w:t>
            </w:r>
          </w:p>
        </w:tc>
        <w:tc>
          <w:tcPr>
            <w:tcW w:w="1386" w:type="dxa"/>
          </w:tcPr>
          <w:p>
            <w:pPr>
              <w:pStyle w:val="TableParagraph"/>
              <w:spacing w:before="2"/>
              <w:ind w:left="212"/>
              <w:rPr>
                <w:sz w:val="24"/>
              </w:rPr>
            </w:pPr>
            <w:r>
              <w:rPr>
                <w:sz w:val="24"/>
              </w:rPr>
              <w:t>营地及施</w:t>
            </w:r>
          </w:p>
          <w:p>
            <w:pPr>
              <w:pStyle w:val="TableParagraph"/>
              <w:spacing w:line="310" w:lineRule="atLeast" w:before="2"/>
              <w:ind w:left="572" w:right="201" w:hanging="360"/>
              <w:rPr>
                <w:sz w:val="24"/>
              </w:rPr>
            </w:pPr>
            <w:r>
              <w:rPr>
                <w:sz w:val="24"/>
              </w:rPr>
              <w:t>工设施建设</w:t>
            </w:r>
          </w:p>
        </w:tc>
        <w:tc>
          <w:tcPr>
            <w:tcW w:w="1087" w:type="dxa"/>
          </w:tcPr>
          <w:p>
            <w:pPr>
              <w:pStyle w:val="TableParagraph"/>
              <w:spacing w:before="4"/>
              <w:rPr>
                <w:rFonts w:ascii="黑体"/>
                <w:sz w:val="24"/>
              </w:rPr>
            </w:pPr>
          </w:p>
          <w:p>
            <w:pPr>
              <w:pStyle w:val="TableParagraph"/>
              <w:ind w:left="102" w:right="94"/>
              <w:jc w:val="center"/>
              <w:rPr>
                <w:sz w:val="24"/>
              </w:rPr>
            </w:pPr>
            <w:r>
              <w:rPr>
                <w:sz w:val="24"/>
              </w:rPr>
              <w:t>SJ-J003</w:t>
            </w:r>
          </w:p>
        </w:tc>
        <w:tc>
          <w:tcPr>
            <w:tcW w:w="5299" w:type="dxa"/>
          </w:tcPr>
          <w:p>
            <w:pPr>
              <w:pStyle w:val="TableParagraph"/>
              <w:spacing w:before="2"/>
              <w:ind w:left="108"/>
              <w:rPr>
                <w:sz w:val="24"/>
              </w:rPr>
            </w:pPr>
            <w:r>
              <w:rPr>
                <w:sz w:val="24"/>
              </w:rPr>
              <w:t>施工工厂区、施工（建设）管理及生活区、危险</w:t>
            </w:r>
          </w:p>
          <w:p>
            <w:pPr>
              <w:pStyle w:val="TableParagraph"/>
              <w:spacing w:line="310" w:lineRule="atLeast" w:before="2"/>
              <w:ind w:left="108" w:right="138"/>
              <w:rPr>
                <w:sz w:val="24"/>
              </w:rPr>
            </w:pPr>
            <w:r>
              <w:rPr>
                <w:sz w:val="24"/>
              </w:rPr>
              <w:t>化学品仓库布置在洪水、雪崩、滑坡、泥石流、塌方及危石等危险区域</w:t>
            </w:r>
          </w:p>
        </w:tc>
      </w:tr>
      <w:tr>
        <w:trPr>
          <w:trHeight w:val="2079" w:hRule="atLeast"/>
        </w:trPr>
        <w:tc>
          <w:tcPr>
            <w:tcW w:w="788" w:type="dxa"/>
          </w:tcPr>
          <w:p>
            <w:pPr>
              <w:pStyle w:val="TableParagraph"/>
              <w:rPr>
                <w:rFonts w:ascii="黑体"/>
                <w:sz w:val="24"/>
              </w:rPr>
            </w:pPr>
          </w:p>
          <w:p>
            <w:pPr>
              <w:pStyle w:val="TableParagraph"/>
              <w:rPr>
                <w:rFonts w:ascii="黑体"/>
                <w:sz w:val="24"/>
              </w:rPr>
            </w:pPr>
          </w:p>
          <w:p>
            <w:pPr>
              <w:pStyle w:val="TableParagraph"/>
              <w:rPr>
                <w:rFonts w:ascii="黑体"/>
                <w:sz w:val="21"/>
              </w:rPr>
            </w:pPr>
          </w:p>
          <w:p>
            <w:pPr>
              <w:pStyle w:val="TableParagraph"/>
              <w:ind w:left="10"/>
              <w:jc w:val="center"/>
              <w:rPr>
                <w:sz w:val="24"/>
              </w:rPr>
            </w:pPr>
            <w:r>
              <w:rPr>
                <w:sz w:val="24"/>
              </w:rPr>
              <w:t>4</w:t>
            </w:r>
          </w:p>
        </w:tc>
        <w:tc>
          <w:tcPr>
            <w:tcW w:w="975" w:type="dxa"/>
            <w:vMerge/>
            <w:tcBorders>
              <w:top w:val="nil"/>
            </w:tcBorders>
          </w:tcPr>
          <w:p>
            <w:pPr>
              <w:rPr>
                <w:sz w:val="2"/>
                <w:szCs w:val="2"/>
              </w:rPr>
            </w:pPr>
          </w:p>
        </w:tc>
        <w:tc>
          <w:tcPr>
            <w:tcW w:w="1386" w:type="dxa"/>
          </w:tcPr>
          <w:p>
            <w:pPr>
              <w:pStyle w:val="TableParagraph"/>
              <w:rPr>
                <w:rFonts w:ascii="黑体"/>
                <w:sz w:val="24"/>
              </w:rPr>
            </w:pPr>
          </w:p>
          <w:p>
            <w:pPr>
              <w:pStyle w:val="TableParagraph"/>
              <w:rPr>
                <w:rFonts w:ascii="黑体"/>
                <w:sz w:val="24"/>
              </w:rPr>
            </w:pPr>
          </w:p>
          <w:p>
            <w:pPr>
              <w:pStyle w:val="TableParagraph"/>
              <w:rPr>
                <w:rFonts w:ascii="黑体"/>
                <w:sz w:val="21"/>
              </w:rPr>
            </w:pPr>
          </w:p>
          <w:p>
            <w:pPr>
              <w:pStyle w:val="TableParagraph"/>
              <w:ind w:left="72" w:right="63"/>
              <w:jc w:val="center"/>
              <w:rPr>
                <w:sz w:val="24"/>
              </w:rPr>
            </w:pPr>
            <w:r>
              <w:rPr>
                <w:sz w:val="24"/>
              </w:rPr>
              <w:t>临时设施</w:t>
            </w:r>
          </w:p>
        </w:tc>
        <w:tc>
          <w:tcPr>
            <w:tcW w:w="1087" w:type="dxa"/>
          </w:tcPr>
          <w:p>
            <w:pPr>
              <w:pStyle w:val="TableParagraph"/>
              <w:rPr>
                <w:rFonts w:ascii="黑体"/>
                <w:sz w:val="24"/>
              </w:rPr>
            </w:pPr>
          </w:p>
          <w:p>
            <w:pPr>
              <w:pStyle w:val="TableParagraph"/>
              <w:rPr>
                <w:rFonts w:ascii="黑体"/>
                <w:sz w:val="24"/>
              </w:rPr>
            </w:pPr>
          </w:p>
          <w:p>
            <w:pPr>
              <w:pStyle w:val="TableParagraph"/>
              <w:rPr>
                <w:rFonts w:ascii="黑体"/>
                <w:sz w:val="21"/>
              </w:rPr>
            </w:pPr>
          </w:p>
          <w:p>
            <w:pPr>
              <w:pStyle w:val="TableParagraph"/>
              <w:ind w:left="102" w:right="94"/>
              <w:jc w:val="center"/>
              <w:rPr>
                <w:sz w:val="24"/>
              </w:rPr>
            </w:pPr>
            <w:r>
              <w:rPr>
                <w:sz w:val="24"/>
              </w:rPr>
              <w:t>SJ-J004</w:t>
            </w:r>
          </w:p>
        </w:tc>
        <w:tc>
          <w:tcPr>
            <w:tcW w:w="5299" w:type="dxa"/>
          </w:tcPr>
          <w:p>
            <w:pPr>
              <w:pStyle w:val="TableParagraph"/>
              <w:spacing w:line="242" w:lineRule="auto" w:before="107"/>
              <w:ind w:left="108" w:right="-29"/>
              <w:rPr>
                <w:sz w:val="24"/>
              </w:rPr>
            </w:pPr>
            <w:r>
              <w:rPr>
                <w:sz w:val="24"/>
              </w:rPr>
              <w:t>宿舍、办公用房、厨房操作间、易燃易爆危险品库等消防重点部位安全距离不符合要求且未采取有效防护措施；宿舍、办公用房、厨房操作间、易燃易爆危险品库等建筑构件的燃烧性能等级未达到 A</w:t>
            </w:r>
            <w:r>
              <w:rPr>
                <w:spacing w:val="-15"/>
                <w:sz w:val="24"/>
              </w:rPr>
              <w:t> 级；宿舍、办公用房采用金属夹芯板材时， 其芯材的燃烧性能等级未达到 A 级</w:t>
            </w:r>
          </w:p>
        </w:tc>
      </w:tr>
      <w:tr>
        <w:trPr>
          <w:trHeight w:val="622" w:hRule="atLeast"/>
        </w:trPr>
        <w:tc>
          <w:tcPr>
            <w:tcW w:w="788" w:type="dxa"/>
          </w:tcPr>
          <w:p>
            <w:pPr>
              <w:pStyle w:val="TableParagraph"/>
              <w:spacing w:before="156"/>
              <w:ind w:left="10"/>
              <w:jc w:val="center"/>
              <w:rPr>
                <w:sz w:val="24"/>
              </w:rPr>
            </w:pPr>
            <w:r>
              <w:rPr>
                <w:sz w:val="24"/>
              </w:rPr>
              <w:t>5</w:t>
            </w:r>
          </w:p>
        </w:tc>
        <w:tc>
          <w:tcPr>
            <w:tcW w:w="975" w:type="dxa"/>
            <w:vMerge/>
            <w:tcBorders>
              <w:top w:val="nil"/>
            </w:tcBorders>
          </w:tcPr>
          <w:p>
            <w:pPr>
              <w:rPr>
                <w:sz w:val="2"/>
                <w:szCs w:val="2"/>
              </w:rPr>
            </w:pPr>
          </w:p>
        </w:tc>
        <w:tc>
          <w:tcPr>
            <w:tcW w:w="1386" w:type="dxa"/>
          </w:tcPr>
          <w:p>
            <w:pPr>
              <w:pStyle w:val="TableParagraph"/>
              <w:spacing w:before="156"/>
              <w:ind w:left="72" w:right="63"/>
              <w:jc w:val="center"/>
              <w:rPr>
                <w:sz w:val="24"/>
              </w:rPr>
            </w:pPr>
            <w:r>
              <w:rPr>
                <w:sz w:val="24"/>
              </w:rPr>
              <w:t>围堰工程</w:t>
            </w:r>
          </w:p>
        </w:tc>
        <w:tc>
          <w:tcPr>
            <w:tcW w:w="1087" w:type="dxa"/>
          </w:tcPr>
          <w:p>
            <w:pPr>
              <w:pStyle w:val="TableParagraph"/>
              <w:spacing w:before="156"/>
              <w:ind w:left="102" w:right="94"/>
              <w:jc w:val="center"/>
              <w:rPr>
                <w:sz w:val="24"/>
              </w:rPr>
            </w:pPr>
            <w:r>
              <w:rPr>
                <w:sz w:val="24"/>
              </w:rPr>
              <w:t>SJ-J005</w:t>
            </w:r>
          </w:p>
        </w:tc>
        <w:tc>
          <w:tcPr>
            <w:tcW w:w="5299" w:type="dxa"/>
          </w:tcPr>
          <w:p>
            <w:pPr>
              <w:pStyle w:val="TableParagraph"/>
              <w:ind w:left="108"/>
              <w:rPr>
                <w:sz w:val="24"/>
              </w:rPr>
            </w:pPr>
            <w:r>
              <w:rPr>
                <w:sz w:val="24"/>
              </w:rPr>
              <w:t>围堰不符合规范和设计要求；围堰位移及渗流量</w:t>
            </w:r>
          </w:p>
          <w:p>
            <w:pPr>
              <w:pStyle w:val="TableParagraph"/>
              <w:spacing w:line="290" w:lineRule="exact" w:before="5"/>
              <w:ind w:left="108"/>
              <w:rPr>
                <w:sz w:val="24"/>
              </w:rPr>
            </w:pPr>
            <w:r>
              <w:rPr>
                <w:sz w:val="24"/>
              </w:rPr>
              <w:t>超过设计要求，且无有效管控措施</w:t>
            </w:r>
          </w:p>
        </w:tc>
      </w:tr>
      <w:tr>
        <w:trPr>
          <w:trHeight w:val="1487" w:hRule="atLeast"/>
        </w:trPr>
        <w:tc>
          <w:tcPr>
            <w:tcW w:w="788" w:type="dxa"/>
          </w:tcPr>
          <w:p>
            <w:pPr>
              <w:pStyle w:val="TableParagraph"/>
              <w:rPr>
                <w:rFonts w:ascii="黑体"/>
                <w:sz w:val="24"/>
              </w:rPr>
            </w:pPr>
          </w:p>
          <w:p>
            <w:pPr>
              <w:pStyle w:val="TableParagraph"/>
              <w:rPr>
                <w:rFonts w:ascii="黑体"/>
                <w:sz w:val="22"/>
              </w:rPr>
            </w:pPr>
          </w:p>
          <w:p>
            <w:pPr>
              <w:pStyle w:val="TableParagraph"/>
              <w:ind w:left="10"/>
              <w:jc w:val="center"/>
              <w:rPr>
                <w:sz w:val="24"/>
              </w:rPr>
            </w:pPr>
            <w:r>
              <w:rPr>
                <w:sz w:val="24"/>
              </w:rPr>
              <w:t>6</w:t>
            </w:r>
          </w:p>
        </w:tc>
        <w:tc>
          <w:tcPr>
            <w:tcW w:w="975" w:type="dxa"/>
            <w:vMerge w:val="restart"/>
          </w:tcPr>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spacing w:before="4"/>
              <w:rPr>
                <w:rFonts w:ascii="黑体"/>
                <w:sz w:val="20"/>
              </w:rPr>
            </w:pPr>
          </w:p>
          <w:p>
            <w:pPr>
              <w:pStyle w:val="TableParagraph"/>
              <w:spacing w:line="242" w:lineRule="auto"/>
              <w:ind w:left="247" w:right="235"/>
              <w:rPr>
                <w:sz w:val="24"/>
              </w:rPr>
            </w:pPr>
            <w:r>
              <w:rPr>
                <w:sz w:val="24"/>
              </w:rPr>
              <w:t>专项工程</w:t>
            </w:r>
          </w:p>
        </w:tc>
        <w:tc>
          <w:tcPr>
            <w:tcW w:w="1386" w:type="dxa"/>
          </w:tcPr>
          <w:p>
            <w:pPr>
              <w:pStyle w:val="TableParagraph"/>
              <w:rPr>
                <w:rFonts w:ascii="黑体"/>
                <w:sz w:val="24"/>
              </w:rPr>
            </w:pPr>
          </w:p>
          <w:p>
            <w:pPr>
              <w:pStyle w:val="TableParagraph"/>
              <w:rPr>
                <w:rFonts w:ascii="黑体"/>
                <w:sz w:val="22"/>
              </w:rPr>
            </w:pPr>
          </w:p>
          <w:p>
            <w:pPr>
              <w:pStyle w:val="TableParagraph"/>
              <w:ind w:left="72" w:right="63"/>
              <w:jc w:val="center"/>
              <w:rPr>
                <w:sz w:val="24"/>
              </w:rPr>
            </w:pPr>
            <w:r>
              <w:rPr>
                <w:sz w:val="24"/>
              </w:rPr>
              <w:t>临时用电</w:t>
            </w:r>
          </w:p>
        </w:tc>
        <w:tc>
          <w:tcPr>
            <w:tcW w:w="1087" w:type="dxa"/>
          </w:tcPr>
          <w:p>
            <w:pPr>
              <w:pStyle w:val="TableParagraph"/>
              <w:rPr>
                <w:rFonts w:ascii="黑体"/>
                <w:sz w:val="24"/>
              </w:rPr>
            </w:pPr>
          </w:p>
          <w:p>
            <w:pPr>
              <w:pStyle w:val="TableParagraph"/>
              <w:rPr>
                <w:rFonts w:ascii="黑体"/>
                <w:sz w:val="22"/>
              </w:rPr>
            </w:pPr>
          </w:p>
          <w:p>
            <w:pPr>
              <w:pStyle w:val="TableParagraph"/>
              <w:ind w:left="102" w:right="94"/>
              <w:jc w:val="center"/>
              <w:rPr>
                <w:sz w:val="24"/>
              </w:rPr>
            </w:pPr>
            <w:r>
              <w:rPr>
                <w:sz w:val="24"/>
              </w:rPr>
              <w:t>SJ-J006</w:t>
            </w:r>
          </w:p>
        </w:tc>
        <w:tc>
          <w:tcPr>
            <w:tcW w:w="5299" w:type="dxa"/>
          </w:tcPr>
          <w:p>
            <w:pPr>
              <w:pStyle w:val="TableParagraph"/>
              <w:spacing w:line="242" w:lineRule="auto" w:before="122"/>
              <w:ind w:left="108" w:right="97"/>
              <w:jc w:val="both"/>
              <w:rPr>
                <w:sz w:val="24"/>
              </w:rPr>
            </w:pPr>
            <w:r>
              <w:rPr>
                <w:sz w:val="24"/>
              </w:rPr>
              <w:t>施工现场专用的电源中性点直接接地的低压配电</w:t>
            </w:r>
            <w:r>
              <w:rPr>
                <w:spacing w:val="-10"/>
                <w:sz w:val="24"/>
              </w:rPr>
              <w:t>系统未采用 </w:t>
            </w:r>
            <w:r>
              <w:rPr>
                <w:sz w:val="24"/>
              </w:rPr>
              <w:t>TN-S</w:t>
            </w:r>
            <w:r>
              <w:rPr>
                <w:spacing w:val="-13"/>
                <w:sz w:val="24"/>
              </w:rPr>
              <w:t> 接零保护系统；发电机组电源未</w:t>
            </w:r>
            <w:r>
              <w:rPr>
                <w:sz w:val="24"/>
              </w:rPr>
              <w:t>与其他电源互相闭锁，并列运行；外电线路的安全距离不符合规范要求且未按规定采取防护措施</w:t>
            </w:r>
          </w:p>
        </w:tc>
      </w:tr>
      <w:tr>
        <w:trPr>
          <w:trHeight w:val="1486" w:hRule="atLeast"/>
        </w:trPr>
        <w:tc>
          <w:tcPr>
            <w:tcW w:w="788" w:type="dxa"/>
          </w:tcPr>
          <w:p>
            <w:pPr>
              <w:pStyle w:val="TableParagraph"/>
              <w:rPr>
                <w:rFonts w:ascii="黑体"/>
                <w:sz w:val="24"/>
              </w:rPr>
            </w:pPr>
          </w:p>
          <w:p>
            <w:pPr>
              <w:pStyle w:val="TableParagraph"/>
              <w:rPr>
                <w:rFonts w:ascii="黑体"/>
                <w:sz w:val="22"/>
              </w:rPr>
            </w:pPr>
          </w:p>
          <w:p>
            <w:pPr>
              <w:pStyle w:val="TableParagraph"/>
              <w:ind w:left="10"/>
              <w:jc w:val="center"/>
              <w:rPr>
                <w:sz w:val="24"/>
              </w:rPr>
            </w:pPr>
            <w:r>
              <w:rPr>
                <w:sz w:val="24"/>
              </w:rPr>
              <w:t>7</w:t>
            </w:r>
          </w:p>
        </w:tc>
        <w:tc>
          <w:tcPr>
            <w:tcW w:w="975" w:type="dxa"/>
            <w:vMerge/>
            <w:tcBorders>
              <w:top w:val="nil"/>
            </w:tcBorders>
          </w:tcPr>
          <w:p>
            <w:pPr>
              <w:rPr>
                <w:sz w:val="2"/>
                <w:szCs w:val="2"/>
              </w:rPr>
            </w:pPr>
          </w:p>
        </w:tc>
        <w:tc>
          <w:tcPr>
            <w:tcW w:w="1386" w:type="dxa"/>
          </w:tcPr>
          <w:p>
            <w:pPr>
              <w:pStyle w:val="TableParagraph"/>
              <w:rPr>
                <w:rFonts w:ascii="黑体"/>
                <w:sz w:val="24"/>
              </w:rPr>
            </w:pPr>
          </w:p>
          <w:p>
            <w:pPr>
              <w:pStyle w:val="TableParagraph"/>
              <w:rPr>
                <w:rFonts w:ascii="黑体"/>
                <w:sz w:val="22"/>
              </w:rPr>
            </w:pPr>
          </w:p>
          <w:p>
            <w:pPr>
              <w:pStyle w:val="TableParagraph"/>
              <w:ind w:left="72" w:right="63"/>
              <w:jc w:val="center"/>
              <w:rPr>
                <w:sz w:val="24"/>
              </w:rPr>
            </w:pPr>
            <w:r>
              <w:rPr>
                <w:sz w:val="24"/>
              </w:rPr>
              <w:t>脚手架</w:t>
            </w:r>
          </w:p>
        </w:tc>
        <w:tc>
          <w:tcPr>
            <w:tcW w:w="1087" w:type="dxa"/>
          </w:tcPr>
          <w:p>
            <w:pPr>
              <w:pStyle w:val="TableParagraph"/>
              <w:rPr>
                <w:rFonts w:ascii="黑体"/>
                <w:sz w:val="24"/>
              </w:rPr>
            </w:pPr>
          </w:p>
          <w:p>
            <w:pPr>
              <w:pStyle w:val="TableParagraph"/>
              <w:rPr>
                <w:rFonts w:ascii="黑体"/>
                <w:sz w:val="22"/>
              </w:rPr>
            </w:pPr>
          </w:p>
          <w:p>
            <w:pPr>
              <w:pStyle w:val="TableParagraph"/>
              <w:ind w:left="102" w:right="94"/>
              <w:jc w:val="center"/>
              <w:rPr>
                <w:sz w:val="24"/>
              </w:rPr>
            </w:pPr>
            <w:r>
              <w:rPr>
                <w:sz w:val="24"/>
              </w:rPr>
              <w:t>SJ-J007</w:t>
            </w:r>
          </w:p>
        </w:tc>
        <w:tc>
          <w:tcPr>
            <w:tcW w:w="5299" w:type="dxa"/>
          </w:tcPr>
          <w:p>
            <w:pPr>
              <w:pStyle w:val="TableParagraph"/>
              <w:spacing w:line="242" w:lineRule="auto" w:before="124"/>
              <w:ind w:left="108" w:right="138"/>
              <w:jc w:val="both"/>
              <w:rPr>
                <w:sz w:val="24"/>
              </w:rPr>
            </w:pPr>
            <w:r>
              <w:rPr>
                <w:sz w:val="24"/>
              </w:rPr>
              <w:t>达到或超过一定规模的作业脚手架和支撑脚手架的立杆基础承载力不符合专项施工方案的要求， 且已有明显沉降；立杆采用搭接（作业脚手架顶步距除外）；未按专项施工方案设置连墙件</w:t>
            </w:r>
          </w:p>
        </w:tc>
      </w:tr>
    </w:tbl>
    <w:p>
      <w:pPr>
        <w:spacing w:after="0" w:line="242" w:lineRule="auto"/>
        <w:jc w:val="both"/>
        <w:rPr>
          <w:sz w:val="24"/>
        </w:rPr>
        <w:sectPr>
          <w:pgSz w:w="11910" w:h="16840"/>
          <w:pgMar w:header="0" w:footer="985" w:top="1580" w:bottom="1180" w:left="1060" w:right="860"/>
        </w:sectPr>
      </w:pPr>
    </w:p>
    <w:p>
      <w:pPr>
        <w:pStyle w:val="BodyText"/>
        <w:spacing w:before="11"/>
        <w:ind w:left="0"/>
        <w:rPr>
          <w:rFonts w:ascii="Times New Roman"/>
          <w:sz w:val="8"/>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88"/>
        <w:gridCol w:w="975"/>
        <w:gridCol w:w="1386"/>
        <w:gridCol w:w="1087"/>
        <w:gridCol w:w="5299"/>
      </w:tblGrid>
      <w:tr>
        <w:trPr>
          <w:trHeight w:val="719" w:hRule="atLeast"/>
        </w:trPr>
        <w:tc>
          <w:tcPr>
            <w:tcW w:w="788" w:type="dxa"/>
          </w:tcPr>
          <w:p>
            <w:pPr>
              <w:pStyle w:val="TableParagraph"/>
              <w:spacing w:before="205"/>
              <w:ind w:left="134" w:right="124"/>
              <w:jc w:val="center"/>
              <w:rPr>
                <w:rFonts w:ascii="黑体" w:eastAsia="黑体" w:hint="eastAsia"/>
                <w:sz w:val="24"/>
              </w:rPr>
            </w:pPr>
            <w:r>
              <w:rPr>
                <w:rFonts w:ascii="黑体" w:eastAsia="黑体" w:hint="eastAsia"/>
                <w:sz w:val="24"/>
              </w:rPr>
              <w:t>序号</w:t>
            </w:r>
          </w:p>
        </w:tc>
        <w:tc>
          <w:tcPr>
            <w:tcW w:w="975" w:type="dxa"/>
          </w:tcPr>
          <w:p>
            <w:pPr>
              <w:pStyle w:val="TableParagraph"/>
              <w:spacing w:before="205"/>
              <w:ind w:left="247"/>
              <w:rPr>
                <w:rFonts w:ascii="黑体" w:eastAsia="黑体" w:hint="eastAsia"/>
                <w:sz w:val="24"/>
              </w:rPr>
            </w:pPr>
            <w:r>
              <w:rPr>
                <w:rFonts w:ascii="黑体" w:eastAsia="黑体" w:hint="eastAsia"/>
                <w:sz w:val="24"/>
              </w:rPr>
              <w:t>类别</w:t>
            </w:r>
          </w:p>
        </w:tc>
        <w:tc>
          <w:tcPr>
            <w:tcW w:w="1386" w:type="dxa"/>
          </w:tcPr>
          <w:p>
            <w:pPr>
              <w:pStyle w:val="TableParagraph"/>
              <w:spacing w:before="205"/>
              <w:ind w:left="212"/>
              <w:rPr>
                <w:rFonts w:ascii="黑体" w:eastAsia="黑体" w:hint="eastAsia"/>
                <w:sz w:val="24"/>
              </w:rPr>
            </w:pPr>
            <w:r>
              <w:rPr>
                <w:rFonts w:ascii="黑体" w:eastAsia="黑体" w:hint="eastAsia"/>
                <w:sz w:val="24"/>
              </w:rPr>
              <w:t>管理环节</w:t>
            </w:r>
          </w:p>
        </w:tc>
        <w:tc>
          <w:tcPr>
            <w:tcW w:w="1087" w:type="dxa"/>
          </w:tcPr>
          <w:p>
            <w:pPr>
              <w:pStyle w:val="TableParagraph"/>
              <w:spacing w:line="242" w:lineRule="auto" w:before="49"/>
              <w:ind w:left="302" w:right="292"/>
              <w:rPr>
                <w:rFonts w:ascii="黑体" w:eastAsia="黑体" w:hint="eastAsia"/>
                <w:sz w:val="24"/>
              </w:rPr>
            </w:pPr>
            <w:r>
              <w:rPr>
                <w:rFonts w:ascii="黑体" w:eastAsia="黑体" w:hint="eastAsia"/>
                <w:sz w:val="24"/>
              </w:rPr>
              <w:t>隐患编号</w:t>
            </w:r>
          </w:p>
        </w:tc>
        <w:tc>
          <w:tcPr>
            <w:tcW w:w="5299" w:type="dxa"/>
          </w:tcPr>
          <w:p>
            <w:pPr>
              <w:pStyle w:val="TableParagraph"/>
              <w:spacing w:before="205"/>
              <w:ind w:left="2147" w:right="2141"/>
              <w:jc w:val="center"/>
              <w:rPr>
                <w:rFonts w:ascii="黑体" w:eastAsia="黑体" w:hint="eastAsia"/>
                <w:sz w:val="24"/>
              </w:rPr>
            </w:pPr>
            <w:r>
              <w:rPr>
                <w:rFonts w:ascii="黑体" w:eastAsia="黑体" w:hint="eastAsia"/>
                <w:sz w:val="24"/>
              </w:rPr>
              <w:t>隐患内容</w:t>
            </w:r>
          </w:p>
        </w:tc>
      </w:tr>
      <w:tr>
        <w:trPr>
          <w:trHeight w:val="306" w:hRule="atLeast"/>
        </w:trPr>
        <w:tc>
          <w:tcPr>
            <w:tcW w:w="788" w:type="dxa"/>
            <w:vMerge w:val="restart"/>
          </w:tcPr>
          <w:p>
            <w:pPr>
              <w:pStyle w:val="TableParagraph"/>
              <w:spacing w:before="158"/>
              <w:ind w:left="10"/>
              <w:jc w:val="center"/>
              <w:rPr>
                <w:sz w:val="24"/>
              </w:rPr>
            </w:pPr>
            <w:r>
              <w:rPr>
                <w:sz w:val="24"/>
              </w:rPr>
              <w:t>8</w:t>
            </w:r>
          </w:p>
        </w:tc>
        <w:tc>
          <w:tcPr>
            <w:tcW w:w="975" w:type="dxa"/>
            <w:vMerge w:val="restart"/>
          </w:tcPr>
          <w:p>
            <w:pPr>
              <w:pStyle w:val="TableParagraph"/>
              <w:rPr>
                <w:rFonts w:ascii="Times New Roman"/>
                <w:sz w:val="22"/>
              </w:rPr>
            </w:pPr>
          </w:p>
        </w:tc>
        <w:tc>
          <w:tcPr>
            <w:tcW w:w="1386" w:type="dxa"/>
            <w:vMerge w:val="restart"/>
          </w:tcPr>
          <w:p>
            <w:pPr>
              <w:pStyle w:val="TableParagraph"/>
              <w:spacing w:before="158"/>
              <w:ind w:left="212"/>
              <w:rPr>
                <w:sz w:val="24"/>
              </w:rPr>
            </w:pPr>
            <w:r>
              <w:rPr>
                <w:sz w:val="24"/>
              </w:rPr>
              <w:t>模板工程</w:t>
            </w:r>
          </w:p>
        </w:tc>
        <w:tc>
          <w:tcPr>
            <w:tcW w:w="1087" w:type="dxa"/>
            <w:vMerge w:val="restart"/>
          </w:tcPr>
          <w:p>
            <w:pPr>
              <w:pStyle w:val="TableParagraph"/>
              <w:spacing w:before="158"/>
              <w:ind w:left="122"/>
              <w:rPr>
                <w:sz w:val="24"/>
              </w:rPr>
            </w:pPr>
            <w:r>
              <w:rPr>
                <w:sz w:val="24"/>
              </w:rPr>
              <w:t>SJ-J008</w:t>
            </w:r>
          </w:p>
        </w:tc>
        <w:tc>
          <w:tcPr>
            <w:tcW w:w="5299" w:type="dxa"/>
            <w:tcBorders>
              <w:bottom w:val="nil"/>
            </w:tcBorders>
          </w:tcPr>
          <w:p>
            <w:pPr>
              <w:pStyle w:val="TableParagraph"/>
              <w:spacing w:line="285" w:lineRule="exact" w:before="2"/>
              <w:ind w:left="108"/>
              <w:rPr>
                <w:sz w:val="24"/>
              </w:rPr>
            </w:pPr>
            <w:r>
              <w:rPr>
                <w:sz w:val="24"/>
              </w:rPr>
              <w:t>爬模、滑模和翻模施工脱模或混凝土承重模板拆</w:t>
            </w:r>
          </w:p>
        </w:tc>
      </w:tr>
      <w:tr>
        <w:trPr>
          <w:trHeight w:val="306" w:hRule="atLeast"/>
        </w:trPr>
        <w:tc>
          <w:tcPr>
            <w:tcW w:w="788" w:type="dxa"/>
            <w:vMerge/>
            <w:tcBorders>
              <w:top w:val="nil"/>
            </w:tcBorders>
          </w:tcPr>
          <w:p>
            <w:pPr>
              <w:rPr>
                <w:sz w:val="2"/>
                <w:szCs w:val="2"/>
              </w:rPr>
            </w:pPr>
          </w:p>
        </w:tc>
        <w:tc>
          <w:tcPr>
            <w:tcW w:w="975" w:type="dxa"/>
            <w:vMerge/>
            <w:tcBorders>
              <w:top w:val="nil"/>
            </w:tcBorders>
          </w:tcPr>
          <w:p>
            <w:pPr>
              <w:rPr>
                <w:sz w:val="2"/>
                <w:szCs w:val="2"/>
              </w:rPr>
            </w:pPr>
          </w:p>
        </w:tc>
        <w:tc>
          <w:tcPr>
            <w:tcW w:w="1386" w:type="dxa"/>
            <w:vMerge/>
            <w:tcBorders>
              <w:top w:val="nil"/>
            </w:tcBorders>
          </w:tcPr>
          <w:p>
            <w:pPr>
              <w:rPr>
                <w:sz w:val="2"/>
                <w:szCs w:val="2"/>
              </w:rPr>
            </w:pPr>
          </w:p>
        </w:tc>
        <w:tc>
          <w:tcPr>
            <w:tcW w:w="1087" w:type="dxa"/>
            <w:vMerge/>
            <w:tcBorders>
              <w:top w:val="nil"/>
            </w:tcBorders>
          </w:tcPr>
          <w:p>
            <w:pPr>
              <w:rPr>
                <w:sz w:val="2"/>
                <w:szCs w:val="2"/>
              </w:rPr>
            </w:pPr>
          </w:p>
        </w:tc>
        <w:tc>
          <w:tcPr>
            <w:tcW w:w="5299" w:type="dxa"/>
            <w:tcBorders>
              <w:top w:val="nil"/>
            </w:tcBorders>
          </w:tcPr>
          <w:p>
            <w:pPr>
              <w:pStyle w:val="TableParagraph"/>
              <w:spacing w:line="286" w:lineRule="exact"/>
              <w:ind w:left="108"/>
              <w:rPr>
                <w:sz w:val="24"/>
              </w:rPr>
            </w:pPr>
            <w:r>
              <w:rPr>
                <w:sz w:val="24"/>
              </w:rPr>
              <w:t>除时，混凝土强度未达到规定值</w:t>
            </w:r>
          </w:p>
        </w:tc>
      </w:tr>
      <w:tr>
        <w:trPr>
          <w:trHeight w:val="304" w:hRule="atLeast"/>
        </w:trPr>
        <w:tc>
          <w:tcPr>
            <w:tcW w:w="788" w:type="dxa"/>
            <w:vMerge w:val="restart"/>
          </w:tcPr>
          <w:p>
            <w:pPr>
              <w:pStyle w:val="TableParagraph"/>
              <w:spacing w:before="156"/>
              <w:ind w:left="10"/>
              <w:jc w:val="center"/>
              <w:rPr>
                <w:sz w:val="24"/>
              </w:rPr>
            </w:pPr>
            <w:r>
              <w:rPr>
                <w:sz w:val="24"/>
              </w:rPr>
              <w:t>9</w:t>
            </w:r>
          </w:p>
        </w:tc>
        <w:tc>
          <w:tcPr>
            <w:tcW w:w="975" w:type="dxa"/>
            <w:vMerge/>
            <w:tcBorders>
              <w:top w:val="nil"/>
            </w:tcBorders>
          </w:tcPr>
          <w:p>
            <w:pPr>
              <w:rPr>
                <w:sz w:val="2"/>
                <w:szCs w:val="2"/>
              </w:rPr>
            </w:pPr>
          </w:p>
        </w:tc>
        <w:tc>
          <w:tcPr>
            <w:tcW w:w="1386" w:type="dxa"/>
            <w:vMerge w:val="restart"/>
          </w:tcPr>
          <w:p>
            <w:pPr>
              <w:pStyle w:val="TableParagraph"/>
              <w:spacing w:before="156"/>
              <w:ind w:left="212"/>
              <w:rPr>
                <w:sz w:val="24"/>
              </w:rPr>
            </w:pPr>
            <w:r>
              <w:rPr>
                <w:sz w:val="24"/>
              </w:rPr>
              <w:t>危险物品</w:t>
            </w:r>
          </w:p>
        </w:tc>
        <w:tc>
          <w:tcPr>
            <w:tcW w:w="1087" w:type="dxa"/>
            <w:vMerge w:val="restart"/>
          </w:tcPr>
          <w:p>
            <w:pPr>
              <w:pStyle w:val="TableParagraph"/>
              <w:spacing w:before="156"/>
              <w:ind w:left="122"/>
              <w:rPr>
                <w:sz w:val="24"/>
              </w:rPr>
            </w:pPr>
            <w:r>
              <w:rPr>
                <w:sz w:val="24"/>
              </w:rPr>
              <w:t>SJ-J009</w:t>
            </w:r>
          </w:p>
        </w:tc>
        <w:tc>
          <w:tcPr>
            <w:tcW w:w="5299" w:type="dxa"/>
            <w:tcBorders>
              <w:bottom w:val="nil"/>
            </w:tcBorders>
          </w:tcPr>
          <w:p>
            <w:pPr>
              <w:pStyle w:val="TableParagraph"/>
              <w:spacing w:line="285" w:lineRule="exact"/>
              <w:ind w:left="108"/>
              <w:rPr>
                <w:sz w:val="24"/>
              </w:rPr>
            </w:pPr>
            <w:r>
              <w:rPr>
                <w:sz w:val="24"/>
              </w:rPr>
              <w:t>运输、使用、保管和处置雷管炸药等危险物品不</w:t>
            </w:r>
          </w:p>
        </w:tc>
      </w:tr>
      <w:tr>
        <w:trPr>
          <w:trHeight w:val="307" w:hRule="atLeast"/>
        </w:trPr>
        <w:tc>
          <w:tcPr>
            <w:tcW w:w="788" w:type="dxa"/>
            <w:vMerge/>
            <w:tcBorders>
              <w:top w:val="nil"/>
            </w:tcBorders>
          </w:tcPr>
          <w:p>
            <w:pPr>
              <w:rPr>
                <w:sz w:val="2"/>
                <w:szCs w:val="2"/>
              </w:rPr>
            </w:pPr>
          </w:p>
        </w:tc>
        <w:tc>
          <w:tcPr>
            <w:tcW w:w="975" w:type="dxa"/>
            <w:vMerge/>
            <w:tcBorders>
              <w:top w:val="nil"/>
            </w:tcBorders>
          </w:tcPr>
          <w:p>
            <w:pPr>
              <w:rPr>
                <w:sz w:val="2"/>
                <w:szCs w:val="2"/>
              </w:rPr>
            </w:pPr>
          </w:p>
        </w:tc>
        <w:tc>
          <w:tcPr>
            <w:tcW w:w="1386" w:type="dxa"/>
            <w:vMerge/>
            <w:tcBorders>
              <w:top w:val="nil"/>
            </w:tcBorders>
          </w:tcPr>
          <w:p>
            <w:pPr>
              <w:rPr>
                <w:sz w:val="2"/>
                <w:szCs w:val="2"/>
              </w:rPr>
            </w:pPr>
          </w:p>
        </w:tc>
        <w:tc>
          <w:tcPr>
            <w:tcW w:w="1087" w:type="dxa"/>
            <w:vMerge/>
            <w:tcBorders>
              <w:top w:val="nil"/>
            </w:tcBorders>
          </w:tcPr>
          <w:p>
            <w:pPr>
              <w:rPr>
                <w:sz w:val="2"/>
                <w:szCs w:val="2"/>
              </w:rPr>
            </w:pPr>
          </w:p>
        </w:tc>
        <w:tc>
          <w:tcPr>
            <w:tcW w:w="5299" w:type="dxa"/>
            <w:tcBorders>
              <w:top w:val="nil"/>
            </w:tcBorders>
          </w:tcPr>
          <w:p>
            <w:pPr>
              <w:pStyle w:val="TableParagraph"/>
              <w:spacing w:line="287" w:lineRule="exact"/>
              <w:ind w:left="108"/>
              <w:rPr>
                <w:sz w:val="24"/>
              </w:rPr>
            </w:pPr>
            <w:r>
              <w:rPr>
                <w:sz w:val="24"/>
              </w:rPr>
              <w:t>符合安全要求</w:t>
            </w:r>
          </w:p>
        </w:tc>
      </w:tr>
      <w:tr>
        <w:trPr>
          <w:trHeight w:val="404" w:hRule="atLeast"/>
        </w:trPr>
        <w:tc>
          <w:tcPr>
            <w:tcW w:w="788" w:type="dxa"/>
            <w:tcBorders>
              <w:bottom w:val="nil"/>
            </w:tcBorders>
          </w:tcPr>
          <w:p>
            <w:pPr>
              <w:pStyle w:val="TableParagraph"/>
              <w:rPr>
                <w:rFonts w:ascii="Times New Roman"/>
                <w:sz w:val="22"/>
              </w:rPr>
            </w:pPr>
          </w:p>
        </w:tc>
        <w:tc>
          <w:tcPr>
            <w:tcW w:w="975" w:type="dxa"/>
            <w:vMerge/>
            <w:tcBorders>
              <w:top w:val="nil"/>
            </w:tcBorders>
          </w:tcPr>
          <w:p>
            <w:pPr>
              <w:rPr>
                <w:sz w:val="2"/>
                <w:szCs w:val="2"/>
              </w:rPr>
            </w:pPr>
          </w:p>
        </w:tc>
        <w:tc>
          <w:tcPr>
            <w:tcW w:w="1386" w:type="dxa"/>
            <w:tcBorders>
              <w:bottom w:val="nil"/>
            </w:tcBorders>
          </w:tcPr>
          <w:p>
            <w:pPr>
              <w:pStyle w:val="TableParagraph"/>
              <w:rPr>
                <w:rFonts w:ascii="Times New Roman"/>
                <w:sz w:val="22"/>
              </w:rPr>
            </w:pPr>
          </w:p>
        </w:tc>
        <w:tc>
          <w:tcPr>
            <w:tcW w:w="1087" w:type="dxa"/>
            <w:tcBorders>
              <w:bottom w:val="nil"/>
            </w:tcBorders>
          </w:tcPr>
          <w:p>
            <w:pPr>
              <w:pStyle w:val="TableParagraph"/>
              <w:rPr>
                <w:rFonts w:ascii="Times New Roman"/>
                <w:sz w:val="22"/>
              </w:rPr>
            </w:pPr>
          </w:p>
        </w:tc>
        <w:tc>
          <w:tcPr>
            <w:tcW w:w="5299" w:type="dxa"/>
            <w:tcBorders>
              <w:bottom w:val="nil"/>
            </w:tcBorders>
          </w:tcPr>
          <w:p>
            <w:pPr>
              <w:pStyle w:val="TableParagraph"/>
              <w:spacing w:line="285" w:lineRule="exact" w:before="100"/>
              <w:ind w:left="108"/>
              <w:rPr>
                <w:sz w:val="24"/>
              </w:rPr>
            </w:pPr>
            <w:r>
              <w:rPr>
                <w:sz w:val="24"/>
              </w:rPr>
              <w:t>起重机械未按规定经有相应资质的检验检测机构</w:t>
            </w:r>
          </w:p>
        </w:tc>
      </w:tr>
      <w:tr>
        <w:trPr>
          <w:trHeight w:val="300" w:hRule="atLeast"/>
        </w:trPr>
        <w:tc>
          <w:tcPr>
            <w:tcW w:w="788" w:type="dxa"/>
            <w:tcBorders>
              <w:top w:val="nil"/>
              <w:bottom w:val="nil"/>
            </w:tcBorders>
          </w:tcPr>
          <w:p>
            <w:pPr>
              <w:pStyle w:val="TableParagraph"/>
              <w:rPr>
                <w:rFonts w:ascii="Times New Roman"/>
                <w:sz w:val="22"/>
              </w:rPr>
            </w:pPr>
          </w:p>
        </w:tc>
        <w:tc>
          <w:tcPr>
            <w:tcW w:w="975" w:type="dxa"/>
            <w:vMerge/>
            <w:tcBorders>
              <w:top w:val="nil"/>
            </w:tcBorders>
          </w:tcPr>
          <w:p>
            <w:pPr>
              <w:rPr>
                <w:sz w:val="2"/>
                <w:szCs w:val="2"/>
              </w:rPr>
            </w:pPr>
          </w:p>
        </w:tc>
        <w:tc>
          <w:tcPr>
            <w:tcW w:w="1386" w:type="dxa"/>
            <w:tcBorders>
              <w:top w:val="nil"/>
              <w:bottom w:val="nil"/>
            </w:tcBorders>
          </w:tcPr>
          <w:p>
            <w:pPr>
              <w:pStyle w:val="TableParagraph"/>
              <w:rPr>
                <w:rFonts w:ascii="Times New Roman"/>
                <w:sz w:val="22"/>
              </w:rPr>
            </w:pPr>
          </w:p>
        </w:tc>
        <w:tc>
          <w:tcPr>
            <w:tcW w:w="1087" w:type="dxa"/>
            <w:tcBorders>
              <w:top w:val="nil"/>
              <w:bottom w:val="nil"/>
            </w:tcBorders>
          </w:tcPr>
          <w:p>
            <w:pPr>
              <w:pStyle w:val="TableParagraph"/>
              <w:rPr>
                <w:rFonts w:ascii="Times New Roman"/>
                <w:sz w:val="22"/>
              </w:rPr>
            </w:pPr>
          </w:p>
        </w:tc>
        <w:tc>
          <w:tcPr>
            <w:tcW w:w="5299" w:type="dxa"/>
            <w:tcBorders>
              <w:top w:val="nil"/>
              <w:bottom w:val="nil"/>
            </w:tcBorders>
          </w:tcPr>
          <w:p>
            <w:pPr>
              <w:pStyle w:val="TableParagraph"/>
              <w:spacing w:line="281" w:lineRule="exact"/>
              <w:ind w:left="108"/>
              <w:rPr>
                <w:sz w:val="24"/>
              </w:rPr>
            </w:pPr>
            <w:r>
              <w:rPr>
                <w:sz w:val="24"/>
              </w:rPr>
              <w:t>检验合格后投入使用；起重机械未配备荷载、变</w:t>
            </w:r>
          </w:p>
        </w:tc>
      </w:tr>
      <w:tr>
        <w:trPr>
          <w:trHeight w:val="923" w:hRule="atLeast"/>
        </w:trPr>
        <w:tc>
          <w:tcPr>
            <w:tcW w:w="788" w:type="dxa"/>
            <w:tcBorders>
              <w:top w:val="nil"/>
              <w:bottom w:val="nil"/>
            </w:tcBorders>
          </w:tcPr>
          <w:p>
            <w:pPr>
              <w:pStyle w:val="TableParagraph"/>
              <w:spacing w:before="9"/>
              <w:rPr>
                <w:rFonts w:ascii="Times New Roman"/>
                <w:sz w:val="26"/>
              </w:rPr>
            </w:pPr>
          </w:p>
          <w:p>
            <w:pPr>
              <w:pStyle w:val="TableParagraph"/>
              <w:ind w:left="134" w:right="124"/>
              <w:jc w:val="center"/>
              <w:rPr>
                <w:sz w:val="24"/>
              </w:rPr>
            </w:pPr>
            <w:r>
              <w:rPr>
                <w:sz w:val="24"/>
              </w:rPr>
              <w:t>10</w:t>
            </w:r>
          </w:p>
        </w:tc>
        <w:tc>
          <w:tcPr>
            <w:tcW w:w="975" w:type="dxa"/>
            <w:vMerge/>
            <w:tcBorders>
              <w:top w:val="nil"/>
            </w:tcBorders>
          </w:tcPr>
          <w:p>
            <w:pPr>
              <w:rPr>
                <w:sz w:val="2"/>
                <w:szCs w:val="2"/>
              </w:rPr>
            </w:pPr>
          </w:p>
        </w:tc>
        <w:tc>
          <w:tcPr>
            <w:tcW w:w="1386" w:type="dxa"/>
            <w:tcBorders>
              <w:top w:val="nil"/>
              <w:bottom w:val="nil"/>
            </w:tcBorders>
          </w:tcPr>
          <w:p>
            <w:pPr>
              <w:pStyle w:val="TableParagraph"/>
              <w:spacing w:line="242" w:lineRule="auto" w:before="152"/>
              <w:ind w:left="332" w:right="201" w:hanging="120"/>
              <w:rPr>
                <w:sz w:val="24"/>
              </w:rPr>
            </w:pPr>
            <w:r>
              <w:rPr>
                <w:sz w:val="24"/>
              </w:rPr>
              <w:t>起重吊装与运输</w:t>
            </w:r>
          </w:p>
        </w:tc>
        <w:tc>
          <w:tcPr>
            <w:tcW w:w="1087" w:type="dxa"/>
            <w:tcBorders>
              <w:top w:val="nil"/>
              <w:bottom w:val="nil"/>
            </w:tcBorders>
          </w:tcPr>
          <w:p>
            <w:pPr>
              <w:pStyle w:val="TableParagraph"/>
              <w:spacing w:before="9"/>
              <w:rPr>
                <w:rFonts w:ascii="Times New Roman"/>
                <w:sz w:val="26"/>
              </w:rPr>
            </w:pPr>
          </w:p>
          <w:p>
            <w:pPr>
              <w:pStyle w:val="TableParagraph"/>
              <w:ind w:left="102" w:right="94"/>
              <w:jc w:val="center"/>
              <w:rPr>
                <w:sz w:val="24"/>
              </w:rPr>
            </w:pPr>
            <w:r>
              <w:rPr>
                <w:sz w:val="24"/>
              </w:rPr>
              <w:t>SJ-J010</w:t>
            </w:r>
          </w:p>
        </w:tc>
        <w:tc>
          <w:tcPr>
            <w:tcW w:w="5299" w:type="dxa"/>
            <w:tcBorders>
              <w:top w:val="nil"/>
              <w:bottom w:val="nil"/>
            </w:tcBorders>
          </w:tcPr>
          <w:p>
            <w:pPr>
              <w:pStyle w:val="TableParagraph"/>
              <w:spacing w:line="304" w:lineRule="exact"/>
              <w:ind w:left="108" w:right="-29"/>
              <w:rPr>
                <w:sz w:val="24"/>
              </w:rPr>
            </w:pPr>
            <w:r>
              <w:rPr>
                <w:spacing w:val="-7"/>
                <w:sz w:val="24"/>
              </w:rPr>
              <w:t>幅等指示装置和荷载、力矩、高度、行程等限位、</w:t>
            </w:r>
          </w:p>
          <w:p>
            <w:pPr>
              <w:pStyle w:val="TableParagraph"/>
              <w:spacing w:line="310" w:lineRule="atLeast" w:before="2"/>
              <w:ind w:left="108" w:right="138"/>
              <w:rPr>
                <w:sz w:val="24"/>
              </w:rPr>
            </w:pPr>
            <w:r>
              <w:rPr>
                <w:sz w:val="24"/>
              </w:rPr>
              <w:t>限制及连锁装置；同一作业区两台及以上起重设备运行未制定防碰撞方案，且存在碰撞可能；隧</w:t>
            </w:r>
          </w:p>
        </w:tc>
      </w:tr>
      <w:tr>
        <w:trPr>
          <w:trHeight w:val="298" w:hRule="atLeast"/>
        </w:trPr>
        <w:tc>
          <w:tcPr>
            <w:tcW w:w="788" w:type="dxa"/>
            <w:tcBorders>
              <w:top w:val="nil"/>
              <w:bottom w:val="nil"/>
            </w:tcBorders>
          </w:tcPr>
          <w:p>
            <w:pPr>
              <w:pStyle w:val="TableParagraph"/>
              <w:rPr>
                <w:rFonts w:ascii="Times New Roman"/>
                <w:sz w:val="22"/>
              </w:rPr>
            </w:pPr>
          </w:p>
        </w:tc>
        <w:tc>
          <w:tcPr>
            <w:tcW w:w="975" w:type="dxa"/>
            <w:vMerge/>
            <w:tcBorders>
              <w:top w:val="nil"/>
            </w:tcBorders>
          </w:tcPr>
          <w:p>
            <w:pPr>
              <w:rPr>
                <w:sz w:val="2"/>
                <w:szCs w:val="2"/>
              </w:rPr>
            </w:pPr>
          </w:p>
        </w:tc>
        <w:tc>
          <w:tcPr>
            <w:tcW w:w="1386" w:type="dxa"/>
            <w:tcBorders>
              <w:top w:val="nil"/>
              <w:bottom w:val="nil"/>
            </w:tcBorders>
          </w:tcPr>
          <w:p>
            <w:pPr>
              <w:pStyle w:val="TableParagraph"/>
              <w:rPr>
                <w:rFonts w:ascii="Times New Roman"/>
                <w:sz w:val="22"/>
              </w:rPr>
            </w:pPr>
          </w:p>
        </w:tc>
        <w:tc>
          <w:tcPr>
            <w:tcW w:w="1087" w:type="dxa"/>
            <w:tcBorders>
              <w:top w:val="nil"/>
              <w:bottom w:val="nil"/>
            </w:tcBorders>
          </w:tcPr>
          <w:p>
            <w:pPr>
              <w:pStyle w:val="TableParagraph"/>
              <w:rPr>
                <w:rFonts w:ascii="Times New Roman"/>
                <w:sz w:val="22"/>
              </w:rPr>
            </w:pPr>
          </w:p>
        </w:tc>
        <w:tc>
          <w:tcPr>
            <w:tcW w:w="5299" w:type="dxa"/>
            <w:tcBorders>
              <w:top w:val="nil"/>
              <w:bottom w:val="nil"/>
            </w:tcBorders>
          </w:tcPr>
          <w:p>
            <w:pPr>
              <w:pStyle w:val="TableParagraph"/>
              <w:spacing w:line="279" w:lineRule="exact"/>
              <w:ind w:left="108"/>
              <w:rPr>
                <w:sz w:val="24"/>
              </w:rPr>
            </w:pPr>
            <w:r>
              <w:rPr>
                <w:sz w:val="24"/>
              </w:rPr>
              <w:t>洞竖（斜）井或沉井、人工挖孔桩井载人（货）</w:t>
            </w:r>
          </w:p>
        </w:tc>
      </w:tr>
      <w:tr>
        <w:trPr>
          <w:trHeight w:val="404" w:hRule="atLeast"/>
        </w:trPr>
        <w:tc>
          <w:tcPr>
            <w:tcW w:w="788" w:type="dxa"/>
            <w:tcBorders>
              <w:top w:val="nil"/>
            </w:tcBorders>
          </w:tcPr>
          <w:p>
            <w:pPr>
              <w:pStyle w:val="TableParagraph"/>
              <w:rPr>
                <w:rFonts w:ascii="Times New Roman"/>
                <w:sz w:val="22"/>
              </w:rPr>
            </w:pPr>
          </w:p>
        </w:tc>
        <w:tc>
          <w:tcPr>
            <w:tcW w:w="975" w:type="dxa"/>
            <w:vMerge/>
            <w:tcBorders>
              <w:top w:val="nil"/>
            </w:tcBorders>
          </w:tcPr>
          <w:p>
            <w:pPr>
              <w:rPr>
                <w:sz w:val="2"/>
                <w:szCs w:val="2"/>
              </w:rPr>
            </w:pPr>
          </w:p>
        </w:tc>
        <w:tc>
          <w:tcPr>
            <w:tcW w:w="1386" w:type="dxa"/>
            <w:tcBorders>
              <w:top w:val="nil"/>
            </w:tcBorders>
          </w:tcPr>
          <w:p>
            <w:pPr>
              <w:pStyle w:val="TableParagraph"/>
              <w:rPr>
                <w:rFonts w:ascii="Times New Roman"/>
                <w:sz w:val="22"/>
              </w:rPr>
            </w:pPr>
          </w:p>
        </w:tc>
        <w:tc>
          <w:tcPr>
            <w:tcW w:w="1087" w:type="dxa"/>
            <w:tcBorders>
              <w:top w:val="nil"/>
            </w:tcBorders>
          </w:tcPr>
          <w:p>
            <w:pPr>
              <w:pStyle w:val="TableParagraph"/>
              <w:rPr>
                <w:rFonts w:ascii="Times New Roman"/>
                <w:sz w:val="22"/>
              </w:rPr>
            </w:pPr>
          </w:p>
        </w:tc>
        <w:tc>
          <w:tcPr>
            <w:tcW w:w="5299" w:type="dxa"/>
            <w:tcBorders>
              <w:top w:val="nil"/>
            </w:tcBorders>
          </w:tcPr>
          <w:p>
            <w:pPr>
              <w:pStyle w:val="TableParagraph"/>
              <w:spacing w:line="305" w:lineRule="exact"/>
              <w:ind w:left="108"/>
              <w:rPr>
                <w:sz w:val="24"/>
              </w:rPr>
            </w:pPr>
            <w:r>
              <w:rPr>
                <w:sz w:val="24"/>
              </w:rPr>
              <w:t>提升机械未设置安全装置或安全装置不灵敏</w:t>
            </w:r>
          </w:p>
        </w:tc>
      </w:tr>
      <w:tr>
        <w:trPr>
          <w:trHeight w:val="419" w:hRule="atLeast"/>
        </w:trPr>
        <w:tc>
          <w:tcPr>
            <w:tcW w:w="788" w:type="dxa"/>
            <w:tcBorders>
              <w:bottom w:val="nil"/>
            </w:tcBorders>
          </w:tcPr>
          <w:p>
            <w:pPr>
              <w:pStyle w:val="TableParagraph"/>
              <w:rPr>
                <w:rFonts w:ascii="Times New Roman"/>
                <w:sz w:val="22"/>
              </w:rPr>
            </w:pPr>
          </w:p>
        </w:tc>
        <w:tc>
          <w:tcPr>
            <w:tcW w:w="975" w:type="dxa"/>
            <w:vMerge/>
            <w:tcBorders>
              <w:top w:val="nil"/>
            </w:tcBorders>
          </w:tcPr>
          <w:p>
            <w:pPr>
              <w:rPr>
                <w:sz w:val="2"/>
                <w:szCs w:val="2"/>
              </w:rPr>
            </w:pPr>
          </w:p>
        </w:tc>
        <w:tc>
          <w:tcPr>
            <w:tcW w:w="1386" w:type="dxa"/>
            <w:tcBorders>
              <w:bottom w:val="nil"/>
            </w:tcBorders>
          </w:tcPr>
          <w:p>
            <w:pPr>
              <w:pStyle w:val="TableParagraph"/>
              <w:rPr>
                <w:rFonts w:ascii="Times New Roman"/>
                <w:sz w:val="22"/>
              </w:rPr>
            </w:pPr>
          </w:p>
        </w:tc>
        <w:tc>
          <w:tcPr>
            <w:tcW w:w="1087" w:type="dxa"/>
            <w:tcBorders>
              <w:bottom w:val="nil"/>
            </w:tcBorders>
          </w:tcPr>
          <w:p>
            <w:pPr>
              <w:pStyle w:val="TableParagraph"/>
              <w:rPr>
                <w:rFonts w:ascii="Times New Roman"/>
                <w:sz w:val="22"/>
              </w:rPr>
            </w:pPr>
          </w:p>
        </w:tc>
        <w:tc>
          <w:tcPr>
            <w:tcW w:w="5299" w:type="dxa"/>
            <w:tcBorders>
              <w:bottom w:val="nil"/>
            </w:tcBorders>
          </w:tcPr>
          <w:p>
            <w:pPr>
              <w:pStyle w:val="TableParagraph"/>
              <w:spacing w:line="285" w:lineRule="exact" w:before="115"/>
              <w:ind w:left="108"/>
              <w:rPr>
                <w:sz w:val="24"/>
              </w:rPr>
            </w:pPr>
            <w:r>
              <w:rPr>
                <w:sz w:val="24"/>
              </w:rPr>
              <w:t>大中型水利水电工程金属结构施工采用临时钢</w:t>
            </w:r>
          </w:p>
        </w:tc>
      </w:tr>
      <w:tr>
        <w:trPr>
          <w:trHeight w:val="923" w:hRule="atLeast"/>
        </w:trPr>
        <w:tc>
          <w:tcPr>
            <w:tcW w:w="788" w:type="dxa"/>
            <w:tcBorders>
              <w:top w:val="nil"/>
              <w:bottom w:val="nil"/>
            </w:tcBorders>
          </w:tcPr>
          <w:p>
            <w:pPr>
              <w:pStyle w:val="TableParagraph"/>
              <w:spacing w:before="10"/>
              <w:rPr>
                <w:rFonts w:ascii="Times New Roman"/>
                <w:sz w:val="26"/>
              </w:rPr>
            </w:pPr>
          </w:p>
          <w:p>
            <w:pPr>
              <w:pStyle w:val="TableParagraph"/>
              <w:ind w:left="134" w:right="124"/>
              <w:jc w:val="center"/>
              <w:rPr>
                <w:sz w:val="24"/>
              </w:rPr>
            </w:pPr>
            <w:r>
              <w:rPr>
                <w:sz w:val="24"/>
              </w:rPr>
              <w:t>11</w:t>
            </w:r>
          </w:p>
        </w:tc>
        <w:tc>
          <w:tcPr>
            <w:tcW w:w="975" w:type="dxa"/>
            <w:vMerge/>
            <w:tcBorders>
              <w:top w:val="nil"/>
            </w:tcBorders>
          </w:tcPr>
          <w:p>
            <w:pPr>
              <w:rPr>
                <w:sz w:val="2"/>
                <w:szCs w:val="2"/>
              </w:rPr>
            </w:pPr>
          </w:p>
        </w:tc>
        <w:tc>
          <w:tcPr>
            <w:tcW w:w="1386" w:type="dxa"/>
            <w:tcBorders>
              <w:top w:val="nil"/>
              <w:bottom w:val="nil"/>
            </w:tcBorders>
          </w:tcPr>
          <w:p>
            <w:pPr>
              <w:pStyle w:val="TableParagraph"/>
              <w:spacing w:line="242" w:lineRule="auto" w:before="153"/>
              <w:ind w:left="332" w:right="201" w:hanging="120"/>
              <w:rPr>
                <w:sz w:val="24"/>
              </w:rPr>
            </w:pPr>
            <w:r>
              <w:rPr>
                <w:sz w:val="24"/>
              </w:rPr>
              <w:t>起重吊装与运输</w:t>
            </w:r>
          </w:p>
        </w:tc>
        <w:tc>
          <w:tcPr>
            <w:tcW w:w="1087" w:type="dxa"/>
            <w:tcBorders>
              <w:top w:val="nil"/>
              <w:bottom w:val="nil"/>
            </w:tcBorders>
          </w:tcPr>
          <w:p>
            <w:pPr>
              <w:pStyle w:val="TableParagraph"/>
              <w:spacing w:before="10"/>
              <w:rPr>
                <w:rFonts w:ascii="Times New Roman"/>
                <w:sz w:val="26"/>
              </w:rPr>
            </w:pPr>
          </w:p>
          <w:p>
            <w:pPr>
              <w:pStyle w:val="TableParagraph"/>
              <w:ind w:left="102" w:right="94"/>
              <w:jc w:val="center"/>
              <w:rPr>
                <w:sz w:val="24"/>
              </w:rPr>
            </w:pPr>
            <w:r>
              <w:rPr>
                <w:sz w:val="24"/>
              </w:rPr>
              <w:t>SJ-J011</w:t>
            </w:r>
          </w:p>
        </w:tc>
        <w:tc>
          <w:tcPr>
            <w:tcW w:w="5299" w:type="dxa"/>
            <w:tcBorders>
              <w:top w:val="nil"/>
              <w:bottom w:val="nil"/>
            </w:tcBorders>
          </w:tcPr>
          <w:p>
            <w:pPr>
              <w:pStyle w:val="TableParagraph"/>
              <w:spacing w:line="242" w:lineRule="auto"/>
              <w:ind w:left="108" w:right="-29"/>
              <w:rPr>
                <w:sz w:val="24"/>
              </w:rPr>
            </w:pPr>
            <w:r>
              <w:rPr>
                <w:sz w:val="24"/>
              </w:rPr>
              <w:t>梁、龙门架、天锚起吊闸门、钢管前，未对其结</w:t>
            </w:r>
            <w:r>
              <w:rPr>
                <w:spacing w:val="-8"/>
                <w:sz w:val="24"/>
              </w:rPr>
              <w:t>构和吊点进行设计计算、履行审批审查验收手续，</w:t>
            </w:r>
          </w:p>
          <w:p>
            <w:pPr>
              <w:pStyle w:val="TableParagraph"/>
              <w:spacing w:line="285" w:lineRule="exact"/>
              <w:ind w:left="108" w:right="-29"/>
              <w:rPr>
                <w:sz w:val="24"/>
              </w:rPr>
            </w:pPr>
            <w:r>
              <w:rPr>
                <w:spacing w:val="-7"/>
                <w:sz w:val="24"/>
              </w:rPr>
              <w:t>未进行相应的负荷试验；闸门、钢管上的吊耳板、</w:t>
            </w:r>
          </w:p>
        </w:tc>
      </w:tr>
      <w:tr>
        <w:trPr>
          <w:trHeight w:val="420" w:hRule="atLeast"/>
        </w:trPr>
        <w:tc>
          <w:tcPr>
            <w:tcW w:w="788" w:type="dxa"/>
            <w:tcBorders>
              <w:top w:val="nil"/>
            </w:tcBorders>
          </w:tcPr>
          <w:p>
            <w:pPr>
              <w:pStyle w:val="TableParagraph"/>
              <w:rPr>
                <w:rFonts w:ascii="Times New Roman"/>
                <w:sz w:val="22"/>
              </w:rPr>
            </w:pPr>
          </w:p>
        </w:tc>
        <w:tc>
          <w:tcPr>
            <w:tcW w:w="975" w:type="dxa"/>
            <w:vMerge/>
            <w:tcBorders>
              <w:top w:val="nil"/>
            </w:tcBorders>
          </w:tcPr>
          <w:p>
            <w:pPr>
              <w:rPr>
                <w:sz w:val="2"/>
                <w:szCs w:val="2"/>
              </w:rPr>
            </w:pPr>
          </w:p>
        </w:tc>
        <w:tc>
          <w:tcPr>
            <w:tcW w:w="1386" w:type="dxa"/>
            <w:tcBorders>
              <w:top w:val="nil"/>
            </w:tcBorders>
          </w:tcPr>
          <w:p>
            <w:pPr>
              <w:pStyle w:val="TableParagraph"/>
              <w:rPr>
                <w:rFonts w:ascii="Times New Roman"/>
                <w:sz w:val="22"/>
              </w:rPr>
            </w:pPr>
          </w:p>
        </w:tc>
        <w:tc>
          <w:tcPr>
            <w:tcW w:w="1087" w:type="dxa"/>
            <w:tcBorders>
              <w:top w:val="nil"/>
            </w:tcBorders>
          </w:tcPr>
          <w:p>
            <w:pPr>
              <w:pStyle w:val="TableParagraph"/>
              <w:rPr>
                <w:rFonts w:ascii="Times New Roman"/>
                <w:sz w:val="22"/>
              </w:rPr>
            </w:pPr>
          </w:p>
        </w:tc>
        <w:tc>
          <w:tcPr>
            <w:tcW w:w="5299" w:type="dxa"/>
            <w:tcBorders>
              <w:top w:val="nil"/>
            </w:tcBorders>
          </w:tcPr>
          <w:p>
            <w:pPr>
              <w:pStyle w:val="TableParagraph"/>
              <w:spacing w:line="305" w:lineRule="exact"/>
              <w:ind w:left="108"/>
              <w:rPr>
                <w:sz w:val="24"/>
              </w:rPr>
            </w:pPr>
            <w:r>
              <w:rPr>
                <w:sz w:val="24"/>
              </w:rPr>
              <w:t>焊缝未经检查检测和强度验算投入使用</w:t>
            </w:r>
          </w:p>
        </w:tc>
      </w:tr>
      <w:tr>
        <w:trPr>
          <w:trHeight w:val="394" w:hRule="atLeast"/>
        </w:trPr>
        <w:tc>
          <w:tcPr>
            <w:tcW w:w="788" w:type="dxa"/>
            <w:tcBorders>
              <w:bottom w:val="nil"/>
            </w:tcBorders>
          </w:tcPr>
          <w:p>
            <w:pPr>
              <w:pStyle w:val="TableParagraph"/>
              <w:rPr>
                <w:rFonts w:ascii="Times New Roman"/>
                <w:sz w:val="22"/>
              </w:rPr>
            </w:pPr>
          </w:p>
        </w:tc>
        <w:tc>
          <w:tcPr>
            <w:tcW w:w="975" w:type="dxa"/>
            <w:vMerge/>
            <w:tcBorders>
              <w:top w:val="nil"/>
            </w:tcBorders>
          </w:tcPr>
          <w:p>
            <w:pPr>
              <w:rPr>
                <w:sz w:val="2"/>
                <w:szCs w:val="2"/>
              </w:rPr>
            </w:pPr>
          </w:p>
        </w:tc>
        <w:tc>
          <w:tcPr>
            <w:tcW w:w="1386" w:type="dxa"/>
            <w:tcBorders>
              <w:bottom w:val="nil"/>
            </w:tcBorders>
          </w:tcPr>
          <w:p>
            <w:pPr>
              <w:pStyle w:val="TableParagraph"/>
              <w:rPr>
                <w:rFonts w:ascii="Times New Roman"/>
                <w:sz w:val="22"/>
              </w:rPr>
            </w:pPr>
          </w:p>
        </w:tc>
        <w:tc>
          <w:tcPr>
            <w:tcW w:w="1087" w:type="dxa"/>
            <w:tcBorders>
              <w:bottom w:val="nil"/>
            </w:tcBorders>
          </w:tcPr>
          <w:p>
            <w:pPr>
              <w:pStyle w:val="TableParagraph"/>
              <w:rPr>
                <w:rFonts w:ascii="Times New Roman"/>
                <w:sz w:val="22"/>
              </w:rPr>
            </w:pPr>
          </w:p>
        </w:tc>
        <w:tc>
          <w:tcPr>
            <w:tcW w:w="5299" w:type="dxa"/>
            <w:tcBorders>
              <w:bottom w:val="nil"/>
            </w:tcBorders>
          </w:tcPr>
          <w:p>
            <w:pPr>
              <w:pStyle w:val="TableParagraph"/>
              <w:spacing w:line="285" w:lineRule="exact" w:before="90"/>
              <w:ind w:left="108"/>
              <w:rPr>
                <w:sz w:val="24"/>
              </w:rPr>
            </w:pPr>
            <w:r>
              <w:rPr>
                <w:sz w:val="24"/>
              </w:rPr>
              <w:t>断层、裂隙、破碎带等不良地质构造的高边坡，</w:t>
            </w:r>
          </w:p>
        </w:tc>
      </w:tr>
      <w:tr>
        <w:trPr>
          <w:trHeight w:val="612" w:hRule="atLeast"/>
        </w:trPr>
        <w:tc>
          <w:tcPr>
            <w:tcW w:w="788" w:type="dxa"/>
            <w:tcBorders>
              <w:top w:val="nil"/>
              <w:bottom w:val="nil"/>
            </w:tcBorders>
          </w:tcPr>
          <w:p>
            <w:pPr>
              <w:pStyle w:val="TableParagraph"/>
              <w:spacing w:before="153"/>
              <w:ind w:left="134" w:right="124"/>
              <w:jc w:val="center"/>
              <w:rPr>
                <w:sz w:val="24"/>
              </w:rPr>
            </w:pPr>
            <w:r>
              <w:rPr>
                <w:sz w:val="24"/>
              </w:rPr>
              <w:t>12</w:t>
            </w:r>
          </w:p>
        </w:tc>
        <w:tc>
          <w:tcPr>
            <w:tcW w:w="975" w:type="dxa"/>
            <w:vMerge/>
            <w:tcBorders>
              <w:top w:val="nil"/>
            </w:tcBorders>
          </w:tcPr>
          <w:p>
            <w:pPr>
              <w:rPr>
                <w:sz w:val="2"/>
                <w:szCs w:val="2"/>
              </w:rPr>
            </w:pPr>
          </w:p>
        </w:tc>
        <w:tc>
          <w:tcPr>
            <w:tcW w:w="1386" w:type="dxa"/>
            <w:tcBorders>
              <w:top w:val="nil"/>
              <w:bottom w:val="nil"/>
            </w:tcBorders>
          </w:tcPr>
          <w:p>
            <w:pPr>
              <w:pStyle w:val="TableParagraph"/>
              <w:spacing w:line="305" w:lineRule="exact"/>
              <w:ind w:left="73" w:right="63"/>
              <w:jc w:val="center"/>
              <w:rPr>
                <w:sz w:val="24"/>
              </w:rPr>
            </w:pPr>
            <w:r>
              <w:rPr>
                <w:sz w:val="24"/>
              </w:rPr>
              <w:t>高边坡、深</w:t>
            </w:r>
          </w:p>
          <w:p>
            <w:pPr>
              <w:pStyle w:val="TableParagraph"/>
              <w:spacing w:line="284" w:lineRule="exact" w:before="4"/>
              <w:ind w:left="72" w:right="63"/>
              <w:jc w:val="center"/>
              <w:rPr>
                <w:sz w:val="24"/>
              </w:rPr>
            </w:pPr>
            <w:r>
              <w:rPr>
                <w:sz w:val="24"/>
              </w:rPr>
              <w:t>基坑</w:t>
            </w:r>
          </w:p>
        </w:tc>
        <w:tc>
          <w:tcPr>
            <w:tcW w:w="1087" w:type="dxa"/>
            <w:tcBorders>
              <w:top w:val="nil"/>
              <w:bottom w:val="nil"/>
            </w:tcBorders>
          </w:tcPr>
          <w:p>
            <w:pPr>
              <w:pStyle w:val="TableParagraph"/>
              <w:spacing w:before="153"/>
              <w:ind w:left="102" w:right="94"/>
              <w:jc w:val="center"/>
              <w:rPr>
                <w:sz w:val="24"/>
              </w:rPr>
            </w:pPr>
            <w:r>
              <w:rPr>
                <w:sz w:val="24"/>
              </w:rPr>
              <w:t>SJ-J012</w:t>
            </w:r>
          </w:p>
        </w:tc>
        <w:tc>
          <w:tcPr>
            <w:tcW w:w="5299" w:type="dxa"/>
            <w:tcBorders>
              <w:top w:val="nil"/>
              <w:bottom w:val="nil"/>
            </w:tcBorders>
          </w:tcPr>
          <w:p>
            <w:pPr>
              <w:pStyle w:val="TableParagraph"/>
              <w:spacing w:line="305" w:lineRule="exact"/>
              <w:ind w:left="108"/>
              <w:rPr>
                <w:sz w:val="24"/>
              </w:rPr>
            </w:pPr>
            <w:r>
              <w:rPr>
                <w:sz w:val="24"/>
              </w:rPr>
              <w:t>未按设计要求及时采取支护措施或未经验收合格</w:t>
            </w:r>
          </w:p>
          <w:p>
            <w:pPr>
              <w:pStyle w:val="TableParagraph"/>
              <w:spacing w:line="284" w:lineRule="exact" w:before="4"/>
              <w:ind w:left="108"/>
              <w:rPr>
                <w:sz w:val="24"/>
              </w:rPr>
            </w:pPr>
            <w:r>
              <w:rPr>
                <w:sz w:val="24"/>
              </w:rPr>
              <w:t>即进行下一梯段施工；深基坑土方开挖放坡坡度</w:t>
            </w:r>
          </w:p>
        </w:tc>
      </w:tr>
      <w:tr>
        <w:trPr>
          <w:trHeight w:val="395" w:hRule="atLeast"/>
        </w:trPr>
        <w:tc>
          <w:tcPr>
            <w:tcW w:w="788" w:type="dxa"/>
            <w:tcBorders>
              <w:top w:val="nil"/>
            </w:tcBorders>
          </w:tcPr>
          <w:p>
            <w:pPr>
              <w:pStyle w:val="TableParagraph"/>
              <w:rPr>
                <w:rFonts w:ascii="Times New Roman"/>
                <w:sz w:val="22"/>
              </w:rPr>
            </w:pPr>
          </w:p>
        </w:tc>
        <w:tc>
          <w:tcPr>
            <w:tcW w:w="975" w:type="dxa"/>
            <w:vMerge/>
            <w:tcBorders>
              <w:top w:val="nil"/>
            </w:tcBorders>
          </w:tcPr>
          <w:p>
            <w:pPr>
              <w:rPr>
                <w:sz w:val="2"/>
                <w:szCs w:val="2"/>
              </w:rPr>
            </w:pPr>
          </w:p>
        </w:tc>
        <w:tc>
          <w:tcPr>
            <w:tcW w:w="1386" w:type="dxa"/>
            <w:tcBorders>
              <w:top w:val="nil"/>
            </w:tcBorders>
          </w:tcPr>
          <w:p>
            <w:pPr>
              <w:pStyle w:val="TableParagraph"/>
              <w:rPr>
                <w:rFonts w:ascii="Times New Roman"/>
                <w:sz w:val="22"/>
              </w:rPr>
            </w:pPr>
          </w:p>
        </w:tc>
        <w:tc>
          <w:tcPr>
            <w:tcW w:w="1087" w:type="dxa"/>
            <w:tcBorders>
              <w:top w:val="nil"/>
            </w:tcBorders>
          </w:tcPr>
          <w:p>
            <w:pPr>
              <w:pStyle w:val="TableParagraph"/>
              <w:rPr>
                <w:rFonts w:ascii="Times New Roman"/>
                <w:sz w:val="22"/>
              </w:rPr>
            </w:pPr>
          </w:p>
        </w:tc>
        <w:tc>
          <w:tcPr>
            <w:tcW w:w="5299" w:type="dxa"/>
            <w:tcBorders>
              <w:top w:val="nil"/>
            </w:tcBorders>
          </w:tcPr>
          <w:p>
            <w:pPr>
              <w:pStyle w:val="TableParagraph"/>
              <w:spacing w:line="304" w:lineRule="exact"/>
              <w:ind w:left="108"/>
              <w:rPr>
                <w:sz w:val="24"/>
              </w:rPr>
            </w:pPr>
            <w:r>
              <w:rPr>
                <w:sz w:val="24"/>
              </w:rPr>
              <w:t>不满足其稳定性要求且未采取加固措施</w:t>
            </w:r>
          </w:p>
        </w:tc>
      </w:tr>
      <w:tr>
        <w:trPr>
          <w:trHeight w:val="310" w:hRule="atLeast"/>
        </w:trPr>
        <w:tc>
          <w:tcPr>
            <w:tcW w:w="788" w:type="dxa"/>
            <w:tcBorders>
              <w:bottom w:val="nil"/>
            </w:tcBorders>
          </w:tcPr>
          <w:p>
            <w:pPr>
              <w:pStyle w:val="TableParagraph"/>
              <w:rPr>
                <w:rFonts w:ascii="Times New Roman"/>
                <w:sz w:val="22"/>
              </w:rPr>
            </w:pPr>
          </w:p>
        </w:tc>
        <w:tc>
          <w:tcPr>
            <w:tcW w:w="975" w:type="dxa"/>
            <w:vMerge/>
            <w:tcBorders>
              <w:top w:val="nil"/>
            </w:tcBorders>
          </w:tcPr>
          <w:p>
            <w:pPr>
              <w:rPr>
                <w:sz w:val="2"/>
                <w:szCs w:val="2"/>
              </w:rPr>
            </w:pPr>
          </w:p>
        </w:tc>
        <w:tc>
          <w:tcPr>
            <w:tcW w:w="1386" w:type="dxa"/>
            <w:tcBorders>
              <w:bottom w:val="nil"/>
            </w:tcBorders>
          </w:tcPr>
          <w:p>
            <w:pPr>
              <w:pStyle w:val="TableParagraph"/>
              <w:rPr>
                <w:rFonts w:ascii="Times New Roman"/>
                <w:sz w:val="22"/>
              </w:rPr>
            </w:pPr>
          </w:p>
        </w:tc>
        <w:tc>
          <w:tcPr>
            <w:tcW w:w="1087" w:type="dxa"/>
            <w:tcBorders>
              <w:bottom w:val="nil"/>
            </w:tcBorders>
          </w:tcPr>
          <w:p>
            <w:pPr>
              <w:pStyle w:val="TableParagraph"/>
              <w:rPr>
                <w:rFonts w:ascii="Times New Roman"/>
                <w:sz w:val="22"/>
              </w:rPr>
            </w:pPr>
          </w:p>
        </w:tc>
        <w:tc>
          <w:tcPr>
            <w:tcW w:w="5299" w:type="dxa"/>
            <w:tcBorders>
              <w:bottom w:val="nil"/>
            </w:tcBorders>
          </w:tcPr>
          <w:p>
            <w:pPr>
              <w:pStyle w:val="TableParagraph"/>
              <w:spacing w:line="285" w:lineRule="exact" w:before="6"/>
              <w:ind w:left="108"/>
              <w:rPr>
                <w:sz w:val="24"/>
              </w:rPr>
            </w:pPr>
            <w:r>
              <w:rPr>
                <w:sz w:val="24"/>
              </w:rPr>
              <w:t>遇到下列九种情况之一，未按有关规定及时进行</w:t>
            </w:r>
          </w:p>
        </w:tc>
      </w:tr>
      <w:tr>
        <w:trPr>
          <w:trHeight w:val="300" w:hRule="atLeast"/>
        </w:trPr>
        <w:tc>
          <w:tcPr>
            <w:tcW w:w="788" w:type="dxa"/>
            <w:tcBorders>
              <w:top w:val="nil"/>
              <w:bottom w:val="nil"/>
            </w:tcBorders>
          </w:tcPr>
          <w:p>
            <w:pPr>
              <w:pStyle w:val="TableParagraph"/>
              <w:rPr>
                <w:rFonts w:ascii="Times New Roman"/>
                <w:sz w:val="22"/>
              </w:rPr>
            </w:pPr>
          </w:p>
        </w:tc>
        <w:tc>
          <w:tcPr>
            <w:tcW w:w="975" w:type="dxa"/>
            <w:vMerge/>
            <w:tcBorders>
              <w:top w:val="nil"/>
            </w:tcBorders>
          </w:tcPr>
          <w:p>
            <w:pPr>
              <w:rPr>
                <w:sz w:val="2"/>
                <w:szCs w:val="2"/>
              </w:rPr>
            </w:pPr>
          </w:p>
        </w:tc>
        <w:tc>
          <w:tcPr>
            <w:tcW w:w="1386" w:type="dxa"/>
            <w:tcBorders>
              <w:top w:val="nil"/>
              <w:bottom w:val="nil"/>
            </w:tcBorders>
          </w:tcPr>
          <w:p>
            <w:pPr>
              <w:pStyle w:val="TableParagraph"/>
              <w:rPr>
                <w:rFonts w:ascii="Times New Roman"/>
                <w:sz w:val="22"/>
              </w:rPr>
            </w:pPr>
          </w:p>
        </w:tc>
        <w:tc>
          <w:tcPr>
            <w:tcW w:w="1087" w:type="dxa"/>
            <w:tcBorders>
              <w:top w:val="nil"/>
              <w:bottom w:val="nil"/>
            </w:tcBorders>
          </w:tcPr>
          <w:p>
            <w:pPr>
              <w:pStyle w:val="TableParagraph"/>
              <w:rPr>
                <w:rFonts w:ascii="Times New Roman"/>
                <w:sz w:val="22"/>
              </w:rPr>
            </w:pPr>
          </w:p>
        </w:tc>
        <w:tc>
          <w:tcPr>
            <w:tcW w:w="5299" w:type="dxa"/>
            <w:tcBorders>
              <w:top w:val="nil"/>
              <w:bottom w:val="nil"/>
            </w:tcBorders>
          </w:tcPr>
          <w:p>
            <w:pPr>
              <w:pStyle w:val="TableParagraph"/>
              <w:spacing w:line="281" w:lineRule="exact"/>
              <w:ind w:left="108" w:right="-29"/>
              <w:rPr>
                <w:sz w:val="24"/>
              </w:rPr>
            </w:pPr>
            <w:r>
              <w:rPr>
                <w:spacing w:val="-3"/>
                <w:sz w:val="24"/>
              </w:rPr>
              <w:t>地质预报并采取措施：</w:t>
            </w:r>
            <w:r>
              <w:rPr>
                <w:spacing w:val="-27"/>
                <w:sz w:val="24"/>
              </w:rPr>
              <w:t>1.</w:t>
            </w:r>
            <w:r>
              <w:rPr>
                <w:sz w:val="24"/>
              </w:rPr>
              <w:t>隧洞出现围岩不断掉块，</w:t>
            </w:r>
          </w:p>
        </w:tc>
      </w:tr>
      <w:tr>
        <w:trPr>
          <w:trHeight w:val="300" w:hRule="atLeast"/>
        </w:trPr>
        <w:tc>
          <w:tcPr>
            <w:tcW w:w="788" w:type="dxa"/>
            <w:tcBorders>
              <w:top w:val="nil"/>
              <w:bottom w:val="nil"/>
            </w:tcBorders>
          </w:tcPr>
          <w:p>
            <w:pPr>
              <w:pStyle w:val="TableParagraph"/>
              <w:rPr>
                <w:rFonts w:ascii="Times New Roman"/>
                <w:sz w:val="22"/>
              </w:rPr>
            </w:pPr>
          </w:p>
        </w:tc>
        <w:tc>
          <w:tcPr>
            <w:tcW w:w="975" w:type="dxa"/>
            <w:vMerge/>
            <w:tcBorders>
              <w:top w:val="nil"/>
            </w:tcBorders>
          </w:tcPr>
          <w:p>
            <w:pPr>
              <w:rPr>
                <w:sz w:val="2"/>
                <w:szCs w:val="2"/>
              </w:rPr>
            </w:pPr>
          </w:p>
        </w:tc>
        <w:tc>
          <w:tcPr>
            <w:tcW w:w="1386" w:type="dxa"/>
            <w:tcBorders>
              <w:top w:val="nil"/>
              <w:bottom w:val="nil"/>
            </w:tcBorders>
          </w:tcPr>
          <w:p>
            <w:pPr>
              <w:pStyle w:val="TableParagraph"/>
              <w:rPr>
                <w:rFonts w:ascii="Times New Roman"/>
                <w:sz w:val="22"/>
              </w:rPr>
            </w:pPr>
          </w:p>
        </w:tc>
        <w:tc>
          <w:tcPr>
            <w:tcW w:w="1087" w:type="dxa"/>
            <w:tcBorders>
              <w:top w:val="nil"/>
              <w:bottom w:val="nil"/>
            </w:tcBorders>
          </w:tcPr>
          <w:p>
            <w:pPr>
              <w:pStyle w:val="TableParagraph"/>
              <w:rPr>
                <w:rFonts w:ascii="Times New Roman"/>
                <w:sz w:val="22"/>
              </w:rPr>
            </w:pPr>
          </w:p>
        </w:tc>
        <w:tc>
          <w:tcPr>
            <w:tcW w:w="5299" w:type="dxa"/>
            <w:tcBorders>
              <w:top w:val="nil"/>
              <w:bottom w:val="nil"/>
            </w:tcBorders>
          </w:tcPr>
          <w:p>
            <w:pPr>
              <w:pStyle w:val="TableParagraph"/>
              <w:spacing w:line="281" w:lineRule="exact"/>
              <w:ind w:left="108"/>
              <w:rPr>
                <w:sz w:val="24"/>
              </w:rPr>
            </w:pPr>
            <w:r>
              <w:rPr>
                <w:sz w:val="24"/>
              </w:rPr>
              <w:t>洞室内灰尘突然增多，喷层表面开裂，支撑变形</w:t>
            </w:r>
          </w:p>
        </w:tc>
      </w:tr>
      <w:tr>
        <w:trPr>
          <w:trHeight w:val="301" w:hRule="atLeast"/>
        </w:trPr>
        <w:tc>
          <w:tcPr>
            <w:tcW w:w="788" w:type="dxa"/>
            <w:tcBorders>
              <w:top w:val="nil"/>
              <w:bottom w:val="nil"/>
            </w:tcBorders>
          </w:tcPr>
          <w:p>
            <w:pPr>
              <w:pStyle w:val="TableParagraph"/>
              <w:rPr>
                <w:rFonts w:ascii="Times New Roman"/>
                <w:sz w:val="22"/>
              </w:rPr>
            </w:pPr>
          </w:p>
        </w:tc>
        <w:tc>
          <w:tcPr>
            <w:tcW w:w="975" w:type="dxa"/>
            <w:vMerge/>
            <w:tcBorders>
              <w:top w:val="nil"/>
            </w:tcBorders>
          </w:tcPr>
          <w:p>
            <w:pPr>
              <w:rPr>
                <w:sz w:val="2"/>
                <w:szCs w:val="2"/>
              </w:rPr>
            </w:pPr>
          </w:p>
        </w:tc>
        <w:tc>
          <w:tcPr>
            <w:tcW w:w="1386" w:type="dxa"/>
            <w:tcBorders>
              <w:top w:val="nil"/>
              <w:bottom w:val="nil"/>
            </w:tcBorders>
          </w:tcPr>
          <w:p>
            <w:pPr>
              <w:pStyle w:val="TableParagraph"/>
              <w:rPr>
                <w:rFonts w:ascii="Times New Roman"/>
                <w:sz w:val="22"/>
              </w:rPr>
            </w:pPr>
          </w:p>
        </w:tc>
        <w:tc>
          <w:tcPr>
            <w:tcW w:w="1087" w:type="dxa"/>
            <w:tcBorders>
              <w:top w:val="nil"/>
              <w:bottom w:val="nil"/>
            </w:tcBorders>
          </w:tcPr>
          <w:p>
            <w:pPr>
              <w:pStyle w:val="TableParagraph"/>
              <w:rPr>
                <w:rFonts w:ascii="Times New Roman"/>
                <w:sz w:val="22"/>
              </w:rPr>
            </w:pPr>
          </w:p>
        </w:tc>
        <w:tc>
          <w:tcPr>
            <w:tcW w:w="5299" w:type="dxa"/>
            <w:tcBorders>
              <w:top w:val="nil"/>
              <w:bottom w:val="nil"/>
            </w:tcBorders>
          </w:tcPr>
          <w:p>
            <w:pPr>
              <w:pStyle w:val="TableParagraph"/>
              <w:spacing w:line="282" w:lineRule="exact"/>
              <w:ind w:left="108" w:right="-29"/>
              <w:rPr>
                <w:sz w:val="24"/>
              </w:rPr>
            </w:pPr>
            <w:r>
              <w:rPr>
                <w:spacing w:val="-10"/>
                <w:sz w:val="24"/>
              </w:rPr>
              <w:t>或连续发出声响。</w:t>
            </w:r>
            <w:r>
              <w:rPr>
                <w:sz w:val="24"/>
              </w:rPr>
              <w:t>2.围岩沿结构面或顺裂隙错位、</w:t>
            </w:r>
          </w:p>
        </w:tc>
      </w:tr>
      <w:tr>
        <w:trPr>
          <w:trHeight w:val="300" w:hRule="atLeast"/>
        </w:trPr>
        <w:tc>
          <w:tcPr>
            <w:tcW w:w="788" w:type="dxa"/>
            <w:tcBorders>
              <w:top w:val="nil"/>
              <w:bottom w:val="nil"/>
            </w:tcBorders>
          </w:tcPr>
          <w:p>
            <w:pPr>
              <w:pStyle w:val="TableParagraph"/>
              <w:rPr>
                <w:rFonts w:ascii="Times New Roman"/>
                <w:sz w:val="22"/>
              </w:rPr>
            </w:pPr>
          </w:p>
        </w:tc>
        <w:tc>
          <w:tcPr>
            <w:tcW w:w="975" w:type="dxa"/>
            <w:vMerge/>
            <w:tcBorders>
              <w:top w:val="nil"/>
            </w:tcBorders>
          </w:tcPr>
          <w:p>
            <w:pPr>
              <w:rPr>
                <w:sz w:val="2"/>
                <w:szCs w:val="2"/>
              </w:rPr>
            </w:pPr>
          </w:p>
        </w:tc>
        <w:tc>
          <w:tcPr>
            <w:tcW w:w="1386" w:type="dxa"/>
            <w:tcBorders>
              <w:top w:val="nil"/>
              <w:bottom w:val="nil"/>
            </w:tcBorders>
          </w:tcPr>
          <w:p>
            <w:pPr>
              <w:pStyle w:val="TableParagraph"/>
              <w:rPr>
                <w:rFonts w:ascii="Times New Roman"/>
                <w:sz w:val="22"/>
              </w:rPr>
            </w:pPr>
          </w:p>
        </w:tc>
        <w:tc>
          <w:tcPr>
            <w:tcW w:w="1087" w:type="dxa"/>
            <w:tcBorders>
              <w:top w:val="nil"/>
              <w:bottom w:val="nil"/>
            </w:tcBorders>
          </w:tcPr>
          <w:p>
            <w:pPr>
              <w:pStyle w:val="TableParagraph"/>
              <w:rPr>
                <w:rFonts w:ascii="Times New Roman"/>
                <w:sz w:val="22"/>
              </w:rPr>
            </w:pPr>
          </w:p>
        </w:tc>
        <w:tc>
          <w:tcPr>
            <w:tcW w:w="5299" w:type="dxa"/>
            <w:tcBorders>
              <w:top w:val="nil"/>
              <w:bottom w:val="nil"/>
            </w:tcBorders>
          </w:tcPr>
          <w:p>
            <w:pPr>
              <w:pStyle w:val="TableParagraph"/>
              <w:spacing w:line="281" w:lineRule="exact"/>
              <w:ind w:left="108"/>
              <w:rPr>
                <w:sz w:val="24"/>
              </w:rPr>
            </w:pPr>
            <w:r>
              <w:rPr>
                <w:sz w:val="24"/>
              </w:rPr>
              <w:t>裂缝加宽、位移速率加大。3.出现片帮、岩爆或</w:t>
            </w:r>
          </w:p>
        </w:tc>
      </w:tr>
      <w:tr>
        <w:trPr>
          <w:trHeight w:val="300" w:hRule="atLeast"/>
        </w:trPr>
        <w:tc>
          <w:tcPr>
            <w:tcW w:w="788" w:type="dxa"/>
            <w:tcBorders>
              <w:top w:val="nil"/>
              <w:bottom w:val="nil"/>
            </w:tcBorders>
          </w:tcPr>
          <w:p>
            <w:pPr>
              <w:pStyle w:val="TableParagraph"/>
              <w:rPr>
                <w:rFonts w:ascii="Times New Roman"/>
                <w:sz w:val="22"/>
              </w:rPr>
            </w:pPr>
          </w:p>
        </w:tc>
        <w:tc>
          <w:tcPr>
            <w:tcW w:w="975" w:type="dxa"/>
            <w:vMerge/>
            <w:tcBorders>
              <w:top w:val="nil"/>
            </w:tcBorders>
          </w:tcPr>
          <w:p>
            <w:pPr>
              <w:rPr>
                <w:sz w:val="2"/>
                <w:szCs w:val="2"/>
              </w:rPr>
            </w:pPr>
          </w:p>
        </w:tc>
        <w:tc>
          <w:tcPr>
            <w:tcW w:w="1386" w:type="dxa"/>
            <w:tcBorders>
              <w:top w:val="nil"/>
              <w:bottom w:val="nil"/>
            </w:tcBorders>
          </w:tcPr>
          <w:p>
            <w:pPr>
              <w:pStyle w:val="TableParagraph"/>
              <w:rPr>
                <w:rFonts w:ascii="Times New Roman"/>
                <w:sz w:val="22"/>
              </w:rPr>
            </w:pPr>
          </w:p>
        </w:tc>
        <w:tc>
          <w:tcPr>
            <w:tcW w:w="1087" w:type="dxa"/>
            <w:tcBorders>
              <w:top w:val="nil"/>
              <w:bottom w:val="nil"/>
            </w:tcBorders>
          </w:tcPr>
          <w:p>
            <w:pPr>
              <w:pStyle w:val="TableParagraph"/>
              <w:rPr>
                <w:rFonts w:ascii="Times New Roman"/>
                <w:sz w:val="22"/>
              </w:rPr>
            </w:pPr>
          </w:p>
        </w:tc>
        <w:tc>
          <w:tcPr>
            <w:tcW w:w="5299" w:type="dxa"/>
            <w:tcBorders>
              <w:top w:val="nil"/>
              <w:bottom w:val="nil"/>
            </w:tcBorders>
          </w:tcPr>
          <w:p>
            <w:pPr>
              <w:pStyle w:val="TableParagraph"/>
              <w:spacing w:line="281" w:lineRule="exact"/>
              <w:ind w:left="108"/>
              <w:rPr>
                <w:sz w:val="24"/>
              </w:rPr>
            </w:pPr>
            <w:r>
              <w:rPr>
                <w:sz w:val="24"/>
              </w:rPr>
              <w:t>严重鼓胀变形。4.出现涌水、涌水量增大、涌水</w:t>
            </w:r>
          </w:p>
        </w:tc>
      </w:tr>
      <w:tr>
        <w:trPr>
          <w:trHeight w:val="302" w:hRule="atLeast"/>
        </w:trPr>
        <w:tc>
          <w:tcPr>
            <w:tcW w:w="788" w:type="dxa"/>
            <w:tcBorders>
              <w:top w:val="nil"/>
              <w:bottom w:val="nil"/>
            </w:tcBorders>
          </w:tcPr>
          <w:p>
            <w:pPr>
              <w:pStyle w:val="TableParagraph"/>
              <w:rPr>
                <w:rFonts w:ascii="Times New Roman"/>
                <w:sz w:val="22"/>
              </w:rPr>
            </w:pPr>
          </w:p>
        </w:tc>
        <w:tc>
          <w:tcPr>
            <w:tcW w:w="975" w:type="dxa"/>
            <w:vMerge/>
            <w:tcBorders>
              <w:top w:val="nil"/>
            </w:tcBorders>
          </w:tcPr>
          <w:p>
            <w:pPr>
              <w:rPr>
                <w:sz w:val="2"/>
                <w:szCs w:val="2"/>
              </w:rPr>
            </w:pPr>
          </w:p>
        </w:tc>
        <w:tc>
          <w:tcPr>
            <w:tcW w:w="1386" w:type="dxa"/>
            <w:tcBorders>
              <w:top w:val="nil"/>
              <w:bottom w:val="nil"/>
            </w:tcBorders>
          </w:tcPr>
          <w:p>
            <w:pPr>
              <w:pStyle w:val="TableParagraph"/>
              <w:rPr>
                <w:rFonts w:ascii="Times New Roman"/>
                <w:sz w:val="22"/>
              </w:rPr>
            </w:pPr>
          </w:p>
        </w:tc>
        <w:tc>
          <w:tcPr>
            <w:tcW w:w="1087" w:type="dxa"/>
            <w:tcBorders>
              <w:top w:val="nil"/>
              <w:bottom w:val="nil"/>
            </w:tcBorders>
          </w:tcPr>
          <w:p>
            <w:pPr>
              <w:pStyle w:val="TableParagraph"/>
              <w:rPr>
                <w:rFonts w:ascii="Times New Roman"/>
                <w:sz w:val="22"/>
              </w:rPr>
            </w:pPr>
          </w:p>
        </w:tc>
        <w:tc>
          <w:tcPr>
            <w:tcW w:w="5299" w:type="dxa"/>
            <w:tcBorders>
              <w:top w:val="nil"/>
              <w:bottom w:val="nil"/>
            </w:tcBorders>
          </w:tcPr>
          <w:p>
            <w:pPr>
              <w:pStyle w:val="TableParagraph"/>
              <w:spacing w:line="282" w:lineRule="exact"/>
              <w:ind w:left="108"/>
              <w:rPr>
                <w:sz w:val="24"/>
              </w:rPr>
            </w:pPr>
            <w:r>
              <w:rPr>
                <w:sz w:val="24"/>
              </w:rPr>
              <w:t>突然变浑浊、涌沙。5.干燥岩质洞段突然出现地</w:t>
            </w:r>
          </w:p>
        </w:tc>
      </w:tr>
      <w:tr>
        <w:trPr>
          <w:trHeight w:val="302" w:hRule="atLeast"/>
        </w:trPr>
        <w:tc>
          <w:tcPr>
            <w:tcW w:w="788" w:type="dxa"/>
            <w:tcBorders>
              <w:top w:val="nil"/>
              <w:bottom w:val="nil"/>
            </w:tcBorders>
          </w:tcPr>
          <w:p>
            <w:pPr>
              <w:pStyle w:val="TableParagraph"/>
              <w:rPr>
                <w:rFonts w:ascii="Times New Roman"/>
                <w:sz w:val="22"/>
              </w:rPr>
            </w:pPr>
          </w:p>
        </w:tc>
        <w:tc>
          <w:tcPr>
            <w:tcW w:w="975" w:type="dxa"/>
            <w:vMerge/>
            <w:tcBorders>
              <w:top w:val="nil"/>
            </w:tcBorders>
          </w:tcPr>
          <w:p>
            <w:pPr>
              <w:rPr>
                <w:sz w:val="2"/>
                <w:szCs w:val="2"/>
              </w:rPr>
            </w:pPr>
          </w:p>
        </w:tc>
        <w:tc>
          <w:tcPr>
            <w:tcW w:w="1386" w:type="dxa"/>
            <w:tcBorders>
              <w:top w:val="nil"/>
              <w:bottom w:val="nil"/>
            </w:tcBorders>
          </w:tcPr>
          <w:p>
            <w:pPr>
              <w:pStyle w:val="TableParagraph"/>
              <w:rPr>
                <w:rFonts w:ascii="Times New Roman"/>
                <w:sz w:val="22"/>
              </w:rPr>
            </w:pPr>
          </w:p>
        </w:tc>
        <w:tc>
          <w:tcPr>
            <w:tcW w:w="1087" w:type="dxa"/>
            <w:tcBorders>
              <w:top w:val="nil"/>
              <w:bottom w:val="nil"/>
            </w:tcBorders>
          </w:tcPr>
          <w:p>
            <w:pPr>
              <w:pStyle w:val="TableParagraph"/>
              <w:rPr>
                <w:rFonts w:ascii="Times New Roman"/>
                <w:sz w:val="22"/>
              </w:rPr>
            </w:pPr>
          </w:p>
        </w:tc>
        <w:tc>
          <w:tcPr>
            <w:tcW w:w="5299" w:type="dxa"/>
            <w:tcBorders>
              <w:top w:val="nil"/>
              <w:bottom w:val="nil"/>
            </w:tcBorders>
          </w:tcPr>
          <w:p>
            <w:pPr>
              <w:pStyle w:val="TableParagraph"/>
              <w:spacing w:line="282" w:lineRule="exact"/>
              <w:ind w:left="108"/>
              <w:rPr>
                <w:sz w:val="24"/>
              </w:rPr>
            </w:pPr>
            <w:r>
              <w:rPr>
                <w:sz w:val="24"/>
              </w:rPr>
              <w:t>下水流，渗水点位置突然变化，破碎带水流活动</w:t>
            </w:r>
          </w:p>
        </w:tc>
      </w:tr>
      <w:tr>
        <w:trPr>
          <w:trHeight w:val="300" w:hRule="atLeast"/>
        </w:trPr>
        <w:tc>
          <w:tcPr>
            <w:tcW w:w="788" w:type="dxa"/>
            <w:tcBorders>
              <w:top w:val="nil"/>
              <w:bottom w:val="nil"/>
            </w:tcBorders>
          </w:tcPr>
          <w:p>
            <w:pPr>
              <w:pStyle w:val="TableParagraph"/>
              <w:rPr>
                <w:rFonts w:ascii="Times New Roman"/>
                <w:sz w:val="22"/>
              </w:rPr>
            </w:pPr>
          </w:p>
        </w:tc>
        <w:tc>
          <w:tcPr>
            <w:tcW w:w="975" w:type="dxa"/>
            <w:vMerge/>
            <w:tcBorders>
              <w:top w:val="nil"/>
            </w:tcBorders>
          </w:tcPr>
          <w:p>
            <w:pPr>
              <w:rPr>
                <w:sz w:val="2"/>
                <w:szCs w:val="2"/>
              </w:rPr>
            </w:pPr>
          </w:p>
        </w:tc>
        <w:tc>
          <w:tcPr>
            <w:tcW w:w="1386" w:type="dxa"/>
            <w:tcBorders>
              <w:top w:val="nil"/>
              <w:bottom w:val="nil"/>
            </w:tcBorders>
          </w:tcPr>
          <w:p>
            <w:pPr>
              <w:pStyle w:val="TableParagraph"/>
              <w:rPr>
                <w:rFonts w:ascii="Times New Roman"/>
                <w:sz w:val="22"/>
              </w:rPr>
            </w:pPr>
          </w:p>
        </w:tc>
        <w:tc>
          <w:tcPr>
            <w:tcW w:w="1087" w:type="dxa"/>
            <w:tcBorders>
              <w:top w:val="nil"/>
              <w:bottom w:val="nil"/>
            </w:tcBorders>
          </w:tcPr>
          <w:p>
            <w:pPr>
              <w:pStyle w:val="TableParagraph"/>
              <w:rPr>
                <w:rFonts w:ascii="Times New Roman"/>
                <w:sz w:val="22"/>
              </w:rPr>
            </w:pPr>
          </w:p>
        </w:tc>
        <w:tc>
          <w:tcPr>
            <w:tcW w:w="5299" w:type="dxa"/>
            <w:tcBorders>
              <w:top w:val="nil"/>
              <w:bottom w:val="nil"/>
            </w:tcBorders>
          </w:tcPr>
          <w:p>
            <w:pPr>
              <w:pStyle w:val="TableParagraph"/>
              <w:spacing w:line="281" w:lineRule="exact"/>
              <w:ind w:left="108"/>
              <w:rPr>
                <w:sz w:val="24"/>
              </w:rPr>
            </w:pPr>
            <w:r>
              <w:rPr>
                <w:sz w:val="24"/>
              </w:rPr>
              <w:t>加剧，土质洞段含水量明显增大或土的形状明显</w:t>
            </w:r>
          </w:p>
        </w:tc>
      </w:tr>
      <w:tr>
        <w:trPr>
          <w:trHeight w:val="300" w:hRule="atLeast"/>
        </w:trPr>
        <w:tc>
          <w:tcPr>
            <w:tcW w:w="788" w:type="dxa"/>
            <w:tcBorders>
              <w:top w:val="nil"/>
              <w:bottom w:val="nil"/>
            </w:tcBorders>
          </w:tcPr>
          <w:p>
            <w:pPr>
              <w:pStyle w:val="TableParagraph"/>
              <w:spacing w:line="281" w:lineRule="exact"/>
              <w:ind w:left="134" w:right="124"/>
              <w:jc w:val="center"/>
              <w:rPr>
                <w:sz w:val="24"/>
              </w:rPr>
            </w:pPr>
            <w:r>
              <w:rPr>
                <w:sz w:val="24"/>
              </w:rPr>
              <w:t>13</w:t>
            </w:r>
          </w:p>
        </w:tc>
        <w:tc>
          <w:tcPr>
            <w:tcW w:w="975" w:type="dxa"/>
            <w:vMerge/>
            <w:tcBorders>
              <w:top w:val="nil"/>
            </w:tcBorders>
          </w:tcPr>
          <w:p>
            <w:pPr>
              <w:rPr>
                <w:sz w:val="2"/>
                <w:szCs w:val="2"/>
              </w:rPr>
            </w:pPr>
          </w:p>
        </w:tc>
        <w:tc>
          <w:tcPr>
            <w:tcW w:w="1386" w:type="dxa"/>
            <w:tcBorders>
              <w:top w:val="nil"/>
              <w:bottom w:val="nil"/>
            </w:tcBorders>
          </w:tcPr>
          <w:p>
            <w:pPr>
              <w:pStyle w:val="TableParagraph"/>
              <w:spacing w:line="281" w:lineRule="exact"/>
              <w:ind w:left="212"/>
              <w:rPr>
                <w:sz w:val="24"/>
              </w:rPr>
            </w:pPr>
            <w:r>
              <w:rPr>
                <w:sz w:val="24"/>
              </w:rPr>
              <w:t>隧洞施工</w:t>
            </w:r>
          </w:p>
        </w:tc>
        <w:tc>
          <w:tcPr>
            <w:tcW w:w="1087" w:type="dxa"/>
            <w:tcBorders>
              <w:top w:val="nil"/>
              <w:bottom w:val="nil"/>
            </w:tcBorders>
          </w:tcPr>
          <w:p>
            <w:pPr>
              <w:pStyle w:val="TableParagraph"/>
              <w:spacing w:line="281" w:lineRule="exact"/>
              <w:ind w:left="102" w:right="94"/>
              <w:jc w:val="center"/>
              <w:rPr>
                <w:sz w:val="24"/>
              </w:rPr>
            </w:pPr>
            <w:r>
              <w:rPr>
                <w:sz w:val="24"/>
              </w:rPr>
              <w:t>SJ-J013</w:t>
            </w:r>
          </w:p>
        </w:tc>
        <w:tc>
          <w:tcPr>
            <w:tcW w:w="5299" w:type="dxa"/>
            <w:tcBorders>
              <w:top w:val="nil"/>
              <w:bottom w:val="nil"/>
            </w:tcBorders>
          </w:tcPr>
          <w:p>
            <w:pPr>
              <w:pStyle w:val="TableParagraph"/>
              <w:spacing w:line="281" w:lineRule="exact"/>
              <w:ind w:left="108"/>
              <w:rPr>
                <w:sz w:val="24"/>
              </w:rPr>
            </w:pPr>
            <w:r>
              <w:rPr>
                <w:sz w:val="24"/>
              </w:rPr>
              <w:t>软化。6.洞温突然发生变化，洞内突然出现冷空</w:t>
            </w:r>
          </w:p>
        </w:tc>
      </w:tr>
      <w:tr>
        <w:trPr>
          <w:trHeight w:val="300" w:hRule="atLeast"/>
        </w:trPr>
        <w:tc>
          <w:tcPr>
            <w:tcW w:w="788" w:type="dxa"/>
            <w:tcBorders>
              <w:top w:val="nil"/>
              <w:bottom w:val="nil"/>
            </w:tcBorders>
          </w:tcPr>
          <w:p>
            <w:pPr>
              <w:pStyle w:val="TableParagraph"/>
              <w:rPr>
                <w:rFonts w:ascii="Times New Roman"/>
                <w:sz w:val="22"/>
              </w:rPr>
            </w:pPr>
          </w:p>
        </w:tc>
        <w:tc>
          <w:tcPr>
            <w:tcW w:w="975" w:type="dxa"/>
            <w:vMerge/>
            <w:tcBorders>
              <w:top w:val="nil"/>
            </w:tcBorders>
          </w:tcPr>
          <w:p>
            <w:pPr>
              <w:rPr>
                <w:sz w:val="2"/>
                <w:szCs w:val="2"/>
              </w:rPr>
            </w:pPr>
          </w:p>
        </w:tc>
        <w:tc>
          <w:tcPr>
            <w:tcW w:w="1386" w:type="dxa"/>
            <w:tcBorders>
              <w:top w:val="nil"/>
              <w:bottom w:val="nil"/>
            </w:tcBorders>
          </w:tcPr>
          <w:p>
            <w:pPr>
              <w:pStyle w:val="TableParagraph"/>
              <w:rPr>
                <w:rFonts w:ascii="Times New Roman"/>
                <w:sz w:val="22"/>
              </w:rPr>
            </w:pPr>
          </w:p>
        </w:tc>
        <w:tc>
          <w:tcPr>
            <w:tcW w:w="1087" w:type="dxa"/>
            <w:tcBorders>
              <w:top w:val="nil"/>
              <w:bottom w:val="nil"/>
            </w:tcBorders>
          </w:tcPr>
          <w:p>
            <w:pPr>
              <w:pStyle w:val="TableParagraph"/>
              <w:rPr>
                <w:rFonts w:ascii="Times New Roman"/>
                <w:sz w:val="22"/>
              </w:rPr>
            </w:pPr>
          </w:p>
        </w:tc>
        <w:tc>
          <w:tcPr>
            <w:tcW w:w="5299" w:type="dxa"/>
            <w:tcBorders>
              <w:top w:val="nil"/>
              <w:bottom w:val="nil"/>
            </w:tcBorders>
          </w:tcPr>
          <w:p>
            <w:pPr>
              <w:pStyle w:val="TableParagraph"/>
              <w:spacing w:line="281" w:lineRule="exact"/>
              <w:ind w:left="108"/>
              <w:rPr>
                <w:sz w:val="24"/>
              </w:rPr>
            </w:pPr>
            <w:r>
              <w:rPr>
                <w:sz w:val="24"/>
              </w:rPr>
              <w:t>气对流。7.钻孔时，钻进速度突然加快且钻孔回</w:t>
            </w:r>
          </w:p>
        </w:tc>
      </w:tr>
      <w:tr>
        <w:trPr>
          <w:trHeight w:val="300" w:hRule="atLeast"/>
        </w:trPr>
        <w:tc>
          <w:tcPr>
            <w:tcW w:w="788" w:type="dxa"/>
            <w:tcBorders>
              <w:top w:val="nil"/>
              <w:bottom w:val="nil"/>
            </w:tcBorders>
          </w:tcPr>
          <w:p>
            <w:pPr>
              <w:pStyle w:val="TableParagraph"/>
              <w:rPr>
                <w:rFonts w:ascii="Times New Roman"/>
                <w:sz w:val="22"/>
              </w:rPr>
            </w:pPr>
          </w:p>
        </w:tc>
        <w:tc>
          <w:tcPr>
            <w:tcW w:w="975" w:type="dxa"/>
            <w:vMerge/>
            <w:tcBorders>
              <w:top w:val="nil"/>
            </w:tcBorders>
          </w:tcPr>
          <w:p>
            <w:pPr>
              <w:rPr>
                <w:sz w:val="2"/>
                <w:szCs w:val="2"/>
              </w:rPr>
            </w:pPr>
          </w:p>
        </w:tc>
        <w:tc>
          <w:tcPr>
            <w:tcW w:w="1386" w:type="dxa"/>
            <w:tcBorders>
              <w:top w:val="nil"/>
              <w:bottom w:val="nil"/>
            </w:tcBorders>
          </w:tcPr>
          <w:p>
            <w:pPr>
              <w:pStyle w:val="TableParagraph"/>
              <w:rPr>
                <w:rFonts w:ascii="Times New Roman"/>
                <w:sz w:val="22"/>
              </w:rPr>
            </w:pPr>
          </w:p>
        </w:tc>
        <w:tc>
          <w:tcPr>
            <w:tcW w:w="1087" w:type="dxa"/>
            <w:tcBorders>
              <w:top w:val="nil"/>
              <w:bottom w:val="nil"/>
            </w:tcBorders>
          </w:tcPr>
          <w:p>
            <w:pPr>
              <w:pStyle w:val="TableParagraph"/>
              <w:rPr>
                <w:rFonts w:ascii="Times New Roman"/>
                <w:sz w:val="22"/>
              </w:rPr>
            </w:pPr>
          </w:p>
        </w:tc>
        <w:tc>
          <w:tcPr>
            <w:tcW w:w="5299" w:type="dxa"/>
            <w:tcBorders>
              <w:top w:val="nil"/>
              <w:bottom w:val="nil"/>
            </w:tcBorders>
          </w:tcPr>
          <w:p>
            <w:pPr>
              <w:pStyle w:val="TableParagraph"/>
              <w:spacing w:line="281" w:lineRule="exact"/>
              <w:ind w:left="108"/>
              <w:rPr>
                <w:sz w:val="24"/>
              </w:rPr>
            </w:pPr>
            <w:r>
              <w:rPr>
                <w:sz w:val="24"/>
              </w:rPr>
              <w:t>水消失，经常发生卡钻。8.岩石隧洞掘进机或盾</w:t>
            </w:r>
          </w:p>
        </w:tc>
      </w:tr>
      <w:tr>
        <w:trPr>
          <w:trHeight w:val="302" w:hRule="atLeast"/>
        </w:trPr>
        <w:tc>
          <w:tcPr>
            <w:tcW w:w="788" w:type="dxa"/>
            <w:tcBorders>
              <w:top w:val="nil"/>
              <w:bottom w:val="nil"/>
            </w:tcBorders>
          </w:tcPr>
          <w:p>
            <w:pPr>
              <w:pStyle w:val="TableParagraph"/>
              <w:rPr>
                <w:rFonts w:ascii="Times New Roman"/>
                <w:sz w:val="22"/>
              </w:rPr>
            </w:pPr>
          </w:p>
        </w:tc>
        <w:tc>
          <w:tcPr>
            <w:tcW w:w="975" w:type="dxa"/>
            <w:vMerge/>
            <w:tcBorders>
              <w:top w:val="nil"/>
            </w:tcBorders>
          </w:tcPr>
          <w:p>
            <w:pPr>
              <w:rPr>
                <w:sz w:val="2"/>
                <w:szCs w:val="2"/>
              </w:rPr>
            </w:pPr>
          </w:p>
        </w:tc>
        <w:tc>
          <w:tcPr>
            <w:tcW w:w="1386" w:type="dxa"/>
            <w:tcBorders>
              <w:top w:val="nil"/>
              <w:bottom w:val="nil"/>
            </w:tcBorders>
          </w:tcPr>
          <w:p>
            <w:pPr>
              <w:pStyle w:val="TableParagraph"/>
              <w:rPr>
                <w:rFonts w:ascii="Times New Roman"/>
                <w:sz w:val="22"/>
              </w:rPr>
            </w:pPr>
          </w:p>
        </w:tc>
        <w:tc>
          <w:tcPr>
            <w:tcW w:w="1087" w:type="dxa"/>
            <w:tcBorders>
              <w:top w:val="nil"/>
              <w:bottom w:val="nil"/>
            </w:tcBorders>
          </w:tcPr>
          <w:p>
            <w:pPr>
              <w:pStyle w:val="TableParagraph"/>
              <w:rPr>
                <w:rFonts w:ascii="Times New Roman"/>
                <w:sz w:val="22"/>
              </w:rPr>
            </w:pPr>
          </w:p>
        </w:tc>
        <w:tc>
          <w:tcPr>
            <w:tcW w:w="5299" w:type="dxa"/>
            <w:tcBorders>
              <w:top w:val="nil"/>
              <w:bottom w:val="nil"/>
            </w:tcBorders>
          </w:tcPr>
          <w:p>
            <w:pPr>
              <w:pStyle w:val="TableParagraph"/>
              <w:spacing w:line="282" w:lineRule="exact"/>
              <w:ind w:left="108"/>
              <w:rPr>
                <w:sz w:val="24"/>
              </w:rPr>
            </w:pPr>
            <w:r>
              <w:rPr>
                <w:sz w:val="24"/>
              </w:rPr>
              <w:t>构机发生卡机或掘进参数、掘进载荷、掘进速度</w:t>
            </w:r>
          </w:p>
        </w:tc>
      </w:tr>
      <w:tr>
        <w:trPr>
          <w:trHeight w:val="301" w:hRule="atLeast"/>
        </w:trPr>
        <w:tc>
          <w:tcPr>
            <w:tcW w:w="788" w:type="dxa"/>
            <w:tcBorders>
              <w:top w:val="nil"/>
              <w:bottom w:val="nil"/>
            </w:tcBorders>
          </w:tcPr>
          <w:p>
            <w:pPr>
              <w:pStyle w:val="TableParagraph"/>
              <w:rPr>
                <w:rFonts w:ascii="Times New Roman"/>
                <w:sz w:val="22"/>
              </w:rPr>
            </w:pPr>
          </w:p>
        </w:tc>
        <w:tc>
          <w:tcPr>
            <w:tcW w:w="975" w:type="dxa"/>
            <w:vMerge/>
            <w:tcBorders>
              <w:top w:val="nil"/>
            </w:tcBorders>
          </w:tcPr>
          <w:p>
            <w:pPr>
              <w:rPr>
                <w:sz w:val="2"/>
                <w:szCs w:val="2"/>
              </w:rPr>
            </w:pPr>
          </w:p>
        </w:tc>
        <w:tc>
          <w:tcPr>
            <w:tcW w:w="1386" w:type="dxa"/>
            <w:tcBorders>
              <w:top w:val="nil"/>
              <w:bottom w:val="nil"/>
            </w:tcBorders>
          </w:tcPr>
          <w:p>
            <w:pPr>
              <w:pStyle w:val="TableParagraph"/>
              <w:rPr>
                <w:rFonts w:ascii="Times New Roman"/>
                <w:sz w:val="22"/>
              </w:rPr>
            </w:pPr>
          </w:p>
        </w:tc>
        <w:tc>
          <w:tcPr>
            <w:tcW w:w="1087" w:type="dxa"/>
            <w:tcBorders>
              <w:top w:val="nil"/>
              <w:bottom w:val="nil"/>
            </w:tcBorders>
          </w:tcPr>
          <w:p>
            <w:pPr>
              <w:pStyle w:val="TableParagraph"/>
              <w:rPr>
                <w:rFonts w:ascii="Times New Roman"/>
                <w:sz w:val="22"/>
              </w:rPr>
            </w:pPr>
          </w:p>
        </w:tc>
        <w:tc>
          <w:tcPr>
            <w:tcW w:w="5299" w:type="dxa"/>
            <w:tcBorders>
              <w:top w:val="nil"/>
              <w:bottom w:val="nil"/>
            </w:tcBorders>
          </w:tcPr>
          <w:p>
            <w:pPr>
              <w:pStyle w:val="TableParagraph"/>
              <w:spacing w:line="282" w:lineRule="exact"/>
              <w:ind w:left="108"/>
              <w:rPr>
                <w:sz w:val="24"/>
              </w:rPr>
            </w:pPr>
            <w:r>
              <w:rPr>
                <w:sz w:val="24"/>
              </w:rPr>
              <w:t>发生急剧的异常变化。9.突然出现刺激性气味；</w:t>
            </w:r>
          </w:p>
        </w:tc>
      </w:tr>
      <w:tr>
        <w:trPr>
          <w:trHeight w:val="300" w:hRule="atLeast"/>
        </w:trPr>
        <w:tc>
          <w:tcPr>
            <w:tcW w:w="788" w:type="dxa"/>
            <w:tcBorders>
              <w:top w:val="nil"/>
              <w:bottom w:val="nil"/>
            </w:tcBorders>
          </w:tcPr>
          <w:p>
            <w:pPr>
              <w:pStyle w:val="TableParagraph"/>
              <w:rPr>
                <w:rFonts w:ascii="Times New Roman"/>
                <w:sz w:val="22"/>
              </w:rPr>
            </w:pPr>
          </w:p>
        </w:tc>
        <w:tc>
          <w:tcPr>
            <w:tcW w:w="975" w:type="dxa"/>
            <w:vMerge/>
            <w:tcBorders>
              <w:top w:val="nil"/>
            </w:tcBorders>
          </w:tcPr>
          <w:p>
            <w:pPr>
              <w:rPr>
                <w:sz w:val="2"/>
                <w:szCs w:val="2"/>
              </w:rPr>
            </w:pPr>
          </w:p>
        </w:tc>
        <w:tc>
          <w:tcPr>
            <w:tcW w:w="1386" w:type="dxa"/>
            <w:tcBorders>
              <w:top w:val="nil"/>
              <w:bottom w:val="nil"/>
            </w:tcBorders>
          </w:tcPr>
          <w:p>
            <w:pPr>
              <w:pStyle w:val="TableParagraph"/>
              <w:rPr>
                <w:rFonts w:ascii="Times New Roman"/>
                <w:sz w:val="22"/>
              </w:rPr>
            </w:pPr>
          </w:p>
        </w:tc>
        <w:tc>
          <w:tcPr>
            <w:tcW w:w="1087" w:type="dxa"/>
            <w:tcBorders>
              <w:top w:val="nil"/>
              <w:bottom w:val="nil"/>
            </w:tcBorders>
          </w:tcPr>
          <w:p>
            <w:pPr>
              <w:pStyle w:val="TableParagraph"/>
              <w:rPr>
                <w:rFonts w:ascii="Times New Roman"/>
                <w:sz w:val="22"/>
              </w:rPr>
            </w:pPr>
          </w:p>
        </w:tc>
        <w:tc>
          <w:tcPr>
            <w:tcW w:w="5299" w:type="dxa"/>
            <w:tcBorders>
              <w:top w:val="nil"/>
              <w:bottom w:val="nil"/>
            </w:tcBorders>
          </w:tcPr>
          <w:p>
            <w:pPr>
              <w:pStyle w:val="TableParagraph"/>
              <w:spacing w:line="281" w:lineRule="exact"/>
              <w:ind w:left="108"/>
              <w:rPr>
                <w:sz w:val="24"/>
              </w:rPr>
            </w:pPr>
            <w:r>
              <w:rPr>
                <w:sz w:val="24"/>
              </w:rPr>
              <w:t>断层及破碎带缓倾角节理密集带岩溶发育地下水</w:t>
            </w:r>
          </w:p>
        </w:tc>
      </w:tr>
      <w:tr>
        <w:trPr>
          <w:trHeight w:val="300" w:hRule="atLeast"/>
        </w:trPr>
        <w:tc>
          <w:tcPr>
            <w:tcW w:w="788" w:type="dxa"/>
            <w:tcBorders>
              <w:top w:val="nil"/>
              <w:bottom w:val="nil"/>
            </w:tcBorders>
          </w:tcPr>
          <w:p>
            <w:pPr>
              <w:pStyle w:val="TableParagraph"/>
              <w:rPr>
                <w:rFonts w:ascii="Times New Roman"/>
                <w:sz w:val="22"/>
              </w:rPr>
            </w:pPr>
          </w:p>
        </w:tc>
        <w:tc>
          <w:tcPr>
            <w:tcW w:w="975" w:type="dxa"/>
            <w:vMerge/>
            <w:tcBorders>
              <w:top w:val="nil"/>
            </w:tcBorders>
          </w:tcPr>
          <w:p>
            <w:pPr>
              <w:rPr>
                <w:sz w:val="2"/>
                <w:szCs w:val="2"/>
              </w:rPr>
            </w:pPr>
          </w:p>
        </w:tc>
        <w:tc>
          <w:tcPr>
            <w:tcW w:w="1386" w:type="dxa"/>
            <w:tcBorders>
              <w:top w:val="nil"/>
              <w:bottom w:val="nil"/>
            </w:tcBorders>
          </w:tcPr>
          <w:p>
            <w:pPr>
              <w:pStyle w:val="TableParagraph"/>
              <w:rPr>
                <w:rFonts w:ascii="Times New Roman"/>
                <w:sz w:val="22"/>
              </w:rPr>
            </w:pPr>
          </w:p>
        </w:tc>
        <w:tc>
          <w:tcPr>
            <w:tcW w:w="1087" w:type="dxa"/>
            <w:tcBorders>
              <w:top w:val="nil"/>
              <w:bottom w:val="nil"/>
            </w:tcBorders>
          </w:tcPr>
          <w:p>
            <w:pPr>
              <w:pStyle w:val="TableParagraph"/>
              <w:rPr>
                <w:rFonts w:ascii="Times New Roman"/>
                <w:sz w:val="22"/>
              </w:rPr>
            </w:pPr>
          </w:p>
        </w:tc>
        <w:tc>
          <w:tcPr>
            <w:tcW w:w="5299" w:type="dxa"/>
            <w:tcBorders>
              <w:top w:val="nil"/>
              <w:bottom w:val="nil"/>
            </w:tcBorders>
          </w:tcPr>
          <w:p>
            <w:pPr>
              <w:pStyle w:val="TableParagraph"/>
              <w:spacing w:line="281" w:lineRule="exact"/>
              <w:ind w:left="108"/>
              <w:rPr>
                <w:sz w:val="24"/>
              </w:rPr>
            </w:pPr>
            <w:r>
              <w:rPr>
                <w:sz w:val="24"/>
              </w:rPr>
              <w:t>丰富及膨胀岩体地段和高地应力区等不良地质条</w:t>
            </w:r>
          </w:p>
        </w:tc>
      </w:tr>
      <w:tr>
        <w:trPr>
          <w:trHeight w:val="302" w:hRule="atLeast"/>
        </w:trPr>
        <w:tc>
          <w:tcPr>
            <w:tcW w:w="788" w:type="dxa"/>
            <w:tcBorders>
              <w:top w:val="nil"/>
              <w:bottom w:val="nil"/>
            </w:tcBorders>
          </w:tcPr>
          <w:p>
            <w:pPr>
              <w:pStyle w:val="TableParagraph"/>
              <w:rPr>
                <w:rFonts w:ascii="Times New Roman"/>
                <w:sz w:val="22"/>
              </w:rPr>
            </w:pPr>
          </w:p>
        </w:tc>
        <w:tc>
          <w:tcPr>
            <w:tcW w:w="975" w:type="dxa"/>
            <w:vMerge/>
            <w:tcBorders>
              <w:top w:val="nil"/>
            </w:tcBorders>
          </w:tcPr>
          <w:p>
            <w:pPr>
              <w:rPr>
                <w:sz w:val="2"/>
                <w:szCs w:val="2"/>
              </w:rPr>
            </w:pPr>
          </w:p>
        </w:tc>
        <w:tc>
          <w:tcPr>
            <w:tcW w:w="1386" w:type="dxa"/>
            <w:tcBorders>
              <w:top w:val="nil"/>
              <w:bottom w:val="nil"/>
            </w:tcBorders>
          </w:tcPr>
          <w:p>
            <w:pPr>
              <w:pStyle w:val="TableParagraph"/>
              <w:rPr>
                <w:rFonts w:ascii="Times New Roman"/>
                <w:sz w:val="22"/>
              </w:rPr>
            </w:pPr>
          </w:p>
        </w:tc>
        <w:tc>
          <w:tcPr>
            <w:tcW w:w="1087" w:type="dxa"/>
            <w:tcBorders>
              <w:top w:val="nil"/>
              <w:bottom w:val="nil"/>
            </w:tcBorders>
          </w:tcPr>
          <w:p>
            <w:pPr>
              <w:pStyle w:val="TableParagraph"/>
              <w:rPr>
                <w:rFonts w:ascii="Times New Roman"/>
                <w:sz w:val="22"/>
              </w:rPr>
            </w:pPr>
          </w:p>
        </w:tc>
        <w:tc>
          <w:tcPr>
            <w:tcW w:w="5299" w:type="dxa"/>
            <w:tcBorders>
              <w:top w:val="nil"/>
              <w:bottom w:val="nil"/>
            </w:tcBorders>
          </w:tcPr>
          <w:p>
            <w:pPr>
              <w:pStyle w:val="TableParagraph"/>
              <w:spacing w:line="282" w:lineRule="exact"/>
              <w:ind w:left="108"/>
              <w:rPr>
                <w:sz w:val="24"/>
              </w:rPr>
            </w:pPr>
            <w:r>
              <w:rPr>
                <w:sz w:val="24"/>
              </w:rPr>
              <w:t>件洞段开挖未根据地质预报针对其性质和特殊的</w:t>
            </w:r>
          </w:p>
        </w:tc>
      </w:tr>
      <w:tr>
        <w:trPr>
          <w:trHeight w:val="300" w:hRule="atLeast"/>
        </w:trPr>
        <w:tc>
          <w:tcPr>
            <w:tcW w:w="788" w:type="dxa"/>
            <w:tcBorders>
              <w:top w:val="nil"/>
              <w:bottom w:val="nil"/>
            </w:tcBorders>
          </w:tcPr>
          <w:p>
            <w:pPr>
              <w:pStyle w:val="TableParagraph"/>
              <w:rPr>
                <w:rFonts w:ascii="Times New Roman"/>
                <w:sz w:val="22"/>
              </w:rPr>
            </w:pPr>
          </w:p>
        </w:tc>
        <w:tc>
          <w:tcPr>
            <w:tcW w:w="975" w:type="dxa"/>
            <w:vMerge/>
            <w:tcBorders>
              <w:top w:val="nil"/>
            </w:tcBorders>
          </w:tcPr>
          <w:p>
            <w:pPr>
              <w:rPr>
                <w:sz w:val="2"/>
                <w:szCs w:val="2"/>
              </w:rPr>
            </w:pPr>
          </w:p>
        </w:tc>
        <w:tc>
          <w:tcPr>
            <w:tcW w:w="1386" w:type="dxa"/>
            <w:tcBorders>
              <w:top w:val="nil"/>
              <w:bottom w:val="nil"/>
            </w:tcBorders>
          </w:tcPr>
          <w:p>
            <w:pPr>
              <w:pStyle w:val="TableParagraph"/>
              <w:rPr>
                <w:rFonts w:ascii="Times New Roman"/>
                <w:sz w:val="22"/>
              </w:rPr>
            </w:pPr>
          </w:p>
        </w:tc>
        <w:tc>
          <w:tcPr>
            <w:tcW w:w="1087" w:type="dxa"/>
            <w:tcBorders>
              <w:top w:val="nil"/>
              <w:bottom w:val="nil"/>
            </w:tcBorders>
          </w:tcPr>
          <w:p>
            <w:pPr>
              <w:pStyle w:val="TableParagraph"/>
              <w:rPr>
                <w:rFonts w:ascii="Times New Roman"/>
                <w:sz w:val="22"/>
              </w:rPr>
            </w:pPr>
          </w:p>
        </w:tc>
        <w:tc>
          <w:tcPr>
            <w:tcW w:w="5299" w:type="dxa"/>
            <w:tcBorders>
              <w:top w:val="nil"/>
              <w:bottom w:val="nil"/>
            </w:tcBorders>
          </w:tcPr>
          <w:p>
            <w:pPr>
              <w:pStyle w:val="TableParagraph"/>
              <w:spacing w:line="281" w:lineRule="exact"/>
              <w:ind w:left="108"/>
              <w:rPr>
                <w:sz w:val="24"/>
              </w:rPr>
            </w:pPr>
            <w:r>
              <w:rPr>
                <w:sz w:val="24"/>
              </w:rPr>
              <w:t>地质问题制定专项保证安全施工的工程措施；隧</w:t>
            </w:r>
          </w:p>
        </w:tc>
      </w:tr>
      <w:tr>
        <w:trPr>
          <w:trHeight w:val="309" w:hRule="atLeast"/>
        </w:trPr>
        <w:tc>
          <w:tcPr>
            <w:tcW w:w="788" w:type="dxa"/>
            <w:tcBorders>
              <w:top w:val="nil"/>
            </w:tcBorders>
          </w:tcPr>
          <w:p>
            <w:pPr>
              <w:pStyle w:val="TableParagraph"/>
              <w:rPr>
                <w:rFonts w:ascii="Times New Roman"/>
                <w:sz w:val="22"/>
              </w:rPr>
            </w:pPr>
          </w:p>
        </w:tc>
        <w:tc>
          <w:tcPr>
            <w:tcW w:w="975" w:type="dxa"/>
            <w:vMerge/>
            <w:tcBorders>
              <w:top w:val="nil"/>
            </w:tcBorders>
          </w:tcPr>
          <w:p>
            <w:pPr>
              <w:rPr>
                <w:sz w:val="2"/>
                <w:szCs w:val="2"/>
              </w:rPr>
            </w:pPr>
          </w:p>
        </w:tc>
        <w:tc>
          <w:tcPr>
            <w:tcW w:w="1386" w:type="dxa"/>
            <w:tcBorders>
              <w:top w:val="nil"/>
            </w:tcBorders>
          </w:tcPr>
          <w:p>
            <w:pPr>
              <w:pStyle w:val="TableParagraph"/>
              <w:rPr>
                <w:rFonts w:ascii="Times New Roman"/>
                <w:sz w:val="22"/>
              </w:rPr>
            </w:pPr>
          </w:p>
        </w:tc>
        <w:tc>
          <w:tcPr>
            <w:tcW w:w="1087" w:type="dxa"/>
            <w:tcBorders>
              <w:top w:val="nil"/>
            </w:tcBorders>
          </w:tcPr>
          <w:p>
            <w:pPr>
              <w:pStyle w:val="TableParagraph"/>
              <w:rPr>
                <w:rFonts w:ascii="Times New Roman"/>
                <w:sz w:val="22"/>
              </w:rPr>
            </w:pPr>
          </w:p>
        </w:tc>
        <w:tc>
          <w:tcPr>
            <w:tcW w:w="5299" w:type="dxa"/>
            <w:tcBorders>
              <w:top w:val="nil"/>
            </w:tcBorders>
          </w:tcPr>
          <w:p>
            <w:pPr>
              <w:pStyle w:val="TableParagraph"/>
              <w:spacing w:line="290" w:lineRule="exact"/>
              <w:ind w:left="108"/>
              <w:rPr>
                <w:sz w:val="24"/>
              </w:rPr>
            </w:pPr>
            <w:r>
              <w:rPr>
                <w:sz w:val="24"/>
              </w:rPr>
              <w:t>洞Ⅳ类、Ⅴ类围岩开挖后，支护未紧跟掌子面</w:t>
            </w:r>
          </w:p>
        </w:tc>
      </w:tr>
    </w:tbl>
    <w:p>
      <w:pPr>
        <w:spacing w:after="0" w:line="290" w:lineRule="exact"/>
        <w:rPr>
          <w:sz w:val="24"/>
        </w:rPr>
        <w:sectPr>
          <w:footerReference w:type="default" r:id="rId16"/>
          <w:pgSz w:w="11910" w:h="16840"/>
          <w:pgMar w:footer="905" w:header="0" w:top="1580" w:bottom="1100" w:left="1060" w:right="860"/>
          <w:pgNumType w:start="90"/>
        </w:sectPr>
      </w:pPr>
    </w:p>
    <w:p>
      <w:pPr>
        <w:pStyle w:val="BodyText"/>
        <w:spacing w:before="11"/>
        <w:ind w:left="0"/>
        <w:rPr>
          <w:rFonts w:ascii="Times New Roman"/>
          <w:sz w:val="8"/>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88"/>
        <w:gridCol w:w="975"/>
        <w:gridCol w:w="1386"/>
        <w:gridCol w:w="1087"/>
        <w:gridCol w:w="5299"/>
      </w:tblGrid>
      <w:tr>
        <w:trPr>
          <w:trHeight w:val="719" w:hRule="atLeast"/>
        </w:trPr>
        <w:tc>
          <w:tcPr>
            <w:tcW w:w="788" w:type="dxa"/>
          </w:tcPr>
          <w:p>
            <w:pPr>
              <w:pStyle w:val="TableParagraph"/>
              <w:spacing w:before="205"/>
              <w:ind w:left="134" w:right="124"/>
              <w:jc w:val="center"/>
              <w:rPr>
                <w:rFonts w:ascii="黑体" w:eastAsia="黑体" w:hint="eastAsia"/>
                <w:sz w:val="24"/>
              </w:rPr>
            </w:pPr>
            <w:r>
              <w:rPr>
                <w:rFonts w:ascii="黑体" w:eastAsia="黑体" w:hint="eastAsia"/>
                <w:sz w:val="24"/>
              </w:rPr>
              <w:t>序号</w:t>
            </w:r>
          </w:p>
        </w:tc>
        <w:tc>
          <w:tcPr>
            <w:tcW w:w="975" w:type="dxa"/>
          </w:tcPr>
          <w:p>
            <w:pPr>
              <w:pStyle w:val="TableParagraph"/>
              <w:spacing w:before="205"/>
              <w:ind w:left="227" w:right="218"/>
              <w:jc w:val="center"/>
              <w:rPr>
                <w:rFonts w:ascii="黑体" w:eastAsia="黑体" w:hint="eastAsia"/>
                <w:sz w:val="24"/>
              </w:rPr>
            </w:pPr>
            <w:r>
              <w:rPr>
                <w:rFonts w:ascii="黑体" w:eastAsia="黑体" w:hint="eastAsia"/>
                <w:sz w:val="24"/>
              </w:rPr>
              <w:t>类别</w:t>
            </w:r>
          </w:p>
        </w:tc>
        <w:tc>
          <w:tcPr>
            <w:tcW w:w="1386" w:type="dxa"/>
          </w:tcPr>
          <w:p>
            <w:pPr>
              <w:pStyle w:val="TableParagraph"/>
              <w:spacing w:before="205"/>
              <w:ind w:left="212"/>
              <w:rPr>
                <w:rFonts w:ascii="黑体" w:eastAsia="黑体" w:hint="eastAsia"/>
                <w:sz w:val="24"/>
              </w:rPr>
            </w:pPr>
            <w:r>
              <w:rPr>
                <w:rFonts w:ascii="黑体" w:eastAsia="黑体" w:hint="eastAsia"/>
                <w:sz w:val="24"/>
              </w:rPr>
              <w:t>管理环节</w:t>
            </w:r>
          </w:p>
        </w:tc>
        <w:tc>
          <w:tcPr>
            <w:tcW w:w="1087" w:type="dxa"/>
          </w:tcPr>
          <w:p>
            <w:pPr>
              <w:pStyle w:val="TableParagraph"/>
              <w:spacing w:line="242" w:lineRule="auto" w:before="49"/>
              <w:ind w:left="302" w:right="292"/>
              <w:rPr>
                <w:rFonts w:ascii="黑体" w:eastAsia="黑体" w:hint="eastAsia"/>
                <w:sz w:val="24"/>
              </w:rPr>
            </w:pPr>
            <w:r>
              <w:rPr>
                <w:rFonts w:ascii="黑体" w:eastAsia="黑体" w:hint="eastAsia"/>
                <w:sz w:val="24"/>
              </w:rPr>
              <w:t>隐患编号</w:t>
            </w:r>
          </w:p>
        </w:tc>
        <w:tc>
          <w:tcPr>
            <w:tcW w:w="5299" w:type="dxa"/>
          </w:tcPr>
          <w:p>
            <w:pPr>
              <w:pStyle w:val="TableParagraph"/>
              <w:spacing w:before="205"/>
              <w:ind w:left="2147" w:right="2141"/>
              <w:jc w:val="center"/>
              <w:rPr>
                <w:rFonts w:ascii="黑体" w:eastAsia="黑体" w:hint="eastAsia"/>
                <w:sz w:val="24"/>
              </w:rPr>
            </w:pPr>
            <w:r>
              <w:rPr>
                <w:rFonts w:ascii="黑体" w:eastAsia="黑体" w:hint="eastAsia"/>
                <w:sz w:val="24"/>
              </w:rPr>
              <w:t>隐患内容</w:t>
            </w:r>
          </w:p>
        </w:tc>
      </w:tr>
      <w:tr>
        <w:trPr>
          <w:trHeight w:val="305" w:hRule="atLeast"/>
        </w:trPr>
        <w:tc>
          <w:tcPr>
            <w:tcW w:w="788" w:type="dxa"/>
            <w:tcBorders>
              <w:bottom w:val="nil"/>
            </w:tcBorders>
          </w:tcPr>
          <w:p>
            <w:pPr>
              <w:pStyle w:val="TableParagraph"/>
              <w:rPr>
                <w:rFonts w:ascii="Times New Roman"/>
                <w:sz w:val="22"/>
              </w:rPr>
            </w:pPr>
          </w:p>
        </w:tc>
        <w:tc>
          <w:tcPr>
            <w:tcW w:w="975" w:type="dxa"/>
            <w:vMerge w:val="restart"/>
          </w:tcPr>
          <w:p>
            <w:pPr>
              <w:pStyle w:val="TableParagraph"/>
              <w:rPr>
                <w:rFonts w:ascii="Times New Roman"/>
                <w:sz w:val="22"/>
              </w:rPr>
            </w:pPr>
          </w:p>
        </w:tc>
        <w:tc>
          <w:tcPr>
            <w:tcW w:w="1386" w:type="dxa"/>
            <w:tcBorders>
              <w:bottom w:val="nil"/>
            </w:tcBorders>
          </w:tcPr>
          <w:p>
            <w:pPr>
              <w:pStyle w:val="TableParagraph"/>
              <w:rPr>
                <w:rFonts w:ascii="Times New Roman"/>
                <w:sz w:val="22"/>
              </w:rPr>
            </w:pPr>
          </w:p>
        </w:tc>
        <w:tc>
          <w:tcPr>
            <w:tcW w:w="1087" w:type="dxa"/>
            <w:tcBorders>
              <w:bottom w:val="nil"/>
            </w:tcBorders>
          </w:tcPr>
          <w:p>
            <w:pPr>
              <w:pStyle w:val="TableParagraph"/>
              <w:rPr>
                <w:rFonts w:ascii="Times New Roman"/>
                <w:sz w:val="22"/>
              </w:rPr>
            </w:pPr>
          </w:p>
        </w:tc>
        <w:tc>
          <w:tcPr>
            <w:tcW w:w="5299" w:type="dxa"/>
            <w:tcBorders>
              <w:bottom w:val="nil"/>
            </w:tcBorders>
          </w:tcPr>
          <w:p>
            <w:pPr>
              <w:pStyle w:val="TableParagraph"/>
              <w:spacing w:line="284" w:lineRule="exact" w:before="2"/>
              <w:ind w:left="108"/>
              <w:rPr>
                <w:sz w:val="24"/>
              </w:rPr>
            </w:pPr>
            <w:r>
              <w:rPr>
                <w:sz w:val="24"/>
              </w:rPr>
              <w:t>洞室施工过程中，未对洞内有毒有害气体进行检</w:t>
            </w:r>
          </w:p>
        </w:tc>
      </w:tr>
      <w:tr>
        <w:trPr>
          <w:trHeight w:val="301" w:hRule="atLeast"/>
        </w:trPr>
        <w:tc>
          <w:tcPr>
            <w:tcW w:w="788" w:type="dxa"/>
            <w:tcBorders>
              <w:top w:val="nil"/>
              <w:bottom w:val="nil"/>
            </w:tcBorders>
          </w:tcPr>
          <w:p>
            <w:pPr>
              <w:pStyle w:val="TableParagraph"/>
              <w:spacing w:line="282" w:lineRule="exact"/>
              <w:ind w:left="134" w:right="124"/>
              <w:jc w:val="center"/>
              <w:rPr>
                <w:sz w:val="24"/>
              </w:rPr>
            </w:pPr>
            <w:r>
              <w:rPr>
                <w:sz w:val="24"/>
              </w:rPr>
              <w:t>14</w:t>
            </w:r>
          </w:p>
        </w:tc>
        <w:tc>
          <w:tcPr>
            <w:tcW w:w="975" w:type="dxa"/>
            <w:vMerge/>
            <w:tcBorders>
              <w:top w:val="nil"/>
            </w:tcBorders>
          </w:tcPr>
          <w:p>
            <w:pPr>
              <w:rPr>
                <w:sz w:val="2"/>
                <w:szCs w:val="2"/>
              </w:rPr>
            </w:pPr>
          </w:p>
        </w:tc>
        <w:tc>
          <w:tcPr>
            <w:tcW w:w="1386" w:type="dxa"/>
            <w:tcBorders>
              <w:top w:val="nil"/>
              <w:bottom w:val="nil"/>
            </w:tcBorders>
          </w:tcPr>
          <w:p>
            <w:pPr>
              <w:pStyle w:val="TableParagraph"/>
              <w:spacing w:line="282" w:lineRule="exact"/>
              <w:ind w:left="212"/>
              <w:rPr>
                <w:sz w:val="24"/>
              </w:rPr>
            </w:pPr>
            <w:r>
              <w:rPr>
                <w:sz w:val="24"/>
              </w:rPr>
              <w:t>隧洞施工</w:t>
            </w:r>
          </w:p>
        </w:tc>
        <w:tc>
          <w:tcPr>
            <w:tcW w:w="1087" w:type="dxa"/>
            <w:tcBorders>
              <w:top w:val="nil"/>
              <w:bottom w:val="nil"/>
            </w:tcBorders>
          </w:tcPr>
          <w:p>
            <w:pPr>
              <w:pStyle w:val="TableParagraph"/>
              <w:spacing w:line="282" w:lineRule="exact"/>
              <w:ind w:left="102" w:right="94"/>
              <w:jc w:val="center"/>
              <w:rPr>
                <w:sz w:val="24"/>
              </w:rPr>
            </w:pPr>
            <w:r>
              <w:rPr>
                <w:sz w:val="24"/>
              </w:rPr>
              <w:t>SJ-J014</w:t>
            </w:r>
          </w:p>
        </w:tc>
        <w:tc>
          <w:tcPr>
            <w:tcW w:w="5299" w:type="dxa"/>
            <w:tcBorders>
              <w:top w:val="nil"/>
              <w:bottom w:val="nil"/>
            </w:tcBorders>
          </w:tcPr>
          <w:p>
            <w:pPr>
              <w:pStyle w:val="TableParagraph"/>
              <w:spacing w:line="282" w:lineRule="exact"/>
              <w:ind w:left="108"/>
              <w:rPr>
                <w:sz w:val="24"/>
              </w:rPr>
            </w:pPr>
            <w:r>
              <w:rPr>
                <w:sz w:val="24"/>
              </w:rPr>
              <w:t>测、监测；有毒有害气体达到或超过规定标准时</w:t>
            </w:r>
          </w:p>
        </w:tc>
      </w:tr>
      <w:tr>
        <w:trPr>
          <w:trHeight w:val="306" w:hRule="atLeast"/>
        </w:trPr>
        <w:tc>
          <w:tcPr>
            <w:tcW w:w="788" w:type="dxa"/>
            <w:tcBorders>
              <w:top w:val="nil"/>
            </w:tcBorders>
          </w:tcPr>
          <w:p>
            <w:pPr>
              <w:pStyle w:val="TableParagraph"/>
              <w:rPr>
                <w:rFonts w:ascii="Times New Roman"/>
                <w:sz w:val="22"/>
              </w:rPr>
            </w:pPr>
          </w:p>
        </w:tc>
        <w:tc>
          <w:tcPr>
            <w:tcW w:w="975" w:type="dxa"/>
            <w:vMerge/>
            <w:tcBorders>
              <w:top w:val="nil"/>
            </w:tcBorders>
          </w:tcPr>
          <w:p>
            <w:pPr>
              <w:rPr>
                <w:sz w:val="2"/>
                <w:szCs w:val="2"/>
              </w:rPr>
            </w:pPr>
          </w:p>
        </w:tc>
        <w:tc>
          <w:tcPr>
            <w:tcW w:w="1386" w:type="dxa"/>
            <w:tcBorders>
              <w:top w:val="nil"/>
            </w:tcBorders>
          </w:tcPr>
          <w:p>
            <w:pPr>
              <w:pStyle w:val="TableParagraph"/>
              <w:rPr>
                <w:rFonts w:ascii="Times New Roman"/>
                <w:sz w:val="22"/>
              </w:rPr>
            </w:pPr>
          </w:p>
        </w:tc>
        <w:tc>
          <w:tcPr>
            <w:tcW w:w="1087" w:type="dxa"/>
            <w:tcBorders>
              <w:top w:val="nil"/>
            </w:tcBorders>
          </w:tcPr>
          <w:p>
            <w:pPr>
              <w:pStyle w:val="TableParagraph"/>
              <w:rPr>
                <w:rFonts w:ascii="Times New Roman"/>
                <w:sz w:val="22"/>
              </w:rPr>
            </w:pPr>
          </w:p>
        </w:tc>
        <w:tc>
          <w:tcPr>
            <w:tcW w:w="5299" w:type="dxa"/>
            <w:tcBorders>
              <w:top w:val="nil"/>
            </w:tcBorders>
          </w:tcPr>
          <w:p>
            <w:pPr>
              <w:pStyle w:val="TableParagraph"/>
              <w:spacing w:line="286" w:lineRule="exact"/>
              <w:ind w:left="108"/>
              <w:rPr>
                <w:sz w:val="24"/>
              </w:rPr>
            </w:pPr>
            <w:r>
              <w:rPr>
                <w:sz w:val="24"/>
              </w:rPr>
              <w:t>未采取有效措施</w:t>
            </w:r>
          </w:p>
        </w:tc>
      </w:tr>
      <w:tr>
        <w:trPr>
          <w:trHeight w:val="305" w:hRule="atLeast"/>
        </w:trPr>
        <w:tc>
          <w:tcPr>
            <w:tcW w:w="788" w:type="dxa"/>
            <w:tcBorders>
              <w:bottom w:val="nil"/>
            </w:tcBorders>
          </w:tcPr>
          <w:p>
            <w:pPr>
              <w:pStyle w:val="TableParagraph"/>
              <w:rPr>
                <w:rFonts w:ascii="Times New Roman"/>
                <w:sz w:val="22"/>
              </w:rPr>
            </w:pPr>
          </w:p>
        </w:tc>
        <w:tc>
          <w:tcPr>
            <w:tcW w:w="975" w:type="dxa"/>
            <w:vMerge/>
            <w:tcBorders>
              <w:top w:val="nil"/>
            </w:tcBorders>
          </w:tcPr>
          <w:p>
            <w:pPr>
              <w:rPr>
                <w:sz w:val="2"/>
                <w:szCs w:val="2"/>
              </w:rPr>
            </w:pPr>
          </w:p>
        </w:tc>
        <w:tc>
          <w:tcPr>
            <w:tcW w:w="1386" w:type="dxa"/>
            <w:tcBorders>
              <w:bottom w:val="nil"/>
            </w:tcBorders>
          </w:tcPr>
          <w:p>
            <w:pPr>
              <w:pStyle w:val="TableParagraph"/>
              <w:rPr>
                <w:rFonts w:ascii="Times New Roman"/>
                <w:sz w:val="22"/>
              </w:rPr>
            </w:pPr>
          </w:p>
        </w:tc>
        <w:tc>
          <w:tcPr>
            <w:tcW w:w="1087" w:type="dxa"/>
            <w:tcBorders>
              <w:bottom w:val="nil"/>
            </w:tcBorders>
          </w:tcPr>
          <w:p>
            <w:pPr>
              <w:pStyle w:val="TableParagraph"/>
              <w:rPr>
                <w:rFonts w:ascii="Times New Roman"/>
                <w:sz w:val="22"/>
              </w:rPr>
            </w:pPr>
          </w:p>
        </w:tc>
        <w:tc>
          <w:tcPr>
            <w:tcW w:w="5299" w:type="dxa"/>
            <w:tcBorders>
              <w:bottom w:val="nil"/>
            </w:tcBorders>
          </w:tcPr>
          <w:p>
            <w:pPr>
              <w:pStyle w:val="TableParagraph"/>
              <w:spacing w:line="285" w:lineRule="exact" w:before="1"/>
              <w:ind w:left="108" w:right="-29"/>
              <w:rPr>
                <w:sz w:val="24"/>
              </w:rPr>
            </w:pPr>
            <w:r>
              <w:rPr>
                <w:spacing w:val="-9"/>
                <w:sz w:val="24"/>
              </w:rPr>
              <w:t>蜗壳、机坑里衬安装时，搭设的施工平台</w:t>
            </w:r>
            <w:r>
              <w:rPr>
                <w:sz w:val="24"/>
              </w:rPr>
              <w:t>（组装）</w:t>
            </w:r>
          </w:p>
        </w:tc>
      </w:tr>
      <w:tr>
        <w:trPr>
          <w:trHeight w:val="300" w:hRule="atLeast"/>
        </w:trPr>
        <w:tc>
          <w:tcPr>
            <w:tcW w:w="788" w:type="dxa"/>
            <w:tcBorders>
              <w:top w:val="nil"/>
              <w:bottom w:val="nil"/>
            </w:tcBorders>
          </w:tcPr>
          <w:p>
            <w:pPr>
              <w:pStyle w:val="TableParagraph"/>
              <w:rPr>
                <w:rFonts w:ascii="Times New Roman"/>
                <w:sz w:val="22"/>
              </w:rPr>
            </w:pPr>
          </w:p>
        </w:tc>
        <w:tc>
          <w:tcPr>
            <w:tcW w:w="975" w:type="dxa"/>
            <w:vMerge/>
            <w:tcBorders>
              <w:top w:val="nil"/>
            </w:tcBorders>
          </w:tcPr>
          <w:p>
            <w:pPr>
              <w:rPr>
                <w:sz w:val="2"/>
                <w:szCs w:val="2"/>
              </w:rPr>
            </w:pPr>
          </w:p>
        </w:tc>
        <w:tc>
          <w:tcPr>
            <w:tcW w:w="1386" w:type="dxa"/>
            <w:tcBorders>
              <w:top w:val="nil"/>
              <w:bottom w:val="nil"/>
            </w:tcBorders>
          </w:tcPr>
          <w:p>
            <w:pPr>
              <w:pStyle w:val="TableParagraph"/>
              <w:rPr>
                <w:rFonts w:ascii="Times New Roman"/>
                <w:sz w:val="22"/>
              </w:rPr>
            </w:pPr>
          </w:p>
        </w:tc>
        <w:tc>
          <w:tcPr>
            <w:tcW w:w="1087" w:type="dxa"/>
            <w:tcBorders>
              <w:top w:val="nil"/>
              <w:bottom w:val="nil"/>
            </w:tcBorders>
          </w:tcPr>
          <w:p>
            <w:pPr>
              <w:pStyle w:val="TableParagraph"/>
              <w:rPr>
                <w:rFonts w:ascii="Times New Roman"/>
                <w:sz w:val="22"/>
              </w:rPr>
            </w:pPr>
          </w:p>
        </w:tc>
        <w:tc>
          <w:tcPr>
            <w:tcW w:w="5299" w:type="dxa"/>
            <w:tcBorders>
              <w:top w:val="nil"/>
              <w:bottom w:val="nil"/>
            </w:tcBorders>
          </w:tcPr>
          <w:p>
            <w:pPr>
              <w:pStyle w:val="TableParagraph"/>
              <w:spacing w:line="281" w:lineRule="exact"/>
              <w:ind w:left="108"/>
              <w:rPr>
                <w:sz w:val="24"/>
              </w:rPr>
            </w:pPr>
            <w:r>
              <w:rPr>
                <w:sz w:val="24"/>
              </w:rPr>
              <w:t>未经检查验收即投入使用；在机坑中进行电焊、</w:t>
            </w:r>
          </w:p>
        </w:tc>
      </w:tr>
      <w:tr>
        <w:trPr>
          <w:trHeight w:val="300" w:hRule="atLeast"/>
        </w:trPr>
        <w:tc>
          <w:tcPr>
            <w:tcW w:w="788" w:type="dxa"/>
            <w:tcBorders>
              <w:top w:val="nil"/>
              <w:bottom w:val="nil"/>
            </w:tcBorders>
          </w:tcPr>
          <w:p>
            <w:pPr>
              <w:pStyle w:val="TableParagraph"/>
              <w:spacing w:line="281" w:lineRule="exact"/>
              <w:ind w:left="134" w:right="124"/>
              <w:jc w:val="center"/>
              <w:rPr>
                <w:sz w:val="24"/>
              </w:rPr>
            </w:pPr>
            <w:r>
              <w:rPr>
                <w:sz w:val="24"/>
              </w:rPr>
              <w:t>15</w:t>
            </w:r>
          </w:p>
        </w:tc>
        <w:tc>
          <w:tcPr>
            <w:tcW w:w="975" w:type="dxa"/>
            <w:vMerge/>
            <w:tcBorders>
              <w:top w:val="nil"/>
            </w:tcBorders>
          </w:tcPr>
          <w:p>
            <w:pPr>
              <w:rPr>
                <w:sz w:val="2"/>
                <w:szCs w:val="2"/>
              </w:rPr>
            </w:pPr>
          </w:p>
        </w:tc>
        <w:tc>
          <w:tcPr>
            <w:tcW w:w="1386" w:type="dxa"/>
            <w:tcBorders>
              <w:top w:val="nil"/>
              <w:bottom w:val="nil"/>
            </w:tcBorders>
          </w:tcPr>
          <w:p>
            <w:pPr>
              <w:pStyle w:val="TableParagraph"/>
              <w:spacing w:line="281" w:lineRule="exact"/>
              <w:ind w:left="212"/>
              <w:rPr>
                <w:sz w:val="24"/>
              </w:rPr>
            </w:pPr>
            <w:r>
              <w:rPr>
                <w:sz w:val="24"/>
              </w:rPr>
              <w:t>设备安装</w:t>
            </w:r>
          </w:p>
        </w:tc>
        <w:tc>
          <w:tcPr>
            <w:tcW w:w="1087" w:type="dxa"/>
            <w:tcBorders>
              <w:top w:val="nil"/>
              <w:bottom w:val="nil"/>
            </w:tcBorders>
          </w:tcPr>
          <w:p>
            <w:pPr>
              <w:pStyle w:val="TableParagraph"/>
              <w:spacing w:line="281" w:lineRule="exact"/>
              <w:ind w:left="102" w:right="94"/>
              <w:jc w:val="center"/>
              <w:rPr>
                <w:sz w:val="24"/>
              </w:rPr>
            </w:pPr>
            <w:r>
              <w:rPr>
                <w:sz w:val="24"/>
              </w:rPr>
              <w:t>SJ-J015</w:t>
            </w:r>
          </w:p>
        </w:tc>
        <w:tc>
          <w:tcPr>
            <w:tcW w:w="5299" w:type="dxa"/>
            <w:tcBorders>
              <w:top w:val="nil"/>
              <w:bottom w:val="nil"/>
            </w:tcBorders>
          </w:tcPr>
          <w:p>
            <w:pPr>
              <w:pStyle w:val="TableParagraph"/>
              <w:spacing w:line="281" w:lineRule="exact"/>
              <w:ind w:left="108" w:right="-29"/>
              <w:rPr>
                <w:sz w:val="24"/>
              </w:rPr>
            </w:pPr>
            <w:r>
              <w:rPr>
                <w:spacing w:val="-7"/>
                <w:sz w:val="24"/>
              </w:rPr>
              <w:t>气割作业</w:t>
            </w:r>
            <w:r>
              <w:rPr>
                <w:sz w:val="24"/>
              </w:rPr>
              <w:t>（</w:t>
            </w:r>
            <w:r>
              <w:rPr>
                <w:spacing w:val="-8"/>
                <w:sz w:val="24"/>
              </w:rPr>
              <w:t>如水机室、定子组装、上下机架组装</w:t>
            </w:r>
            <w:r>
              <w:rPr>
                <w:sz w:val="24"/>
              </w:rPr>
              <w:t>）</w:t>
            </w:r>
          </w:p>
        </w:tc>
      </w:tr>
      <w:tr>
        <w:trPr>
          <w:trHeight w:val="301" w:hRule="atLeast"/>
        </w:trPr>
        <w:tc>
          <w:tcPr>
            <w:tcW w:w="788" w:type="dxa"/>
            <w:tcBorders>
              <w:top w:val="nil"/>
              <w:bottom w:val="nil"/>
            </w:tcBorders>
          </w:tcPr>
          <w:p>
            <w:pPr>
              <w:pStyle w:val="TableParagraph"/>
              <w:rPr>
                <w:rFonts w:ascii="Times New Roman"/>
                <w:sz w:val="22"/>
              </w:rPr>
            </w:pPr>
          </w:p>
        </w:tc>
        <w:tc>
          <w:tcPr>
            <w:tcW w:w="975" w:type="dxa"/>
            <w:vMerge/>
            <w:tcBorders>
              <w:top w:val="nil"/>
            </w:tcBorders>
          </w:tcPr>
          <w:p>
            <w:pPr>
              <w:rPr>
                <w:sz w:val="2"/>
                <w:szCs w:val="2"/>
              </w:rPr>
            </w:pPr>
          </w:p>
        </w:tc>
        <w:tc>
          <w:tcPr>
            <w:tcW w:w="1386" w:type="dxa"/>
            <w:tcBorders>
              <w:top w:val="nil"/>
              <w:bottom w:val="nil"/>
            </w:tcBorders>
          </w:tcPr>
          <w:p>
            <w:pPr>
              <w:pStyle w:val="TableParagraph"/>
              <w:rPr>
                <w:rFonts w:ascii="Times New Roman"/>
                <w:sz w:val="22"/>
              </w:rPr>
            </w:pPr>
          </w:p>
        </w:tc>
        <w:tc>
          <w:tcPr>
            <w:tcW w:w="1087" w:type="dxa"/>
            <w:tcBorders>
              <w:top w:val="nil"/>
              <w:bottom w:val="nil"/>
            </w:tcBorders>
          </w:tcPr>
          <w:p>
            <w:pPr>
              <w:pStyle w:val="TableParagraph"/>
              <w:rPr>
                <w:rFonts w:ascii="Times New Roman"/>
                <w:sz w:val="22"/>
              </w:rPr>
            </w:pPr>
          </w:p>
        </w:tc>
        <w:tc>
          <w:tcPr>
            <w:tcW w:w="5299" w:type="dxa"/>
            <w:tcBorders>
              <w:top w:val="nil"/>
              <w:bottom w:val="nil"/>
            </w:tcBorders>
          </w:tcPr>
          <w:p>
            <w:pPr>
              <w:pStyle w:val="TableParagraph"/>
              <w:spacing w:line="282" w:lineRule="exact"/>
              <w:ind w:left="108"/>
              <w:rPr>
                <w:sz w:val="24"/>
              </w:rPr>
            </w:pPr>
            <w:r>
              <w:rPr>
                <w:sz w:val="24"/>
              </w:rPr>
              <w:t>时，未设置隔离防护平台或铺设防火布，现场未</w:t>
            </w:r>
          </w:p>
        </w:tc>
      </w:tr>
      <w:tr>
        <w:trPr>
          <w:trHeight w:val="306" w:hRule="atLeast"/>
        </w:trPr>
        <w:tc>
          <w:tcPr>
            <w:tcW w:w="788" w:type="dxa"/>
            <w:tcBorders>
              <w:top w:val="nil"/>
            </w:tcBorders>
          </w:tcPr>
          <w:p>
            <w:pPr>
              <w:pStyle w:val="TableParagraph"/>
              <w:rPr>
                <w:rFonts w:ascii="Times New Roman"/>
                <w:sz w:val="22"/>
              </w:rPr>
            </w:pPr>
          </w:p>
        </w:tc>
        <w:tc>
          <w:tcPr>
            <w:tcW w:w="975" w:type="dxa"/>
            <w:vMerge/>
            <w:tcBorders>
              <w:top w:val="nil"/>
            </w:tcBorders>
          </w:tcPr>
          <w:p>
            <w:pPr>
              <w:rPr>
                <w:sz w:val="2"/>
                <w:szCs w:val="2"/>
              </w:rPr>
            </w:pPr>
          </w:p>
        </w:tc>
        <w:tc>
          <w:tcPr>
            <w:tcW w:w="1386" w:type="dxa"/>
            <w:tcBorders>
              <w:top w:val="nil"/>
            </w:tcBorders>
          </w:tcPr>
          <w:p>
            <w:pPr>
              <w:pStyle w:val="TableParagraph"/>
              <w:rPr>
                <w:rFonts w:ascii="Times New Roman"/>
                <w:sz w:val="22"/>
              </w:rPr>
            </w:pPr>
          </w:p>
        </w:tc>
        <w:tc>
          <w:tcPr>
            <w:tcW w:w="1087" w:type="dxa"/>
            <w:tcBorders>
              <w:top w:val="nil"/>
            </w:tcBorders>
          </w:tcPr>
          <w:p>
            <w:pPr>
              <w:pStyle w:val="TableParagraph"/>
              <w:rPr>
                <w:rFonts w:ascii="Times New Roman"/>
                <w:sz w:val="22"/>
              </w:rPr>
            </w:pPr>
          </w:p>
        </w:tc>
        <w:tc>
          <w:tcPr>
            <w:tcW w:w="5299" w:type="dxa"/>
            <w:tcBorders>
              <w:top w:val="nil"/>
            </w:tcBorders>
          </w:tcPr>
          <w:p>
            <w:pPr>
              <w:pStyle w:val="TableParagraph"/>
              <w:spacing w:line="286" w:lineRule="exact"/>
              <w:ind w:left="108"/>
              <w:rPr>
                <w:sz w:val="24"/>
              </w:rPr>
            </w:pPr>
            <w:r>
              <w:rPr>
                <w:sz w:val="24"/>
              </w:rPr>
              <w:t>配备消防器材</w:t>
            </w:r>
          </w:p>
        </w:tc>
      </w:tr>
      <w:tr>
        <w:trPr>
          <w:trHeight w:val="305" w:hRule="atLeast"/>
        </w:trPr>
        <w:tc>
          <w:tcPr>
            <w:tcW w:w="788" w:type="dxa"/>
            <w:tcBorders>
              <w:bottom w:val="nil"/>
            </w:tcBorders>
          </w:tcPr>
          <w:p>
            <w:pPr>
              <w:pStyle w:val="TableParagraph"/>
              <w:rPr>
                <w:rFonts w:ascii="Times New Roman"/>
                <w:sz w:val="22"/>
              </w:rPr>
            </w:pPr>
          </w:p>
        </w:tc>
        <w:tc>
          <w:tcPr>
            <w:tcW w:w="975" w:type="dxa"/>
            <w:vMerge/>
            <w:tcBorders>
              <w:top w:val="nil"/>
            </w:tcBorders>
          </w:tcPr>
          <w:p>
            <w:pPr>
              <w:rPr>
                <w:sz w:val="2"/>
                <w:szCs w:val="2"/>
              </w:rPr>
            </w:pPr>
          </w:p>
        </w:tc>
        <w:tc>
          <w:tcPr>
            <w:tcW w:w="1386" w:type="dxa"/>
            <w:tcBorders>
              <w:bottom w:val="nil"/>
            </w:tcBorders>
          </w:tcPr>
          <w:p>
            <w:pPr>
              <w:pStyle w:val="TableParagraph"/>
              <w:rPr>
                <w:rFonts w:ascii="Times New Roman"/>
                <w:sz w:val="22"/>
              </w:rPr>
            </w:pPr>
          </w:p>
        </w:tc>
        <w:tc>
          <w:tcPr>
            <w:tcW w:w="1087" w:type="dxa"/>
            <w:tcBorders>
              <w:bottom w:val="nil"/>
            </w:tcBorders>
          </w:tcPr>
          <w:p>
            <w:pPr>
              <w:pStyle w:val="TableParagraph"/>
              <w:rPr>
                <w:rFonts w:ascii="Times New Roman"/>
                <w:sz w:val="22"/>
              </w:rPr>
            </w:pPr>
          </w:p>
        </w:tc>
        <w:tc>
          <w:tcPr>
            <w:tcW w:w="5299" w:type="dxa"/>
            <w:tcBorders>
              <w:bottom w:val="nil"/>
            </w:tcBorders>
          </w:tcPr>
          <w:p>
            <w:pPr>
              <w:pStyle w:val="TableParagraph"/>
              <w:spacing w:line="284" w:lineRule="exact" w:before="2"/>
              <w:ind w:left="108"/>
              <w:rPr>
                <w:sz w:val="24"/>
              </w:rPr>
            </w:pPr>
            <w:r>
              <w:rPr>
                <w:sz w:val="24"/>
              </w:rPr>
              <w:t>未按规定设置必要的安全作业区或警戒区；水上</w:t>
            </w:r>
          </w:p>
        </w:tc>
      </w:tr>
      <w:tr>
        <w:trPr>
          <w:trHeight w:val="300" w:hRule="atLeast"/>
        </w:trPr>
        <w:tc>
          <w:tcPr>
            <w:tcW w:w="788" w:type="dxa"/>
            <w:tcBorders>
              <w:top w:val="nil"/>
              <w:bottom w:val="nil"/>
            </w:tcBorders>
          </w:tcPr>
          <w:p>
            <w:pPr>
              <w:pStyle w:val="TableParagraph"/>
              <w:rPr>
                <w:rFonts w:ascii="Times New Roman"/>
                <w:sz w:val="22"/>
              </w:rPr>
            </w:pPr>
          </w:p>
        </w:tc>
        <w:tc>
          <w:tcPr>
            <w:tcW w:w="975" w:type="dxa"/>
            <w:vMerge/>
            <w:tcBorders>
              <w:top w:val="nil"/>
            </w:tcBorders>
          </w:tcPr>
          <w:p>
            <w:pPr>
              <w:rPr>
                <w:sz w:val="2"/>
                <w:szCs w:val="2"/>
              </w:rPr>
            </w:pPr>
          </w:p>
        </w:tc>
        <w:tc>
          <w:tcPr>
            <w:tcW w:w="1386" w:type="dxa"/>
            <w:tcBorders>
              <w:top w:val="nil"/>
              <w:bottom w:val="nil"/>
            </w:tcBorders>
          </w:tcPr>
          <w:p>
            <w:pPr>
              <w:pStyle w:val="TableParagraph"/>
              <w:rPr>
                <w:rFonts w:ascii="Times New Roman"/>
                <w:sz w:val="22"/>
              </w:rPr>
            </w:pPr>
          </w:p>
        </w:tc>
        <w:tc>
          <w:tcPr>
            <w:tcW w:w="1087" w:type="dxa"/>
            <w:tcBorders>
              <w:top w:val="nil"/>
              <w:bottom w:val="nil"/>
            </w:tcBorders>
          </w:tcPr>
          <w:p>
            <w:pPr>
              <w:pStyle w:val="TableParagraph"/>
              <w:rPr>
                <w:rFonts w:ascii="Times New Roman"/>
                <w:sz w:val="22"/>
              </w:rPr>
            </w:pPr>
          </w:p>
        </w:tc>
        <w:tc>
          <w:tcPr>
            <w:tcW w:w="5299" w:type="dxa"/>
            <w:tcBorders>
              <w:top w:val="nil"/>
              <w:bottom w:val="nil"/>
            </w:tcBorders>
          </w:tcPr>
          <w:p>
            <w:pPr>
              <w:pStyle w:val="TableParagraph"/>
              <w:spacing w:line="281" w:lineRule="exact"/>
              <w:ind w:left="108"/>
              <w:rPr>
                <w:sz w:val="24"/>
              </w:rPr>
            </w:pPr>
            <w:r>
              <w:rPr>
                <w:sz w:val="24"/>
              </w:rPr>
              <w:t>作业施工船舶施工安全工作条件不符合船舶使用</w:t>
            </w:r>
          </w:p>
        </w:tc>
      </w:tr>
      <w:tr>
        <w:trPr>
          <w:trHeight w:val="302" w:hRule="atLeast"/>
        </w:trPr>
        <w:tc>
          <w:tcPr>
            <w:tcW w:w="788" w:type="dxa"/>
            <w:tcBorders>
              <w:top w:val="nil"/>
              <w:bottom w:val="nil"/>
            </w:tcBorders>
          </w:tcPr>
          <w:p>
            <w:pPr>
              <w:pStyle w:val="TableParagraph"/>
              <w:spacing w:line="282" w:lineRule="exact"/>
              <w:ind w:left="134" w:right="124"/>
              <w:jc w:val="center"/>
              <w:rPr>
                <w:sz w:val="24"/>
              </w:rPr>
            </w:pPr>
            <w:r>
              <w:rPr>
                <w:sz w:val="24"/>
              </w:rPr>
              <w:t>16</w:t>
            </w:r>
          </w:p>
        </w:tc>
        <w:tc>
          <w:tcPr>
            <w:tcW w:w="975" w:type="dxa"/>
            <w:vMerge/>
            <w:tcBorders>
              <w:top w:val="nil"/>
            </w:tcBorders>
          </w:tcPr>
          <w:p>
            <w:pPr>
              <w:rPr>
                <w:sz w:val="2"/>
                <w:szCs w:val="2"/>
              </w:rPr>
            </w:pPr>
          </w:p>
        </w:tc>
        <w:tc>
          <w:tcPr>
            <w:tcW w:w="1386" w:type="dxa"/>
            <w:tcBorders>
              <w:top w:val="nil"/>
              <w:bottom w:val="nil"/>
            </w:tcBorders>
          </w:tcPr>
          <w:p>
            <w:pPr>
              <w:pStyle w:val="TableParagraph"/>
              <w:spacing w:line="282" w:lineRule="exact"/>
              <w:ind w:left="212"/>
              <w:rPr>
                <w:sz w:val="24"/>
              </w:rPr>
            </w:pPr>
            <w:r>
              <w:rPr>
                <w:sz w:val="24"/>
              </w:rPr>
              <w:t>水上作业</w:t>
            </w:r>
          </w:p>
        </w:tc>
        <w:tc>
          <w:tcPr>
            <w:tcW w:w="1087" w:type="dxa"/>
            <w:tcBorders>
              <w:top w:val="nil"/>
              <w:bottom w:val="nil"/>
            </w:tcBorders>
          </w:tcPr>
          <w:p>
            <w:pPr>
              <w:pStyle w:val="TableParagraph"/>
              <w:spacing w:line="282" w:lineRule="exact"/>
              <w:ind w:left="102" w:right="94"/>
              <w:jc w:val="center"/>
              <w:rPr>
                <w:sz w:val="24"/>
              </w:rPr>
            </w:pPr>
            <w:r>
              <w:rPr>
                <w:sz w:val="24"/>
              </w:rPr>
              <w:t>SJ-J016</w:t>
            </w:r>
          </w:p>
        </w:tc>
        <w:tc>
          <w:tcPr>
            <w:tcW w:w="5299" w:type="dxa"/>
            <w:tcBorders>
              <w:top w:val="nil"/>
              <w:bottom w:val="nil"/>
            </w:tcBorders>
          </w:tcPr>
          <w:p>
            <w:pPr>
              <w:pStyle w:val="TableParagraph"/>
              <w:spacing w:line="282" w:lineRule="exact"/>
              <w:ind w:left="108"/>
              <w:rPr>
                <w:sz w:val="24"/>
              </w:rPr>
            </w:pPr>
            <w:r>
              <w:rPr>
                <w:sz w:val="24"/>
              </w:rPr>
              <w:t>说明书和设备状况，未停止施工；挖泥船的实际</w:t>
            </w:r>
          </w:p>
        </w:tc>
      </w:tr>
      <w:tr>
        <w:trPr>
          <w:trHeight w:val="302" w:hRule="atLeast"/>
        </w:trPr>
        <w:tc>
          <w:tcPr>
            <w:tcW w:w="788" w:type="dxa"/>
            <w:tcBorders>
              <w:top w:val="nil"/>
              <w:bottom w:val="nil"/>
            </w:tcBorders>
          </w:tcPr>
          <w:p>
            <w:pPr>
              <w:pStyle w:val="TableParagraph"/>
              <w:rPr>
                <w:rFonts w:ascii="Times New Roman"/>
                <w:sz w:val="22"/>
              </w:rPr>
            </w:pPr>
          </w:p>
        </w:tc>
        <w:tc>
          <w:tcPr>
            <w:tcW w:w="975" w:type="dxa"/>
            <w:vMerge/>
            <w:tcBorders>
              <w:top w:val="nil"/>
            </w:tcBorders>
          </w:tcPr>
          <w:p>
            <w:pPr>
              <w:rPr>
                <w:sz w:val="2"/>
                <w:szCs w:val="2"/>
              </w:rPr>
            </w:pPr>
          </w:p>
        </w:tc>
        <w:tc>
          <w:tcPr>
            <w:tcW w:w="1386" w:type="dxa"/>
            <w:tcBorders>
              <w:top w:val="nil"/>
              <w:bottom w:val="nil"/>
            </w:tcBorders>
          </w:tcPr>
          <w:p>
            <w:pPr>
              <w:pStyle w:val="TableParagraph"/>
              <w:rPr>
                <w:rFonts w:ascii="Times New Roman"/>
                <w:sz w:val="22"/>
              </w:rPr>
            </w:pPr>
          </w:p>
        </w:tc>
        <w:tc>
          <w:tcPr>
            <w:tcW w:w="1087" w:type="dxa"/>
            <w:tcBorders>
              <w:top w:val="nil"/>
              <w:bottom w:val="nil"/>
            </w:tcBorders>
          </w:tcPr>
          <w:p>
            <w:pPr>
              <w:pStyle w:val="TableParagraph"/>
              <w:rPr>
                <w:rFonts w:ascii="Times New Roman"/>
                <w:sz w:val="22"/>
              </w:rPr>
            </w:pPr>
          </w:p>
        </w:tc>
        <w:tc>
          <w:tcPr>
            <w:tcW w:w="5299" w:type="dxa"/>
            <w:tcBorders>
              <w:top w:val="nil"/>
              <w:bottom w:val="nil"/>
            </w:tcBorders>
          </w:tcPr>
          <w:p>
            <w:pPr>
              <w:pStyle w:val="TableParagraph"/>
              <w:spacing w:line="282" w:lineRule="exact"/>
              <w:ind w:left="108" w:right="-29"/>
              <w:rPr>
                <w:sz w:val="24"/>
              </w:rPr>
            </w:pPr>
            <w:r>
              <w:rPr>
                <w:spacing w:val="8"/>
                <w:sz w:val="24"/>
              </w:rPr>
              <w:t>工作条件大于</w:t>
            </w:r>
            <w:r>
              <w:rPr>
                <w:sz w:val="24"/>
              </w:rPr>
              <w:t>SL</w:t>
            </w:r>
            <w:r>
              <w:rPr>
                <w:spacing w:val="-60"/>
                <w:sz w:val="24"/>
              </w:rPr>
              <w:t> </w:t>
            </w:r>
            <w:r>
              <w:rPr>
                <w:sz w:val="24"/>
              </w:rPr>
              <w:t>17—2014</w:t>
            </w:r>
            <w:r>
              <w:rPr>
                <w:spacing w:val="-43"/>
                <w:sz w:val="24"/>
              </w:rPr>
              <w:t> 表 </w:t>
            </w:r>
            <w:r>
              <w:rPr>
                <w:sz w:val="24"/>
              </w:rPr>
              <w:t>5.7.9</w:t>
            </w:r>
            <w:r>
              <w:rPr>
                <w:spacing w:val="-11"/>
                <w:sz w:val="24"/>
              </w:rPr>
              <w:t> 中所列数值，</w:t>
            </w:r>
          </w:p>
        </w:tc>
      </w:tr>
      <w:tr>
        <w:trPr>
          <w:trHeight w:val="305" w:hRule="atLeast"/>
        </w:trPr>
        <w:tc>
          <w:tcPr>
            <w:tcW w:w="788" w:type="dxa"/>
            <w:tcBorders>
              <w:top w:val="nil"/>
            </w:tcBorders>
          </w:tcPr>
          <w:p>
            <w:pPr>
              <w:pStyle w:val="TableParagraph"/>
              <w:rPr>
                <w:rFonts w:ascii="Times New Roman"/>
                <w:sz w:val="22"/>
              </w:rPr>
            </w:pPr>
          </w:p>
        </w:tc>
        <w:tc>
          <w:tcPr>
            <w:tcW w:w="975" w:type="dxa"/>
            <w:vMerge/>
            <w:tcBorders>
              <w:top w:val="nil"/>
            </w:tcBorders>
          </w:tcPr>
          <w:p>
            <w:pPr>
              <w:rPr>
                <w:sz w:val="2"/>
                <w:szCs w:val="2"/>
              </w:rPr>
            </w:pPr>
          </w:p>
        </w:tc>
        <w:tc>
          <w:tcPr>
            <w:tcW w:w="1386" w:type="dxa"/>
            <w:tcBorders>
              <w:top w:val="nil"/>
            </w:tcBorders>
          </w:tcPr>
          <w:p>
            <w:pPr>
              <w:pStyle w:val="TableParagraph"/>
              <w:rPr>
                <w:rFonts w:ascii="Times New Roman"/>
                <w:sz w:val="22"/>
              </w:rPr>
            </w:pPr>
          </w:p>
        </w:tc>
        <w:tc>
          <w:tcPr>
            <w:tcW w:w="1087" w:type="dxa"/>
            <w:tcBorders>
              <w:top w:val="nil"/>
            </w:tcBorders>
          </w:tcPr>
          <w:p>
            <w:pPr>
              <w:pStyle w:val="TableParagraph"/>
              <w:rPr>
                <w:rFonts w:ascii="Times New Roman"/>
                <w:sz w:val="22"/>
              </w:rPr>
            </w:pPr>
          </w:p>
        </w:tc>
        <w:tc>
          <w:tcPr>
            <w:tcW w:w="5299" w:type="dxa"/>
            <w:tcBorders>
              <w:top w:val="nil"/>
            </w:tcBorders>
          </w:tcPr>
          <w:p>
            <w:pPr>
              <w:pStyle w:val="TableParagraph"/>
              <w:spacing w:line="285" w:lineRule="exact"/>
              <w:ind w:left="108"/>
              <w:rPr>
                <w:sz w:val="24"/>
              </w:rPr>
            </w:pPr>
            <w:r>
              <w:rPr>
                <w:sz w:val="24"/>
              </w:rPr>
              <w:t>未停止施工</w:t>
            </w:r>
          </w:p>
        </w:tc>
      </w:tr>
      <w:tr>
        <w:trPr>
          <w:trHeight w:val="310" w:hRule="atLeast"/>
        </w:trPr>
        <w:tc>
          <w:tcPr>
            <w:tcW w:w="788" w:type="dxa"/>
            <w:tcBorders>
              <w:bottom w:val="nil"/>
            </w:tcBorders>
          </w:tcPr>
          <w:p>
            <w:pPr>
              <w:pStyle w:val="TableParagraph"/>
              <w:rPr>
                <w:rFonts w:ascii="Times New Roman"/>
                <w:sz w:val="22"/>
              </w:rPr>
            </w:pPr>
          </w:p>
        </w:tc>
        <w:tc>
          <w:tcPr>
            <w:tcW w:w="975" w:type="dxa"/>
            <w:tcBorders>
              <w:bottom w:val="nil"/>
            </w:tcBorders>
          </w:tcPr>
          <w:p>
            <w:pPr>
              <w:pStyle w:val="TableParagraph"/>
              <w:rPr>
                <w:rFonts w:ascii="Times New Roman"/>
                <w:sz w:val="22"/>
              </w:rPr>
            </w:pPr>
          </w:p>
        </w:tc>
        <w:tc>
          <w:tcPr>
            <w:tcW w:w="1386" w:type="dxa"/>
            <w:tcBorders>
              <w:bottom w:val="nil"/>
            </w:tcBorders>
          </w:tcPr>
          <w:p>
            <w:pPr>
              <w:pStyle w:val="TableParagraph"/>
              <w:rPr>
                <w:rFonts w:ascii="Times New Roman"/>
                <w:sz w:val="22"/>
              </w:rPr>
            </w:pPr>
          </w:p>
        </w:tc>
        <w:tc>
          <w:tcPr>
            <w:tcW w:w="1087" w:type="dxa"/>
            <w:tcBorders>
              <w:bottom w:val="nil"/>
            </w:tcBorders>
          </w:tcPr>
          <w:p>
            <w:pPr>
              <w:pStyle w:val="TableParagraph"/>
              <w:rPr>
                <w:rFonts w:ascii="Times New Roman"/>
                <w:sz w:val="22"/>
              </w:rPr>
            </w:pPr>
          </w:p>
        </w:tc>
        <w:tc>
          <w:tcPr>
            <w:tcW w:w="5299" w:type="dxa"/>
            <w:tcBorders>
              <w:bottom w:val="nil"/>
            </w:tcBorders>
          </w:tcPr>
          <w:p>
            <w:pPr>
              <w:pStyle w:val="TableParagraph"/>
              <w:spacing w:line="290" w:lineRule="exact" w:before="1"/>
              <w:ind w:left="108"/>
              <w:rPr>
                <w:sz w:val="24"/>
              </w:rPr>
            </w:pPr>
            <w:r>
              <w:rPr>
                <w:sz w:val="24"/>
              </w:rPr>
              <w:t>有度汛要求的建设项目未按规定制定度汛方案和</w:t>
            </w:r>
          </w:p>
        </w:tc>
      </w:tr>
      <w:tr>
        <w:trPr>
          <w:trHeight w:val="312" w:hRule="atLeast"/>
        </w:trPr>
        <w:tc>
          <w:tcPr>
            <w:tcW w:w="788" w:type="dxa"/>
            <w:tcBorders>
              <w:top w:val="nil"/>
              <w:bottom w:val="nil"/>
            </w:tcBorders>
          </w:tcPr>
          <w:p>
            <w:pPr>
              <w:pStyle w:val="TableParagraph"/>
              <w:rPr>
                <w:rFonts w:ascii="Times New Roman"/>
                <w:sz w:val="22"/>
              </w:rPr>
            </w:pPr>
          </w:p>
        </w:tc>
        <w:tc>
          <w:tcPr>
            <w:tcW w:w="975" w:type="dxa"/>
            <w:tcBorders>
              <w:top w:val="nil"/>
              <w:bottom w:val="nil"/>
            </w:tcBorders>
          </w:tcPr>
          <w:p>
            <w:pPr>
              <w:pStyle w:val="TableParagraph"/>
              <w:rPr>
                <w:rFonts w:ascii="Times New Roman"/>
                <w:sz w:val="22"/>
              </w:rPr>
            </w:pPr>
          </w:p>
        </w:tc>
        <w:tc>
          <w:tcPr>
            <w:tcW w:w="1386" w:type="dxa"/>
            <w:tcBorders>
              <w:top w:val="nil"/>
              <w:bottom w:val="nil"/>
            </w:tcBorders>
          </w:tcPr>
          <w:p>
            <w:pPr>
              <w:pStyle w:val="TableParagraph"/>
              <w:rPr>
                <w:rFonts w:ascii="Times New Roman"/>
                <w:sz w:val="22"/>
              </w:rPr>
            </w:pPr>
          </w:p>
        </w:tc>
        <w:tc>
          <w:tcPr>
            <w:tcW w:w="1087" w:type="dxa"/>
            <w:tcBorders>
              <w:top w:val="nil"/>
              <w:bottom w:val="nil"/>
            </w:tcBorders>
          </w:tcPr>
          <w:p>
            <w:pPr>
              <w:pStyle w:val="TableParagraph"/>
              <w:rPr>
                <w:rFonts w:ascii="Times New Roman"/>
                <w:sz w:val="22"/>
              </w:rPr>
            </w:pPr>
          </w:p>
        </w:tc>
        <w:tc>
          <w:tcPr>
            <w:tcW w:w="5299" w:type="dxa"/>
            <w:tcBorders>
              <w:top w:val="nil"/>
              <w:bottom w:val="nil"/>
            </w:tcBorders>
          </w:tcPr>
          <w:p>
            <w:pPr>
              <w:pStyle w:val="TableParagraph"/>
              <w:spacing w:line="290" w:lineRule="exact" w:before="2"/>
              <w:ind w:left="108"/>
              <w:rPr>
                <w:sz w:val="24"/>
              </w:rPr>
            </w:pPr>
            <w:r>
              <w:rPr>
                <w:sz w:val="24"/>
              </w:rPr>
              <w:t>超标准洪水应急预案；工程进度不满足度汛要求</w:t>
            </w:r>
          </w:p>
        </w:tc>
      </w:tr>
      <w:tr>
        <w:trPr>
          <w:trHeight w:val="310" w:hRule="atLeast"/>
        </w:trPr>
        <w:tc>
          <w:tcPr>
            <w:tcW w:w="788" w:type="dxa"/>
            <w:tcBorders>
              <w:top w:val="nil"/>
              <w:bottom w:val="nil"/>
            </w:tcBorders>
          </w:tcPr>
          <w:p>
            <w:pPr>
              <w:pStyle w:val="TableParagraph"/>
              <w:spacing w:line="289" w:lineRule="exact" w:before="2"/>
              <w:ind w:left="134" w:right="124"/>
              <w:jc w:val="center"/>
              <w:rPr>
                <w:sz w:val="24"/>
              </w:rPr>
            </w:pPr>
            <w:r>
              <w:rPr>
                <w:sz w:val="24"/>
              </w:rPr>
              <w:t>17</w:t>
            </w:r>
          </w:p>
        </w:tc>
        <w:tc>
          <w:tcPr>
            <w:tcW w:w="975" w:type="dxa"/>
            <w:tcBorders>
              <w:top w:val="nil"/>
              <w:bottom w:val="nil"/>
            </w:tcBorders>
          </w:tcPr>
          <w:p>
            <w:pPr>
              <w:pStyle w:val="TableParagraph"/>
              <w:rPr>
                <w:rFonts w:ascii="Times New Roman"/>
                <w:sz w:val="22"/>
              </w:rPr>
            </w:pPr>
          </w:p>
        </w:tc>
        <w:tc>
          <w:tcPr>
            <w:tcW w:w="1386" w:type="dxa"/>
            <w:tcBorders>
              <w:top w:val="nil"/>
              <w:bottom w:val="nil"/>
            </w:tcBorders>
          </w:tcPr>
          <w:p>
            <w:pPr>
              <w:pStyle w:val="TableParagraph"/>
              <w:spacing w:line="289" w:lineRule="exact" w:before="2"/>
              <w:ind w:left="212"/>
              <w:rPr>
                <w:sz w:val="24"/>
              </w:rPr>
            </w:pPr>
            <w:r>
              <w:rPr>
                <w:sz w:val="24"/>
              </w:rPr>
              <w:t>防洪度汛</w:t>
            </w:r>
          </w:p>
        </w:tc>
        <w:tc>
          <w:tcPr>
            <w:tcW w:w="1087" w:type="dxa"/>
            <w:tcBorders>
              <w:top w:val="nil"/>
              <w:bottom w:val="nil"/>
            </w:tcBorders>
          </w:tcPr>
          <w:p>
            <w:pPr>
              <w:pStyle w:val="TableParagraph"/>
              <w:spacing w:line="289" w:lineRule="exact" w:before="2"/>
              <w:ind w:left="102" w:right="94"/>
              <w:jc w:val="center"/>
              <w:rPr>
                <w:sz w:val="24"/>
              </w:rPr>
            </w:pPr>
            <w:r>
              <w:rPr>
                <w:sz w:val="24"/>
              </w:rPr>
              <w:t>SJ-J017</w:t>
            </w:r>
          </w:p>
        </w:tc>
        <w:tc>
          <w:tcPr>
            <w:tcW w:w="5299" w:type="dxa"/>
            <w:tcBorders>
              <w:top w:val="nil"/>
              <w:bottom w:val="nil"/>
            </w:tcBorders>
          </w:tcPr>
          <w:p>
            <w:pPr>
              <w:pStyle w:val="TableParagraph"/>
              <w:spacing w:line="289" w:lineRule="exact" w:before="2"/>
              <w:ind w:left="108"/>
              <w:rPr>
                <w:sz w:val="24"/>
              </w:rPr>
            </w:pPr>
            <w:r>
              <w:rPr>
                <w:sz w:val="24"/>
              </w:rPr>
              <w:t>时未制定和采取相应措施；位于自然地面或河水</w:t>
            </w:r>
          </w:p>
        </w:tc>
      </w:tr>
      <w:tr>
        <w:trPr>
          <w:trHeight w:val="310" w:hRule="atLeast"/>
        </w:trPr>
        <w:tc>
          <w:tcPr>
            <w:tcW w:w="788" w:type="dxa"/>
            <w:tcBorders>
              <w:top w:val="nil"/>
              <w:bottom w:val="nil"/>
            </w:tcBorders>
          </w:tcPr>
          <w:p>
            <w:pPr>
              <w:pStyle w:val="TableParagraph"/>
              <w:rPr>
                <w:rFonts w:ascii="Times New Roman"/>
                <w:sz w:val="22"/>
              </w:rPr>
            </w:pPr>
          </w:p>
        </w:tc>
        <w:tc>
          <w:tcPr>
            <w:tcW w:w="975" w:type="dxa"/>
            <w:tcBorders>
              <w:top w:val="nil"/>
              <w:bottom w:val="nil"/>
            </w:tcBorders>
          </w:tcPr>
          <w:p>
            <w:pPr>
              <w:pStyle w:val="TableParagraph"/>
              <w:rPr>
                <w:rFonts w:ascii="Times New Roman"/>
                <w:sz w:val="22"/>
              </w:rPr>
            </w:pPr>
          </w:p>
        </w:tc>
        <w:tc>
          <w:tcPr>
            <w:tcW w:w="1386" w:type="dxa"/>
            <w:tcBorders>
              <w:top w:val="nil"/>
              <w:bottom w:val="nil"/>
            </w:tcBorders>
          </w:tcPr>
          <w:p>
            <w:pPr>
              <w:pStyle w:val="TableParagraph"/>
              <w:rPr>
                <w:rFonts w:ascii="Times New Roman"/>
                <w:sz w:val="22"/>
              </w:rPr>
            </w:pPr>
          </w:p>
        </w:tc>
        <w:tc>
          <w:tcPr>
            <w:tcW w:w="1087" w:type="dxa"/>
            <w:tcBorders>
              <w:top w:val="nil"/>
              <w:bottom w:val="nil"/>
            </w:tcBorders>
          </w:tcPr>
          <w:p>
            <w:pPr>
              <w:pStyle w:val="TableParagraph"/>
              <w:rPr>
                <w:rFonts w:ascii="Times New Roman"/>
                <w:sz w:val="22"/>
              </w:rPr>
            </w:pPr>
          </w:p>
        </w:tc>
        <w:tc>
          <w:tcPr>
            <w:tcW w:w="5299" w:type="dxa"/>
            <w:tcBorders>
              <w:top w:val="nil"/>
              <w:bottom w:val="nil"/>
            </w:tcBorders>
          </w:tcPr>
          <w:p>
            <w:pPr>
              <w:pStyle w:val="TableParagraph"/>
              <w:spacing w:line="290" w:lineRule="exact" w:before="1"/>
              <w:ind w:left="108"/>
              <w:rPr>
                <w:sz w:val="24"/>
              </w:rPr>
            </w:pPr>
            <w:r>
              <w:rPr>
                <w:sz w:val="24"/>
              </w:rPr>
              <w:t>位以下的隧洞进出口未按施工期防洪标准设置围</w:t>
            </w:r>
          </w:p>
        </w:tc>
      </w:tr>
      <w:tr>
        <w:trPr>
          <w:trHeight w:val="312" w:hRule="atLeast"/>
        </w:trPr>
        <w:tc>
          <w:tcPr>
            <w:tcW w:w="788" w:type="dxa"/>
            <w:tcBorders>
              <w:top w:val="nil"/>
            </w:tcBorders>
          </w:tcPr>
          <w:p>
            <w:pPr>
              <w:pStyle w:val="TableParagraph"/>
              <w:rPr>
                <w:rFonts w:ascii="Times New Roman"/>
                <w:sz w:val="22"/>
              </w:rPr>
            </w:pPr>
          </w:p>
        </w:tc>
        <w:tc>
          <w:tcPr>
            <w:tcW w:w="975" w:type="dxa"/>
            <w:tcBorders>
              <w:top w:val="nil"/>
              <w:bottom w:val="nil"/>
            </w:tcBorders>
          </w:tcPr>
          <w:p>
            <w:pPr>
              <w:pStyle w:val="TableParagraph"/>
              <w:rPr>
                <w:rFonts w:ascii="Times New Roman"/>
                <w:sz w:val="22"/>
              </w:rPr>
            </w:pPr>
          </w:p>
        </w:tc>
        <w:tc>
          <w:tcPr>
            <w:tcW w:w="1386" w:type="dxa"/>
            <w:tcBorders>
              <w:top w:val="nil"/>
            </w:tcBorders>
          </w:tcPr>
          <w:p>
            <w:pPr>
              <w:pStyle w:val="TableParagraph"/>
              <w:rPr>
                <w:rFonts w:ascii="Times New Roman"/>
                <w:sz w:val="22"/>
              </w:rPr>
            </w:pPr>
          </w:p>
        </w:tc>
        <w:tc>
          <w:tcPr>
            <w:tcW w:w="1087" w:type="dxa"/>
            <w:tcBorders>
              <w:top w:val="nil"/>
            </w:tcBorders>
          </w:tcPr>
          <w:p>
            <w:pPr>
              <w:pStyle w:val="TableParagraph"/>
              <w:rPr>
                <w:rFonts w:ascii="Times New Roman"/>
                <w:sz w:val="22"/>
              </w:rPr>
            </w:pPr>
          </w:p>
        </w:tc>
        <w:tc>
          <w:tcPr>
            <w:tcW w:w="5299" w:type="dxa"/>
            <w:tcBorders>
              <w:top w:val="nil"/>
            </w:tcBorders>
          </w:tcPr>
          <w:p>
            <w:pPr>
              <w:pStyle w:val="TableParagraph"/>
              <w:spacing w:line="290" w:lineRule="exact" w:before="2"/>
              <w:ind w:left="108"/>
              <w:rPr>
                <w:sz w:val="24"/>
              </w:rPr>
            </w:pPr>
            <w:r>
              <w:rPr>
                <w:sz w:val="24"/>
              </w:rPr>
              <w:t>堰或预留岩坎</w:t>
            </w:r>
          </w:p>
        </w:tc>
      </w:tr>
      <w:tr>
        <w:trPr>
          <w:trHeight w:val="309" w:hRule="atLeast"/>
        </w:trPr>
        <w:tc>
          <w:tcPr>
            <w:tcW w:w="788" w:type="dxa"/>
            <w:tcBorders>
              <w:bottom w:val="nil"/>
            </w:tcBorders>
          </w:tcPr>
          <w:p>
            <w:pPr>
              <w:pStyle w:val="TableParagraph"/>
              <w:rPr>
                <w:rFonts w:ascii="Times New Roman"/>
                <w:sz w:val="22"/>
              </w:rPr>
            </w:pPr>
          </w:p>
        </w:tc>
        <w:tc>
          <w:tcPr>
            <w:tcW w:w="975" w:type="dxa"/>
            <w:tcBorders>
              <w:top w:val="nil"/>
              <w:bottom w:val="nil"/>
            </w:tcBorders>
          </w:tcPr>
          <w:p>
            <w:pPr>
              <w:pStyle w:val="TableParagraph"/>
              <w:rPr>
                <w:rFonts w:ascii="Times New Roman"/>
                <w:sz w:val="22"/>
              </w:rPr>
            </w:pPr>
          </w:p>
        </w:tc>
        <w:tc>
          <w:tcPr>
            <w:tcW w:w="1386" w:type="dxa"/>
            <w:tcBorders>
              <w:bottom w:val="nil"/>
            </w:tcBorders>
          </w:tcPr>
          <w:p>
            <w:pPr>
              <w:pStyle w:val="TableParagraph"/>
              <w:rPr>
                <w:rFonts w:ascii="Times New Roman"/>
                <w:sz w:val="22"/>
              </w:rPr>
            </w:pPr>
          </w:p>
        </w:tc>
        <w:tc>
          <w:tcPr>
            <w:tcW w:w="1087" w:type="dxa"/>
            <w:tcBorders>
              <w:bottom w:val="nil"/>
            </w:tcBorders>
          </w:tcPr>
          <w:p>
            <w:pPr>
              <w:pStyle w:val="TableParagraph"/>
              <w:rPr>
                <w:rFonts w:ascii="Times New Roman"/>
                <w:sz w:val="22"/>
              </w:rPr>
            </w:pPr>
          </w:p>
        </w:tc>
        <w:tc>
          <w:tcPr>
            <w:tcW w:w="5299" w:type="dxa"/>
            <w:tcBorders>
              <w:bottom w:val="nil"/>
            </w:tcBorders>
          </w:tcPr>
          <w:p>
            <w:pPr>
              <w:pStyle w:val="TableParagraph"/>
              <w:spacing w:line="289" w:lineRule="exact" w:before="1"/>
              <w:ind w:left="108"/>
              <w:rPr>
                <w:sz w:val="24"/>
              </w:rPr>
            </w:pPr>
            <w:r>
              <w:rPr>
                <w:sz w:val="24"/>
              </w:rPr>
              <w:t>氨压机车间控制盘柜与氨压机未分开隔离布置；</w:t>
            </w:r>
          </w:p>
        </w:tc>
      </w:tr>
      <w:tr>
        <w:trPr>
          <w:trHeight w:val="623" w:hRule="atLeast"/>
        </w:trPr>
        <w:tc>
          <w:tcPr>
            <w:tcW w:w="788" w:type="dxa"/>
            <w:tcBorders>
              <w:top w:val="nil"/>
            </w:tcBorders>
          </w:tcPr>
          <w:p>
            <w:pPr>
              <w:pStyle w:val="TableParagraph"/>
              <w:spacing w:before="1"/>
              <w:ind w:left="134" w:right="124"/>
              <w:jc w:val="center"/>
              <w:rPr>
                <w:sz w:val="24"/>
              </w:rPr>
            </w:pPr>
            <w:r>
              <w:rPr>
                <w:sz w:val="24"/>
              </w:rPr>
              <w:t>18</w:t>
            </w:r>
          </w:p>
        </w:tc>
        <w:tc>
          <w:tcPr>
            <w:tcW w:w="975" w:type="dxa"/>
            <w:tcBorders>
              <w:top w:val="nil"/>
              <w:bottom w:val="nil"/>
            </w:tcBorders>
          </w:tcPr>
          <w:p>
            <w:pPr>
              <w:pStyle w:val="TableParagraph"/>
              <w:spacing w:before="169"/>
              <w:ind w:left="227" w:right="218"/>
              <w:jc w:val="center"/>
              <w:rPr>
                <w:sz w:val="24"/>
              </w:rPr>
            </w:pPr>
            <w:r>
              <w:rPr>
                <w:sz w:val="24"/>
              </w:rPr>
              <w:t>其他</w:t>
            </w:r>
          </w:p>
        </w:tc>
        <w:tc>
          <w:tcPr>
            <w:tcW w:w="1386" w:type="dxa"/>
            <w:tcBorders>
              <w:top w:val="nil"/>
            </w:tcBorders>
          </w:tcPr>
          <w:p>
            <w:pPr>
              <w:pStyle w:val="TableParagraph"/>
              <w:spacing w:before="1"/>
              <w:ind w:left="212"/>
              <w:rPr>
                <w:sz w:val="24"/>
              </w:rPr>
            </w:pPr>
            <w:r>
              <w:rPr>
                <w:sz w:val="24"/>
              </w:rPr>
              <w:t>液氨制冷</w:t>
            </w:r>
          </w:p>
        </w:tc>
        <w:tc>
          <w:tcPr>
            <w:tcW w:w="1087" w:type="dxa"/>
            <w:tcBorders>
              <w:top w:val="nil"/>
            </w:tcBorders>
          </w:tcPr>
          <w:p>
            <w:pPr>
              <w:pStyle w:val="TableParagraph"/>
              <w:spacing w:before="1"/>
              <w:ind w:left="102" w:right="94"/>
              <w:jc w:val="center"/>
              <w:rPr>
                <w:sz w:val="24"/>
              </w:rPr>
            </w:pPr>
            <w:r>
              <w:rPr>
                <w:sz w:val="24"/>
              </w:rPr>
              <w:t>SJ-J018</w:t>
            </w:r>
          </w:p>
        </w:tc>
        <w:tc>
          <w:tcPr>
            <w:tcW w:w="5299" w:type="dxa"/>
            <w:tcBorders>
              <w:top w:val="nil"/>
            </w:tcBorders>
          </w:tcPr>
          <w:p>
            <w:pPr>
              <w:pStyle w:val="TableParagraph"/>
              <w:spacing w:before="1"/>
              <w:ind w:left="108"/>
              <w:rPr>
                <w:sz w:val="24"/>
              </w:rPr>
            </w:pPr>
            <w:r>
              <w:rPr>
                <w:sz w:val="24"/>
              </w:rPr>
              <w:t>未设置、配备固定式氨气报警仪和便携式氨气检</w:t>
            </w:r>
          </w:p>
          <w:p>
            <w:pPr>
              <w:pStyle w:val="TableParagraph"/>
              <w:spacing w:line="290" w:lineRule="exact" w:before="4"/>
              <w:ind w:left="108"/>
              <w:rPr>
                <w:sz w:val="24"/>
              </w:rPr>
            </w:pPr>
            <w:r>
              <w:rPr>
                <w:sz w:val="24"/>
              </w:rPr>
              <w:t>测仪；未设置应急疏散通道并明确标识</w:t>
            </w:r>
          </w:p>
        </w:tc>
      </w:tr>
      <w:tr>
        <w:trPr>
          <w:trHeight w:val="310" w:hRule="atLeast"/>
        </w:trPr>
        <w:tc>
          <w:tcPr>
            <w:tcW w:w="788" w:type="dxa"/>
            <w:tcBorders>
              <w:bottom w:val="nil"/>
            </w:tcBorders>
          </w:tcPr>
          <w:p>
            <w:pPr>
              <w:pStyle w:val="TableParagraph"/>
              <w:rPr>
                <w:rFonts w:ascii="Times New Roman"/>
                <w:sz w:val="22"/>
              </w:rPr>
            </w:pPr>
          </w:p>
        </w:tc>
        <w:tc>
          <w:tcPr>
            <w:tcW w:w="975" w:type="dxa"/>
            <w:tcBorders>
              <w:top w:val="nil"/>
              <w:bottom w:val="nil"/>
            </w:tcBorders>
          </w:tcPr>
          <w:p>
            <w:pPr>
              <w:pStyle w:val="TableParagraph"/>
              <w:rPr>
                <w:rFonts w:ascii="Times New Roman"/>
                <w:sz w:val="22"/>
              </w:rPr>
            </w:pPr>
          </w:p>
        </w:tc>
        <w:tc>
          <w:tcPr>
            <w:tcW w:w="1386" w:type="dxa"/>
            <w:tcBorders>
              <w:bottom w:val="nil"/>
            </w:tcBorders>
          </w:tcPr>
          <w:p>
            <w:pPr>
              <w:pStyle w:val="TableParagraph"/>
              <w:rPr>
                <w:rFonts w:ascii="Times New Roman"/>
                <w:sz w:val="22"/>
              </w:rPr>
            </w:pPr>
          </w:p>
        </w:tc>
        <w:tc>
          <w:tcPr>
            <w:tcW w:w="1087" w:type="dxa"/>
            <w:tcBorders>
              <w:bottom w:val="nil"/>
            </w:tcBorders>
          </w:tcPr>
          <w:p>
            <w:pPr>
              <w:pStyle w:val="TableParagraph"/>
              <w:rPr>
                <w:rFonts w:ascii="Times New Roman"/>
                <w:sz w:val="22"/>
              </w:rPr>
            </w:pPr>
          </w:p>
        </w:tc>
        <w:tc>
          <w:tcPr>
            <w:tcW w:w="5299" w:type="dxa"/>
            <w:tcBorders>
              <w:bottom w:val="nil"/>
            </w:tcBorders>
          </w:tcPr>
          <w:p>
            <w:pPr>
              <w:pStyle w:val="TableParagraph"/>
              <w:spacing w:line="289" w:lineRule="exact" w:before="1"/>
              <w:ind w:left="108"/>
              <w:rPr>
                <w:sz w:val="24"/>
              </w:rPr>
            </w:pPr>
            <w:r>
              <w:rPr>
                <w:sz w:val="24"/>
              </w:rPr>
              <w:t>排架、井架、施工电梯、大坝廊道、隧洞等出入</w:t>
            </w:r>
          </w:p>
        </w:tc>
      </w:tr>
      <w:tr>
        <w:trPr>
          <w:trHeight w:val="311" w:hRule="atLeast"/>
        </w:trPr>
        <w:tc>
          <w:tcPr>
            <w:tcW w:w="788" w:type="dxa"/>
            <w:tcBorders>
              <w:top w:val="nil"/>
              <w:bottom w:val="nil"/>
            </w:tcBorders>
          </w:tcPr>
          <w:p>
            <w:pPr>
              <w:pStyle w:val="TableParagraph"/>
              <w:spacing w:line="291" w:lineRule="exact" w:before="1"/>
              <w:ind w:left="134" w:right="124"/>
              <w:jc w:val="center"/>
              <w:rPr>
                <w:sz w:val="24"/>
              </w:rPr>
            </w:pPr>
            <w:r>
              <w:rPr>
                <w:sz w:val="24"/>
              </w:rPr>
              <w:t>19</w:t>
            </w:r>
          </w:p>
        </w:tc>
        <w:tc>
          <w:tcPr>
            <w:tcW w:w="975" w:type="dxa"/>
            <w:tcBorders>
              <w:top w:val="nil"/>
              <w:bottom w:val="nil"/>
            </w:tcBorders>
          </w:tcPr>
          <w:p>
            <w:pPr>
              <w:pStyle w:val="TableParagraph"/>
              <w:rPr>
                <w:rFonts w:ascii="Times New Roman"/>
                <w:sz w:val="22"/>
              </w:rPr>
            </w:pPr>
          </w:p>
        </w:tc>
        <w:tc>
          <w:tcPr>
            <w:tcW w:w="1386" w:type="dxa"/>
            <w:tcBorders>
              <w:top w:val="nil"/>
              <w:bottom w:val="nil"/>
            </w:tcBorders>
          </w:tcPr>
          <w:p>
            <w:pPr>
              <w:pStyle w:val="TableParagraph"/>
              <w:spacing w:line="291" w:lineRule="exact" w:before="1"/>
              <w:ind w:left="212"/>
              <w:rPr>
                <w:sz w:val="24"/>
              </w:rPr>
            </w:pPr>
            <w:r>
              <w:rPr>
                <w:sz w:val="24"/>
              </w:rPr>
              <w:t>安全防护</w:t>
            </w:r>
          </w:p>
        </w:tc>
        <w:tc>
          <w:tcPr>
            <w:tcW w:w="1087" w:type="dxa"/>
            <w:tcBorders>
              <w:top w:val="nil"/>
              <w:bottom w:val="nil"/>
            </w:tcBorders>
          </w:tcPr>
          <w:p>
            <w:pPr>
              <w:pStyle w:val="TableParagraph"/>
              <w:spacing w:line="291" w:lineRule="exact" w:before="1"/>
              <w:ind w:left="102" w:right="94"/>
              <w:jc w:val="center"/>
              <w:rPr>
                <w:sz w:val="24"/>
              </w:rPr>
            </w:pPr>
            <w:r>
              <w:rPr>
                <w:sz w:val="24"/>
              </w:rPr>
              <w:t>SJ-J019</w:t>
            </w:r>
          </w:p>
        </w:tc>
        <w:tc>
          <w:tcPr>
            <w:tcW w:w="5299" w:type="dxa"/>
            <w:tcBorders>
              <w:top w:val="nil"/>
              <w:bottom w:val="nil"/>
            </w:tcBorders>
          </w:tcPr>
          <w:p>
            <w:pPr>
              <w:pStyle w:val="TableParagraph"/>
              <w:spacing w:line="289" w:lineRule="exact" w:before="3"/>
              <w:ind w:left="108"/>
              <w:rPr>
                <w:sz w:val="24"/>
              </w:rPr>
            </w:pPr>
            <w:r>
              <w:rPr>
                <w:sz w:val="24"/>
              </w:rPr>
              <w:t>口和上部有施工作业的通道，未按规定设置防护</w:t>
            </w:r>
          </w:p>
        </w:tc>
      </w:tr>
      <w:tr>
        <w:trPr>
          <w:trHeight w:val="311" w:hRule="atLeast"/>
        </w:trPr>
        <w:tc>
          <w:tcPr>
            <w:tcW w:w="788" w:type="dxa"/>
            <w:tcBorders>
              <w:top w:val="nil"/>
            </w:tcBorders>
          </w:tcPr>
          <w:p>
            <w:pPr>
              <w:pStyle w:val="TableParagraph"/>
              <w:rPr>
                <w:rFonts w:ascii="Times New Roman"/>
                <w:sz w:val="22"/>
              </w:rPr>
            </w:pPr>
          </w:p>
        </w:tc>
        <w:tc>
          <w:tcPr>
            <w:tcW w:w="975" w:type="dxa"/>
            <w:tcBorders>
              <w:top w:val="nil"/>
              <w:bottom w:val="nil"/>
            </w:tcBorders>
          </w:tcPr>
          <w:p>
            <w:pPr>
              <w:pStyle w:val="TableParagraph"/>
              <w:rPr>
                <w:rFonts w:ascii="Times New Roman"/>
                <w:sz w:val="22"/>
              </w:rPr>
            </w:pPr>
          </w:p>
        </w:tc>
        <w:tc>
          <w:tcPr>
            <w:tcW w:w="1386" w:type="dxa"/>
            <w:tcBorders>
              <w:top w:val="nil"/>
            </w:tcBorders>
          </w:tcPr>
          <w:p>
            <w:pPr>
              <w:pStyle w:val="TableParagraph"/>
              <w:rPr>
                <w:rFonts w:ascii="Times New Roman"/>
                <w:sz w:val="22"/>
              </w:rPr>
            </w:pPr>
          </w:p>
        </w:tc>
        <w:tc>
          <w:tcPr>
            <w:tcW w:w="1087" w:type="dxa"/>
            <w:tcBorders>
              <w:top w:val="nil"/>
            </w:tcBorders>
          </w:tcPr>
          <w:p>
            <w:pPr>
              <w:pStyle w:val="TableParagraph"/>
              <w:rPr>
                <w:rFonts w:ascii="Times New Roman"/>
                <w:sz w:val="22"/>
              </w:rPr>
            </w:pPr>
          </w:p>
        </w:tc>
        <w:tc>
          <w:tcPr>
            <w:tcW w:w="5299" w:type="dxa"/>
            <w:tcBorders>
              <w:top w:val="nil"/>
            </w:tcBorders>
          </w:tcPr>
          <w:p>
            <w:pPr>
              <w:pStyle w:val="TableParagraph"/>
              <w:spacing w:line="291" w:lineRule="exact" w:before="1"/>
              <w:ind w:left="108"/>
              <w:rPr>
                <w:sz w:val="24"/>
              </w:rPr>
            </w:pPr>
            <w:r>
              <w:rPr>
                <w:sz w:val="24"/>
              </w:rPr>
              <w:t>棚</w:t>
            </w:r>
          </w:p>
        </w:tc>
      </w:tr>
      <w:tr>
        <w:trPr>
          <w:trHeight w:val="317" w:hRule="atLeast"/>
        </w:trPr>
        <w:tc>
          <w:tcPr>
            <w:tcW w:w="788" w:type="dxa"/>
            <w:tcBorders>
              <w:bottom w:val="nil"/>
            </w:tcBorders>
          </w:tcPr>
          <w:p>
            <w:pPr>
              <w:pStyle w:val="TableParagraph"/>
              <w:rPr>
                <w:rFonts w:ascii="Times New Roman"/>
                <w:sz w:val="22"/>
              </w:rPr>
            </w:pPr>
          </w:p>
        </w:tc>
        <w:tc>
          <w:tcPr>
            <w:tcW w:w="975" w:type="dxa"/>
            <w:tcBorders>
              <w:top w:val="nil"/>
              <w:bottom w:val="nil"/>
            </w:tcBorders>
          </w:tcPr>
          <w:p>
            <w:pPr>
              <w:pStyle w:val="TableParagraph"/>
              <w:rPr>
                <w:rFonts w:ascii="Times New Roman"/>
                <w:sz w:val="22"/>
              </w:rPr>
            </w:pPr>
          </w:p>
        </w:tc>
        <w:tc>
          <w:tcPr>
            <w:tcW w:w="1386" w:type="dxa"/>
            <w:tcBorders>
              <w:bottom w:val="nil"/>
            </w:tcBorders>
          </w:tcPr>
          <w:p>
            <w:pPr>
              <w:pStyle w:val="TableParagraph"/>
              <w:rPr>
                <w:rFonts w:ascii="Times New Roman"/>
                <w:sz w:val="22"/>
              </w:rPr>
            </w:pPr>
          </w:p>
        </w:tc>
        <w:tc>
          <w:tcPr>
            <w:tcW w:w="1087" w:type="dxa"/>
            <w:tcBorders>
              <w:bottom w:val="nil"/>
            </w:tcBorders>
          </w:tcPr>
          <w:p>
            <w:pPr>
              <w:pStyle w:val="TableParagraph"/>
              <w:rPr>
                <w:rFonts w:ascii="Times New Roman"/>
                <w:sz w:val="22"/>
              </w:rPr>
            </w:pPr>
          </w:p>
        </w:tc>
        <w:tc>
          <w:tcPr>
            <w:tcW w:w="5299" w:type="dxa"/>
            <w:tcBorders>
              <w:bottom w:val="nil"/>
            </w:tcBorders>
          </w:tcPr>
          <w:p>
            <w:pPr>
              <w:pStyle w:val="TableParagraph"/>
              <w:spacing w:line="290" w:lineRule="exact" w:before="8"/>
              <w:ind w:left="108"/>
              <w:rPr>
                <w:sz w:val="24"/>
              </w:rPr>
            </w:pPr>
            <w:r>
              <w:rPr>
                <w:sz w:val="24"/>
              </w:rPr>
              <w:t>混凝土（水泥土、水泥稳定土）拌合机、TBM 及</w:t>
            </w:r>
          </w:p>
        </w:tc>
      </w:tr>
      <w:tr>
        <w:trPr>
          <w:trHeight w:val="312" w:hRule="atLeast"/>
        </w:trPr>
        <w:tc>
          <w:tcPr>
            <w:tcW w:w="788" w:type="dxa"/>
            <w:tcBorders>
              <w:top w:val="nil"/>
              <w:bottom w:val="nil"/>
            </w:tcBorders>
          </w:tcPr>
          <w:p>
            <w:pPr>
              <w:pStyle w:val="TableParagraph"/>
              <w:spacing w:line="290" w:lineRule="exact" w:before="2"/>
              <w:ind w:left="134" w:right="124"/>
              <w:jc w:val="center"/>
              <w:rPr>
                <w:sz w:val="24"/>
              </w:rPr>
            </w:pPr>
            <w:r>
              <w:rPr>
                <w:sz w:val="24"/>
              </w:rPr>
              <w:t>20</w:t>
            </w:r>
          </w:p>
        </w:tc>
        <w:tc>
          <w:tcPr>
            <w:tcW w:w="975" w:type="dxa"/>
            <w:tcBorders>
              <w:top w:val="nil"/>
              <w:bottom w:val="nil"/>
            </w:tcBorders>
          </w:tcPr>
          <w:p>
            <w:pPr>
              <w:pStyle w:val="TableParagraph"/>
              <w:rPr>
                <w:rFonts w:ascii="Times New Roman"/>
                <w:sz w:val="22"/>
              </w:rPr>
            </w:pPr>
          </w:p>
        </w:tc>
        <w:tc>
          <w:tcPr>
            <w:tcW w:w="1386" w:type="dxa"/>
            <w:tcBorders>
              <w:top w:val="nil"/>
              <w:bottom w:val="nil"/>
            </w:tcBorders>
          </w:tcPr>
          <w:p>
            <w:pPr>
              <w:pStyle w:val="TableParagraph"/>
              <w:spacing w:line="290" w:lineRule="exact" w:before="2"/>
              <w:ind w:left="212"/>
              <w:rPr>
                <w:sz w:val="24"/>
              </w:rPr>
            </w:pPr>
            <w:r>
              <w:rPr>
                <w:sz w:val="24"/>
              </w:rPr>
              <w:t>设备检修</w:t>
            </w:r>
          </w:p>
        </w:tc>
        <w:tc>
          <w:tcPr>
            <w:tcW w:w="1087" w:type="dxa"/>
            <w:tcBorders>
              <w:top w:val="nil"/>
              <w:bottom w:val="nil"/>
            </w:tcBorders>
          </w:tcPr>
          <w:p>
            <w:pPr>
              <w:pStyle w:val="TableParagraph"/>
              <w:spacing w:line="290" w:lineRule="exact" w:before="2"/>
              <w:ind w:left="102" w:right="94"/>
              <w:jc w:val="center"/>
              <w:rPr>
                <w:sz w:val="24"/>
              </w:rPr>
            </w:pPr>
            <w:r>
              <w:rPr>
                <w:sz w:val="24"/>
              </w:rPr>
              <w:t>SJ-J020</w:t>
            </w:r>
          </w:p>
        </w:tc>
        <w:tc>
          <w:tcPr>
            <w:tcW w:w="5299" w:type="dxa"/>
            <w:tcBorders>
              <w:top w:val="nil"/>
              <w:bottom w:val="nil"/>
            </w:tcBorders>
          </w:tcPr>
          <w:p>
            <w:pPr>
              <w:pStyle w:val="TableParagraph"/>
              <w:spacing w:line="290" w:lineRule="exact" w:before="2"/>
              <w:ind w:left="108"/>
              <w:rPr>
                <w:sz w:val="24"/>
              </w:rPr>
            </w:pPr>
            <w:r>
              <w:rPr>
                <w:sz w:val="24"/>
              </w:rPr>
              <w:t>盾构设备刀盘检维修时未切断电源或开关箱未上</w:t>
            </w:r>
          </w:p>
        </w:tc>
      </w:tr>
      <w:tr>
        <w:trPr>
          <w:trHeight w:val="319" w:hRule="atLeast"/>
        </w:trPr>
        <w:tc>
          <w:tcPr>
            <w:tcW w:w="788" w:type="dxa"/>
            <w:tcBorders>
              <w:top w:val="nil"/>
            </w:tcBorders>
          </w:tcPr>
          <w:p>
            <w:pPr>
              <w:pStyle w:val="TableParagraph"/>
              <w:rPr>
                <w:rFonts w:ascii="Times New Roman"/>
                <w:sz w:val="22"/>
              </w:rPr>
            </w:pPr>
          </w:p>
        </w:tc>
        <w:tc>
          <w:tcPr>
            <w:tcW w:w="975" w:type="dxa"/>
            <w:tcBorders>
              <w:top w:val="nil"/>
            </w:tcBorders>
          </w:tcPr>
          <w:p>
            <w:pPr>
              <w:pStyle w:val="TableParagraph"/>
              <w:rPr>
                <w:rFonts w:ascii="Times New Roman"/>
                <w:sz w:val="22"/>
              </w:rPr>
            </w:pPr>
          </w:p>
        </w:tc>
        <w:tc>
          <w:tcPr>
            <w:tcW w:w="1386" w:type="dxa"/>
            <w:tcBorders>
              <w:top w:val="nil"/>
            </w:tcBorders>
          </w:tcPr>
          <w:p>
            <w:pPr>
              <w:pStyle w:val="TableParagraph"/>
              <w:rPr>
                <w:rFonts w:ascii="Times New Roman"/>
                <w:sz w:val="22"/>
              </w:rPr>
            </w:pPr>
          </w:p>
        </w:tc>
        <w:tc>
          <w:tcPr>
            <w:tcW w:w="1087" w:type="dxa"/>
            <w:tcBorders>
              <w:top w:val="nil"/>
            </w:tcBorders>
          </w:tcPr>
          <w:p>
            <w:pPr>
              <w:pStyle w:val="TableParagraph"/>
              <w:rPr>
                <w:rFonts w:ascii="Times New Roman"/>
                <w:sz w:val="22"/>
              </w:rPr>
            </w:pPr>
          </w:p>
        </w:tc>
        <w:tc>
          <w:tcPr>
            <w:tcW w:w="5299" w:type="dxa"/>
            <w:tcBorders>
              <w:top w:val="nil"/>
            </w:tcBorders>
          </w:tcPr>
          <w:p>
            <w:pPr>
              <w:pStyle w:val="TableParagraph"/>
              <w:spacing w:line="297" w:lineRule="exact" w:before="2"/>
              <w:ind w:left="108"/>
              <w:rPr>
                <w:sz w:val="24"/>
              </w:rPr>
            </w:pPr>
            <w:r>
              <w:rPr>
                <w:sz w:val="24"/>
              </w:rPr>
              <w:t>锁且无人监管</w:t>
            </w:r>
          </w:p>
        </w:tc>
      </w:tr>
    </w:tbl>
    <w:p>
      <w:pPr>
        <w:spacing w:after="0" w:line="297" w:lineRule="exact"/>
        <w:rPr>
          <w:sz w:val="24"/>
        </w:rPr>
        <w:sectPr>
          <w:pgSz w:w="11910" w:h="16840"/>
          <w:pgMar w:header="0" w:footer="905" w:top="1580" w:bottom="1100" w:left="1060" w:right="860"/>
        </w:sectPr>
      </w:pPr>
    </w:p>
    <w:p>
      <w:pPr>
        <w:pStyle w:val="BodyText"/>
        <w:spacing w:before="8"/>
        <w:ind w:left="0"/>
        <w:rPr>
          <w:rFonts w:ascii="Times New Roman"/>
          <w:sz w:val="13"/>
        </w:rPr>
      </w:pPr>
    </w:p>
    <w:p>
      <w:pPr>
        <w:pStyle w:val="BodyText"/>
        <w:spacing w:before="54"/>
        <w:ind w:left="526"/>
      </w:pPr>
      <w:r>
        <w:rPr>
          <w:rFonts w:ascii="黑体" w:eastAsia="黑体" w:hint="eastAsia"/>
        </w:rPr>
        <w:t>附件 </w:t>
      </w:r>
      <w:r>
        <w:rPr/>
        <w:t>2</w:t>
      </w:r>
    </w:p>
    <w:p>
      <w:pPr>
        <w:pStyle w:val="BodyText"/>
        <w:spacing w:before="10"/>
        <w:ind w:left="0"/>
      </w:pPr>
    </w:p>
    <w:p>
      <w:pPr>
        <w:pStyle w:val="BodyText"/>
        <w:ind w:left="732"/>
        <w:rPr>
          <w:rFonts w:ascii="黑体" w:eastAsia="黑体" w:hint="eastAsia"/>
        </w:rPr>
      </w:pPr>
      <w:r>
        <w:rPr>
          <w:rFonts w:ascii="黑体" w:eastAsia="黑体" w:hint="eastAsia"/>
        </w:rPr>
        <w:t>水利工程运行管理生产安全重大事故隐患判定清单（指南）</w:t>
      </w:r>
    </w:p>
    <w:p>
      <w:pPr>
        <w:pStyle w:val="BodyText"/>
        <w:spacing w:before="7"/>
        <w:ind w:left="0"/>
        <w:rPr>
          <w:rFonts w:ascii="黑体"/>
          <w:sz w:val="24"/>
        </w:rPr>
      </w:pPr>
    </w:p>
    <w:tbl>
      <w:tblPr>
        <w:tblW w:w="0" w:type="auto"/>
        <w:jc w:val="left"/>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7"/>
        <w:gridCol w:w="1298"/>
        <w:gridCol w:w="1176"/>
        <w:gridCol w:w="5802"/>
      </w:tblGrid>
      <w:tr>
        <w:trPr>
          <w:trHeight w:val="804" w:hRule="atLeast"/>
        </w:trPr>
        <w:tc>
          <w:tcPr>
            <w:tcW w:w="807" w:type="dxa"/>
          </w:tcPr>
          <w:p>
            <w:pPr>
              <w:pStyle w:val="TableParagraph"/>
              <w:spacing w:before="5"/>
              <w:rPr>
                <w:rFonts w:ascii="黑体"/>
                <w:sz w:val="19"/>
              </w:rPr>
            </w:pPr>
          </w:p>
          <w:p>
            <w:pPr>
              <w:pStyle w:val="TableParagraph"/>
              <w:ind w:left="142" w:right="134"/>
              <w:jc w:val="center"/>
              <w:rPr>
                <w:rFonts w:ascii="黑体" w:eastAsia="黑体" w:hint="eastAsia"/>
                <w:sz w:val="24"/>
              </w:rPr>
            </w:pPr>
            <w:r>
              <w:rPr>
                <w:rFonts w:ascii="黑体" w:eastAsia="黑体" w:hint="eastAsia"/>
                <w:sz w:val="24"/>
              </w:rPr>
              <w:t>序号</w:t>
            </w:r>
          </w:p>
        </w:tc>
        <w:tc>
          <w:tcPr>
            <w:tcW w:w="1298" w:type="dxa"/>
          </w:tcPr>
          <w:p>
            <w:pPr>
              <w:pStyle w:val="TableParagraph"/>
              <w:spacing w:line="242" w:lineRule="auto" w:before="92"/>
              <w:ind w:left="409" w:right="396"/>
              <w:rPr>
                <w:rFonts w:ascii="黑体" w:eastAsia="黑体" w:hint="eastAsia"/>
                <w:sz w:val="24"/>
              </w:rPr>
            </w:pPr>
            <w:r>
              <w:rPr>
                <w:rFonts w:ascii="黑体" w:eastAsia="黑体" w:hint="eastAsia"/>
                <w:sz w:val="24"/>
              </w:rPr>
              <w:t>管理对象</w:t>
            </w:r>
          </w:p>
        </w:tc>
        <w:tc>
          <w:tcPr>
            <w:tcW w:w="1176" w:type="dxa"/>
          </w:tcPr>
          <w:p>
            <w:pPr>
              <w:pStyle w:val="TableParagraph"/>
              <w:spacing w:line="242" w:lineRule="auto" w:before="92"/>
              <w:ind w:left="347" w:right="336"/>
              <w:rPr>
                <w:rFonts w:ascii="黑体" w:eastAsia="黑体" w:hint="eastAsia"/>
                <w:sz w:val="24"/>
              </w:rPr>
            </w:pPr>
            <w:r>
              <w:rPr>
                <w:rFonts w:ascii="黑体" w:eastAsia="黑体" w:hint="eastAsia"/>
                <w:sz w:val="24"/>
              </w:rPr>
              <w:t>隐患编号</w:t>
            </w:r>
          </w:p>
        </w:tc>
        <w:tc>
          <w:tcPr>
            <w:tcW w:w="5802" w:type="dxa"/>
          </w:tcPr>
          <w:p>
            <w:pPr>
              <w:pStyle w:val="TableParagraph"/>
              <w:spacing w:before="5"/>
              <w:rPr>
                <w:rFonts w:ascii="黑体"/>
                <w:sz w:val="19"/>
              </w:rPr>
            </w:pPr>
          </w:p>
          <w:p>
            <w:pPr>
              <w:pStyle w:val="TableParagraph"/>
              <w:ind w:left="88" w:right="79"/>
              <w:jc w:val="center"/>
              <w:rPr>
                <w:rFonts w:ascii="黑体" w:eastAsia="黑体" w:hint="eastAsia"/>
                <w:sz w:val="24"/>
              </w:rPr>
            </w:pPr>
            <w:r>
              <w:rPr>
                <w:rFonts w:ascii="黑体" w:eastAsia="黑体" w:hint="eastAsia"/>
                <w:sz w:val="24"/>
              </w:rPr>
              <w:t>隐患内容</w:t>
            </w:r>
          </w:p>
        </w:tc>
      </w:tr>
      <w:tr>
        <w:trPr>
          <w:trHeight w:val="692" w:hRule="atLeast"/>
        </w:trPr>
        <w:tc>
          <w:tcPr>
            <w:tcW w:w="807" w:type="dxa"/>
          </w:tcPr>
          <w:p>
            <w:pPr>
              <w:pStyle w:val="TableParagraph"/>
              <w:spacing w:before="193"/>
              <w:ind w:left="8"/>
              <w:jc w:val="center"/>
              <w:rPr>
                <w:sz w:val="24"/>
              </w:rPr>
            </w:pPr>
            <w:r>
              <w:rPr>
                <w:sz w:val="24"/>
              </w:rPr>
              <w:t>1</w:t>
            </w:r>
          </w:p>
        </w:tc>
        <w:tc>
          <w:tcPr>
            <w:tcW w:w="1298" w:type="dxa"/>
            <w:vMerge w:val="restart"/>
          </w:tcPr>
          <w:p>
            <w:pPr>
              <w:pStyle w:val="TableParagraph"/>
              <w:spacing w:before="3"/>
              <w:rPr>
                <w:rFonts w:ascii="黑体"/>
                <w:sz w:val="30"/>
              </w:rPr>
            </w:pPr>
          </w:p>
          <w:p>
            <w:pPr>
              <w:pStyle w:val="TableParagraph"/>
              <w:spacing w:line="242" w:lineRule="auto"/>
              <w:ind w:left="409" w:right="156" w:hanging="240"/>
              <w:rPr>
                <w:sz w:val="24"/>
              </w:rPr>
            </w:pPr>
            <w:r>
              <w:rPr>
                <w:sz w:val="24"/>
              </w:rPr>
              <w:t>水利工程通用</w:t>
            </w:r>
          </w:p>
        </w:tc>
        <w:tc>
          <w:tcPr>
            <w:tcW w:w="1176" w:type="dxa"/>
          </w:tcPr>
          <w:p>
            <w:pPr>
              <w:pStyle w:val="TableParagraph"/>
              <w:spacing w:before="193"/>
              <w:ind w:left="147" w:right="139"/>
              <w:jc w:val="center"/>
              <w:rPr>
                <w:sz w:val="24"/>
              </w:rPr>
            </w:pPr>
            <w:r>
              <w:rPr>
                <w:sz w:val="24"/>
              </w:rPr>
              <w:t>SY-T001</w:t>
            </w:r>
          </w:p>
        </w:tc>
        <w:tc>
          <w:tcPr>
            <w:tcW w:w="5802" w:type="dxa"/>
          </w:tcPr>
          <w:p>
            <w:pPr>
              <w:pStyle w:val="TableParagraph"/>
              <w:spacing w:line="242" w:lineRule="auto" w:before="37"/>
              <w:ind w:left="107" w:right="162"/>
              <w:rPr>
                <w:sz w:val="24"/>
              </w:rPr>
            </w:pPr>
            <w:r>
              <w:rPr>
                <w:sz w:val="24"/>
              </w:rPr>
              <w:t>有泄洪要求的闸门不能正常启闭；泄水建筑物堵塞， 无法正常泄洪；启闭机自动控制系统失效</w:t>
            </w:r>
          </w:p>
        </w:tc>
      </w:tr>
      <w:tr>
        <w:trPr>
          <w:trHeight w:val="692" w:hRule="atLeast"/>
        </w:trPr>
        <w:tc>
          <w:tcPr>
            <w:tcW w:w="807" w:type="dxa"/>
          </w:tcPr>
          <w:p>
            <w:pPr>
              <w:pStyle w:val="TableParagraph"/>
              <w:spacing w:before="192"/>
              <w:ind w:left="8"/>
              <w:jc w:val="center"/>
              <w:rPr>
                <w:sz w:val="24"/>
              </w:rPr>
            </w:pPr>
            <w:r>
              <w:rPr>
                <w:sz w:val="24"/>
              </w:rPr>
              <w:t>2</w:t>
            </w:r>
          </w:p>
        </w:tc>
        <w:tc>
          <w:tcPr>
            <w:tcW w:w="1298" w:type="dxa"/>
            <w:vMerge/>
            <w:tcBorders>
              <w:top w:val="nil"/>
            </w:tcBorders>
          </w:tcPr>
          <w:p>
            <w:pPr>
              <w:rPr>
                <w:sz w:val="2"/>
                <w:szCs w:val="2"/>
              </w:rPr>
            </w:pPr>
          </w:p>
        </w:tc>
        <w:tc>
          <w:tcPr>
            <w:tcW w:w="1176" w:type="dxa"/>
          </w:tcPr>
          <w:p>
            <w:pPr>
              <w:pStyle w:val="TableParagraph"/>
              <w:spacing w:before="192"/>
              <w:ind w:left="147" w:right="139"/>
              <w:jc w:val="center"/>
              <w:rPr>
                <w:sz w:val="24"/>
              </w:rPr>
            </w:pPr>
            <w:r>
              <w:rPr>
                <w:sz w:val="24"/>
              </w:rPr>
              <w:t>SY-T002</w:t>
            </w:r>
          </w:p>
        </w:tc>
        <w:tc>
          <w:tcPr>
            <w:tcW w:w="5802" w:type="dxa"/>
          </w:tcPr>
          <w:p>
            <w:pPr>
              <w:pStyle w:val="TableParagraph"/>
              <w:spacing w:line="242" w:lineRule="auto" w:before="36"/>
              <w:ind w:left="107" w:right="98"/>
              <w:rPr>
                <w:sz w:val="24"/>
              </w:rPr>
            </w:pPr>
            <w:r>
              <w:rPr>
                <w:sz w:val="24"/>
              </w:rPr>
              <w:t>有防洪要求的工程未按照设计和规范设置监测、观测设施或监测、观测设施严重缺失；未开展监测观测</w:t>
            </w:r>
          </w:p>
        </w:tc>
      </w:tr>
      <w:tr>
        <w:trPr>
          <w:trHeight w:val="504" w:hRule="atLeast"/>
        </w:trPr>
        <w:tc>
          <w:tcPr>
            <w:tcW w:w="807" w:type="dxa"/>
          </w:tcPr>
          <w:p>
            <w:pPr>
              <w:pStyle w:val="TableParagraph"/>
              <w:spacing w:before="97"/>
              <w:ind w:left="8"/>
              <w:jc w:val="center"/>
              <w:rPr>
                <w:sz w:val="24"/>
              </w:rPr>
            </w:pPr>
            <w:r>
              <w:rPr>
                <w:sz w:val="24"/>
              </w:rPr>
              <w:t>3</w:t>
            </w:r>
          </w:p>
        </w:tc>
        <w:tc>
          <w:tcPr>
            <w:tcW w:w="1298" w:type="dxa"/>
            <w:vMerge w:val="restart"/>
          </w:tcPr>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spacing w:before="4"/>
              <w:rPr>
                <w:rFonts w:ascii="黑体"/>
                <w:sz w:val="29"/>
              </w:rPr>
            </w:pPr>
          </w:p>
          <w:p>
            <w:pPr>
              <w:pStyle w:val="TableParagraph"/>
              <w:spacing w:line="242" w:lineRule="auto"/>
              <w:ind w:left="409" w:right="156" w:hanging="240"/>
              <w:rPr>
                <w:sz w:val="24"/>
              </w:rPr>
            </w:pPr>
            <w:r>
              <w:rPr>
                <w:sz w:val="24"/>
              </w:rPr>
              <w:t>水库大坝工程</w:t>
            </w:r>
          </w:p>
        </w:tc>
        <w:tc>
          <w:tcPr>
            <w:tcW w:w="1176" w:type="dxa"/>
          </w:tcPr>
          <w:p>
            <w:pPr>
              <w:pStyle w:val="TableParagraph"/>
              <w:spacing w:before="97"/>
              <w:ind w:left="147" w:right="139"/>
              <w:jc w:val="center"/>
              <w:rPr>
                <w:sz w:val="24"/>
              </w:rPr>
            </w:pPr>
            <w:r>
              <w:rPr>
                <w:sz w:val="24"/>
              </w:rPr>
              <w:t>SY-K001</w:t>
            </w:r>
          </w:p>
        </w:tc>
        <w:tc>
          <w:tcPr>
            <w:tcW w:w="5802" w:type="dxa"/>
          </w:tcPr>
          <w:p>
            <w:pPr>
              <w:pStyle w:val="TableParagraph"/>
              <w:spacing w:before="97"/>
              <w:ind w:left="107"/>
              <w:rPr>
                <w:sz w:val="24"/>
              </w:rPr>
            </w:pPr>
            <w:r>
              <w:rPr>
                <w:sz w:val="24"/>
              </w:rPr>
              <w:t>大坝安全鉴定为三类坝，未采取有效管控措施</w:t>
            </w:r>
          </w:p>
        </w:tc>
      </w:tr>
      <w:tr>
        <w:trPr>
          <w:trHeight w:val="1867" w:hRule="atLeast"/>
        </w:trPr>
        <w:tc>
          <w:tcPr>
            <w:tcW w:w="807" w:type="dxa"/>
          </w:tcPr>
          <w:p>
            <w:pPr>
              <w:pStyle w:val="TableParagraph"/>
              <w:rPr>
                <w:rFonts w:ascii="黑体"/>
                <w:sz w:val="24"/>
              </w:rPr>
            </w:pPr>
          </w:p>
          <w:p>
            <w:pPr>
              <w:pStyle w:val="TableParagraph"/>
              <w:rPr>
                <w:rFonts w:ascii="黑体"/>
                <w:sz w:val="24"/>
              </w:rPr>
            </w:pPr>
          </w:p>
          <w:p>
            <w:pPr>
              <w:pStyle w:val="TableParagraph"/>
              <w:spacing w:before="163"/>
              <w:ind w:left="8"/>
              <w:jc w:val="center"/>
              <w:rPr>
                <w:sz w:val="24"/>
              </w:rPr>
            </w:pPr>
            <w:r>
              <w:rPr>
                <w:sz w:val="24"/>
              </w:rPr>
              <w:t>4</w:t>
            </w:r>
          </w:p>
        </w:tc>
        <w:tc>
          <w:tcPr>
            <w:tcW w:w="1298" w:type="dxa"/>
            <w:vMerge/>
            <w:tcBorders>
              <w:top w:val="nil"/>
            </w:tcBorders>
          </w:tcPr>
          <w:p>
            <w:pPr>
              <w:rPr>
                <w:sz w:val="2"/>
                <w:szCs w:val="2"/>
              </w:rPr>
            </w:pPr>
          </w:p>
        </w:tc>
        <w:tc>
          <w:tcPr>
            <w:tcW w:w="1176" w:type="dxa"/>
          </w:tcPr>
          <w:p>
            <w:pPr>
              <w:pStyle w:val="TableParagraph"/>
              <w:rPr>
                <w:rFonts w:ascii="黑体"/>
                <w:sz w:val="24"/>
              </w:rPr>
            </w:pPr>
          </w:p>
          <w:p>
            <w:pPr>
              <w:pStyle w:val="TableParagraph"/>
              <w:rPr>
                <w:rFonts w:ascii="黑体"/>
                <w:sz w:val="24"/>
              </w:rPr>
            </w:pPr>
          </w:p>
          <w:p>
            <w:pPr>
              <w:pStyle w:val="TableParagraph"/>
              <w:spacing w:before="163"/>
              <w:ind w:left="147" w:right="139"/>
              <w:jc w:val="center"/>
              <w:rPr>
                <w:sz w:val="24"/>
              </w:rPr>
            </w:pPr>
            <w:r>
              <w:rPr>
                <w:sz w:val="24"/>
              </w:rPr>
              <w:t>SY-K002</w:t>
            </w:r>
          </w:p>
        </w:tc>
        <w:tc>
          <w:tcPr>
            <w:tcW w:w="5802" w:type="dxa"/>
          </w:tcPr>
          <w:p>
            <w:pPr>
              <w:pStyle w:val="TableParagraph"/>
              <w:spacing w:line="242" w:lineRule="auto" w:before="3"/>
              <w:ind w:left="107" w:right="98"/>
              <w:jc w:val="both"/>
              <w:rPr>
                <w:sz w:val="24"/>
              </w:rPr>
            </w:pPr>
            <w:r>
              <w:rPr>
                <w:sz w:val="24"/>
              </w:rPr>
              <w:t>大坝防渗和反滤排水设施存在严重缺陷；大坝渗流压力与渗流量变化异常；坝基扬压力明显高于设计值， 复核抗滑安全系数不满足规范要求；运行中已出现流土、漏洞、管涌、接触渗漏等严重渗流异常现象；大坝超高不满足规范要求；水库泄洪能力不满足规范要</w:t>
            </w:r>
          </w:p>
          <w:p>
            <w:pPr>
              <w:pStyle w:val="TableParagraph"/>
              <w:spacing w:line="290" w:lineRule="exact" w:before="2"/>
              <w:ind w:left="107"/>
              <w:rPr>
                <w:sz w:val="24"/>
              </w:rPr>
            </w:pPr>
            <w:r>
              <w:rPr>
                <w:sz w:val="24"/>
              </w:rPr>
              <w:t>求；水库防洪能力不足</w:t>
            </w:r>
          </w:p>
        </w:tc>
      </w:tr>
      <w:tr>
        <w:trPr>
          <w:trHeight w:val="972" w:hRule="atLeast"/>
        </w:trPr>
        <w:tc>
          <w:tcPr>
            <w:tcW w:w="807" w:type="dxa"/>
          </w:tcPr>
          <w:p>
            <w:pPr>
              <w:pStyle w:val="TableParagraph"/>
              <w:spacing w:before="10"/>
              <w:rPr>
                <w:rFonts w:ascii="黑体"/>
                <w:sz w:val="25"/>
              </w:rPr>
            </w:pPr>
          </w:p>
          <w:p>
            <w:pPr>
              <w:pStyle w:val="TableParagraph"/>
              <w:ind w:left="8"/>
              <w:jc w:val="center"/>
              <w:rPr>
                <w:sz w:val="24"/>
              </w:rPr>
            </w:pPr>
            <w:r>
              <w:rPr>
                <w:sz w:val="24"/>
              </w:rPr>
              <w:t>5</w:t>
            </w:r>
          </w:p>
        </w:tc>
        <w:tc>
          <w:tcPr>
            <w:tcW w:w="1298" w:type="dxa"/>
            <w:vMerge/>
            <w:tcBorders>
              <w:top w:val="nil"/>
            </w:tcBorders>
          </w:tcPr>
          <w:p>
            <w:pPr>
              <w:rPr>
                <w:sz w:val="2"/>
                <w:szCs w:val="2"/>
              </w:rPr>
            </w:pPr>
          </w:p>
        </w:tc>
        <w:tc>
          <w:tcPr>
            <w:tcW w:w="1176" w:type="dxa"/>
          </w:tcPr>
          <w:p>
            <w:pPr>
              <w:pStyle w:val="TableParagraph"/>
              <w:spacing w:before="10"/>
              <w:rPr>
                <w:rFonts w:ascii="黑体"/>
                <w:sz w:val="25"/>
              </w:rPr>
            </w:pPr>
          </w:p>
          <w:p>
            <w:pPr>
              <w:pStyle w:val="TableParagraph"/>
              <w:ind w:left="147" w:right="139"/>
              <w:jc w:val="center"/>
              <w:rPr>
                <w:sz w:val="24"/>
              </w:rPr>
            </w:pPr>
            <w:r>
              <w:rPr>
                <w:sz w:val="24"/>
              </w:rPr>
              <w:t>SY-K003</w:t>
            </w:r>
          </w:p>
        </w:tc>
        <w:tc>
          <w:tcPr>
            <w:tcW w:w="5802" w:type="dxa"/>
          </w:tcPr>
          <w:p>
            <w:pPr>
              <w:pStyle w:val="TableParagraph"/>
              <w:spacing w:line="242" w:lineRule="auto" w:before="21"/>
              <w:ind w:left="107" w:right="98"/>
              <w:jc w:val="both"/>
              <w:rPr>
                <w:sz w:val="24"/>
              </w:rPr>
            </w:pPr>
            <w:r>
              <w:rPr>
                <w:sz w:val="24"/>
              </w:rPr>
              <w:t>大坝及泄水、输水等建筑物的强度、稳定、泄流安全不满足规范要求，存在危及工程安全的异常变形或近坝岸坡不稳定</w:t>
            </w:r>
          </w:p>
        </w:tc>
      </w:tr>
      <w:tr>
        <w:trPr>
          <w:trHeight w:val="1027" w:hRule="atLeast"/>
        </w:trPr>
        <w:tc>
          <w:tcPr>
            <w:tcW w:w="807" w:type="dxa"/>
          </w:tcPr>
          <w:p>
            <w:pPr>
              <w:pStyle w:val="TableParagraph"/>
              <w:spacing w:before="12"/>
              <w:rPr>
                <w:rFonts w:ascii="黑体"/>
                <w:sz w:val="27"/>
              </w:rPr>
            </w:pPr>
          </w:p>
          <w:p>
            <w:pPr>
              <w:pStyle w:val="TableParagraph"/>
              <w:ind w:left="8"/>
              <w:jc w:val="center"/>
              <w:rPr>
                <w:sz w:val="24"/>
              </w:rPr>
            </w:pPr>
            <w:r>
              <w:rPr>
                <w:sz w:val="24"/>
              </w:rPr>
              <w:t>6</w:t>
            </w:r>
          </w:p>
        </w:tc>
        <w:tc>
          <w:tcPr>
            <w:tcW w:w="1298" w:type="dxa"/>
            <w:vMerge/>
            <w:tcBorders>
              <w:top w:val="nil"/>
            </w:tcBorders>
          </w:tcPr>
          <w:p>
            <w:pPr>
              <w:rPr>
                <w:sz w:val="2"/>
                <w:szCs w:val="2"/>
              </w:rPr>
            </w:pPr>
          </w:p>
        </w:tc>
        <w:tc>
          <w:tcPr>
            <w:tcW w:w="1176" w:type="dxa"/>
          </w:tcPr>
          <w:p>
            <w:pPr>
              <w:pStyle w:val="TableParagraph"/>
              <w:spacing w:before="12"/>
              <w:rPr>
                <w:rFonts w:ascii="黑体"/>
                <w:sz w:val="27"/>
              </w:rPr>
            </w:pPr>
          </w:p>
          <w:p>
            <w:pPr>
              <w:pStyle w:val="TableParagraph"/>
              <w:ind w:left="147" w:right="139"/>
              <w:jc w:val="center"/>
              <w:rPr>
                <w:sz w:val="24"/>
              </w:rPr>
            </w:pPr>
            <w:r>
              <w:rPr>
                <w:sz w:val="24"/>
              </w:rPr>
              <w:t>SY-K004</w:t>
            </w:r>
          </w:p>
        </w:tc>
        <w:tc>
          <w:tcPr>
            <w:tcW w:w="5802" w:type="dxa"/>
          </w:tcPr>
          <w:p>
            <w:pPr>
              <w:pStyle w:val="TableParagraph"/>
              <w:spacing w:line="242" w:lineRule="auto" w:before="46"/>
              <w:ind w:left="107" w:right="-29"/>
              <w:rPr>
                <w:sz w:val="24"/>
              </w:rPr>
            </w:pPr>
            <w:r>
              <w:rPr>
                <w:sz w:val="24"/>
              </w:rPr>
              <w:t>有泄洪要求的闸门、启闭机等金属结构安全检测结果</w:t>
            </w:r>
            <w:r>
              <w:rPr>
                <w:spacing w:val="-9"/>
                <w:sz w:val="24"/>
              </w:rPr>
              <w:t>为“不安全”，强度、刚度及稳定性不满足规范要求； </w:t>
            </w:r>
            <w:r>
              <w:rPr>
                <w:sz w:val="24"/>
              </w:rPr>
              <w:t>或维护不善，变形、锈蚀、磨损严重，不能正常运行</w:t>
            </w:r>
          </w:p>
        </w:tc>
      </w:tr>
      <w:tr>
        <w:trPr>
          <w:trHeight w:val="651" w:hRule="atLeast"/>
        </w:trPr>
        <w:tc>
          <w:tcPr>
            <w:tcW w:w="807" w:type="dxa"/>
          </w:tcPr>
          <w:p>
            <w:pPr>
              <w:pStyle w:val="TableParagraph"/>
              <w:spacing w:before="170"/>
              <w:ind w:left="8"/>
              <w:jc w:val="center"/>
              <w:rPr>
                <w:sz w:val="24"/>
              </w:rPr>
            </w:pPr>
            <w:r>
              <w:rPr>
                <w:sz w:val="24"/>
              </w:rPr>
              <w:t>7</w:t>
            </w:r>
          </w:p>
        </w:tc>
        <w:tc>
          <w:tcPr>
            <w:tcW w:w="1298" w:type="dxa"/>
            <w:vMerge/>
            <w:tcBorders>
              <w:top w:val="nil"/>
            </w:tcBorders>
          </w:tcPr>
          <w:p>
            <w:pPr>
              <w:rPr>
                <w:sz w:val="2"/>
                <w:szCs w:val="2"/>
              </w:rPr>
            </w:pPr>
          </w:p>
        </w:tc>
        <w:tc>
          <w:tcPr>
            <w:tcW w:w="1176" w:type="dxa"/>
          </w:tcPr>
          <w:p>
            <w:pPr>
              <w:pStyle w:val="TableParagraph"/>
              <w:spacing w:before="170"/>
              <w:ind w:left="147" w:right="139"/>
              <w:jc w:val="center"/>
              <w:rPr>
                <w:sz w:val="24"/>
              </w:rPr>
            </w:pPr>
            <w:r>
              <w:rPr>
                <w:sz w:val="24"/>
              </w:rPr>
              <w:t>SY-K005</w:t>
            </w:r>
          </w:p>
        </w:tc>
        <w:tc>
          <w:tcPr>
            <w:tcW w:w="5802" w:type="dxa"/>
          </w:tcPr>
          <w:p>
            <w:pPr>
              <w:pStyle w:val="TableParagraph"/>
              <w:spacing w:line="310" w:lineRule="atLeast" w:before="12"/>
              <w:ind w:left="107" w:right="98"/>
              <w:rPr>
                <w:sz w:val="24"/>
              </w:rPr>
            </w:pPr>
            <w:r>
              <w:rPr>
                <w:sz w:val="24"/>
              </w:rPr>
              <w:t>未经批准擅自调高水库汛限水位；水库未经蓄水验收即投入使用</w:t>
            </w:r>
          </w:p>
        </w:tc>
      </w:tr>
      <w:tr>
        <w:trPr>
          <w:trHeight w:val="487" w:hRule="atLeast"/>
        </w:trPr>
        <w:tc>
          <w:tcPr>
            <w:tcW w:w="807" w:type="dxa"/>
          </w:tcPr>
          <w:p>
            <w:pPr>
              <w:pStyle w:val="TableParagraph"/>
              <w:spacing w:before="87"/>
              <w:ind w:left="8"/>
              <w:jc w:val="center"/>
              <w:rPr>
                <w:sz w:val="24"/>
              </w:rPr>
            </w:pPr>
            <w:r>
              <w:rPr>
                <w:sz w:val="24"/>
              </w:rPr>
              <w:t>8</w:t>
            </w:r>
          </w:p>
        </w:tc>
        <w:tc>
          <w:tcPr>
            <w:tcW w:w="1298" w:type="dxa"/>
            <w:vMerge w:val="restart"/>
          </w:tcPr>
          <w:p>
            <w:pPr>
              <w:pStyle w:val="TableParagraph"/>
              <w:rPr>
                <w:rFonts w:ascii="黑体"/>
                <w:sz w:val="24"/>
              </w:rPr>
            </w:pPr>
          </w:p>
          <w:p>
            <w:pPr>
              <w:pStyle w:val="TableParagraph"/>
              <w:spacing w:before="9"/>
              <w:rPr>
                <w:rFonts w:ascii="黑体"/>
                <w:sz w:val="21"/>
              </w:rPr>
            </w:pPr>
          </w:p>
          <w:p>
            <w:pPr>
              <w:pStyle w:val="TableParagraph"/>
              <w:spacing w:line="242" w:lineRule="auto" w:before="1"/>
              <w:ind w:left="409" w:right="276" w:hanging="120"/>
              <w:rPr>
                <w:sz w:val="24"/>
              </w:rPr>
            </w:pPr>
            <w:r>
              <w:rPr>
                <w:sz w:val="24"/>
              </w:rPr>
              <w:t>水电站工程</w:t>
            </w:r>
          </w:p>
        </w:tc>
        <w:tc>
          <w:tcPr>
            <w:tcW w:w="1176" w:type="dxa"/>
          </w:tcPr>
          <w:p>
            <w:pPr>
              <w:pStyle w:val="TableParagraph"/>
              <w:spacing w:before="87"/>
              <w:ind w:left="147" w:right="139"/>
              <w:jc w:val="center"/>
              <w:rPr>
                <w:sz w:val="24"/>
              </w:rPr>
            </w:pPr>
            <w:r>
              <w:rPr>
                <w:sz w:val="24"/>
              </w:rPr>
              <w:t>SY-D001</w:t>
            </w:r>
          </w:p>
        </w:tc>
        <w:tc>
          <w:tcPr>
            <w:tcW w:w="5802" w:type="dxa"/>
          </w:tcPr>
          <w:p>
            <w:pPr>
              <w:pStyle w:val="TableParagraph"/>
              <w:spacing w:before="87"/>
              <w:ind w:left="107"/>
              <w:rPr>
                <w:sz w:val="24"/>
              </w:rPr>
            </w:pPr>
            <w:r>
              <w:rPr>
                <w:sz w:val="24"/>
              </w:rPr>
              <w:t>小型水电站安全评价为 C 类，未采取有效管控措施</w:t>
            </w:r>
          </w:p>
        </w:tc>
      </w:tr>
      <w:tr>
        <w:trPr>
          <w:trHeight w:val="1296" w:hRule="atLeast"/>
        </w:trPr>
        <w:tc>
          <w:tcPr>
            <w:tcW w:w="807" w:type="dxa"/>
          </w:tcPr>
          <w:p>
            <w:pPr>
              <w:pStyle w:val="TableParagraph"/>
              <w:rPr>
                <w:rFonts w:ascii="黑体"/>
                <w:sz w:val="24"/>
              </w:rPr>
            </w:pPr>
          </w:p>
          <w:p>
            <w:pPr>
              <w:pStyle w:val="TableParagraph"/>
              <w:spacing w:before="185"/>
              <w:ind w:left="8"/>
              <w:jc w:val="center"/>
              <w:rPr>
                <w:sz w:val="24"/>
              </w:rPr>
            </w:pPr>
            <w:r>
              <w:rPr>
                <w:sz w:val="24"/>
              </w:rPr>
              <w:t>9</w:t>
            </w:r>
          </w:p>
        </w:tc>
        <w:tc>
          <w:tcPr>
            <w:tcW w:w="1298" w:type="dxa"/>
            <w:vMerge/>
            <w:tcBorders>
              <w:top w:val="nil"/>
            </w:tcBorders>
          </w:tcPr>
          <w:p>
            <w:pPr>
              <w:rPr>
                <w:sz w:val="2"/>
                <w:szCs w:val="2"/>
              </w:rPr>
            </w:pPr>
          </w:p>
        </w:tc>
        <w:tc>
          <w:tcPr>
            <w:tcW w:w="1176" w:type="dxa"/>
          </w:tcPr>
          <w:p>
            <w:pPr>
              <w:pStyle w:val="TableParagraph"/>
              <w:rPr>
                <w:rFonts w:ascii="黑体"/>
                <w:sz w:val="24"/>
              </w:rPr>
            </w:pPr>
          </w:p>
          <w:p>
            <w:pPr>
              <w:pStyle w:val="TableParagraph"/>
              <w:spacing w:before="185"/>
              <w:ind w:left="147" w:right="139"/>
              <w:jc w:val="center"/>
              <w:rPr>
                <w:sz w:val="24"/>
              </w:rPr>
            </w:pPr>
            <w:r>
              <w:rPr>
                <w:sz w:val="24"/>
              </w:rPr>
              <w:t>SY-D002</w:t>
            </w:r>
          </w:p>
        </w:tc>
        <w:tc>
          <w:tcPr>
            <w:tcW w:w="5802" w:type="dxa"/>
          </w:tcPr>
          <w:p>
            <w:pPr>
              <w:pStyle w:val="TableParagraph"/>
              <w:spacing w:line="242" w:lineRule="auto" w:before="27"/>
              <w:ind w:left="107" w:right="162"/>
              <w:jc w:val="both"/>
              <w:rPr>
                <w:sz w:val="24"/>
              </w:rPr>
            </w:pPr>
            <w:r>
              <w:rPr>
                <w:sz w:val="24"/>
              </w:rPr>
              <w:t>主要发供电设备异常运行已达到规程标准的紧急停运条件而未停止运行；可能出现六氟化硫泄漏、聚集的场所，未设置监测报警及通风装置；有限空间作业未经审批或未开展有限空间气体检测</w:t>
            </w:r>
          </w:p>
        </w:tc>
      </w:tr>
      <w:tr>
        <w:trPr>
          <w:trHeight w:val="525" w:hRule="atLeast"/>
        </w:trPr>
        <w:tc>
          <w:tcPr>
            <w:tcW w:w="807" w:type="dxa"/>
          </w:tcPr>
          <w:p>
            <w:pPr>
              <w:pStyle w:val="TableParagraph"/>
              <w:spacing w:before="108"/>
              <w:ind w:left="142" w:right="134"/>
              <w:jc w:val="center"/>
              <w:rPr>
                <w:sz w:val="24"/>
              </w:rPr>
            </w:pPr>
            <w:r>
              <w:rPr>
                <w:sz w:val="24"/>
              </w:rPr>
              <w:t>10</w:t>
            </w:r>
          </w:p>
        </w:tc>
        <w:tc>
          <w:tcPr>
            <w:tcW w:w="1298" w:type="dxa"/>
          </w:tcPr>
          <w:p>
            <w:pPr>
              <w:pStyle w:val="TableParagraph"/>
              <w:spacing w:before="108"/>
              <w:ind w:left="149" w:right="139"/>
              <w:jc w:val="center"/>
              <w:rPr>
                <w:sz w:val="24"/>
              </w:rPr>
            </w:pPr>
            <w:r>
              <w:rPr>
                <w:sz w:val="24"/>
              </w:rPr>
              <w:t>泵站</w:t>
            </w:r>
          </w:p>
        </w:tc>
        <w:tc>
          <w:tcPr>
            <w:tcW w:w="1176" w:type="dxa"/>
          </w:tcPr>
          <w:p>
            <w:pPr>
              <w:pStyle w:val="TableParagraph"/>
              <w:spacing w:before="108"/>
              <w:ind w:left="147" w:right="139"/>
              <w:jc w:val="center"/>
              <w:rPr>
                <w:sz w:val="24"/>
              </w:rPr>
            </w:pPr>
            <w:r>
              <w:rPr>
                <w:sz w:val="24"/>
              </w:rPr>
              <w:t>SY-B001</w:t>
            </w:r>
          </w:p>
        </w:tc>
        <w:tc>
          <w:tcPr>
            <w:tcW w:w="5802" w:type="dxa"/>
          </w:tcPr>
          <w:p>
            <w:pPr>
              <w:pStyle w:val="TableParagraph"/>
              <w:spacing w:before="108"/>
              <w:ind w:left="107"/>
              <w:rPr>
                <w:sz w:val="24"/>
              </w:rPr>
            </w:pPr>
            <w:r>
              <w:rPr>
                <w:sz w:val="24"/>
              </w:rPr>
              <w:t>泵站综合评定为三类、四类，未采取有效管控措施</w:t>
            </w:r>
          </w:p>
        </w:tc>
      </w:tr>
      <w:tr>
        <w:trPr>
          <w:trHeight w:val="476" w:hRule="atLeast"/>
        </w:trPr>
        <w:tc>
          <w:tcPr>
            <w:tcW w:w="807" w:type="dxa"/>
          </w:tcPr>
          <w:p>
            <w:pPr>
              <w:pStyle w:val="TableParagraph"/>
              <w:spacing w:before="82"/>
              <w:ind w:left="142" w:right="134"/>
              <w:jc w:val="center"/>
              <w:rPr>
                <w:sz w:val="24"/>
              </w:rPr>
            </w:pPr>
            <w:r>
              <w:rPr>
                <w:sz w:val="24"/>
              </w:rPr>
              <w:t>11</w:t>
            </w:r>
          </w:p>
        </w:tc>
        <w:tc>
          <w:tcPr>
            <w:tcW w:w="1298" w:type="dxa"/>
            <w:vMerge w:val="restart"/>
          </w:tcPr>
          <w:p>
            <w:pPr>
              <w:pStyle w:val="TableParagraph"/>
              <w:rPr>
                <w:rFonts w:ascii="黑体"/>
                <w:sz w:val="24"/>
              </w:rPr>
            </w:pPr>
          </w:p>
          <w:p>
            <w:pPr>
              <w:pStyle w:val="TableParagraph"/>
              <w:rPr>
                <w:rFonts w:ascii="黑体"/>
                <w:sz w:val="24"/>
              </w:rPr>
            </w:pPr>
          </w:p>
          <w:p>
            <w:pPr>
              <w:pStyle w:val="TableParagraph"/>
              <w:spacing w:before="192"/>
              <w:ind w:left="169"/>
              <w:rPr>
                <w:sz w:val="24"/>
              </w:rPr>
            </w:pPr>
            <w:r>
              <w:rPr>
                <w:sz w:val="24"/>
              </w:rPr>
              <w:t>水闸工程</w:t>
            </w:r>
          </w:p>
        </w:tc>
        <w:tc>
          <w:tcPr>
            <w:tcW w:w="1176" w:type="dxa"/>
          </w:tcPr>
          <w:p>
            <w:pPr>
              <w:pStyle w:val="TableParagraph"/>
              <w:spacing w:before="82"/>
              <w:ind w:left="147" w:right="139"/>
              <w:jc w:val="center"/>
              <w:rPr>
                <w:sz w:val="24"/>
              </w:rPr>
            </w:pPr>
            <w:r>
              <w:rPr>
                <w:sz w:val="24"/>
              </w:rPr>
              <w:t>SY-Z001</w:t>
            </w:r>
          </w:p>
        </w:tc>
        <w:tc>
          <w:tcPr>
            <w:tcW w:w="5802" w:type="dxa"/>
          </w:tcPr>
          <w:p>
            <w:pPr>
              <w:pStyle w:val="TableParagraph"/>
              <w:spacing w:before="82"/>
              <w:ind w:left="107"/>
              <w:rPr>
                <w:sz w:val="24"/>
              </w:rPr>
            </w:pPr>
            <w:r>
              <w:rPr>
                <w:sz w:val="24"/>
              </w:rPr>
              <w:t>水闸安全鉴定为三类、四类闸，未采取有效管控措施</w:t>
            </w:r>
          </w:p>
        </w:tc>
      </w:tr>
      <w:tr>
        <w:trPr>
          <w:trHeight w:val="692" w:hRule="atLeast"/>
        </w:trPr>
        <w:tc>
          <w:tcPr>
            <w:tcW w:w="807" w:type="dxa"/>
          </w:tcPr>
          <w:p>
            <w:pPr>
              <w:pStyle w:val="TableParagraph"/>
              <w:spacing w:before="190"/>
              <w:ind w:left="142" w:right="134"/>
              <w:jc w:val="center"/>
              <w:rPr>
                <w:sz w:val="24"/>
              </w:rPr>
            </w:pPr>
            <w:r>
              <w:rPr>
                <w:sz w:val="24"/>
              </w:rPr>
              <w:t>12</w:t>
            </w:r>
          </w:p>
        </w:tc>
        <w:tc>
          <w:tcPr>
            <w:tcW w:w="1298" w:type="dxa"/>
            <w:vMerge/>
            <w:tcBorders>
              <w:top w:val="nil"/>
            </w:tcBorders>
          </w:tcPr>
          <w:p>
            <w:pPr>
              <w:rPr>
                <w:sz w:val="2"/>
                <w:szCs w:val="2"/>
              </w:rPr>
            </w:pPr>
          </w:p>
        </w:tc>
        <w:tc>
          <w:tcPr>
            <w:tcW w:w="1176" w:type="dxa"/>
          </w:tcPr>
          <w:p>
            <w:pPr>
              <w:pStyle w:val="TableParagraph"/>
              <w:spacing w:before="190"/>
              <w:ind w:left="147" w:right="139"/>
              <w:jc w:val="center"/>
              <w:rPr>
                <w:sz w:val="24"/>
              </w:rPr>
            </w:pPr>
            <w:r>
              <w:rPr>
                <w:sz w:val="24"/>
              </w:rPr>
              <w:t>SY-Z002</w:t>
            </w:r>
          </w:p>
        </w:tc>
        <w:tc>
          <w:tcPr>
            <w:tcW w:w="5802" w:type="dxa"/>
          </w:tcPr>
          <w:p>
            <w:pPr>
              <w:pStyle w:val="TableParagraph"/>
              <w:spacing w:line="242" w:lineRule="auto" w:before="34"/>
              <w:ind w:left="107" w:right="98"/>
              <w:rPr>
                <w:sz w:val="24"/>
              </w:rPr>
            </w:pPr>
            <w:r>
              <w:rPr>
                <w:sz w:val="24"/>
              </w:rPr>
              <w:t>水闸的主体结构不均匀沉降、垂直位移、水平位移超出允许值，可能导致整体失稳；止水系统破坏</w:t>
            </w:r>
          </w:p>
        </w:tc>
      </w:tr>
      <w:tr>
        <w:trPr>
          <w:trHeight w:val="736" w:hRule="atLeast"/>
        </w:trPr>
        <w:tc>
          <w:tcPr>
            <w:tcW w:w="807" w:type="dxa"/>
          </w:tcPr>
          <w:p>
            <w:pPr>
              <w:pStyle w:val="TableParagraph"/>
              <w:spacing w:before="213"/>
              <w:ind w:left="142" w:right="134"/>
              <w:jc w:val="center"/>
              <w:rPr>
                <w:sz w:val="24"/>
              </w:rPr>
            </w:pPr>
            <w:r>
              <w:rPr>
                <w:sz w:val="24"/>
              </w:rPr>
              <w:t>13</w:t>
            </w:r>
          </w:p>
        </w:tc>
        <w:tc>
          <w:tcPr>
            <w:tcW w:w="1298" w:type="dxa"/>
            <w:vMerge/>
            <w:tcBorders>
              <w:top w:val="nil"/>
            </w:tcBorders>
          </w:tcPr>
          <w:p>
            <w:pPr>
              <w:rPr>
                <w:sz w:val="2"/>
                <w:szCs w:val="2"/>
              </w:rPr>
            </w:pPr>
          </w:p>
        </w:tc>
        <w:tc>
          <w:tcPr>
            <w:tcW w:w="1176" w:type="dxa"/>
          </w:tcPr>
          <w:p>
            <w:pPr>
              <w:pStyle w:val="TableParagraph"/>
              <w:spacing w:before="213"/>
              <w:ind w:left="147" w:right="139"/>
              <w:jc w:val="center"/>
              <w:rPr>
                <w:sz w:val="24"/>
              </w:rPr>
            </w:pPr>
            <w:r>
              <w:rPr>
                <w:sz w:val="24"/>
              </w:rPr>
              <w:t>SY-Z003</w:t>
            </w:r>
          </w:p>
        </w:tc>
        <w:tc>
          <w:tcPr>
            <w:tcW w:w="5802" w:type="dxa"/>
          </w:tcPr>
          <w:p>
            <w:pPr>
              <w:pStyle w:val="TableParagraph"/>
              <w:spacing w:line="242" w:lineRule="auto" w:before="57"/>
              <w:ind w:left="107" w:right="98"/>
              <w:rPr>
                <w:sz w:val="24"/>
              </w:rPr>
            </w:pPr>
            <w:r>
              <w:rPr>
                <w:sz w:val="24"/>
              </w:rPr>
              <w:t>水闸监测发现铺盖、底板、上下游连接段底部淘空存在失稳的可能</w:t>
            </w:r>
          </w:p>
        </w:tc>
      </w:tr>
      <w:tr>
        <w:trPr>
          <w:trHeight w:val="353" w:hRule="atLeast"/>
        </w:trPr>
        <w:tc>
          <w:tcPr>
            <w:tcW w:w="807" w:type="dxa"/>
          </w:tcPr>
          <w:p>
            <w:pPr>
              <w:pStyle w:val="TableParagraph"/>
              <w:spacing w:before="24"/>
              <w:ind w:left="142" w:right="134"/>
              <w:jc w:val="center"/>
              <w:rPr>
                <w:sz w:val="24"/>
              </w:rPr>
            </w:pPr>
            <w:r>
              <w:rPr>
                <w:sz w:val="24"/>
              </w:rPr>
              <w:t>14</w:t>
            </w:r>
          </w:p>
        </w:tc>
        <w:tc>
          <w:tcPr>
            <w:tcW w:w="1298" w:type="dxa"/>
          </w:tcPr>
          <w:p>
            <w:pPr>
              <w:pStyle w:val="TableParagraph"/>
              <w:spacing w:before="24"/>
              <w:ind w:left="149" w:right="139"/>
              <w:jc w:val="center"/>
              <w:rPr>
                <w:sz w:val="24"/>
              </w:rPr>
            </w:pPr>
            <w:r>
              <w:rPr>
                <w:sz w:val="24"/>
              </w:rPr>
              <w:t>堤防工程</w:t>
            </w:r>
          </w:p>
        </w:tc>
        <w:tc>
          <w:tcPr>
            <w:tcW w:w="1176" w:type="dxa"/>
          </w:tcPr>
          <w:p>
            <w:pPr>
              <w:pStyle w:val="TableParagraph"/>
              <w:spacing w:before="24"/>
              <w:ind w:left="147" w:right="139"/>
              <w:jc w:val="center"/>
              <w:rPr>
                <w:sz w:val="24"/>
              </w:rPr>
            </w:pPr>
            <w:r>
              <w:rPr>
                <w:sz w:val="24"/>
              </w:rPr>
              <w:t>SY-F001</w:t>
            </w:r>
          </w:p>
        </w:tc>
        <w:tc>
          <w:tcPr>
            <w:tcW w:w="5802" w:type="dxa"/>
          </w:tcPr>
          <w:p>
            <w:pPr>
              <w:pStyle w:val="TableParagraph"/>
              <w:spacing w:before="24"/>
              <w:ind w:left="107"/>
              <w:rPr>
                <w:sz w:val="24"/>
              </w:rPr>
            </w:pPr>
            <w:r>
              <w:rPr>
                <w:sz w:val="24"/>
              </w:rPr>
              <w:t>堤防安全综合评价为三类，未采取有效管控措施</w:t>
            </w:r>
          </w:p>
        </w:tc>
      </w:tr>
    </w:tbl>
    <w:p>
      <w:pPr>
        <w:spacing w:after="0"/>
        <w:rPr>
          <w:sz w:val="24"/>
        </w:rPr>
        <w:sectPr>
          <w:pgSz w:w="11910" w:h="16840"/>
          <w:pgMar w:header="0" w:footer="905" w:top="1580" w:bottom="1100" w:left="1060" w:right="860"/>
        </w:sectPr>
      </w:pPr>
    </w:p>
    <w:p>
      <w:pPr>
        <w:pStyle w:val="BodyText"/>
        <w:spacing w:before="11"/>
        <w:ind w:left="0"/>
        <w:rPr>
          <w:rFonts w:ascii="Times New Roman"/>
          <w:sz w:val="8"/>
        </w:rPr>
      </w:pPr>
    </w:p>
    <w:tbl>
      <w:tblPr>
        <w:tblW w:w="0" w:type="auto"/>
        <w:jc w:val="left"/>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7"/>
        <w:gridCol w:w="1298"/>
        <w:gridCol w:w="1176"/>
        <w:gridCol w:w="5802"/>
      </w:tblGrid>
      <w:tr>
        <w:trPr>
          <w:trHeight w:val="804" w:hRule="atLeast"/>
        </w:trPr>
        <w:tc>
          <w:tcPr>
            <w:tcW w:w="807" w:type="dxa"/>
          </w:tcPr>
          <w:p>
            <w:pPr>
              <w:pStyle w:val="TableParagraph"/>
              <w:spacing w:before="7"/>
              <w:rPr>
                <w:rFonts w:ascii="Times New Roman"/>
                <w:sz w:val="21"/>
              </w:rPr>
            </w:pPr>
          </w:p>
          <w:p>
            <w:pPr>
              <w:pStyle w:val="TableParagraph"/>
              <w:ind w:left="142" w:right="134"/>
              <w:jc w:val="center"/>
              <w:rPr>
                <w:rFonts w:ascii="黑体" w:eastAsia="黑体" w:hint="eastAsia"/>
                <w:sz w:val="24"/>
              </w:rPr>
            </w:pPr>
            <w:r>
              <w:rPr>
                <w:rFonts w:ascii="黑体" w:eastAsia="黑体" w:hint="eastAsia"/>
                <w:sz w:val="24"/>
              </w:rPr>
              <w:t>序号</w:t>
            </w:r>
          </w:p>
        </w:tc>
        <w:tc>
          <w:tcPr>
            <w:tcW w:w="1298" w:type="dxa"/>
          </w:tcPr>
          <w:p>
            <w:pPr>
              <w:pStyle w:val="TableParagraph"/>
              <w:spacing w:line="242" w:lineRule="auto" w:before="92"/>
              <w:ind w:left="409" w:right="396"/>
              <w:rPr>
                <w:rFonts w:ascii="黑体" w:eastAsia="黑体" w:hint="eastAsia"/>
                <w:sz w:val="24"/>
              </w:rPr>
            </w:pPr>
            <w:r>
              <w:rPr>
                <w:rFonts w:ascii="黑体" w:eastAsia="黑体" w:hint="eastAsia"/>
                <w:sz w:val="24"/>
              </w:rPr>
              <w:t>管理对象</w:t>
            </w:r>
          </w:p>
        </w:tc>
        <w:tc>
          <w:tcPr>
            <w:tcW w:w="1176" w:type="dxa"/>
          </w:tcPr>
          <w:p>
            <w:pPr>
              <w:pStyle w:val="TableParagraph"/>
              <w:spacing w:line="242" w:lineRule="auto" w:before="92"/>
              <w:ind w:left="347" w:right="336"/>
              <w:rPr>
                <w:rFonts w:ascii="黑体" w:eastAsia="黑体" w:hint="eastAsia"/>
                <w:sz w:val="24"/>
              </w:rPr>
            </w:pPr>
            <w:r>
              <w:rPr>
                <w:rFonts w:ascii="黑体" w:eastAsia="黑体" w:hint="eastAsia"/>
                <w:sz w:val="24"/>
              </w:rPr>
              <w:t>隐患编号</w:t>
            </w:r>
          </w:p>
        </w:tc>
        <w:tc>
          <w:tcPr>
            <w:tcW w:w="5802" w:type="dxa"/>
          </w:tcPr>
          <w:p>
            <w:pPr>
              <w:pStyle w:val="TableParagraph"/>
              <w:spacing w:before="7"/>
              <w:rPr>
                <w:rFonts w:ascii="Times New Roman"/>
                <w:sz w:val="21"/>
              </w:rPr>
            </w:pPr>
          </w:p>
          <w:p>
            <w:pPr>
              <w:pStyle w:val="TableParagraph"/>
              <w:ind w:left="88" w:right="79"/>
              <w:jc w:val="center"/>
              <w:rPr>
                <w:rFonts w:ascii="黑体" w:eastAsia="黑体" w:hint="eastAsia"/>
                <w:sz w:val="24"/>
              </w:rPr>
            </w:pPr>
            <w:r>
              <w:rPr>
                <w:rFonts w:ascii="黑体" w:eastAsia="黑体" w:hint="eastAsia"/>
                <w:sz w:val="24"/>
              </w:rPr>
              <w:t>隐患内容</w:t>
            </w:r>
          </w:p>
        </w:tc>
      </w:tr>
      <w:tr>
        <w:trPr>
          <w:trHeight w:val="692" w:hRule="atLeast"/>
        </w:trPr>
        <w:tc>
          <w:tcPr>
            <w:tcW w:w="807" w:type="dxa"/>
          </w:tcPr>
          <w:p>
            <w:pPr>
              <w:pStyle w:val="TableParagraph"/>
              <w:spacing w:before="193"/>
              <w:ind w:left="142" w:right="134"/>
              <w:jc w:val="center"/>
              <w:rPr>
                <w:sz w:val="24"/>
              </w:rPr>
            </w:pPr>
            <w:r>
              <w:rPr>
                <w:sz w:val="24"/>
              </w:rPr>
              <w:t>15</w:t>
            </w:r>
          </w:p>
        </w:tc>
        <w:tc>
          <w:tcPr>
            <w:tcW w:w="1298" w:type="dxa"/>
            <w:vMerge w:val="restart"/>
          </w:tcPr>
          <w:p>
            <w:pPr>
              <w:pStyle w:val="TableParagraph"/>
              <w:rPr>
                <w:rFonts w:ascii="Times New Roman"/>
                <w:sz w:val="22"/>
              </w:rPr>
            </w:pPr>
          </w:p>
        </w:tc>
        <w:tc>
          <w:tcPr>
            <w:tcW w:w="1176" w:type="dxa"/>
          </w:tcPr>
          <w:p>
            <w:pPr>
              <w:pStyle w:val="TableParagraph"/>
              <w:spacing w:before="193"/>
              <w:ind w:right="156"/>
              <w:jc w:val="right"/>
              <w:rPr>
                <w:sz w:val="24"/>
              </w:rPr>
            </w:pPr>
            <w:r>
              <w:rPr>
                <w:sz w:val="24"/>
              </w:rPr>
              <w:t>SY-F002</w:t>
            </w:r>
          </w:p>
        </w:tc>
        <w:tc>
          <w:tcPr>
            <w:tcW w:w="5802" w:type="dxa"/>
          </w:tcPr>
          <w:p>
            <w:pPr>
              <w:pStyle w:val="TableParagraph"/>
              <w:spacing w:line="242" w:lineRule="auto" w:before="37"/>
              <w:ind w:left="107" w:right="98"/>
              <w:rPr>
                <w:sz w:val="24"/>
              </w:rPr>
            </w:pPr>
            <w:r>
              <w:rPr>
                <w:sz w:val="24"/>
              </w:rPr>
              <w:t>堤防渗流坡降和覆盖层盖重不满足标准的要求，或工程已出现严重渗流异常现象</w:t>
            </w:r>
          </w:p>
        </w:tc>
      </w:tr>
      <w:tr>
        <w:trPr>
          <w:trHeight w:val="691" w:hRule="atLeast"/>
        </w:trPr>
        <w:tc>
          <w:tcPr>
            <w:tcW w:w="807" w:type="dxa"/>
          </w:tcPr>
          <w:p>
            <w:pPr>
              <w:pStyle w:val="TableParagraph"/>
              <w:spacing w:before="192"/>
              <w:ind w:left="142" w:right="134"/>
              <w:jc w:val="center"/>
              <w:rPr>
                <w:sz w:val="24"/>
              </w:rPr>
            </w:pPr>
            <w:r>
              <w:rPr>
                <w:sz w:val="24"/>
              </w:rPr>
              <w:t>16</w:t>
            </w:r>
          </w:p>
        </w:tc>
        <w:tc>
          <w:tcPr>
            <w:tcW w:w="1298" w:type="dxa"/>
            <w:vMerge/>
            <w:tcBorders>
              <w:top w:val="nil"/>
            </w:tcBorders>
          </w:tcPr>
          <w:p>
            <w:pPr>
              <w:rPr>
                <w:sz w:val="2"/>
                <w:szCs w:val="2"/>
              </w:rPr>
            </w:pPr>
          </w:p>
        </w:tc>
        <w:tc>
          <w:tcPr>
            <w:tcW w:w="1176" w:type="dxa"/>
          </w:tcPr>
          <w:p>
            <w:pPr>
              <w:pStyle w:val="TableParagraph"/>
              <w:spacing w:before="192"/>
              <w:ind w:right="156"/>
              <w:jc w:val="right"/>
              <w:rPr>
                <w:sz w:val="24"/>
              </w:rPr>
            </w:pPr>
            <w:r>
              <w:rPr>
                <w:sz w:val="24"/>
              </w:rPr>
              <w:t>SY-F003</w:t>
            </w:r>
          </w:p>
        </w:tc>
        <w:tc>
          <w:tcPr>
            <w:tcW w:w="5802" w:type="dxa"/>
          </w:tcPr>
          <w:p>
            <w:pPr>
              <w:pStyle w:val="TableParagraph"/>
              <w:spacing w:line="242" w:lineRule="auto" w:before="35"/>
              <w:ind w:left="107" w:right="98"/>
              <w:rPr>
                <w:sz w:val="24"/>
              </w:rPr>
            </w:pPr>
            <w:r>
              <w:rPr>
                <w:sz w:val="24"/>
              </w:rPr>
              <w:t>堤防及防护结构稳定性不满足规范要求，或已发现危及堤防稳定的现象</w:t>
            </w:r>
          </w:p>
        </w:tc>
      </w:tr>
      <w:tr>
        <w:trPr>
          <w:trHeight w:val="1027" w:hRule="atLeast"/>
        </w:trPr>
        <w:tc>
          <w:tcPr>
            <w:tcW w:w="807" w:type="dxa"/>
          </w:tcPr>
          <w:p>
            <w:pPr>
              <w:pStyle w:val="TableParagraph"/>
              <w:spacing w:before="2"/>
              <w:rPr>
                <w:rFonts w:ascii="Times New Roman"/>
                <w:sz w:val="31"/>
              </w:rPr>
            </w:pPr>
          </w:p>
          <w:p>
            <w:pPr>
              <w:pStyle w:val="TableParagraph"/>
              <w:ind w:left="142" w:right="134"/>
              <w:jc w:val="center"/>
              <w:rPr>
                <w:sz w:val="24"/>
              </w:rPr>
            </w:pPr>
            <w:r>
              <w:rPr>
                <w:sz w:val="24"/>
              </w:rPr>
              <w:t>17</w:t>
            </w:r>
          </w:p>
        </w:tc>
        <w:tc>
          <w:tcPr>
            <w:tcW w:w="1298" w:type="dxa"/>
            <w:vMerge w:val="restart"/>
          </w:tcPr>
          <w:p>
            <w:pPr>
              <w:pStyle w:val="TableParagraph"/>
              <w:rPr>
                <w:rFonts w:ascii="Times New Roman"/>
                <w:sz w:val="24"/>
              </w:rPr>
            </w:pPr>
          </w:p>
          <w:p>
            <w:pPr>
              <w:pStyle w:val="TableParagraph"/>
              <w:rPr>
                <w:rFonts w:ascii="Times New Roman"/>
                <w:sz w:val="24"/>
              </w:rPr>
            </w:pPr>
          </w:p>
          <w:p>
            <w:pPr>
              <w:pStyle w:val="TableParagraph"/>
              <w:spacing w:line="242" w:lineRule="auto" w:before="186"/>
              <w:ind w:left="169" w:right="156"/>
              <w:rPr>
                <w:sz w:val="24"/>
              </w:rPr>
            </w:pPr>
            <w:r>
              <w:rPr>
                <w:sz w:val="24"/>
              </w:rPr>
              <w:t>引调水及灌区工程</w:t>
            </w:r>
          </w:p>
        </w:tc>
        <w:tc>
          <w:tcPr>
            <w:tcW w:w="1176" w:type="dxa"/>
          </w:tcPr>
          <w:p>
            <w:pPr>
              <w:pStyle w:val="TableParagraph"/>
              <w:spacing w:before="2"/>
              <w:rPr>
                <w:rFonts w:ascii="Times New Roman"/>
                <w:sz w:val="31"/>
              </w:rPr>
            </w:pPr>
          </w:p>
          <w:p>
            <w:pPr>
              <w:pStyle w:val="TableParagraph"/>
              <w:ind w:right="96"/>
              <w:jc w:val="right"/>
              <w:rPr>
                <w:sz w:val="24"/>
              </w:rPr>
            </w:pPr>
            <w:r>
              <w:rPr>
                <w:sz w:val="24"/>
              </w:rPr>
              <w:t>SY-YG001</w:t>
            </w:r>
          </w:p>
        </w:tc>
        <w:tc>
          <w:tcPr>
            <w:tcW w:w="5802" w:type="dxa"/>
          </w:tcPr>
          <w:p>
            <w:pPr>
              <w:pStyle w:val="TableParagraph"/>
              <w:spacing w:line="242" w:lineRule="auto" w:before="49"/>
              <w:ind w:left="107" w:right="98"/>
              <w:jc w:val="both"/>
              <w:rPr>
                <w:sz w:val="24"/>
              </w:rPr>
            </w:pPr>
            <w:r>
              <w:rPr>
                <w:sz w:val="24"/>
              </w:rPr>
              <w:t>渡槽及跨渠建筑物地基沉降量超过设计要求；排架倾斜较大，水下基础露空较大，超过设计要求；渡槽结构主体裂缝多，碳化破损严重，止水失效，漏水严重</w:t>
            </w:r>
          </w:p>
        </w:tc>
      </w:tr>
      <w:tr>
        <w:trPr>
          <w:trHeight w:val="356" w:hRule="atLeast"/>
        </w:trPr>
        <w:tc>
          <w:tcPr>
            <w:tcW w:w="807" w:type="dxa"/>
          </w:tcPr>
          <w:p>
            <w:pPr>
              <w:pStyle w:val="TableParagraph"/>
              <w:spacing w:before="25"/>
              <w:ind w:left="142" w:right="134"/>
              <w:jc w:val="center"/>
              <w:rPr>
                <w:sz w:val="24"/>
              </w:rPr>
            </w:pPr>
            <w:r>
              <w:rPr>
                <w:sz w:val="24"/>
              </w:rPr>
              <w:t>18</w:t>
            </w:r>
          </w:p>
        </w:tc>
        <w:tc>
          <w:tcPr>
            <w:tcW w:w="1298" w:type="dxa"/>
            <w:vMerge/>
            <w:tcBorders>
              <w:top w:val="nil"/>
            </w:tcBorders>
          </w:tcPr>
          <w:p>
            <w:pPr>
              <w:rPr>
                <w:sz w:val="2"/>
                <w:szCs w:val="2"/>
              </w:rPr>
            </w:pPr>
          </w:p>
        </w:tc>
        <w:tc>
          <w:tcPr>
            <w:tcW w:w="1176" w:type="dxa"/>
          </w:tcPr>
          <w:p>
            <w:pPr>
              <w:pStyle w:val="TableParagraph"/>
              <w:spacing w:before="25"/>
              <w:ind w:right="96"/>
              <w:jc w:val="right"/>
              <w:rPr>
                <w:sz w:val="24"/>
              </w:rPr>
            </w:pPr>
            <w:r>
              <w:rPr>
                <w:sz w:val="24"/>
              </w:rPr>
              <w:t>SY-YG002</w:t>
            </w:r>
          </w:p>
        </w:tc>
        <w:tc>
          <w:tcPr>
            <w:tcW w:w="5802" w:type="dxa"/>
          </w:tcPr>
          <w:p>
            <w:pPr>
              <w:pStyle w:val="TableParagraph"/>
              <w:spacing w:before="25"/>
              <w:ind w:left="88" w:right="143"/>
              <w:jc w:val="center"/>
              <w:rPr>
                <w:sz w:val="24"/>
              </w:rPr>
            </w:pPr>
            <w:r>
              <w:rPr>
                <w:sz w:val="24"/>
              </w:rPr>
              <w:t>隧洞洞脸边坡不稳定；隧洞围岩或支护结构严重变形</w:t>
            </w:r>
          </w:p>
        </w:tc>
      </w:tr>
      <w:tr>
        <w:trPr>
          <w:trHeight w:val="691" w:hRule="atLeast"/>
        </w:trPr>
        <w:tc>
          <w:tcPr>
            <w:tcW w:w="807" w:type="dxa"/>
          </w:tcPr>
          <w:p>
            <w:pPr>
              <w:pStyle w:val="TableParagraph"/>
              <w:spacing w:before="191"/>
              <w:ind w:left="142" w:right="134"/>
              <w:jc w:val="center"/>
              <w:rPr>
                <w:sz w:val="24"/>
              </w:rPr>
            </w:pPr>
            <w:r>
              <w:rPr>
                <w:sz w:val="24"/>
              </w:rPr>
              <w:t>19</w:t>
            </w:r>
          </w:p>
        </w:tc>
        <w:tc>
          <w:tcPr>
            <w:tcW w:w="1298" w:type="dxa"/>
            <w:vMerge/>
            <w:tcBorders>
              <w:top w:val="nil"/>
            </w:tcBorders>
          </w:tcPr>
          <w:p>
            <w:pPr>
              <w:rPr>
                <w:sz w:val="2"/>
                <w:szCs w:val="2"/>
              </w:rPr>
            </w:pPr>
          </w:p>
        </w:tc>
        <w:tc>
          <w:tcPr>
            <w:tcW w:w="1176" w:type="dxa"/>
          </w:tcPr>
          <w:p>
            <w:pPr>
              <w:pStyle w:val="TableParagraph"/>
              <w:spacing w:before="191"/>
              <w:ind w:right="96"/>
              <w:jc w:val="right"/>
              <w:rPr>
                <w:sz w:val="24"/>
              </w:rPr>
            </w:pPr>
            <w:r>
              <w:rPr>
                <w:sz w:val="24"/>
              </w:rPr>
              <w:t>SY-YG003</w:t>
            </w:r>
          </w:p>
        </w:tc>
        <w:tc>
          <w:tcPr>
            <w:tcW w:w="5802" w:type="dxa"/>
          </w:tcPr>
          <w:p>
            <w:pPr>
              <w:pStyle w:val="TableParagraph"/>
              <w:spacing w:line="242" w:lineRule="auto" w:before="35"/>
              <w:ind w:left="107" w:right="98"/>
              <w:rPr>
                <w:sz w:val="24"/>
              </w:rPr>
            </w:pPr>
            <w:r>
              <w:rPr>
                <w:sz w:val="24"/>
              </w:rPr>
              <w:t>高填方或傍山渠坡出现管涌等渗透破坏现象或塌陷、边坡失稳等现象</w:t>
            </w:r>
          </w:p>
        </w:tc>
      </w:tr>
      <w:tr>
        <w:trPr>
          <w:trHeight w:val="1948" w:hRule="atLeast"/>
        </w:trPr>
        <w:tc>
          <w:tcPr>
            <w:tcW w:w="807" w:type="dxa"/>
          </w:tcPr>
          <w:p>
            <w:pPr>
              <w:pStyle w:val="TableParagraph"/>
              <w:rPr>
                <w:rFonts w:ascii="Times New Roman"/>
                <w:sz w:val="24"/>
              </w:rPr>
            </w:pPr>
          </w:p>
          <w:p>
            <w:pPr>
              <w:pStyle w:val="TableParagraph"/>
              <w:rPr>
                <w:rFonts w:ascii="Times New Roman"/>
                <w:sz w:val="24"/>
              </w:rPr>
            </w:pPr>
          </w:p>
          <w:p>
            <w:pPr>
              <w:pStyle w:val="TableParagraph"/>
              <w:spacing w:before="2"/>
              <w:rPr>
                <w:rFonts w:ascii="Times New Roman"/>
                <w:sz w:val="23"/>
              </w:rPr>
            </w:pPr>
          </w:p>
          <w:p>
            <w:pPr>
              <w:pStyle w:val="TableParagraph"/>
              <w:ind w:left="142" w:right="134"/>
              <w:jc w:val="center"/>
              <w:rPr>
                <w:sz w:val="24"/>
              </w:rPr>
            </w:pPr>
            <w:r>
              <w:rPr>
                <w:sz w:val="24"/>
              </w:rPr>
              <w:t>20</w:t>
            </w:r>
          </w:p>
        </w:tc>
        <w:tc>
          <w:tcPr>
            <w:tcW w:w="1298" w:type="dxa"/>
          </w:tcPr>
          <w:p>
            <w:pPr>
              <w:pStyle w:val="TableParagraph"/>
              <w:rPr>
                <w:rFonts w:ascii="Times New Roman"/>
                <w:sz w:val="24"/>
              </w:rPr>
            </w:pPr>
          </w:p>
          <w:p>
            <w:pPr>
              <w:pStyle w:val="TableParagraph"/>
              <w:spacing w:before="7"/>
              <w:rPr>
                <w:rFonts w:ascii="Times New Roman"/>
                <w:sz w:val="33"/>
              </w:rPr>
            </w:pPr>
          </w:p>
          <w:p>
            <w:pPr>
              <w:pStyle w:val="TableParagraph"/>
              <w:spacing w:line="242" w:lineRule="auto"/>
              <w:ind w:left="529" w:right="156" w:hanging="360"/>
              <w:rPr>
                <w:sz w:val="24"/>
              </w:rPr>
            </w:pPr>
            <w:r>
              <w:rPr>
                <w:sz w:val="24"/>
              </w:rPr>
              <w:t>淤地坝工程</w:t>
            </w:r>
          </w:p>
        </w:tc>
        <w:tc>
          <w:tcPr>
            <w:tcW w:w="1176" w:type="dxa"/>
          </w:tcPr>
          <w:p>
            <w:pPr>
              <w:pStyle w:val="TableParagraph"/>
              <w:rPr>
                <w:rFonts w:ascii="Times New Roman"/>
                <w:sz w:val="24"/>
              </w:rPr>
            </w:pPr>
          </w:p>
          <w:p>
            <w:pPr>
              <w:pStyle w:val="TableParagraph"/>
              <w:rPr>
                <w:rFonts w:ascii="Times New Roman"/>
                <w:sz w:val="24"/>
              </w:rPr>
            </w:pPr>
          </w:p>
          <w:p>
            <w:pPr>
              <w:pStyle w:val="TableParagraph"/>
              <w:spacing w:before="2"/>
              <w:rPr>
                <w:rFonts w:ascii="Times New Roman"/>
                <w:sz w:val="23"/>
              </w:rPr>
            </w:pPr>
          </w:p>
          <w:p>
            <w:pPr>
              <w:pStyle w:val="TableParagraph"/>
              <w:ind w:right="96"/>
              <w:jc w:val="right"/>
              <w:rPr>
                <w:sz w:val="24"/>
              </w:rPr>
            </w:pPr>
            <w:r>
              <w:rPr>
                <w:sz w:val="24"/>
              </w:rPr>
              <w:t>SY-NK001</w:t>
            </w:r>
          </w:p>
        </w:tc>
        <w:tc>
          <w:tcPr>
            <w:tcW w:w="5802" w:type="dxa"/>
          </w:tcPr>
          <w:p>
            <w:pPr>
              <w:pStyle w:val="TableParagraph"/>
              <w:spacing w:line="242" w:lineRule="auto" w:before="41"/>
              <w:ind w:left="107" w:right="-29"/>
              <w:rPr>
                <w:sz w:val="24"/>
              </w:rPr>
            </w:pPr>
            <w:r>
              <w:rPr>
                <w:sz w:val="24"/>
              </w:rPr>
              <w:t>下游影响范围有村庄、学校、工矿等的大中型淤地坝无溢洪道或无放水设施；坝体坝肩出现贯通性横向裂缝或纵向滑动性裂缝；坝坡出现破坏性滑坡、塌陷、冲沟，坝体出现冲缺、管涌、流土；放水建筑物（卧</w:t>
            </w:r>
            <w:r>
              <w:rPr>
                <w:spacing w:val="-6"/>
                <w:sz w:val="24"/>
              </w:rPr>
              <w:t>管、竖井、涵洞、涵管等</w:t>
            </w:r>
            <w:r>
              <w:rPr>
                <w:spacing w:val="-10"/>
                <w:sz w:val="24"/>
              </w:rPr>
              <w:t>）</w:t>
            </w:r>
            <w:r>
              <w:rPr>
                <w:spacing w:val="-3"/>
                <w:sz w:val="24"/>
              </w:rPr>
              <w:t>或溢洪道出现损毁、断裂、</w:t>
            </w:r>
            <w:r>
              <w:rPr>
                <w:sz w:val="24"/>
              </w:rPr>
              <w:t>坍塌、基部掏刷、悬空</w:t>
            </w:r>
          </w:p>
        </w:tc>
      </w:tr>
    </w:tbl>
    <w:p>
      <w:pPr>
        <w:spacing w:after="0" w:line="242" w:lineRule="auto"/>
        <w:rPr>
          <w:sz w:val="24"/>
        </w:rPr>
        <w:sectPr>
          <w:pgSz w:w="11910" w:h="16840"/>
          <w:pgMar w:header="0" w:footer="905" w:top="1580" w:bottom="1100" w:left="1060" w:right="860"/>
        </w:sectPr>
      </w:pPr>
    </w:p>
    <w:p>
      <w:pPr>
        <w:pStyle w:val="BodyText"/>
        <w:ind w:left="0"/>
        <w:rPr>
          <w:rFonts w:ascii="Times New Roman"/>
          <w:sz w:val="20"/>
        </w:rPr>
      </w:pPr>
    </w:p>
    <w:p>
      <w:pPr>
        <w:pStyle w:val="BodyText"/>
        <w:ind w:left="0"/>
        <w:rPr>
          <w:rFonts w:ascii="Times New Roman"/>
          <w:sz w:val="20"/>
        </w:rPr>
      </w:pPr>
    </w:p>
    <w:p>
      <w:pPr>
        <w:pStyle w:val="Heading2"/>
        <w:spacing w:before="210"/>
        <w:ind w:left="931"/>
        <w:jc w:val="left"/>
      </w:pPr>
      <w:bookmarkStart w:name="渔业船舶重大事故隐患判定标准（试行）" w:id="32"/>
      <w:bookmarkEnd w:id="32"/>
      <w:r>
        <w:rPr/>
      </w:r>
      <w:bookmarkStart w:name="_bookmark16" w:id="33"/>
      <w:bookmarkEnd w:id="33"/>
      <w:r>
        <w:rPr/>
      </w:r>
      <w:r>
        <w:rPr/>
        <w:t>渔业船舶重大事故隐患判定标准（试行）</w:t>
      </w:r>
    </w:p>
    <w:p>
      <w:pPr>
        <w:pStyle w:val="BodyText"/>
        <w:spacing w:before="11"/>
        <w:ind w:left="0"/>
        <w:rPr>
          <w:sz w:val="52"/>
        </w:rPr>
      </w:pPr>
    </w:p>
    <w:p>
      <w:pPr>
        <w:pStyle w:val="BodyText"/>
        <w:spacing w:line="328" w:lineRule="auto"/>
        <w:ind w:left="526" w:right="726" w:firstLine="648"/>
        <w:jc w:val="both"/>
      </w:pPr>
      <w:r>
        <w:rPr>
          <w:spacing w:val="-1"/>
        </w:rPr>
        <w:t>根据《中华人民共和国安全生产法》等有关法律法规和相</w:t>
      </w:r>
      <w:r>
        <w:rPr>
          <w:spacing w:val="-15"/>
        </w:rPr>
        <w:t>关国家、行业标准，核定载员 </w:t>
      </w:r>
      <w:r>
        <w:rPr/>
        <w:t>10</w:t>
      </w:r>
      <w:r>
        <w:rPr>
          <w:spacing w:val="-10"/>
        </w:rPr>
        <w:t> 人及以上的渔业船舶具有以下情形之一的，应当判定为重大事故隐患：</w:t>
      </w:r>
    </w:p>
    <w:p>
      <w:pPr>
        <w:pStyle w:val="BodyText"/>
        <w:spacing w:line="328" w:lineRule="auto"/>
        <w:ind w:left="526" w:right="726" w:firstLine="648"/>
      </w:pPr>
      <w:r>
        <w:rPr/>
        <w:t>（一）未经批准擅自改变渔业船舶结构、主尺度、作业类型的；</w:t>
      </w:r>
    </w:p>
    <w:p>
      <w:pPr>
        <w:pStyle w:val="BodyText"/>
        <w:spacing w:line="407" w:lineRule="exact"/>
        <w:ind w:left="1167"/>
      </w:pPr>
      <w:r>
        <w:rPr/>
        <w:t>（二）救生消防设施设备、号灯处于不良好可用状态的；</w:t>
      </w:r>
    </w:p>
    <w:p>
      <w:pPr>
        <w:pStyle w:val="BodyText"/>
        <w:spacing w:before="144"/>
        <w:ind w:left="1167"/>
      </w:pPr>
      <w:r>
        <w:rPr/>
        <w:t>（三）职务船员不能满足最低配员标准的；</w:t>
      </w:r>
    </w:p>
    <w:p>
      <w:pPr>
        <w:pStyle w:val="BodyText"/>
        <w:spacing w:line="328" w:lineRule="auto" w:before="151"/>
        <w:ind w:left="526" w:right="565" w:firstLine="648"/>
      </w:pPr>
      <w:r>
        <w:rPr>
          <w:spacing w:val="5"/>
        </w:rPr>
        <w:t>（四</w:t>
      </w:r>
      <w:r>
        <w:rPr/>
        <w:t>）擅自关闭、破坏、屏蔽、拆卸北斗船位监测系统、</w:t>
      </w:r>
      <w:r>
        <w:rPr>
          <w:spacing w:val="3"/>
        </w:rPr>
        <w:t>远洋渔船监测系统</w:t>
      </w:r>
      <w:r>
        <w:rPr>
          <w:spacing w:val="2"/>
        </w:rPr>
        <w:t>（VMS）</w:t>
      </w:r>
      <w:r>
        <w:rPr>
          <w:spacing w:val="3"/>
        </w:rPr>
        <w:t>或船舶自动识别系统</w:t>
      </w:r>
      <w:r>
        <w:rPr>
          <w:spacing w:val="2"/>
        </w:rPr>
        <w:t>（AIS）</w:t>
      </w:r>
      <w:r>
        <w:rPr>
          <w:spacing w:val="3"/>
        </w:rPr>
        <w:t>等安全</w:t>
      </w:r>
      <w:r>
        <w:rPr>
          <w:spacing w:val="-3"/>
          <w:w w:val="95"/>
        </w:rPr>
        <w:t>通导和船位监测终端设备，或者篡改、隐瞒、销毁其相关数据、 </w:t>
      </w:r>
      <w:r>
        <w:rPr>
          <w:spacing w:val="-3"/>
        </w:rPr>
        <w:t>信息的；</w:t>
      </w:r>
    </w:p>
    <w:p>
      <w:pPr>
        <w:pStyle w:val="BodyText"/>
        <w:spacing w:line="402" w:lineRule="exact"/>
        <w:ind w:left="1167"/>
      </w:pPr>
      <w:r>
        <w:rPr/>
        <w:t>（五）超过核定航区或者抗风等级、超载航行、作业的；</w:t>
      </w:r>
    </w:p>
    <w:p>
      <w:pPr>
        <w:pStyle w:val="BodyText"/>
        <w:spacing w:line="328" w:lineRule="auto" w:before="150"/>
        <w:ind w:left="526" w:right="726" w:firstLine="648"/>
      </w:pPr>
      <w:r>
        <w:rPr/>
        <w:t>（六）渔业船舶检验证书或国籍证书失效后出海航行、作业的；</w:t>
      </w:r>
    </w:p>
    <w:p>
      <w:pPr>
        <w:pStyle w:val="BodyText"/>
        <w:spacing w:line="407" w:lineRule="exact"/>
        <w:ind w:left="1167"/>
      </w:pPr>
      <w:r>
        <w:rPr/>
        <w:t>（七）在船人员超过核定载员或未经批准载客的；</w:t>
      </w:r>
    </w:p>
    <w:p>
      <w:pPr>
        <w:pStyle w:val="BodyText"/>
        <w:spacing w:line="328" w:lineRule="auto" w:before="149"/>
        <w:ind w:left="526" w:right="726" w:firstLine="648"/>
        <w:jc w:val="both"/>
      </w:pPr>
      <w:r>
        <w:rPr/>
        <w:t>（八）防抗台风等自然灾害期间，不服从管理部门及防汛抗旱指挥部的停航、撤离或转移等决定和命令，未及时撤离危险海域的。</w:t>
      </w:r>
    </w:p>
    <w:p>
      <w:pPr>
        <w:spacing w:after="0" w:line="328" w:lineRule="auto"/>
        <w:jc w:val="both"/>
        <w:sectPr>
          <w:pgSz w:w="11910" w:h="16840"/>
          <w:pgMar w:header="0" w:footer="905" w:top="1580" w:bottom="1100" w:left="1060" w:right="860"/>
        </w:sectPr>
      </w:pPr>
    </w:p>
    <w:p>
      <w:pPr>
        <w:pStyle w:val="BodyText"/>
        <w:ind w:left="0"/>
        <w:rPr>
          <w:sz w:val="20"/>
        </w:rPr>
      </w:pPr>
    </w:p>
    <w:p>
      <w:pPr>
        <w:pStyle w:val="BodyText"/>
        <w:spacing w:before="1"/>
        <w:ind w:left="0"/>
        <w:rPr>
          <w:sz w:val="29"/>
        </w:rPr>
      </w:pPr>
    </w:p>
    <w:p>
      <w:pPr>
        <w:pStyle w:val="Heading2"/>
        <w:ind w:left="526"/>
        <w:jc w:val="left"/>
      </w:pPr>
      <w:bookmarkStart w:name="农机安全生产重大事故隐患判定标准（试行） " w:id="34"/>
      <w:bookmarkEnd w:id="34"/>
      <w:r>
        <w:rPr/>
      </w:r>
      <w:bookmarkStart w:name="_bookmark17" w:id="35"/>
      <w:bookmarkEnd w:id="35"/>
      <w:r>
        <w:rPr/>
      </w:r>
      <w:r>
        <w:rPr/>
        <w:t>农机安全生产重大事故隐患判定标准（试行）</w:t>
      </w:r>
    </w:p>
    <w:p>
      <w:pPr>
        <w:pStyle w:val="BodyText"/>
        <w:spacing w:before="11"/>
        <w:ind w:left="0"/>
        <w:rPr>
          <w:sz w:val="52"/>
        </w:rPr>
      </w:pPr>
    </w:p>
    <w:p>
      <w:pPr>
        <w:pStyle w:val="BodyText"/>
        <w:spacing w:line="328" w:lineRule="auto"/>
        <w:ind w:left="526" w:right="565" w:firstLine="640"/>
      </w:pPr>
      <w:r>
        <w:rPr>
          <w:spacing w:val="-6"/>
        </w:rPr>
        <w:t>根据《中华人民共和国安全生产法</w:t>
      </w:r>
      <w:r>
        <w:rPr>
          <w:spacing w:val="-20"/>
        </w:rPr>
        <w:t>》《中华人民共和国道路交通安全法》《农业机械安全监督管理条例》等有关法律法规和</w:t>
      </w:r>
      <w:r>
        <w:rPr>
          <w:spacing w:val="-13"/>
        </w:rPr>
        <w:t>相关国家、行业标准，农机安全生产领域存在以下情形之一的， 应当判定为重大事故隐患：</w:t>
      </w:r>
    </w:p>
    <w:p>
      <w:pPr>
        <w:pStyle w:val="BodyText"/>
        <w:spacing w:line="326" w:lineRule="auto"/>
        <w:ind w:left="526" w:right="726" w:firstLine="648"/>
      </w:pPr>
      <w:r>
        <w:rPr/>
        <w:t>（一）无证驾驶操作拖拉机或联合收割机的，酒后、服用违禁药品等操作农业机械的；</w:t>
      </w:r>
    </w:p>
    <w:p>
      <w:pPr>
        <w:pStyle w:val="BodyText"/>
        <w:ind w:left="1167"/>
      </w:pPr>
      <w:r>
        <w:rPr/>
        <w:t>（二）拖拉机违法搭载人员的；</w:t>
      </w:r>
    </w:p>
    <w:p>
      <w:pPr>
        <w:pStyle w:val="BodyText"/>
        <w:spacing w:line="326" w:lineRule="auto" w:before="149"/>
        <w:ind w:left="526" w:right="726" w:firstLine="648"/>
      </w:pPr>
      <w:r>
        <w:rPr/>
        <w:t>（三）无号牌、未经检验或检验不合格的拖拉机和联合收割机投入使用的；</w:t>
      </w:r>
    </w:p>
    <w:p>
      <w:pPr>
        <w:pStyle w:val="BodyText"/>
        <w:spacing w:before="4"/>
        <w:ind w:left="1167"/>
      </w:pPr>
      <w:r>
        <w:rPr/>
        <w:t>（四）存在超载、超限、超速等行为的；</w:t>
      </w:r>
    </w:p>
    <w:p>
      <w:pPr>
        <w:pStyle w:val="BodyText"/>
        <w:spacing w:line="326" w:lineRule="auto" w:before="151"/>
        <w:ind w:left="526" w:right="726" w:firstLine="648"/>
      </w:pPr>
      <w:r>
        <w:rPr/>
        <w:t>（五）拼装、改装农业机械等导致不符合农业机械运行安全技术条件的；</w:t>
      </w:r>
    </w:p>
    <w:p>
      <w:pPr>
        <w:pStyle w:val="BodyText"/>
        <w:spacing w:line="328" w:lineRule="auto" w:before="3"/>
        <w:ind w:left="526" w:right="726" w:firstLine="648"/>
      </w:pPr>
      <w:r>
        <w:rPr/>
        <w:t>（六）农业机械存在灯光不齐、安全防护装置与安全标志缺失，以及刹车与转向系统失灵等安全隐患的。</w:t>
      </w:r>
    </w:p>
    <w:p>
      <w:pPr>
        <w:spacing w:after="0" w:line="328" w:lineRule="auto"/>
        <w:sectPr>
          <w:pgSz w:w="11910" w:h="16840"/>
          <w:pgMar w:header="0" w:footer="905" w:top="1580" w:bottom="1180" w:left="1060" w:right="860"/>
        </w:sectPr>
      </w:pPr>
    </w:p>
    <w:p>
      <w:pPr>
        <w:pStyle w:val="BodyText"/>
        <w:spacing w:before="1"/>
        <w:ind w:left="0"/>
        <w:rPr>
          <w:sz w:val="23"/>
        </w:rPr>
      </w:pPr>
    </w:p>
    <w:p>
      <w:pPr>
        <w:pStyle w:val="Heading2"/>
        <w:ind w:left="722" w:right="639"/>
      </w:pPr>
      <w:bookmarkStart w:name="重大电力安全隐患判定标准（试行）" w:id="36"/>
      <w:bookmarkEnd w:id="36"/>
      <w:r>
        <w:rPr/>
      </w:r>
      <w:r>
        <w:rPr/>
        <w:t>管理措施</w:t>
      </w:r>
    </w:p>
    <w:p>
      <w:pPr>
        <w:pStyle w:val="BodyText"/>
        <w:ind w:left="0"/>
        <w:rPr>
          <w:sz w:val="53"/>
        </w:rPr>
      </w:pPr>
    </w:p>
    <w:p>
      <w:pPr>
        <w:pStyle w:val="BodyText"/>
        <w:spacing w:line="328" w:lineRule="auto"/>
        <w:ind w:left="358" w:right="34" w:firstLine="612"/>
      </w:pPr>
      <w:r>
        <w:rPr>
          <w:w w:val="95"/>
        </w:rPr>
        <w:t>（一）强化源头管理。严格做好拖拉机和联合收割机注册登记、 </w:t>
      </w:r>
      <w:r>
        <w:rPr/>
        <w:t>驾驶人考试等管理工作，严禁给不符合安全标准的农业机械发放牌证，严禁给未经考试或考试不合格的人员核发驾驶证，严厉查处违规发放拖拉机和联合收割机牌证的行为。</w:t>
      </w:r>
    </w:p>
    <w:p>
      <w:pPr>
        <w:pStyle w:val="BodyText"/>
        <w:spacing w:line="328" w:lineRule="auto"/>
        <w:ind w:left="358" w:right="273" w:firstLine="645"/>
        <w:jc w:val="both"/>
      </w:pPr>
      <w:r>
        <w:rPr/>
        <w:t>（二）强化技术检验。严格按照《拖拉机和联合收割机安全技术检验规范》进行安全技术检验，强化运行安全技术要求及安全装置检查，对不符合条件以及未粘贴反光标识的拖拉机运输机组不予通过检验。</w:t>
      </w:r>
    </w:p>
    <w:p>
      <w:pPr>
        <w:pStyle w:val="BodyText"/>
        <w:spacing w:line="328" w:lineRule="auto"/>
        <w:ind w:left="358" w:right="273" w:firstLine="645"/>
        <w:jc w:val="both"/>
      </w:pPr>
      <w:r>
        <w:rPr/>
        <w:t>（三）强化宣传培训。运用多种形式重点宣传安全生产法律、法规和农机安全生产知识，提升农机安全生产意识。开展多种形式的农机安全培训，提高农机手安全驾驶和操作技能。</w:t>
      </w:r>
    </w:p>
    <w:p>
      <w:pPr>
        <w:pStyle w:val="BodyText"/>
        <w:spacing w:line="328" w:lineRule="auto"/>
        <w:ind w:left="358" w:right="112" w:firstLine="619"/>
      </w:pPr>
      <w:r>
        <w:rPr>
          <w:w w:val="95"/>
        </w:rPr>
        <w:t>（四</w:t>
      </w:r>
      <w:r>
        <w:rPr>
          <w:spacing w:val="-19"/>
          <w:w w:val="95"/>
        </w:rPr>
        <w:t>）</w:t>
      </w:r>
      <w:r>
        <w:rPr>
          <w:spacing w:val="-5"/>
          <w:w w:val="95"/>
        </w:rPr>
        <w:t>强化执法检查。规范农机安全执法履职行为，明确职责， </w:t>
      </w:r>
      <w:r>
        <w:rPr/>
        <w:t>落实到岗。严查无证驾驶、无牌行驶、酒后驾驶、未年检、拼装改装、违法载人、超速超载、伪造变造证书和牌照等违法违规行为， 形成严管高压态势。</w:t>
      </w:r>
    </w:p>
    <w:p>
      <w:pPr>
        <w:spacing w:after="0" w:line="328" w:lineRule="auto"/>
        <w:sectPr>
          <w:footerReference w:type="default" r:id="rId17"/>
          <w:pgSz w:w="11910" w:h="16840"/>
          <w:pgMar w:footer="1119" w:header="0" w:top="1580" w:bottom="1300" w:left="1060" w:right="860"/>
          <w:pgNumType w:start="96"/>
        </w:sectPr>
      </w:pPr>
    </w:p>
    <w:p>
      <w:pPr>
        <w:pStyle w:val="BodyText"/>
        <w:ind w:left="0"/>
        <w:rPr>
          <w:sz w:val="20"/>
        </w:rPr>
      </w:pPr>
    </w:p>
    <w:p>
      <w:pPr>
        <w:pStyle w:val="BodyText"/>
        <w:ind w:left="0"/>
        <w:rPr>
          <w:sz w:val="20"/>
        </w:rPr>
      </w:pPr>
    </w:p>
    <w:p>
      <w:pPr>
        <w:pStyle w:val="BodyText"/>
        <w:ind w:left="0"/>
        <w:rPr>
          <w:sz w:val="20"/>
        </w:rPr>
      </w:pPr>
    </w:p>
    <w:p>
      <w:pPr>
        <w:pStyle w:val="BodyText"/>
        <w:spacing w:before="3"/>
        <w:ind w:left="0"/>
        <w:rPr>
          <w:sz w:val="19"/>
        </w:rPr>
      </w:pPr>
    </w:p>
    <w:p>
      <w:pPr>
        <w:pStyle w:val="Heading2"/>
        <w:ind w:left="722" w:right="639"/>
      </w:pPr>
      <w:bookmarkStart w:name="_bookmark18" w:id="37"/>
      <w:bookmarkEnd w:id="37"/>
      <w:r>
        <w:rPr/>
      </w:r>
      <w:r>
        <w:rPr/>
        <w:t>重大电力安全隐患判定标准（试行）</w:t>
      </w:r>
    </w:p>
    <w:p>
      <w:pPr>
        <w:pStyle w:val="BodyText"/>
        <w:spacing w:before="8"/>
        <w:ind w:left="0"/>
        <w:rPr>
          <w:sz w:val="46"/>
        </w:rPr>
      </w:pPr>
    </w:p>
    <w:p>
      <w:pPr>
        <w:pStyle w:val="BodyText"/>
        <w:spacing w:line="328" w:lineRule="auto" w:before="1"/>
        <w:ind w:left="358" w:right="273" w:firstLine="638"/>
        <w:jc w:val="both"/>
      </w:pPr>
      <w:r>
        <w:rPr>
          <w:rFonts w:ascii="黑体" w:eastAsia="黑体" w:hint="eastAsia"/>
          <w:spacing w:val="3"/>
        </w:rPr>
        <w:t>第一条 </w:t>
      </w:r>
      <w:r>
        <w:rPr/>
        <w:t>为准确认定、及时消除重大电力安全隐患</w:t>
      </w:r>
      <w:r>
        <w:rPr>
          <w:spacing w:val="5"/>
        </w:rPr>
        <w:t>（</w:t>
      </w:r>
      <w:r>
        <w:rPr/>
        <w:t>以下简称</w:t>
      </w:r>
      <w:r>
        <w:rPr>
          <w:w w:val="99"/>
        </w:rPr>
        <w:t>重大隐患</w:t>
      </w:r>
      <w:r>
        <w:rPr>
          <w:spacing w:val="-159"/>
          <w:w w:val="99"/>
        </w:rPr>
        <w:t>）</w:t>
      </w:r>
      <w:r>
        <w:rPr>
          <w:spacing w:val="-9"/>
          <w:w w:val="99"/>
        </w:rPr>
        <w:t>，有效防范和遏制重特大生产安全事故，根据《中华人民</w:t>
      </w:r>
      <w:r>
        <w:rPr>
          <w:spacing w:val="-9"/>
          <w:w w:val="95"/>
        </w:rPr>
        <w:t>共和国安全生产法</w:t>
      </w:r>
      <w:r>
        <w:rPr>
          <w:spacing w:val="-17"/>
          <w:w w:val="95"/>
        </w:rPr>
        <w:t>》《电力安全隐患治理监督管理规定》以及有关法  </w:t>
      </w:r>
      <w:r>
        <w:rPr>
          <w:spacing w:val="-1"/>
        </w:rPr>
        <w:t>律法规、规章、政策文件和强制性标准的相关规定，制定本判定标准。</w:t>
      </w:r>
    </w:p>
    <w:p>
      <w:pPr>
        <w:pStyle w:val="BodyText"/>
        <w:spacing w:line="328" w:lineRule="auto"/>
        <w:ind w:left="358" w:right="273" w:firstLine="638"/>
        <w:jc w:val="both"/>
      </w:pPr>
      <w:r>
        <w:rPr>
          <w:rFonts w:ascii="黑体" w:eastAsia="黑体" w:hint="eastAsia"/>
          <w:spacing w:val="2"/>
        </w:rPr>
        <w:t>第二条 </w:t>
      </w:r>
      <w:r>
        <w:rPr>
          <w:spacing w:val="-1"/>
        </w:rPr>
        <w:t>本判定标准适用于判定国家能源局电力安全监督管理</w:t>
      </w:r>
      <w:r>
        <w:rPr>
          <w:spacing w:val="-6"/>
          <w:w w:val="95"/>
        </w:rPr>
        <w:t>范围内的重大隐患。危险化学品、消防</w:t>
      </w:r>
      <w:r>
        <w:rPr>
          <w:w w:val="95"/>
        </w:rPr>
        <w:t>（火灾</w:t>
      </w:r>
      <w:r>
        <w:rPr>
          <w:spacing w:val="-159"/>
          <w:w w:val="95"/>
        </w:rPr>
        <w:t>）</w:t>
      </w:r>
      <w:r>
        <w:rPr>
          <w:spacing w:val="-6"/>
          <w:w w:val="95"/>
        </w:rPr>
        <w:t>、特种设备等有关行  </w:t>
      </w:r>
      <w:r>
        <w:rPr/>
        <w:t>业领域对重大事故隐患判定标准另有规定的，适用其规定。</w:t>
      </w:r>
    </w:p>
    <w:p>
      <w:pPr>
        <w:pStyle w:val="BodyText"/>
        <w:spacing w:line="326" w:lineRule="auto"/>
        <w:ind w:left="358" w:right="274" w:firstLine="638"/>
        <w:jc w:val="both"/>
      </w:pPr>
      <w:r>
        <w:rPr>
          <w:rFonts w:ascii="黑体" w:eastAsia="黑体" w:hint="eastAsia"/>
          <w:spacing w:val="3"/>
        </w:rPr>
        <w:t>第三条 </w:t>
      </w:r>
      <w:r>
        <w:rPr>
          <w:spacing w:val="-5"/>
        </w:rPr>
        <w:t>本判定标准所指电力设备设施范围为 </w:t>
      </w:r>
      <w:r>
        <w:rPr/>
        <w:t>330</w:t>
      </w:r>
      <w:r>
        <w:rPr>
          <w:spacing w:val="-13"/>
        </w:rPr>
        <w:t> 千伏及以上</w:t>
      </w:r>
      <w:r>
        <w:rPr>
          <w:spacing w:val="-8"/>
        </w:rPr>
        <w:t>电网设备设施，单机容量 </w:t>
      </w:r>
      <w:r>
        <w:rPr/>
        <w:t>300</w:t>
      </w:r>
      <w:r>
        <w:rPr>
          <w:spacing w:val="-7"/>
        </w:rPr>
        <w:t> 兆瓦及以上的燃煤发电机组和水力发</w:t>
      </w:r>
    </w:p>
    <w:p>
      <w:pPr>
        <w:pStyle w:val="BodyText"/>
        <w:ind w:left="358"/>
        <w:jc w:val="both"/>
      </w:pPr>
      <w:r>
        <w:rPr>
          <w:spacing w:val="-9"/>
        </w:rPr>
        <w:t>电机组、单套容量 </w:t>
      </w:r>
      <w:r>
        <w:rPr/>
        <w:t>200</w:t>
      </w:r>
      <w:r>
        <w:rPr>
          <w:spacing w:val="-7"/>
        </w:rPr>
        <w:t> 兆瓦及以上的燃气发电机组、核电常规岛及</w:t>
      </w:r>
    </w:p>
    <w:p>
      <w:pPr>
        <w:pStyle w:val="BodyText"/>
        <w:spacing w:line="328" w:lineRule="auto" w:before="142"/>
        <w:ind w:left="358" w:right="271"/>
        <w:jc w:val="both"/>
      </w:pPr>
      <w:r>
        <w:rPr>
          <w:spacing w:val="-6"/>
        </w:rPr>
        <w:t>核电厂配套输变电设施、容量 </w:t>
      </w:r>
      <w:r>
        <w:rPr/>
        <w:t>300</w:t>
      </w:r>
      <w:r>
        <w:rPr>
          <w:spacing w:val="-7"/>
        </w:rPr>
        <w:t> 兆瓦及以上风力发电场和光伏发</w:t>
      </w:r>
      <w:r>
        <w:rPr>
          <w:spacing w:val="-19"/>
          <w:w w:val="95"/>
        </w:rPr>
        <w:t>电站；所指施工作业工程为《电力建设工程施工安全管理导则</w:t>
      </w:r>
      <w:r>
        <w:rPr>
          <w:spacing w:val="-293"/>
          <w:w w:val="95"/>
        </w:rPr>
        <w:t>》</w:t>
      </w:r>
      <w:r>
        <w:rPr>
          <w:w w:val="95"/>
        </w:rPr>
        <w:t>（NB/T </w:t>
      </w:r>
      <w:r>
        <w:rPr/>
        <w:t>10096-2018）规定的超过一定规模的危险性较大的分部分项工程。特殊情形在具体条款中另行规定。</w:t>
      </w:r>
    </w:p>
    <w:p>
      <w:pPr>
        <w:pStyle w:val="BodyText"/>
        <w:spacing w:line="402" w:lineRule="exact"/>
        <w:ind w:left="996"/>
        <w:jc w:val="both"/>
      </w:pPr>
      <w:r>
        <w:rPr>
          <w:rFonts w:ascii="黑体" w:eastAsia="黑体" w:hint="eastAsia"/>
        </w:rPr>
        <w:t>第四条 </w:t>
      </w:r>
      <w:r>
        <w:rPr/>
        <w:t>有下列情形之一的，应判定为重大隐患：</w:t>
      </w:r>
    </w:p>
    <w:p>
      <w:pPr>
        <w:pStyle w:val="BodyText"/>
        <w:spacing w:line="326" w:lineRule="auto" w:before="151"/>
        <w:ind w:left="358" w:right="273" w:firstLine="638"/>
        <w:jc w:val="both"/>
      </w:pPr>
      <w:r>
        <w:rPr/>
        <w:t>电网安全稳定控制系统以及直流控制保护系统参数、策略、定值计算和设定不正确；直流控保、直流配套安全稳定控制装置未按双重化配置。</w:t>
      </w:r>
    </w:p>
    <w:p>
      <w:pPr>
        <w:pStyle w:val="BodyText"/>
        <w:spacing w:before="7"/>
        <w:ind w:left="996"/>
      </w:pPr>
      <w:r>
        <w:rPr/>
        <w:t>特高压架空线路杆塔基础出现较大沉陷、严重开裂或显著上拔，</w:t>
      </w:r>
    </w:p>
    <w:p>
      <w:pPr>
        <w:spacing w:after="0"/>
        <w:sectPr>
          <w:pgSz w:w="11910" w:h="16840"/>
          <w:pgMar w:header="0" w:footer="1119" w:top="1580" w:bottom="1300" w:left="1060" w:right="860"/>
        </w:sectPr>
      </w:pPr>
    </w:p>
    <w:p>
      <w:pPr>
        <w:pStyle w:val="BodyText"/>
        <w:ind w:left="0"/>
        <w:rPr>
          <w:sz w:val="20"/>
        </w:rPr>
      </w:pPr>
    </w:p>
    <w:p>
      <w:pPr>
        <w:pStyle w:val="BodyText"/>
        <w:spacing w:before="202"/>
        <w:ind w:left="358"/>
      </w:pPr>
      <w:bookmarkStart w:name="船舶行业重大生产安全事故隐患判定标准" w:id="38"/>
      <w:bookmarkEnd w:id="38"/>
      <w:r>
        <w:rPr/>
      </w:r>
      <w:r>
        <w:rPr/>
        <w:t>塔身出现严重弯曲形变，导地线出现严重损伤、断股和腐蚀。</w:t>
      </w:r>
    </w:p>
    <w:p>
      <w:pPr>
        <w:pStyle w:val="BodyText"/>
        <w:spacing w:line="328" w:lineRule="auto" w:before="150"/>
        <w:ind w:left="358" w:right="275" w:firstLine="638"/>
      </w:pPr>
      <w:r>
        <w:rPr/>
        <w:t>特高压变压器（换流变）乙炔、总烃等特征气体明显增高，内部存在严重局部放电，绝缘电阻和介损试验数据严重超标。</w:t>
      </w:r>
    </w:p>
    <w:p>
      <w:pPr>
        <w:pStyle w:val="BodyText"/>
        <w:spacing w:line="407" w:lineRule="exact"/>
        <w:ind w:left="996"/>
      </w:pPr>
      <w:r>
        <w:rPr/>
        <w:t>燃煤锅炉烟风道、除尘器、脱硝催化剂装置、渣仓、粉仓料斗</w:t>
      </w:r>
    </w:p>
    <w:p>
      <w:pPr>
        <w:pStyle w:val="BodyText"/>
        <w:spacing w:line="328" w:lineRule="auto" w:before="149"/>
        <w:ind w:left="358" w:right="273"/>
      </w:pPr>
      <w:r>
        <w:rPr>
          <w:w w:val="95"/>
        </w:rPr>
        <w:t>（含灰斗</w:t>
      </w:r>
      <w:r>
        <w:rPr>
          <w:spacing w:val="-159"/>
          <w:w w:val="95"/>
        </w:rPr>
        <w:t>）</w:t>
      </w:r>
      <w:r>
        <w:rPr>
          <w:spacing w:val="-9"/>
          <w:w w:val="95"/>
        </w:rPr>
        <w:t>、输煤栈桥等重点设备设施的钢结构、支吊架、承重焊接  </w:t>
      </w:r>
      <w:r>
        <w:rPr>
          <w:spacing w:val="-9"/>
        </w:rPr>
        <w:t>部位总体强度不满足结构强度要求。</w:t>
      </w:r>
    </w:p>
    <w:p>
      <w:pPr>
        <w:pStyle w:val="BodyText"/>
        <w:spacing w:line="326" w:lineRule="auto"/>
        <w:ind w:left="358" w:right="112"/>
      </w:pPr>
      <w:r>
        <w:rPr/>
        <w:t>电力监控系统横向边界未部署专用隔离装置，或者调度数据网纵向</w:t>
      </w:r>
      <w:r>
        <w:rPr>
          <w:w w:val="95"/>
        </w:rPr>
        <w:t>边界未部署电力专用纵向加密认证装置，或生产控制大区非法外联。</w:t>
      </w:r>
    </w:p>
    <w:p>
      <w:pPr>
        <w:pStyle w:val="BodyText"/>
        <w:spacing w:line="326" w:lineRule="auto" w:before="3"/>
        <w:ind w:left="358" w:right="274" w:firstLine="638"/>
        <w:jc w:val="both"/>
      </w:pPr>
      <w:r>
        <w:rPr/>
        <w:t>《水电站大坝工程隐患治理监督管理办法》中规定的大坝特别重大、重大工程隐患；燃煤发电厂贮灰场大坝未开展安全评估，贮灰场安全等级评定为险态灰场。</w:t>
      </w:r>
    </w:p>
    <w:p>
      <w:pPr>
        <w:pStyle w:val="BodyText"/>
        <w:spacing w:line="328" w:lineRule="auto" w:before="7"/>
        <w:ind w:left="358" w:right="273" w:firstLine="638"/>
        <w:jc w:val="both"/>
      </w:pPr>
      <w:r>
        <w:rPr/>
        <w:t>建设单位将建设项目发包给不具备安全生产条件或相应资质施工企业，所属工程专项施工方案未按规定开展编、审、批或专家论证，开展爆破、吊装、有限空间等危险作业未履行施工作业许可审批手续或无人监护。</w:t>
      </w:r>
    </w:p>
    <w:p>
      <w:pPr>
        <w:pStyle w:val="BodyText"/>
        <w:spacing w:line="328" w:lineRule="auto"/>
        <w:ind w:left="358" w:right="273" w:firstLine="638"/>
        <w:jc w:val="both"/>
      </w:pPr>
      <w:r>
        <w:rPr>
          <w:rFonts w:ascii="黑体" w:eastAsia="黑体" w:hint="eastAsia"/>
        </w:rPr>
        <w:t>第五条 </w:t>
      </w:r>
      <w:r>
        <w:rPr/>
        <w:t>对其他严重违反电力安全生产法律法规、规章、政策文件和强制性标准，或可能导致群死群伤或造成重大经济损失或造成严重社会影响的隐患，有关单位可参照重大隐患监督管理。</w:t>
      </w:r>
    </w:p>
    <w:p>
      <w:pPr>
        <w:pStyle w:val="BodyText"/>
        <w:spacing w:line="405" w:lineRule="exact"/>
        <w:ind w:left="996"/>
        <w:jc w:val="both"/>
      </w:pPr>
      <w:r>
        <w:rPr>
          <w:rFonts w:ascii="黑体" w:eastAsia="黑体" w:hint="eastAsia"/>
        </w:rPr>
        <w:t>第六条 </w:t>
      </w:r>
      <w:r>
        <w:rPr/>
        <w:t>本判定标准由国家能源局负责解释。</w:t>
      </w:r>
    </w:p>
    <w:p>
      <w:pPr>
        <w:spacing w:after="0" w:line="405" w:lineRule="exact"/>
        <w:jc w:val="both"/>
        <w:sectPr>
          <w:pgSz w:w="11910" w:h="16840"/>
          <w:pgMar w:header="0" w:footer="1119" w:top="1580" w:bottom="1300" w:left="1060" w:right="860"/>
        </w:sectPr>
      </w:pPr>
    </w:p>
    <w:p>
      <w:pPr>
        <w:pStyle w:val="BodyText"/>
        <w:ind w:left="0"/>
        <w:rPr>
          <w:sz w:val="20"/>
        </w:rPr>
      </w:pPr>
    </w:p>
    <w:p>
      <w:pPr>
        <w:pStyle w:val="BodyText"/>
        <w:ind w:left="0"/>
        <w:rPr>
          <w:sz w:val="20"/>
        </w:rPr>
      </w:pPr>
    </w:p>
    <w:p>
      <w:pPr>
        <w:pStyle w:val="BodyText"/>
        <w:ind w:left="0"/>
        <w:rPr>
          <w:sz w:val="20"/>
        </w:rPr>
      </w:pPr>
    </w:p>
    <w:p>
      <w:pPr>
        <w:pStyle w:val="BodyText"/>
        <w:spacing w:before="3"/>
        <w:ind w:left="0"/>
        <w:rPr>
          <w:sz w:val="19"/>
        </w:rPr>
      </w:pPr>
    </w:p>
    <w:p>
      <w:pPr>
        <w:pStyle w:val="Heading2"/>
        <w:ind w:left="1076"/>
        <w:jc w:val="left"/>
      </w:pPr>
      <w:bookmarkStart w:name="_bookmark19" w:id="39"/>
      <w:bookmarkEnd w:id="39"/>
      <w:r>
        <w:rPr/>
      </w:r>
      <w:r>
        <w:rPr/>
        <w:t>船舶行业重大生产安全事故隐患判定标准</w:t>
      </w:r>
    </w:p>
    <w:p>
      <w:pPr>
        <w:pStyle w:val="BodyText"/>
        <w:spacing w:before="12"/>
        <w:ind w:left="0"/>
        <w:rPr>
          <w:sz w:val="36"/>
        </w:rPr>
      </w:pPr>
    </w:p>
    <w:p>
      <w:pPr>
        <w:pStyle w:val="ListParagraph"/>
        <w:numPr>
          <w:ilvl w:val="0"/>
          <w:numId w:val="34"/>
        </w:numPr>
        <w:tabs>
          <w:tab w:pos="678" w:val="left" w:leader="none"/>
        </w:tabs>
        <w:spacing w:line="240" w:lineRule="auto" w:before="0" w:after="0"/>
        <w:ind w:left="677" w:right="0" w:hanging="320"/>
        <w:jc w:val="left"/>
        <w:rPr>
          <w:rFonts w:ascii="黑体" w:eastAsia="黑体" w:hint="eastAsia"/>
          <w:sz w:val="32"/>
        </w:rPr>
      </w:pPr>
      <w:r>
        <w:rPr>
          <w:rFonts w:ascii="黑体" w:eastAsia="黑体" w:hint="eastAsia"/>
          <w:sz w:val="32"/>
        </w:rPr>
        <w:t>范围</w:t>
      </w:r>
    </w:p>
    <w:p>
      <w:pPr>
        <w:pStyle w:val="BodyText"/>
        <w:spacing w:before="11"/>
        <w:ind w:left="0"/>
        <w:rPr>
          <w:rFonts w:ascii="黑体"/>
          <w:sz w:val="28"/>
        </w:rPr>
      </w:pPr>
    </w:p>
    <w:p>
      <w:pPr>
        <w:pStyle w:val="BodyText"/>
        <w:spacing w:line="328" w:lineRule="auto"/>
        <w:ind w:left="358" w:right="273" w:firstLine="638"/>
        <w:jc w:val="both"/>
      </w:pPr>
      <w:r>
        <w:rPr/>
        <w:t>本标准规定了船舶行业企事业单位(简称企业)重大生产安全事故隐患判定通则、重大生产安全事故隐患直接判定标准和重大生产安全事故隐患综合判定标准等内容。</w:t>
      </w:r>
    </w:p>
    <w:p>
      <w:pPr>
        <w:pStyle w:val="BodyText"/>
        <w:spacing w:line="405" w:lineRule="exact"/>
        <w:ind w:left="996"/>
      </w:pPr>
      <w:r>
        <w:rPr/>
        <w:t>本标准适用于船舶行业重大生产安全事故隐患的判定管理。</w:t>
      </w:r>
    </w:p>
    <w:p>
      <w:pPr>
        <w:pStyle w:val="ListParagraph"/>
        <w:numPr>
          <w:ilvl w:val="0"/>
          <w:numId w:val="34"/>
        </w:numPr>
        <w:tabs>
          <w:tab w:pos="678" w:val="left" w:leader="none"/>
        </w:tabs>
        <w:spacing w:line="240" w:lineRule="auto" w:before="265" w:after="0"/>
        <w:ind w:left="677" w:right="0" w:hanging="320"/>
        <w:jc w:val="left"/>
        <w:rPr>
          <w:rFonts w:ascii="黑体" w:eastAsia="黑体" w:hint="eastAsia"/>
          <w:sz w:val="32"/>
        </w:rPr>
      </w:pPr>
      <w:r>
        <w:rPr>
          <w:rFonts w:ascii="黑体" w:eastAsia="黑体" w:hint="eastAsia"/>
          <w:sz w:val="32"/>
        </w:rPr>
        <w:t>规范性引用文件</w:t>
      </w:r>
    </w:p>
    <w:p>
      <w:pPr>
        <w:pStyle w:val="BodyText"/>
        <w:spacing w:before="11"/>
        <w:ind w:left="0"/>
        <w:rPr>
          <w:rFonts w:ascii="黑体"/>
          <w:sz w:val="28"/>
        </w:rPr>
      </w:pPr>
    </w:p>
    <w:p>
      <w:pPr>
        <w:pStyle w:val="BodyText"/>
        <w:spacing w:line="328" w:lineRule="auto" w:after="41"/>
        <w:ind w:left="358" w:right="112" w:firstLine="638"/>
      </w:pPr>
      <w:r>
        <w:rPr/>
        <w:t>下列文件对于本文件的应用是必不可少的。凡是注日期的引用</w:t>
      </w:r>
      <w:r>
        <w:rPr>
          <w:spacing w:val="-9"/>
          <w:w w:val="95"/>
        </w:rPr>
        <w:t>文件，仅注明日期的版本适用于本文件。凡是不注日期的引用文件，  </w:t>
      </w:r>
      <w:r>
        <w:rPr>
          <w:spacing w:val="-9"/>
        </w:rPr>
        <w:t>其最新版本(包括所有的修改单)适用于本文件。</w:t>
      </w:r>
    </w:p>
    <w:tbl>
      <w:tblPr>
        <w:tblW w:w="0" w:type="auto"/>
        <w:jc w:val="left"/>
        <w:tblInd w:w="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0"/>
        <w:gridCol w:w="1040"/>
        <w:gridCol w:w="6608"/>
      </w:tblGrid>
      <w:tr>
        <w:trPr>
          <w:trHeight w:val="440" w:hRule="atLeast"/>
        </w:trPr>
        <w:tc>
          <w:tcPr>
            <w:tcW w:w="450" w:type="dxa"/>
          </w:tcPr>
          <w:p>
            <w:pPr>
              <w:pStyle w:val="TableParagraph"/>
              <w:spacing w:line="364" w:lineRule="exact"/>
              <w:ind w:left="31" w:right="58"/>
              <w:jc w:val="center"/>
              <w:rPr>
                <w:sz w:val="32"/>
              </w:rPr>
            </w:pPr>
            <w:r>
              <w:rPr>
                <w:sz w:val="32"/>
              </w:rPr>
              <w:t>GB</w:t>
            </w:r>
          </w:p>
        </w:tc>
        <w:tc>
          <w:tcPr>
            <w:tcW w:w="1040" w:type="dxa"/>
          </w:tcPr>
          <w:p>
            <w:pPr>
              <w:pStyle w:val="TableParagraph"/>
              <w:spacing w:line="364" w:lineRule="exact"/>
              <w:ind w:left="80"/>
              <w:rPr>
                <w:sz w:val="32"/>
              </w:rPr>
            </w:pPr>
            <w:r>
              <w:rPr>
                <w:sz w:val="32"/>
              </w:rPr>
              <w:t>15603</w:t>
            </w:r>
          </w:p>
        </w:tc>
        <w:tc>
          <w:tcPr>
            <w:tcW w:w="6608" w:type="dxa"/>
          </w:tcPr>
          <w:p>
            <w:pPr>
              <w:pStyle w:val="TableParagraph"/>
              <w:spacing w:line="364" w:lineRule="exact"/>
              <w:ind w:left="160"/>
              <w:rPr>
                <w:sz w:val="32"/>
              </w:rPr>
            </w:pPr>
            <w:r>
              <w:rPr>
                <w:sz w:val="32"/>
              </w:rPr>
              <w:t>常用化学危险品贮存通则</w:t>
            </w:r>
          </w:p>
        </w:tc>
      </w:tr>
      <w:tr>
        <w:trPr>
          <w:trHeight w:val="560" w:hRule="atLeast"/>
        </w:trPr>
        <w:tc>
          <w:tcPr>
            <w:tcW w:w="450" w:type="dxa"/>
          </w:tcPr>
          <w:p>
            <w:pPr>
              <w:pStyle w:val="TableParagraph"/>
              <w:spacing w:before="75"/>
              <w:ind w:left="31" w:right="58"/>
              <w:jc w:val="center"/>
              <w:rPr>
                <w:sz w:val="32"/>
              </w:rPr>
            </w:pPr>
            <w:r>
              <w:rPr>
                <w:sz w:val="32"/>
              </w:rPr>
              <w:t>GB</w:t>
            </w:r>
          </w:p>
        </w:tc>
        <w:tc>
          <w:tcPr>
            <w:tcW w:w="1040" w:type="dxa"/>
          </w:tcPr>
          <w:p>
            <w:pPr>
              <w:pStyle w:val="TableParagraph"/>
              <w:spacing w:before="75"/>
              <w:ind w:left="80"/>
              <w:rPr>
                <w:sz w:val="32"/>
              </w:rPr>
            </w:pPr>
            <w:r>
              <w:rPr>
                <w:sz w:val="32"/>
              </w:rPr>
              <w:t>26860</w:t>
            </w:r>
          </w:p>
        </w:tc>
        <w:tc>
          <w:tcPr>
            <w:tcW w:w="6608" w:type="dxa"/>
          </w:tcPr>
          <w:p>
            <w:pPr>
              <w:pStyle w:val="TableParagraph"/>
              <w:spacing w:before="75"/>
              <w:ind w:left="160"/>
              <w:rPr>
                <w:sz w:val="32"/>
              </w:rPr>
            </w:pPr>
            <w:r>
              <w:rPr>
                <w:sz w:val="32"/>
              </w:rPr>
              <w:t>电业安全工作规程：发电厂和变电站电气部分</w:t>
            </w:r>
          </w:p>
        </w:tc>
      </w:tr>
      <w:tr>
        <w:trPr>
          <w:trHeight w:val="559" w:hRule="atLeast"/>
        </w:trPr>
        <w:tc>
          <w:tcPr>
            <w:tcW w:w="450" w:type="dxa"/>
          </w:tcPr>
          <w:p>
            <w:pPr>
              <w:pStyle w:val="TableParagraph"/>
              <w:spacing w:before="74"/>
              <w:ind w:left="31" w:right="58"/>
              <w:jc w:val="center"/>
              <w:rPr>
                <w:sz w:val="32"/>
              </w:rPr>
            </w:pPr>
            <w:r>
              <w:rPr>
                <w:sz w:val="32"/>
              </w:rPr>
              <w:t>GB</w:t>
            </w:r>
          </w:p>
        </w:tc>
        <w:tc>
          <w:tcPr>
            <w:tcW w:w="1040" w:type="dxa"/>
          </w:tcPr>
          <w:p>
            <w:pPr>
              <w:pStyle w:val="TableParagraph"/>
              <w:spacing w:before="74"/>
              <w:ind w:left="80"/>
              <w:rPr>
                <w:sz w:val="32"/>
              </w:rPr>
            </w:pPr>
            <w:r>
              <w:rPr>
                <w:sz w:val="32"/>
              </w:rPr>
              <w:t>50016</w:t>
            </w:r>
          </w:p>
        </w:tc>
        <w:tc>
          <w:tcPr>
            <w:tcW w:w="6608" w:type="dxa"/>
          </w:tcPr>
          <w:p>
            <w:pPr>
              <w:pStyle w:val="TableParagraph"/>
              <w:spacing w:before="74"/>
              <w:ind w:left="160"/>
              <w:rPr>
                <w:sz w:val="32"/>
              </w:rPr>
            </w:pPr>
            <w:r>
              <w:rPr>
                <w:sz w:val="32"/>
              </w:rPr>
              <w:t>建筑设计防火规范</w:t>
            </w:r>
          </w:p>
        </w:tc>
      </w:tr>
      <w:tr>
        <w:trPr>
          <w:trHeight w:val="560" w:hRule="atLeast"/>
        </w:trPr>
        <w:tc>
          <w:tcPr>
            <w:tcW w:w="450" w:type="dxa"/>
          </w:tcPr>
          <w:p>
            <w:pPr>
              <w:pStyle w:val="TableParagraph"/>
              <w:spacing w:before="74"/>
              <w:ind w:left="31" w:right="58"/>
              <w:jc w:val="center"/>
              <w:rPr>
                <w:sz w:val="32"/>
              </w:rPr>
            </w:pPr>
            <w:r>
              <w:rPr>
                <w:sz w:val="32"/>
              </w:rPr>
              <w:t>GB</w:t>
            </w:r>
          </w:p>
        </w:tc>
        <w:tc>
          <w:tcPr>
            <w:tcW w:w="1040" w:type="dxa"/>
          </w:tcPr>
          <w:p>
            <w:pPr>
              <w:pStyle w:val="TableParagraph"/>
              <w:spacing w:before="74"/>
              <w:ind w:left="80"/>
              <w:rPr>
                <w:sz w:val="32"/>
              </w:rPr>
            </w:pPr>
            <w:r>
              <w:rPr>
                <w:sz w:val="32"/>
              </w:rPr>
              <w:t>50028</w:t>
            </w:r>
          </w:p>
        </w:tc>
        <w:tc>
          <w:tcPr>
            <w:tcW w:w="6608" w:type="dxa"/>
          </w:tcPr>
          <w:p>
            <w:pPr>
              <w:pStyle w:val="TableParagraph"/>
              <w:spacing w:before="74"/>
              <w:ind w:left="160"/>
              <w:rPr>
                <w:sz w:val="32"/>
              </w:rPr>
            </w:pPr>
            <w:r>
              <w:rPr>
                <w:sz w:val="32"/>
              </w:rPr>
              <w:t>城镇燃气设计规范</w:t>
            </w:r>
          </w:p>
        </w:tc>
      </w:tr>
      <w:tr>
        <w:trPr>
          <w:trHeight w:val="560" w:hRule="atLeast"/>
        </w:trPr>
        <w:tc>
          <w:tcPr>
            <w:tcW w:w="450" w:type="dxa"/>
          </w:tcPr>
          <w:p>
            <w:pPr>
              <w:pStyle w:val="TableParagraph"/>
              <w:spacing w:before="75"/>
              <w:ind w:left="31" w:right="58"/>
              <w:jc w:val="center"/>
              <w:rPr>
                <w:sz w:val="32"/>
              </w:rPr>
            </w:pPr>
            <w:r>
              <w:rPr>
                <w:sz w:val="32"/>
              </w:rPr>
              <w:t>GB</w:t>
            </w:r>
          </w:p>
        </w:tc>
        <w:tc>
          <w:tcPr>
            <w:tcW w:w="1040" w:type="dxa"/>
          </w:tcPr>
          <w:p>
            <w:pPr>
              <w:pStyle w:val="TableParagraph"/>
              <w:spacing w:before="75"/>
              <w:ind w:left="80"/>
              <w:rPr>
                <w:sz w:val="32"/>
              </w:rPr>
            </w:pPr>
            <w:r>
              <w:rPr>
                <w:sz w:val="32"/>
              </w:rPr>
              <w:t>50029</w:t>
            </w:r>
          </w:p>
        </w:tc>
        <w:tc>
          <w:tcPr>
            <w:tcW w:w="6608" w:type="dxa"/>
          </w:tcPr>
          <w:p>
            <w:pPr>
              <w:pStyle w:val="TableParagraph"/>
              <w:spacing w:before="75"/>
              <w:ind w:left="160"/>
              <w:rPr>
                <w:sz w:val="32"/>
              </w:rPr>
            </w:pPr>
            <w:r>
              <w:rPr>
                <w:sz w:val="32"/>
              </w:rPr>
              <w:t>压缩空气站设计规范</w:t>
            </w:r>
          </w:p>
        </w:tc>
      </w:tr>
      <w:tr>
        <w:trPr>
          <w:trHeight w:val="559" w:hRule="atLeast"/>
        </w:trPr>
        <w:tc>
          <w:tcPr>
            <w:tcW w:w="450" w:type="dxa"/>
          </w:tcPr>
          <w:p>
            <w:pPr>
              <w:pStyle w:val="TableParagraph"/>
              <w:spacing w:before="74"/>
              <w:ind w:left="31" w:right="58"/>
              <w:jc w:val="center"/>
              <w:rPr>
                <w:sz w:val="32"/>
              </w:rPr>
            </w:pPr>
            <w:r>
              <w:rPr>
                <w:sz w:val="32"/>
              </w:rPr>
              <w:t>GB</w:t>
            </w:r>
          </w:p>
        </w:tc>
        <w:tc>
          <w:tcPr>
            <w:tcW w:w="1040" w:type="dxa"/>
          </w:tcPr>
          <w:p>
            <w:pPr>
              <w:pStyle w:val="TableParagraph"/>
              <w:spacing w:before="74"/>
              <w:ind w:left="80"/>
              <w:rPr>
                <w:sz w:val="32"/>
              </w:rPr>
            </w:pPr>
            <w:r>
              <w:rPr>
                <w:sz w:val="32"/>
              </w:rPr>
              <w:t>50030</w:t>
            </w:r>
          </w:p>
        </w:tc>
        <w:tc>
          <w:tcPr>
            <w:tcW w:w="6608" w:type="dxa"/>
          </w:tcPr>
          <w:p>
            <w:pPr>
              <w:pStyle w:val="TableParagraph"/>
              <w:spacing w:before="74"/>
              <w:ind w:left="160"/>
              <w:rPr>
                <w:sz w:val="32"/>
              </w:rPr>
            </w:pPr>
            <w:r>
              <w:rPr>
                <w:sz w:val="32"/>
              </w:rPr>
              <w:t>氧气站设计规范</w:t>
            </w:r>
          </w:p>
        </w:tc>
      </w:tr>
      <w:tr>
        <w:trPr>
          <w:trHeight w:val="560" w:hRule="atLeast"/>
        </w:trPr>
        <w:tc>
          <w:tcPr>
            <w:tcW w:w="450" w:type="dxa"/>
          </w:tcPr>
          <w:p>
            <w:pPr>
              <w:pStyle w:val="TableParagraph"/>
              <w:spacing w:before="74"/>
              <w:ind w:left="31" w:right="58"/>
              <w:jc w:val="center"/>
              <w:rPr>
                <w:sz w:val="32"/>
              </w:rPr>
            </w:pPr>
            <w:r>
              <w:rPr>
                <w:sz w:val="32"/>
              </w:rPr>
              <w:t>GB</w:t>
            </w:r>
          </w:p>
        </w:tc>
        <w:tc>
          <w:tcPr>
            <w:tcW w:w="1040" w:type="dxa"/>
          </w:tcPr>
          <w:p>
            <w:pPr>
              <w:pStyle w:val="TableParagraph"/>
              <w:spacing w:before="74"/>
              <w:ind w:left="80"/>
              <w:rPr>
                <w:sz w:val="32"/>
              </w:rPr>
            </w:pPr>
            <w:r>
              <w:rPr>
                <w:sz w:val="32"/>
              </w:rPr>
              <w:t>50031</w:t>
            </w:r>
          </w:p>
        </w:tc>
        <w:tc>
          <w:tcPr>
            <w:tcW w:w="6608" w:type="dxa"/>
          </w:tcPr>
          <w:p>
            <w:pPr>
              <w:pStyle w:val="TableParagraph"/>
              <w:spacing w:before="74"/>
              <w:ind w:left="160"/>
              <w:rPr>
                <w:sz w:val="32"/>
              </w:rPr>
            </w:pPr>
            <w:r>
              <w:rPr>
                <w:sz w:val="32"/>
              </w:rPr>
              <w:t>乙炔站设计规范</w:t>
            </w:r>
          </w:p>
        </w:tc>
      </w:tr>
      <w:tr>
        <w:trPr>
          <w:trHeight w:val="560" w:hRule="atLeast"/>
        </w:trPr>
        <w:tc>
          <w:tcPr>
            <w:tcW w:w="450" w:type="dxa"/>
          </w:tcPr>
          <w:p>
            <w:pPr>
              <w:pStyle w:val="TableParagraph"/>
              <w:spacing w:before="75"/>
              <w:ind w:left="31" w:right="58"/>
              <w:jc w:val="center"/>
              <w:rPr>
                <w:sz w:val="32"/>
              </w:rPr>
            </w:pPr>
            <w:r>
              <w:rPr>
                <w:sz w:val="32"/>
              </w:rPr>
              <w:t>GB</w:t>
            </w:r>
          </w:p>
        </w:tc>
        <w:tc>
          <w:tcPr>
            <w:tcW w:w="1040" w:type="dxa"/>
          </w:tcPr>
          <w:p>
            <w:pPr>
              <w:pStyle w:val="TableParagraph"/>
              <w:spacing w:before="75"/>
              <w:ind w:left="80"/>
              <w:rPr>
                <w:sz w:val="32"/>
              </w:rPr>
            </w:pPr>
            <w:r>
              <w:rPr>
                <w:sz w:val="32"/>
              </w:rPr>
              <w:t>50057</w:t>
            </w:r>
          </w:p>
        </w:tc>
        <w:tc>
          <w:tcPr>
            <w:tcW w:w="6608" w:type="dxa"/>
          </w:tcPr>
          <w:p>
            <w:pPr>
              <w:pStyle w:val="TableParagraph"/>
              <w:spacing w:before="75"/>
              <w:ind w:left="160"/>
              <w:rPr>
                <w:sz w:val="32"/>
              </w:rPr>
            </w:pPr>
            <w:r>
              <w:rPr>
                <w:sz w:val="32"/>
              </w:rPr>
              <w:t>建筑物防雷设计规范</w:t>
            </w:r>
          </w:p>
        </w:tc>
      </w:tr>
      <w:tr>
        <w:trPr>
          <w:trHeight w:val="559" w:hRule="atLeast"/>
        </w:trPr>
        <w:tc>
          <w:tcPr>
            <w:tcW w:w="450" w:type="dxa"/>
          </w:tcPr>
          <w:p>
            <w:pPr>
              <w:pStyle w:val="TableParagraph"/>
              <w:spacing w:before="74"/>
              <w:ind w:left="31" w:right="58"/>
              <w:jc w:val="center"/>
              <w:rPr>
                <w:sz w:val="32"/>
              </w:rPr>
            </w:pPr>
            <w:r>
              <w:rPr>
                <w:sz w:val="32"/>
              </w:rPr>
              <w:t>GB</w:t>
            </w:r>
          </w:p>
        </w:tc>
        <w:tc>
          <w:tcPr>
            <w:tcW w:w="1040" w:type="dxa"/>
          </w:tcPr>
          <w:p>
            <w:pPr>
              <w:pStyle w:val="TableParagraph"/>
              <w:spacing w:before="74"/>
              <w:ind w:left="80"/>
              <w:rPr>
                <w:sz w:val="32"/>
              </w:rPr>
            </w:pPr>
            <w:r>
              <w:rPr>
                <w:sz w:val="32"/>
              </w:rPr>
              <w:t>50059</w:t>
            </w:r>
          </w:p>
        </w:tc>
        <w:tc>
          <w:tcPr>
            <w:tcW w:w="6608" w:type="dxa"/>
          </w:tcPr>
          <w:p>
            <w:pPr>
              <w:pStyle w:val="TableParagraph"/>
              <w:spacing w:before="74"/>
              <w:ind w:left="160"/>
              <w:rPr>
                <w:sz w:val="32"/>
              </w:rPr>
            </w:pPr>
            <w:r>
              <w:rPr>
                <w:sz w:val="32"/>
              </w:rPr>
              <w:t>35kV-110kV变电站设计规范</w:t>
            </w:r>
          </w:p>
        </w:tc>
      </w:tr>
      <w:tr>
        <w:trPr>
          <w:trHeight w:val="560" w:hRule="atLeast"/>
        </w:trPr>
        <w:tc>
          <w:tcPr>
            <w:tcW w:w="450" w:type="dxa"/>
          </w:tcPr>
          <w:p>
            <w:pPr>
              <w:pStyle w:val="TableParagraph"/>
              <w:spacing w:before="74"/>
              <w:ind w:left="31" w:right="58"/>
              <w:jc w:val="center"/>
              <w:rPr>
                <w:sz w:val="32"/>
              </w:rPr>
            </w:pPr>
            <w:r>
              <w:rPr>
                <w:sz w:val="32"/>
              </w:rPr>
              <w:t>GB</w:t>
            </w:r>
          </w:p>
        </w:tc>
        <w:tc>
          <w:tcPr>
            <w:tcW w:w="1040" w:type="dxa"/>
          </w:tcPr>
          <w:p>
            <w:pPr>
              <w:pStyle w:val="TableParagraph"/>
              <w:spacing w:before="74"/>
              <w:ind w:left="80"/>
              <w:rPr>
                <w:sz w:val="32"/>
              </w:rPr>
            </w:pPr>
            <w:r>
              <w:rPr>
                <w:sz w:val="32"/>
              </w:rPr>
              <w:t>50140</w:t>
            </w:r>
          </w:p>
        </w:tc>
        <w:tc>
          <w:tcPr>
            <w:tcW w:w="6608" w:type="dxa"/>
          </w:tcPr>
          <w:p>
            <w:pPr>
              <w:pStyle w:val="TableParagraph"/>
              <w:spacing w:before="74"/>
              <w:ind w:left="160"/>
              <w:rPr>
                <w:sz w:val="32"/>
              </w:rPr>
            </w:pPr>
            <w:r>
              <w:rPr>
                <w:sz w:val="32"/>
              </w:rPr>
              <w:t>建筑灭火器配置设计规范</w:t>
            </w:r>
          </w:p>
        </w:tc>
      </w:tr>
      <w:tr>
        <w:trPr>
          <w:trHeight w:val="440" w:hRule="atLeast"/>
        </w:trPr>
        <w:tc>
          <w:tcPr>
            <w:tcW w:w="450" w:type="dxa"/>
          </w:tcPr>
          <w:p>
            <w:pPr>
              <w:pStyle w:val="TableParagraph"/>
              <w:spacing w:line="345" w:lineRule="exact" w:before="75"/>
              <w:ind w:left="31" w:right="58"/>
              <w:jc w:val="center"/>
              <w:rPr>
                <w:sz w:val="32"/>
              </w:rPr>
            </w:pPr>
            <w:r>
              <w:rPr>
                <w:sz w:val="32"/>
              </w:rPr>
              <w:t>GB</w:t>
            </w:r>
          </w:p>
        </w:tc>
        <w:tc>
          <w:tcPr>
            <w:tcW w:w="1040" w:type="dxa"/>
          </w:tcPr>
          <w:p>
            <w:pPr>
              <w:pStyle w:val="TableParagraph"/>
              <w:spacing w:line="345" w:lineRule="exact" w:before="75"/>
              <w:ind w:left="80"/>
              <w:rPr>
                <w:sz w:val="32"/>
              </w:rPr>
            </w:pPr>
            <w:r>
              <w:rPr>
                <w:sz w:val="32"/>
              </w:rPr>
              <w:t>50156</w:t>
            </w:r>
          </w:p>
        </w:tc>
        <w:tc>
          <w:tcPr>
            <w:tcW w:w="6608" w:type="dxa"/>
          </w:tcPr>
          <w:p>
            <w:pPr>
              <w:pStyle w:val="TableParagraph"/>
              <w:spacing w:line="345" w:lineRule="exact" w:before="75"/>
              <w:ind w:left="160"/>
              <w:rPr>
                <w:sz w:val="32"/>
              </w:rPr>
            </w:pPr>
            <w:r>
              <w:rPr>
                <w:sz w:val="32"/>
              </w:rPr>
              <w:t>汽车加油加气站设计与施工规范</w:t>
            </w:r>
          </w:p>
        </w:tc>
      </w:tr>
    </w:tbl>
    <w:p>
      <w:pPr>
        <w:spacing w:after="0" w:line="345" w:lineRule="exact"/>
        <w:rPr>
          <w:sz w:val="32"/>
        </w:rPr>
        <w:sectPr>
          <w:pgSz w:w="11910" w:h="16840"/>
          <w:pgMar w:header="0" w:footer="1119" w:top="1580" w:bottom="1300" w:left="1060" w:right="860"/>
        </w:sectPr>
      </w:pPr>
    </w:p>
    <w:p>
      <w:pPr>
        <w:pStyle w:val="BodyText"/>
        <w:ind w:left="0"/>
        <w:rPr>
          <w:sz w:val="20"/>
        </w:rPr>
      </w:pPr>
    </w:p>
    <w:p>
      <w:pPr>
        <w:pStyle w:val="BodyText"/>
        <w:tabs>
          <w:tab w:pos="2597" w:val="left" w:leader="none"/>
        </w:tabs>
        <w:spacing w:before="202"/>
        <w:ind w:left="996"/>
      </w:pPr>
      <w:r>
        <w:rPr/>
        <w:t>GB</w:t>
      </w:r>
      <w:r>
        <w:rPr>
          <w:spacing w:val="-2"/>
        </w:rPr>
        <w:t> </w:t>
      </w:r>
      <w:r>
        <w:rPr/>
        <w:t>50229</w:t>
        <w:tab/>
        <w:t>火力发电厂与变电所设计防火规范</w:t>
      </w:r>
    </w:p>
    <w:p>
      <w:pPr>
        <w:pStyle w:val="BodyText"/>
        <w:tabs>
          <w:tab w:pos="2597" w:val="left" w:leader="none"/>
        </w:tabs>
        <w:spacing w:before="150"/>
        <w:ind w:left="996"/>
      </w:pPr>
      <w:r>
        <w:rPr/>
        <w:t>GB</w:t>
      </w:r>
      <w:r>
        <w:rPr>
          <w:spacing w:val="-2"/>
        </w:rPr>
        <w:t> </w:t>
      </w:r>
      <w:r>
        <w:rPr/>
        <w:t>50494</w:t>
        <w:tab/>
        <w:t>城镇燃气技术规范</w:t>
      </w:r>
    </w:p>
    <w:p>
      <w:pPr>
        <w:pStyle w:val="BodyText"/>
        <w:tabs>
          <w:tab w:pos="2597" w:val="left" w:leader="none"/>
        </w:tabs>
        <w:spacing w:before="151"/>
        <w:ind w:left="996"/>
      </w:pPr>
      <w:r>
        <w:rPr/>
        <w:t>GB</w:t>
      </w:r>
      <w:r>
        <w:rPr>
          <w:spacing w:val="-2"/>
        </w:rPr>
        <w:t> </w:t>
      </w:r>
      <w:r>
        <w:rPr/>
        <w:t>50720</w:t>
        <w:tab/>
        <w:t>建设工程施工现场消防安全技术规范</w:t>
      </w:r>
    </w:p>
    <w:p>
      <w:pPr>
        <w:pStyle w:val="BodyText"/>
        <w:tabs>
          <w:tab w:pos="2597" w:val="left" w:leader="none"/>
        </w:tabs>
        <w:spacing w:before="149"/>
        <w:ind w:left="996"/>
      </w:pPr>
      <w:r>
        <w:rPr/>
        <w:t>CB</w:t>
      </w:r>
      <w:r>
        <w:rPr>
          <w:spacing w:val="-2"/>
        </w:rPr>
        <w:t> </w:t>
      </w:r>
      <w:r>
        <w:rPr/>
        <w:t>3381</w:t>
        <w:tab/>
      </w:r>
      <w:r>
        <w:rPr>
          <w:w w:val="95"/>
        </w:rPr>
        <w:t>船舶涂装作业安全规程</w:t>
      </w:r>
    </w:p>
    <w:p>
      <w:pPr>
        <w:pStyle w:val="BodyText"/>
        <w:tabs>
          <w:tab w:pos="2597" w:val="left" w:leader="none"/>
        </w:tabs>
        <w:spacing w:before="150"/>
        <w:ind w:left="996"/>
      </w:pPr>
      <w:r>
        <w:rPr/>
        <w:t>CB</w:t>
      </w:r>
      <w:r>
        <w:rPr>
          <w:spacing w:val="-2"/>
        </w:rPr>
        <w:t> </w:t>
      </w:r>
      <w:r>
        <w:rPr/>
        <w:t>3660</w:t>
        <w:tab/>
      </w:r>
      <w:r>
        <w:rPr>
          <w:w w:val="95"/>
        </w:rPr>
        <w:t>船厂起重作业安全要求</w:t>
      </w:r>
    </w:p>
    <w:p>
      <w:pPr>
        <w:pStyle w:val="BodyText"/>
        <w:tabs>
          <w:tab w:pos="2597" w:val="left" w:leader="none"/>
        </w:tabs>
        <w:spacing w:before="151"/>
        <w:ind w:left="996"/>
      </w:pPr>
      <w:r>
        <w:rPr/>
        <w:t>CB3785</w:t>
        <w:tab/>
        <w:t>船舶修造企业高处作业安全规程</w:t>
      </w:r>
    </w:p>
    <w:p>
      <w:pPr>
        <w:pStyle w:val="BodyText"/>
        <w:tabs>
          <w:tab w:pos="2597" w:val="left" w:leader="none"/>
        </w:tabs>
        <w:spacing w:before="149"/>
        <w:ind w:left="996"/>
      </w:pPr>
      <w:r>
        <w:rPr/>
        <w:t>CB</w:t>
      </w:r>
      <w:r>
        <w:rPr>
          <w:spacing w:val="-2"/>
        </w:rPr>
        <w:t> </w:t>
      </w:r>
      <w:r>
        <w:rPr/>
        <w:t>3786</w:t>
        <w:tab/>
        <w:t>船厂电气作业安全要求</w:t>
      </w:r>
    </w:p>
    <w:p>
      <w:pPr>
        <w:pStyle w:val="BodyText"/>
        <w:tabs>
          <w:tab w:pos="2597" w:val="left" w:leader="none"/>
        </w:tabs>
        <w:spacing w:before="150"/>
        <w:ind w:left="996"/>
      </w:pPr>
      <w:r>
        <w:rPr/>
        <w:t>CB</w:t>
      </w:r>
      <w:r>
        <w:rPr>
          <w:spacing w:val="-2"/>
        </w:rPr>
        <w:t> </w:t>
      </w:r>
      <w:r>
        <w:rPr/>
        <w:t>4204</w:t>
        <w:tab/>
        <w:t>船用脚手架安全要求</w:t>
      </w:r>
    </w:p>
    <w:p>
      <w:pPr>
        <w:pStyle w:val="BodyText"/>
        <w:tabs>
          <w:tab w:pos="2597" w:val="left" w:leader="none"/>
        </w:tabs>
        <w:spacing w:before="151"/>
        <w:ind w:left="996"/>
      </w:pPr>
      <w:r>
        <w:rPr/>
        <w:t>CB</w:t>
      </w:r>
      <w:r>
        <w:rPr>
          <w:spacing w:val="-2"/>
        </w:rPr>
        <w:t> </w:t>
      </w:r>
      <w:r>
        <w:rPr/>
        <w:t>4270</w:t>
        <w:tab/>
        <w:t>船舶修造企业明火安全规程</w:t>
      </w:r>
    </w:p>
    <w:p>
      <w:pPr>
        <w:pStyle w:val="BodyText"/>
        <w:tabs>
          <w:tab w:pos="2597" w:val="left" w:leader="none"/>
        </w:tabs>
        <w:spacing w:before="149"/>
        <w:ind w:left="996"/>
      </w:pPr>
      <w:r>
        <w:rPr/>
        <w:t>CB</w:t>
      </w:r>
      <w:r>
        <w:rPr>
          <w:spacing w:val="-2"/>
        </w:rPr>
        <w:t> </w:t>
      </w:r>
      <w:r>
        <w:rPr/>
        <w:t>4286</w:t>
        <w:tab/>
        <w:t>高空作业车安全技术要求</w:t>
      </w:r>
    </w:p>
    <w:p>
      <w:pPr>
        <w:pStyle w:val="BodyText"/>
        <w:tabs>
          <w:tab w:pos="2597" w:val="left" w:leader="none"/>
        </w:tabs>
        <w:spacing w:before="150"/>
        <w:ind w:left="996"/>
      </w:pPr>
      <w:r>
        <w:rPr/>
        <w:t>CB</w:t>
      </w:r>
      <w:r>
        <w:rPr>
          <w:spacing w:val="-2"/>
        </w:rPr>
        <w:t> </w:t>
      </w:r>
      <w:r>
        <w:rPr/>
        <w:t>4288</w:t>
        <w:tab/>
        <w:t>船厂起重设备安全技术要求</w:t>
      </w:r>
    </w:p>
    <w:p>
      <w:pPr>
        <w:pStyle w:val="BodyText"/>
        <w:spacing w:before="151"/>
        <w:ind w:left="996"/>
      </w:pPr>
      <w:r>
        <w:rPr/>
        <w:t>CB/T 4297 船舶行业企业放射性检验作业安全管理规定</w:t>
      </w:r>
    </w:p>
    <w:p>
      <w:pPr>
        <w:pStyle w:val="BodyText"/>
        <w:tabs>
          <w:tab w:pos="2597" w:val="left" w:leader="none"/>
        </w:tabs>
        <w:spacing w:before="149"/>
        <w:ind w:left="996"/>
      </w:pPr>
      <w:r>
        <w:rPr/>
        <w:t>TSG</w:t>
      </w:r>
      <w:r>
        <w:rPr>
          <w:spacing w:val="-1"/>
        </w:rPr>
        <w:t> </w:t>
      </w:r>
      <w:r>
        <w:rPr/>
        <w:t>21</w:t>
        <w:tab/>
        <w:t>固定式压力容器安全技术监察规程</w:t>
      </w:r>
    </w:p>
    <w:p>
      <w:pPr>
        <w:pStyle w:val="BodyText"/>
        <w:spacing w:before="150"/>
        <w:ind w:left="996"/>
      </w:pPr>
      <w:r>
        <w:rPr/>
        <w:t>JB/T 8856 溶解乙炔设备</w:t>
      </w:r>
    </w:p>
    <w:p>
      <w:pPr>
        <w:pStyle w:val="BodyText"/>
        <w:spacing w:line="326" w:lineRule="auto" w:before="151"/>
        <w:ind w:left="358" w:right="274" w:firstLine="638"/>
        <w:jc w:val="both"/>
      </w:pPr>
      <w:r>
        <w:rPr/>
        <w:t>《安全生产事故隐患排查治理暂行规定》 国家安全生产监督管理总局令 2007年12月28日发布  第16号  2015年5月27日  国家安全生产监督管理总局令 第79号修正</w:t>
      </w:r>
    </w:p>
    <w:p>
      <w:pPr>
        <w:pStyle w:val="BodyText"/>
        <w:spacing w:line="326" w:lineRule="auto" w:before="7"/>
        <w:ind w:left="358" w:right="274" w:firstLine="638"/>
        <w:jc w:val="both"/>
      </w:pPr>
      <w:r>
        <w:rPr/>
        <w:t>《建设项目安全设施“三同时”监督管理办法》 国家安全生产监督管理总局令 2010年12月24日发布  第36号  2015年4月2日国家安全生产监督管理总局令 第77号修正</w:t>
      </w:r>
    </w:p>
    <w:p>
      <w:pPr>
        <w:pStyle w:val="BodyText"/>
        <w:spacing w:line="326" w:lineRule="auto" w:before="8"/>
        <w:ind w:left="358" w:right="275" w:firstLine="638"/>
        <w:jc w:val="both"/>
      </w:pPr>
      <w:r>
        <w:rPr/>
        <w:t>《建设项目职业病防护设施“三同时”监督管理办法》 国家安全生产监督管理总局令 2017年3月9日发布 第90号</w:t>
      </w:r>
    </w:p>
    <w:p>
      <w:pPr>
        <w:pStyle w:val="BodyText"/>
        <w:spacing w:line="328" w:lineRule="auto" w:before="3"/>
        <w:ind w:left="358" w:right="275" w:firstLine="638"/>
        <w:jc w:val="both"/>
      </w:pPr>
      <w:r>
        <w:rPr/>
        <w:t>《化工和危险化学品生产经营单位重大生产安全事故隐患判定</w:t>
      </w:r>
      <w:r>
        <w:rPr>
          <w:spacing w:val="10"/>
        </w:rPr>
        <w:t>标准(试行)》 安监总管三</w:t>
      </w:r>
      <w:r>
        <w:rPr/>
        <w:t>[2017]2017年11月13</w:t>
      </w:r>
      <w:r>
        <w:rPr>
          <w:spacing w:val="52"/>
        </w:rPr>
        <w:t>日 第</w:t>
      </w:r>
      <w:r>
        <w:rPr/>
        <w:t>121号</w:t>
      </w:r>
    </w:p>
    <w:p>
      <w:pPr>
        <w:spacing w:after="0" w:line="328" w:lineRule="auto"/>
        <w:jc w:val="both"/>
        <w:sectPr>
          <w:footerReference w:type="default" r:id="rId18"/>
          <w:pgSz w:w="11910" w:h="16840"/>
          <w:pgMar w:footer="1039" w:header="0" w:top="1580" w:bottom="1220" w:left="1060" w:right="860"/>
          <w:pgNumType w:start="100"/>
        </w:sectPr>
      </w:pPr>
    </w:p>
    <w:p>
      <w:pPr>
        <w:pStyle w:val="BodyText"/>
        <w:ind w:left="0"/>
        <w:rPr>
          <w:sz w:val="20"/>
        </w:rPr>
      </w:pPr>
    </w:p>
    <w:p>
      <w:pPr>
        <w:pStyle w:val="BodyText"/>
        <w:tabs>
          <w:tab w:pos="1956" w:val="left" w:leader="none"/>
          <w:tab w:pos="5158" w:val="left" w:leader="none"/>
          <w:tab w:pos="6809" w:val="left" w:leader="none"/>
        </w:tabs>
        <w:spacing w:line="326" w:lineRule="auto" w:before="202"/>
        <w:ind w:left="358" w:right="273" w:firstLine="638"/>
      </w:pPr>
      <w:r>
        <w:rPr/>
        <w:t>《</w:t>
      </w:r>
      <w:r>
        <w:rPr>
          <w:spacing w:val="5"/>
        </w:rPr>
        <w:t>消</w:t>
      </w:r>
      <w:r>
        <w:rPr/>
        <w:t>防</w:t>
      </w:r>
      <w:r>
        <w:rPr>
          <w:spacing w:val="5"/>
        </w:rPr>
        <w:t>重</w:t>
      </w:r>
      <w:r>
        <w:rPr/>
        <w:t>点</w:t>
      </w:r>
      <w:r>
        <w:rPr>
          <w:spacing w:val="5"/>
        </w:rPr>
        <w:t>单</w:t>
      </w:r>
      <w:r>
        <w:rPr/>
        <w:t>位</w:t>
      </w:r>
      <w:r>
        <w:rPr>
          <w:spacing w:val="5"/>
        </w:rPr>
        <w:t>微</w:t>
      </w:r>
      <w:r>
        <w:rPr/>
        <w:t>型</w:t>
      </w:r>
      <w:r>
        <w:rPr>
          <w:spacing w:val="5"/>
        </w:rPr>
        <w:t>消</w:t>
      </w:r>
      <w:r>
        <w:rPr/>
        <w:t>防</w:t>
      </w:r>
      <w:r>
        <w:rPr>
          <w:spacing w:val="5"/>
        </w:rPr>
        <w:t>站</w:t>
      </w:r>
      <w:r>
        <w:rPr/>
        <w:t>建</w:t>
      </w:r>
      <w:r>
        <w:rPr>
          <w:spacing w:val="5"/>
        </w:rPr>
        <w:t>设</w:t>
      </w:r>
      <w:r>
        <w:rPr/>
        <w:t>标</w:t>
      </w:r>
      <w:r>
        <w:rPr>
          <w:spacing w:val="5"/>
        </w:rPr>
        <w:t>准</w:t>
      </w:r>
      <w:r>
        <w:rPr/>
        <w:t>》</w:t>
        <w:tab/>
        <w:t>中</w:t>
      </w:r>
      <w:r>
        <w:rPr>
          <w:spacing w:val="5"/>
        </w:rPr>
        <w:t>华</w:t>
      </w:r>
      <w:r>
        <w:rPr/>
        <w:t>人</w:t>
      </w:r>
      <w:r>
        <w:rPr>
          <w:spacing w:val="5"/>
        </w:rPr>
        <w:t>民</w:t>
      </w:r>
      <w:r>
        <w:rPr/>
        <w:t>共</w:t>
      </w:r>
      <w:r>
        <w:rPr>
          <w:spacing w:val="5"/>
        </w:rPr>
        <w:t>和</w:t>
      </w:r>
      <w:r>
        <w:rPr/>
        <w:t>国</w:t>
      </w:r>
      <w:r>
        <w:rPr>
          <w:spacing w:val="5"/>
        </w:rPr>
        <w:t>公</w:t>
      </w:r>
      <w:r>
        <w:rPr>
          <w:spacing w:val="-16"/>
        </w:rPr>
        <w:t>安</w:t>
      </w:r>
      <w:r>
        <w:rPr/>
        <w:t>部消防局</w:t>
        <w:tab/>
        <w:t>2015年11月11日发布</w:t>
        <w:tab/>
        <w:t>第301号</w:t>
      </w:r>
    </w:p>
    <w:p>
      <w:pPr>
        <w:pStyle w:val="ListParagraph"/>
        <w:numPr>
          <w:ilvl w:val="0"/>
          <w:numId w:val="34"/>
        </w:numPr>
        <w:tabs>
          <w:tab w:pos="678" w:val="left" w:leader="none"/>
        </w:tabs>
        <w:spacing w:line="240" w:lineRule="auto" w:before="119" w:after="0"/>
        <w:ind w:left="677" w:right="0" w:hanging="320"/>
        <w:jc w:val="left"/>
        <w:rPr>
          <w:rFonts w:ascii="黑体" w:eastAsia="黑体" w:hint="eastAsia"/>
          <w:sz w:val="32"/>
        </w:rPr>
      </w:pPr>
      <w:r>
        <w:rPr>
          <w:rFonts w:ascii="黑体" w:eastAsia="黑体" w:hint="eastAsia"/>
          <w:sz w:val="32"/>
        </w:rPr>
        <w:t>术语和定义</w:t>
      </w:r>
    </w:p>
    <w:p>
      <w:pPr>
        <w:pStyle w:val="BodyText"/>
        <w:spacing w:before="10"/>
        <w:ind w:left="0"/>
        <w:rPr>
          <w:rFonts w:ascii="黑体"/>
          <w:sz w:val="24"/>
        </w:rPr>
      </w:pPr>
    </w:p>
    <w:p>
      <w:pPr>
        <w:pStyle w:val="BodyText"/>
        <w:spacing w:before="55"/>
        <w:ind w:left="996"/>
      </w:pPr>
      <w:r>
        <w:rPr/>
        <w:t>下列术语和定义适用于本文件。</w:t>
      </w:r>
    </w:p>
    <w:p>
      <w:pPr>
        <w:pStyle w:val="Heading3"/>
        <w:spacing w:before="149"/>
        <w:ind w:left="358" w:firstLine="0"/>
        <w:rPr>
          <w:rFonts w:ascii="宋体"/>
        </w:rPr>
      </w:pPr>
      <w:r>
        <w:rPr>
          <w:rFonts w:ascii="宋体"/>
        </w:rPr>
        <w:t>3.1</w:t>
      </w:r>
    </w:p>
    <w:p>
      <w:pPr>
        <w:pStyle w:val="BodyText"/>
        <w:tabs>
          <w:tab w:pos="4932" w:val="left" w:leader="none"/>
        </w:tabs>
        <w:spacing w:before="149"/>
        <w:ind w:left="996"/>
      </w:pPr>
      <w:r>
        <w:rPr>
          <w:spacing w:val="36"/>
        </w:rPr>
        <w:t>重大</w:t>
      </w:r>
      <w:r>
        <w:rPr>
          <w:spacing w:val="33"/>
        </w:rPr>
        <w:t>生</w:t>
      </w:r>
      <w:r>
        <w:rPr>
          <w:spacing w:val="36"/>
        </w:rPr>
        <w:t>产安全</w:t>
      </w:r>
      <w:r>
        <w:rPr>
          <w:spacing w:val="33"/>
        </w:rPr>
        <w:t>事</w:t>
      </w:r>
      <w:r>
        <w:rPr>
          <w:spacing w:val="36"/>
        </w:rPr>
        <w:t>故隐</w:t>
      </w:r>
      <w:r>
        <w:rPr/>
        <w:t>患</w:t>
        <w:tab/>
        <w:t>major hidden danger of</w:t>
      </w:r>
      <w:r>
        <w:rPr>
          <w:spacing w:val="130"/>
        </w:rPr>
        <w:t> </w:t>
      </w:r>
      <w:r>
        <w:rPr/>
        <w:t>safety</w:t>
      </w:r>
    </w:p>
    <w:p>
      <w:pPr>
        <w:pStyle w:val="BodyText"/>
        <w:spacing w:before="152"/>
        <w:ind w:left="358"/>
      </w:pPr>
      <w:r>
        <w:rPr/>
        <w:t>incidents</w:t>
      </w:r>
    </w:p>
    <w:p>
      <w:pPr>
        <w:pStyle w:val="BodyText"/>
        <w:spacing w:line="328" w:lineRule="auto" w:before="149"/>
        <w:ind w:left="358" w:right="112" w:firstLine="638"/>
      </w:pPr>
      <w:r>
        <w:rPr/>
        <w:t>事故后果严重造成人员死亡、财产损失且整改难度较大，应当</w:t>
      </w:r>
      <w:r>
        <w:rPr>
          <w:spacing w:val="-8"/>
          <w:w w:val="95"/>
        </w:rPr>
        <w:t>全部或者局部停产停业，并经过一定时间整改治理方能排除的隐患，  </w:t>
      </w:r>
      <w:r>
        <w:rPr>
          <w:spacing w:val="-8"/>
        </w:rPr>
        <w:t>或者因外部因素影响致使生产经营单位自身难以排除的隐患。</w:t>
      </w:r>
    </w:p>
    <w:p>
      <w:pPr>
        <w:pStyle w:val="ListParagraph"/>
        <w:numPr>
          <w:ilvl w:val="0"/>
          <w:numId w:val="34"/>
        </w:numPr>
        <w:tabs>
          <w:tab w:pos="678" w:val="left" w:leader="none"/>
        </w:tabs>
        <w:spacing w:line="240" w:lineRule="auto" w:before="108" w:after="0"/>
        <w:ind w:left="677" w:right="0" w:hanging="320"/>
        <w:jc w:val="left"/>
        <w:rPr>
          <w:rFonts w:ascii="黑体" w:eastAsia="黑体" w:hint="eastAsia"/>
          <w:sz w:val="32"/>
        </w:rPr>
      </w:pPr>
      <w:r>
        <w:rPr>
          <w:rFonts w:ascii="黑体" w:eastAsia="黑体" w:hint="eastAsia"/>
          <w:sz w:val="32"/>
        </w:rPr>
        <w:t>重大生产安全事故隐患判定通则</w:t>
      </w:r>
    </w:p>
    <w:p>
      <w:pPr>
        <w:pStyle w:val="Heading3"/>
        <w:numPr>
          <w:ilvl w:val="1"/>
          <w:numId w:val="34"/>
        </w:numPr>
        <w:tabs>
          <w:tab w:pos="1002" w:val="left" w:leader="none"/>
        </w:tabs>
        <w:spacing w:line="240" w:lineRule="auto" w:before="139" w:after="0"/>
        <w:ind w:left="1001" w:right="0" w:hanging="644"/>
        <w:jc w:val="left"/>
      </w:pPr>
      <w:r>
        <w:rPr/>
        <w:t>重大生产安全事故隐患判定依据</w:t>
      </w:r>
    </w:p>
    <w:p>
      <w:pPr>
        <w:pStyle w:val="BodyText"/>
        <w:spacing w:before="180"/>
        <w:ind w:left="996"/>
      </w:pPr>
      <w:r>
        <w:rPr/>
        <w:t>重大生产安全事故隐患判定依据主要包含以下几个方面：</w:t>
      </w:r>
    </w:p>
    <w:p>
      <w:pPr>
        <w:pStyle w:val="ListParagraph"/>
        <w:numPr>
          <w:ilvl w:val="2"/>
          <w:numId w:val="34"/>
        </w:numPr>
        <w:tabs>
          <w:tab w:pos="1478" w:val="left" w:leader="none"/>
        </w:tabs>
        <w:spacing w:line="240" w:lineRule="auto" w:before="149" w:after="0"/>
        <w:ind w:left="1477" w:right="0" w:hanging="482"/>
        <w:jc w:val="left"/>
        <w:rPr>
          <w:sz w:val="32"/>
        </w:rPr>
      </w:pPr>
      <w:r>
        <w:rPr>
          <w:sz w:val="32"/>
        </w:rPr>
        <w:t>国家发布的法律法规；</w:t>
      </w:r>
    </w:p>
    <w:p>
      <w:pPr>
        <w:pStyle w:val="ListParagraph"/>
        <w:numPr>
          <w:ilvl w:val="2"/>
          <w:numId w:val="34"/>
        </w:numPr>
        <w:tabs>
          <w:tab w:pos="1478" w:val="left" w:leader="none"/>
        </w:tabs>
        <w:spacing w:line="328" w:lineRule="auto" w:before="149" w:after="0"/>
        <w:ind w:left="996" w:right="3388" w:firstLine="0"/>
        <w:jc w:val="left"/>
        <w:rPr>
          <w:sz w:val="32"/>
        </w:rPr>
      </w:pPr>
      <w:r>
        <w:rPr>
          <w:spacing w:val="-1"/>
          <w:sz w:val="32"/>
        </w:rPr>
        <w:t>国家政府主管部门颁布的部门规章； </w:t>
      </w:r>
      <w:r>
        <w:rPr>
          <w:sz w:val="32"/>
        </w:rPr>
        <w:t>c）国家级标准、规范；</w:t>
      </w:r>
    </w:p>
    <w:p>
      <w:pPr>
        <w:pStyle w:val="ListParagraph"/>
        <w:numPr>
          <w:ilvl w:val="0"/>
          <w:numId w:val="35"/>
        </w:numPr>
        <w:tabs>
          <w:tab w:pos="1478" w:val="left" w:leader="none"/>
        </w:tabs>
        <w:spacing w:line="407" w:lineRule="exact" w:before="0" w:after="0"/>
        <w:ind w:left="1477" w:right="0" w:hanging="482"/>
        <w:jc w:val="left"/>
        <w:rPr>
          <w:sz w:val="32"/>
        </w:rPr>
      </w:pPr>
      <w:r>
        <w:rPr>
          <w:sz w:val="32"/>
        </w:rPr>
        <w:t>行业级标准、规范；</w:t>
      </w:r>
    </w:p>
    <w:p>
      <w:pPr>
        <w:pStyle w:val="ListParagraph"/>
        <w:numPr>
          <w:ilvl w:val="0"/>
          <w:numId w:val="35"/>
        </w:numPr>
        <w:tabs>
          <w:tab w:pos="1478" w:val="left" w:leader="none"/>
        </w:tabs>
        <w:spacing w:line="328" w:lineRule="auto" w:before="149" w:after="0"/>
        <w:ind w:left="996" w:right="2747" w:firstLine="0"/>
        <w:jc w:val="left"/>
        <w:rPr>
          <w:sz w:val="32"/>
        </w:rPr>
      </w:pPr>
      <w:r>
        <w:rPr>
          <w:spacing w:val="-1"/>
          <w:sz w:val="32"/>
        </w:rPr>
        <w:t>地方省级人大及政府发布的法规、规章； </w:t>
      </w:r>
      <w:r>
        <w:rPr>
          <w:sz w:val="32"/>
        </w:rPr>
        <w:t>f）国际公约；</w:t>
      </w:r>
    </w:p>
    <w:p>
      <w:pPr>
        <w:pStyle w:val="ListParagraph"/>
        <w:numPr>
          <w:ilvl w:val="0"/>
          <w:numId w:val="36"/>
        </w:numPr>
        <w:tabs>
          <w:tab w:pos="1478" w:val="left" w:leader="none"/>
        </w:tabs>
        <w:spacing w:line="407" w:lineRule="exact" w:before="0" w:after="0"/>
        <w:ind w:left="1477" w:right="0" w:hanging="482"/>
        <w:jc w:val="left"/>
        <w:rPr>
          <w:sz w:val="32"/>
        </w:rPr>
      </w:pPr>
      <w:r>
        <w:rPr>
          <w:sz w:val="32"/>
        </w:rPr>
        <w:t>各类设计规范；</w:t>
      </w:r>
    </w:p>
    <w:p>
      <w:pPr>
        <w:pStyle w:val="ListParagraph"/>
        <w:numPr>
          <w:ilvl w:val="0"/>
          <w:numId w:val="36"/>
        </w:numPr>
        <w:tabs>
          <w:tab w:pos="1478" w:val="left" w:leader="none"/>
        </w:tabs>
        <w:spacing w:line="240" w:lineRule="auto" w:before="150" w:after="0"/>
        <w:ind w:left="1477" w:right="0" w:hanging="482"/>
        <w:jc w:val="left"/>
        <w:rPr>
          <w:sz w:val="32"/>
        </w:rPr>
      </w:pPr>
      <w:r>
        <w:rPr>
          <w:sz w:val="32"/>
        </w:rPr>
        <w:t>事故隐患可能造成人身伤亡和财产损失的严重程度。</w:t>
      </w:r>
    </w:p>
    <w:p>
      <w:pPr>
        <w:pStyle w:val="Heading3"/>
        <w:numPr>
          <w:ilvl w:val="1"/>
          <w:numId w:val="34"/>
        </w:numPr>
        <w:tabs>
          <w:tab w:pos="1002" w:val="left" w:leader="none"/>
        </w:tabs>
        <w:spacing w:line="240" w:lineRule="auto" w:before="166" w:after="0"/>
        <w:ind w:left="1001" w:right="0" w:hanging="644"/>
        <w:jc w:val="left"/>
      </w:pPr>
      <w:r>
        <w:rPr/>
        <w:t>重大生产安全事故隐患判定方法</w:t>
      </w:r>
    </w:p>
    <w:p>
      <w:pPr>
        <w:spacing w:after="0" w:line="240" w:lineRule="auto"/>
        <w:jc w:val="left"/>
        <w:sectPr>
          <w:pgSz w:w="11910" w:h="16840"/>
          <w:pgMar w:header="0" w:footer="1039" w:top="1580" w:bottom="1300" w:left="1060" w:right="860"/>
        </w:sectPr>
      </w:pPr>
    </w:p>
    <w:p>
      <w:pPr>
        <w:pStyle w:val="BodyText"/>
        <w:ind w:left="0"/>
        <w:rPr>
          <w:rFonts w:ascii="Microsoft JhengHei"/>
          <w:b/>
          <w:sz w:val="22"/>
        </w:rPr>
      </w:pPr>
    </w:p>
    <w:p>
      <w:pPr>
        <w:pStyle w:val="ListParagraph"/>
        <w:numPr>
          <w:ilvl w:val="2"/>
          <w:numId w:val="37"/>
        </w:numPr>
        <w:tabs>
          <w:tab w:pos="1160" w:val="left" w:leader="none"/>
        </w:tabs>
        <w:spacing w:line="326" w:lineRule="auto" w:before="54" w:after="0"/>
        <w:ind w:left="358" w:right="273" w:firstLine="0"/>
        <w:jc w:val="both"/>
        <w:rPr>
          <w:sz w:val="32"/>
        </w:rPr>
      </w:pPr>
      <w:r>
        <w:rPr>
          <w:sz w:val="32"/>
        </w:rPr>
        <w:t>重大生产 安全事故隐患应采用直接判定法或综合判定法进行定性判定。</w:t>
      </w:r>
    </w:p>
    <w:p>
      <w:pPr>
        <w:pStyle w:val="ListParagraph"/>
        <w:numPr>
          <w:ilvl w:val="2"/>
          <w:numId w:val="37"/>
        </w:numPr>
        <w:tabs>
          <w:tab w:pos="1160" w:val="left" w:leader="none"/>
        </w:tabs>
        <w:spacing w:line="328" w:lineRule="auto" w:before="6" w:after="0"/>
        <w:ind w:left="358" w:right="273" w:firstLine="0"/>
        <w:jc w:val="both"/>
        <w:rPr>
          <w:sz w:val="32"/>
        </w:rPr>
      </w:pPr>
      <w:r>
        <w:rPr>
          <w:sz w:val="32"/>
        </w:rPr>
        <w:t>同一次隐 患排查过程中，符合重大生产安全事故隐患直接判定标准中任意一项隐患内容的，可判定为重大生产安全事故隐患。</w:t>
      </w:r>
      <w:r>
        <w:rPr>
          <w:w w:val="95"/>
          <w:sz w:val="32"/>
        </w:rPr>
        <w:t>4.2.3</w:t>
      </w:r>
      <w:r>
        <w:rPr>
          <w:spacing w:val="-8"/>
          <w:w w:val="95"/>
          <w:sz w:val="32"/>
        </w:rPr>
        <w:t>同一次隐患排查过程中，符合重大生产安全事故隐患综合判定  </w:t>
      </w:r>
      <w:r>
        <w:rPr>
          <w:sz w:val="32"/>
        </w:rPr>
        <w:t>标准中重大生产安全事故隐患判据的，可判定为重大生产安全事故隐患。</w:t>
      </w:r>
    </w:p>
    <w:p>
      <w:pPr>
        <w:pStyle w:val="BodyText"/>
        <w:spacing w:line="328" w:lineRule="auto"/>
        <w:ind w:left="358" w:right="273"/>
      </w:pPr>
      <w:r>
        <w:rPr>
          <w:w w:val="95"/>
        </w:rPr>
        <w:t>4.2.4</w:t>
      </w:r>
      <w:r>
        <w:rPr>
          <w:spacing w:val="-7"/>
          <w:w w:val="95"/>
        </w:rPr>
        <w:t>隐患内容从人的因素、物的因素、环境因素、管理因素四个方  </w:t>
      </w:r>
      <w:r>
        <w:rPr>
          <w:spacing w:val="-7"/>
        </w:rPr>
        <w:t>面进行判定。</w:t>
      </w:r>
    </w:p>
    <w:p>
      <w:pPr>
        <w:pStyle w:val="Heading3"/>
        <w:numPr>
          <w:ilvl w:val="1"/>
          <w:numId w:val="34"/>
        </w:numPr>
        <w:tabs>
          <w:tab w:pos="1002" w:val="left" w:leader="none"/>
        </w:tabs>
        <w:spacing w:line="473" w:lineRule="exact" w:before="0" w:after="0"/>
        <w:ind w:left="1001" w:right="0" w:hanging="644"/>
        <w:jc w:val="left"/>
      </w:pPr>
      <w:r>
        <w:rPr/>
        <w:t>重大生产安全事故隐患编号方法</w:t>
      </w:r>
    </w:p>
    <w:p>
      <w:pPr>
        <w:pStyle w:val="ListParagraph"/>
        <w:numPr>
          <w:ilvl w:val="2"/>
          <w:numId w:val="38"/>
        </w:numPr>
        <w:tabs>
          <w:tab w:pos="1160" w:val="left" w:leader="none"/>
        </w:tabs>
        <w:spacing w:line="240" w:lineRule="auto" w:before="42" w:after="0"/>
        <w:ind w:left="1159" w:right="2870" w:hanging="1160"/>
        <w:jc w:val="left"/>
        <w:rPr>
          <w:sz w:val="32"/>
        </w:rPr>
      </w:pPr>
      <w:r>
        <w:rPr/>
        <w:drawing>
          <wp:anchor distT="0" distB="0" distL="0" distR="0" allowOverlap="1" layoutInCell="1" locked="0" behindDoc="0" simplePos="0" relativeHeight="5">
            <wp:simplePos x="0" y="0"/>
            <wp:positionH relativeFrom="page">
              <wp:posOffset>2105704</wp:posOffset>
            </wp:positionH>
            <wp:positionV relativeFrom="paragraph">
              <wp:posOffset>353881</wp:posOffset>
            </wp:positionV>
            <wp:extent cx="3390752" cy="2031491"/>
            <wp:effectExtent l="0" t="0" r="0" b="0"/>
            <wp:wrapTopAndBottom/>
            <wp:docPr id="1" name="image1.jpeg"/>
            <wp:cNvGraphicFramePr>
              <a:graphicFrameLocks noChangeAspect="1"/>
            </wp:cNvGraphicFramePr>
            <a:graphic>
              <a:graphicData uri="http://schemas.openxmlformats.org/drawingml/2006/picture">
                <pic:pic>
                  <pic:nvPicPr>
                    <pic:cNvPr id="2" name="image1.jpeg"/>
                    <pic:cNvPicPr/>
                  </pic:nvPicPr>
                  <pic:blipFill>
                    <a:blip r:embed="rId19" cstate="print"/>
                    <a:stretch>
                      <a:fillRect/>
                    </a:stretch>
                  </pic:blipFill>
                  <pic:spPr>
                    <a:xfrm>
                      <a:off x="0" y="0"/>
                      <a:ext cx="3390752" cy="2031491"/>
                    </a:xfrm>
                    <a:prstGeom prst="rect">
                      <a:avLst/>
                    </a:prstGeom>
                  </pic:spPr>
                </pic:pic>
              </a:graphicData>
            </a:graphic>
          </wp:anchor>
        </w:drawing>
      </w:r>
      <w:r>
        <w:rPr>
          <w:sz w:val="32"/>
        </w:rPr>
        <w:t>重大生产安全事故隐患编号格式见图1：</w:t>
      </w:r>
    </w:p>
    <w:p>
      <w:pPr>
        <w:pStyle w:val="BodyText"/>
        <w:tabs>
          <w:tab w:pos="882" w:val="left" w:leader="none"/>
        </w:tabs>
        <w:spacing w:before="22"/>
        <w:ind w:left="83"/>
        <w:jc w:val="center"/>
      </w:pPr>
      <w:r>
        <w:rPr/>
        <w:t>图1</w:t>
        <w:tab/>
        <w:t>重大生产安全事故隐患编号格式</w:t>
      </w:r>
    </w:p>
    <w:p>
      <w:pPr>
        <w:pStyle w:val="ListParagraph"/>
        <w:numPr>
          <w:ilvl w:val="2"/>
          <w:numId w:val="38"/>
        </w:numPr>
        <w:tabs>
          <w:tab w:pos="1160" w:val="left" w:leader="none"/>
        </w:tabs>
        <w:spacing w:line="240" w:lineRule="auto" w:before="132" w:after="0"/>
        <w:ind w:left="1159" w:right="2869" w:hanging="1160"/>
        <w:jc w:val="left"/>
        <w:rPr>
          <w:sz w:val="32"/>
        </w:rPr>
      </w:pPr>
      <w:r>
        <w:rPr>
          <w:spacing w:val="-1"/>
          <w:sz w:val="32"/>
        </w:rPr>
        <w:t>重大生产安全事 故隐患编号原则如下：</w:t>
      </w:r>
    </w:p>
    <w:p>
      <w:pPr>
        <w:pStyle w:val="ListParagraph"/>
        <w:numPr>
          <w:ilvl w:val="3"/>
          <w:numId w:val="38"/>
        </w:numPr>
        <w:tabs>
          <w:tab w:pos="1478" w:val="left" w:leader="none"/>
        </w:tabs>
        <w:spacing w:line="240" w:lineRule="auto" w:before="149" w:after="0"/>
        <w:ind w:left="1477" w:right="2871" w:hanging="1478"/>
        <w:jc w:val="left"/>
        <w:rPr>
          <w:sz w:val="32"/>
        </w:rPr>
      </w:pPr>
      <w:r>
        <w:rPr>
          <w:sz w:val="32"/>
        </w:rPr>
        <w:t>顺序号—从001开始，顺序增加；</w:t>
      </w:r>
    </w:p>
    <w:p>
      <w:pPr>
        <w:pStyle w:val="ListParagraph"/>
        <w:numPr>
          <w:ilvl w:val="3"/>
          <w:numId w:val="38"/>
        </w:numPr>
        <w:tabs>
          <w:tab w:pos="1478" w:val="left" w:leader="none"/>
        </w:tabs>
        <w:spacing w:line="328" w:lineRule="auto" w:before="150" w:after="0"/>
        <w:ind w:left="996" w:right="1948" w:firstLine="0"/>
        <w:jc w:val="left"/>
        <w:rPr>
          <w:sz w:val="32"/>
        </w:rPr>
      </w:pPr>
      <w:r>
        <w:rPr>
          <w:sz w:val="32"/>
        </w:rPr>
        <w:t>隐患类别编号—各类隐患拼音的缩写，见表1； c）分隔符—区分隐患类别与隐患项目；</w:t>
      </w:r>
    </w:p>
    <w:p>
      <w:pPr>
        <w:pStyle w:val="BodyText"/>
        <w:spacing w:line="326" w:lineRule="auto"/>
        <w:ind w:left="996" w:right="2586"/>
      </w:pPr>
      <w:r>
        <w:rPr/>
        <w:t>d）隐患项目编号—隐患种类的缩写，见表1； e）船舶—船舶行业的缩写。</w:t>
      </w:r>
    </w:p>
    <w:p>
      <w:pPr>
        <w:spacing w:after="0" w:line="326" w:lineRule="auto"/>
        <w:sectPr>
          <w:pgSz w:w="11910" w:h="16840"/>
          <w:pgMar w:header="0" w:footer="1039" w:top="1580" w:bottom="1300" w:left="1060" w:right="860"/>
        </w:sectPr>
      </w:pPr>
    </w:p>
    <w:p>
      <w:pPr>
        <w:pStyle w:val="BodyText"/>
        <w:spacing w:before="10"/>
        <w:ind w:left="0"/>
        <w:rPr>
          <w:sz w:val="20"/>
        </w:rPr>
      </w:pPr>
    </w:p>
    <w:p>
      <w:pPr>
        <w:tabs>
          <w:tab w:pos="685" w:val="left" w:leader="none"/>
        </w:tabs>
        <w:spacing w:before="66"/>
        <w:ind w:left="86" w:right="0" w:firstLine="0"/>
        <w:jc w:val="center"/>
        <w:rPr>
          <w:sz w:val="24"/>
        </w:rPr>
      </w:pPr>
      <w:r>
        <w:rPr>
          <w:sz w:val="24"/>
        </w:rPr>
        <w:t>表1</w:t>
        <w:tab/>
        <w:t>隐患项目编号和隐患类别编号</w:t>
      </w:r>
    </w:p>
    <w:p>
      <w:pPr>
        <w:pStyle w:val="BodyText"/>
        <w:spacing w:before="5" w:after="1"/>
        <w:ind w:left="0"/>
        <w:rPr>
          <w:sz w:val="9"/>
        </w:rPr>
      </w:pPr>
    </w:p>
    <w:tbl>
      <w:tblPr>
        <w:tblW w:w="0" w:type="auto"/>
        <w:jc w:val="left"/>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1842"/>
        <w:gridCol w:w="4111"/>
        <w:gridCol w:w="1949"/>
      </w:tblGrid>
      <w:tr>
        <w:trPr>
          <w:trHeight w:val="312" w:hRule="atLeast"/>
        </w:trPr>
        <w:tc>
          <w:tcPr>
            <w:tcW w:w="1668" w:type="dxa"/>
          </w:tcPr>
          <w:p>
            <w:pPr>
              <w:pStyle w:val="TableParagraph"/>
              <w:spacing w:line="291" w:lineRule="exact" w:before="1"/>
              <w:ind w:left="212" w:right="205"/>
              <w:jc w:val="center"/>
              <w:rPr>
                <w:sz w:val="24"/>
              </w:rPr>
            </w:pPr>
            <w:r>
              <w:rPr>
                <w:sz w:val="24"/>
              </w:rPr>
              <w:t>隐患项目</w:t>
            </w:r>
          </w:p>
        </w:tc>
        <w:tc>
          <w:tcPr>
            <w:tcW w:w="1842" w:type="dxa"/>
          </w:tcPr>
          <w:p>
            <w:pPr>
              <w:pStyle w:val="TableParagraph"/>
              <w:spacing w:line="291" w:lineRule="exact" w:before="1"/>
              <w:ind w:left="181" w:right="170"/>
              <w:jc w:val="center"/>
              <w:rPr>
                <w:sz w:val="24"/>
              </w:rPr>
            </w:pPr>
            <w:r>
              <w:rPr>
                <w:sz w:val="24"/>
              </w:rPr>
              <w:t>隐患项目编号</w:t>
            </w:r>
          </w:p>
        </w:tc>
        <w:tc>
          <w:tcPr>
            <w:tcW w:w="4111" w:type="dxa"/>
          </w:tcPr>
          <w:p>
            <w:pPr>
              <w:pStyle w:val="TableParagraph"/>
              <w:spacing w:line="291" w:lineRule="exact" w:before="1"/>
              <w:ind w:left="955" w:right="945"/>
              <w:jc w:val="center"/>
              <w:rPr>
                <w:sz w:val="24"/>
              </w:rPr>
            </w:pPr>
            <w:r>
              <w:rPr>
                <w:sz w:val="24"/>
              </w:rPr>
              <w:t>隐患类别</w:t>
            </w:r>
          </w:p>
        </w:tc>
        <w:tc>
          <w:tcPr>
            <w:tcW w:w="1949" w:type="dxa"/>
          </w:tcPr>
          <w:p>
            <w:pPr>
              <w:pStyle w:val="TableParagraph"/>
              <w:spacing w:line="291" w:lineRule="exact" w:before="1"/>
              <w:ind w:left="113" w:right="105"/>
              <w:jc w:val="center"/>
              <w:rPr>
                <w:sz w:val="24"/>
              </w:rPr>
            </w:pPr>
            <w:r>
              <w:rPr>
                <w:sz w:val="24"/>
              </w:rPr>
              <w:t>隐患编号</w:t>
            </w:r>
          </w:p>
        </w:tc>
      </w:tr>
      <w:tr>
        <w:trPr>
          <w:trHeight w:val="311" w:hRule="atLeast"/>
        </w:trPr>
        <w:tc>
          <w:tcPr>
            <w:tcW w:w="1668" w:type="dxa"/>
            <w:vMerge w:val="restart"/>
          </w:tcPr>
          <w:p>
            <w:pPr>
              <w:pStyle w:val="TableParagraph"/>
              <w:spacing w:before="1"/>
              <w:rPr>
                <w:sz w:val="25"/>
              </w:rPr>
            </w:pPr>
          </w:p>
          <w:p>
            <w:pPr>
              <w:pStyle w:val="TableParagraph"/>
              <w:spacing w:before="1"/>
              <w:ind w:left="352"/>
              <w:rPr>
                <w:sz w:val="24"/>
              </w:rPr>
            </w:pPr>
            <w:r>
              <w:rPr>
                <w:sz w:val="24"/>
              </w:rPr>
              <w:t>建设项目</w:t>
            </w:r>
          </w:p>
        </w:tc>
        <w:tc>
          <w:tcPr>
            <w:tcW w:w="1842" w:type="dxa"/>
            <w:vMerge w:val="restart"/>
          </w:tcPr>
          <w:p>
            <w:pPr>
              <w:pStyle w:val="TableParagraph"/>
              <w:spacing w:before="1"/>
              <w:rPr>
                <w:sz w:val="25"/>
              </w:rPr>
            </w:pPr>
          </w:p>
          <w:p>
            <w:pPr>
              <w:pStyle w:val="TableParagraph"/>
              <w:spacing w:before="1"/>
              <w:ind w:left="181" w:right="170"/>
              <w:jc w:val="center"/>
              <w:rPr>
                <w:sz w:val="24"/>
              </w:rPr>
            </w:pPr>
            <w:r>
              <w:rPr>
                <w:sz w:val="24"/>
              </w:rPr>
              <w:t>CBJS</w:t>
            </w:r>
          </w:p>
        </w:tc>
        <w:tc>
          <w:tcPr>
            <w:tcW w:w="4111" w:type="dxa"/>
          </w:tcPr>
          <w:p>
            <w:pPr>
              <w:pStyle w:val="TableParagraph"/>
              <w:spacing w:line="290" w:lineRule="exact"/>
              <w:ind w:left="955" w:right="945"/>
              <w:jc w:val="center"/>
              <w:rPr>
                <w:sz w:val="24"/>
              </w:rPr>
            </w:pPr>
            <w:r>
              <w:rPr>
                <w:sz w:val="24"/>
              </w:rPr>
              <w:t>基础管理</w:t>
            </w:r>
          </w:p>
        </w:tc>
        <w:tc>
          <w:tcPr>
            <w:tcW w:w="1949" w:type="dxa"/>
          </w:tcPr>
          <w:p>
            <w:pPr>
              <w:pStyle w:val="TableParagraph"/>
              <w:spacing w:line="290" w:lineRule="exact"/>
              <w:ind w:left="113" w:right="105"/>
              <w:jc w:val="center"/>
              <w:rPr>
                <w:sz w:val="24"/>
              </w:rPr>
            </w:pPr>
            <w:r>
              <w:rPr>
                <w:sz w:val="24"/>
              </w:rPr>
              <w:t>JC</w:t>
            </w:r>
          </w:p>
        </w:tc>
      </w:tr>
      <w:tr>
        <w:trPr>
          <w:trHeight w:val="310" w:hRule="atLeast"/>
        </w:trPr>
        <w:tc>
          <w:tcPr>
            <w:tcW w:w="1668" w:type="dxa"/>
            <w:vMerge/>
            <w:tcBorders>
              <w:top w:val="nil"/>
            </w:tcBorders>
          </w:tcPr>
          <w:p>
            <w:pPr>
              <w:rPr>
                <w:sz w:val="2"/>
                <w:szCs w:val="2"/>
              </w:rPr>
            </w:pPr>
          </w:p>
        </w:tc>
        <w:tc>
          <w:tcPr>
            <w:tcW w:w="1842" w:type="dxa"/>
            <w:vMerge/>
            <w:tcBorders>
              <w:top w:val="nil"/>
            </w:tcBorders>
          </w:tcPr>
          <w:p>
            <w:pPr>
              <w:rPr>
                <w:sz w:val="2"/>
                <w:szCs w:val="2"/>
              </w:rPr>
            </w:pPr>
          </w:p>
        </w:tc>
        <w:tc>
          <w:tcPr>
            <w:tcW w:w="4111" w:type="dxa"/>
          </w:tcPr>
          <w:p>
            <w:pPr>
              <w:pStyle w:val="TableParagraph"/>
              <w:spacing w:line="290" w:lineRule="exact" w:before="1"/>
              <w:ind w:left="955" w:right="945"/>
              <w:jc w:val="center"/>
              <w:rPr>
                <w:sz w:val="24"/>
              </w:rPr>
            </w:pPr>
            <w:r>
              <w:rPr>
                <w:sz w:val="24"/>
              </w:rPr>
              <w:t>安全设施管理</w:t>
            </w:r>
          </w:p>
        </w:tc>
        <w:tc>
          <w:tcPr>
            <w:tcW w:w="1949" w:type="dxa"/>
          </w:tcPr>
          <w:p>
            <w:pPr>
              <w:pStyle w:val="TableParagraph"/>
              <w:spacing w:line="290" w:lineRule="exact" w:before="1"/>
              <w:ind w:left="113" w:right="105"/>
              <w:jc w:val="center"/>
              <w:rPr>
                <w:sz w:val="24"/>
              </w:rPr>
            </w:pPr>
            <w:r>
              <w:rPr>
                <w:sz w:val="24"/>
              </w:rPr>
              <w:t>AQ</w:t>
            </w:r>
          </w:p>
        </w:tc>
      </w:tr>
      <w:tr>
        <w:trPr>
          <w:trHeight w:val="310" w:hRule="atLeast"/>
        </w:trPr>
        <w:tc>
          <w:tcPr>
            <w:tcW w:w="1668" w:type="dxa"/>
            <w:vMerge/>
            <w:tcBorders>
              <w:top w:val="nil"/>
            </w:tcBorders>
          </w:tcPr>
          <w:p>
            <w:pPr>
              <w:rPr>
                <w:sz w:val="2"/>
                <w:szCs w:val="2"/>
              </w:rPr>
            </w:pPr>
          </w:p>
        </w:tc>
        <w:tc>
          <w:tcPr>
            <w:tcW w:w="1842" w:type="dxa"/>
            <w:vMerge/>
            <w:tcBorders>
              <w:top w:val="nil"/>
            </w:tcBorders>
          </w:tcPr>
          <w:p>
            <w:pPr>
              <w:rPr>
                <w:sz w:val="2"/>
                <w:szCs w:val="2"/>
              </w:rPr>
            </w:pPr>
          </w:p>
        </w:tc>
        <w:tc>
          <w:tcPr>
            <w:tcW w:w="4111" w:type="dxa"/>
          </w:tcPr>
          <w:p>
            <w:pPr>
              <w:pStyle w:val="TableParagraph"/>
              <w:spacing w:line="289" w:lineRule="exact" w:before="2"/>
              <w:ind w:left="955" w:right="945"/>
              <w:jc w:val="center"/>
              <w:rPr>
                <w:sz w:val="24"/>
              </w:rPr>
            </w:pPr>
            <w:r>
              <w:rPr>
                <w:sz w:val="24"/>
              </w:rPr>
              <w:t>职业病防护设施管理</w:t>
            </w:r>
          </w:p>
        </w:tc>
        <w:tc>
          <w:tcPr>
            <w:tcW w:w="1949" w:type="dxa"/>
          </w:tcPr>
          <w:p>
            <w:pPr>
              <w:pStyle w:val="TableParagraph"/>
              <w:spacing w:line="289" w:lineRule="exact" w:before="2"/>
              <w:ind w:left="113" w:right="105"/>
              <w:jc w:val="center"/>
              <w:rPr>
                <w:sz w:val="24"/>
              </w:rPr>
            </w:pPr>
            <w:r>
              <w:rPr>
                <w:sz w:val="24"/>
              </w:rPr>
              <w:t>ZY</w:t>
            </w:r>
          </w:p>
        </w:tc>
      </w:tr>
      <w:tr>
        <w:trPr>
          <w:trHeight w:val="312" w:hRule="atLeast"/>
        </w:trPr>
        <w:tc>
          <w:tcPr>
            <w:tcW w:w="1668" w:type="dxa"/>
          </w:tcPr>
          <w:p>
            <w:pPr>
              <w:pStyle w:val="TableParagraph"/>
              <w:spacing w:line="290" w:lineRule="exact" w:before="2"/>
              <w:ind w:left="212" w:right="205"/>
              <w:jc w:val="center"/>
              <w:rPr>
                <w:sz w:val="24"/>
              </w:rPr>
            </w:pPr>
            <w:r>
              <w:rPr>
                <w:sz w:val="24"/>
              </w:rPr>
              <w:t>总平面布置</w:t>
            </w:r>
          </w:p>
        </w:tc>
        <w:tc>
          <w:tcPr>
            <w:tcW w:w="1842" w:type="dxa"/>
          </w:tcPr>
          <w:p>
            <w:pPr>
              <w:pStyle w:val="TableParagraph"/>
              <w:spacing w:line="290" w:lineRule="exact" w:before="2"/>
              <w:ind w:left="181" w:right="170"/>
              <w:jc w:val="center"/>
              <w:rPr>
                <w:sz w:val="24"/>
              </w:rPr>
            </w:pPr>
            <w:r>
              <w:rPr>
                <w:sz w:val="24"/>
              </w:rPr>
              <w:t>CBPM</w:t>
            </w:r>
          </w:p>
        </w:tc>
        <w:tc>
          <w:tcPr>
            <w:tcW w:w="4111" w:type="dxa"/>
          </w:tcPr>
          <w:p>
            <w:pPr>
              <w:pStyle w:val="TableParagraph"/>
              <w:spacing w:line="290" w:lineRule="exact" w:before="2"/>
              <w:ind w:left="955" w:right="945"/>
              <w:jc w:val="center"/>
              <w:rPr>
                <w:sz w:val="24"/>
              </w:rPr>
            </w:pPr>
            <w:r>
              <w:rPr>
                <w:sz w:val="24"/>
              </w:rPr>
              <w:t>消防管理</w:t>
            </w:r>
          </w:p>
        </w:tc>
        <w:tc>
          <w:tcPr>
            <w:tcW w:w="1949" w:type="dxa"/>
          </w:tcPr>
          <w:p>
            <w:pPr>
              <w:pStyle w:val="TableParagraph"/>
              <w:spacing w:line="290" w:lineRule="exact" w:before="2"/>
              <w:ind w:left="113" w:right="105"/>
              <w:jc w:val="center"/>
              <w:rPr>
                <w:sz w:val="24"/>
              </w:rPr>
            </w:pPr>
            <w:r>
              <w:rPr>
                <w:sz w:val="24"/>
              </w:rPr>
              <w:t>XF</w:t>
            </w:r>
          </w:p>
        </w:tc>
      </w:tr>
      <w:tr>
        <w:trPr>
          <w:trHeight w:val="311" w:hRule="atLeast"/>
        </w:trPr>
        <w:tc>
          <w:tcPr>
            <w:tcW w:w="1668" w:type="dxa"/>
            <w:vMerge w:val="restart"/>
          </w:tcPr>
          <w:p>
            <w:pPr>
              <w:pStyle w:val="TableParagraph"/>
              <w:rPr>
                <w:sz w:val="24"/>
              </w:rPr>
            </w:pPr>
          </w:p>
          <w:p>
            <w:pPr>
              <w:pStyle w:val="TableParagraph"/>
              <w:rPr>
                <w:sz w:val="24"/>
              </w:rPr>
            </w:pPr>
          </w:p>
          <w:p>
            <w:pPr>
              <w:pStyle w:val="TableParagraph"/>
              <w:rPr>
                <w:sz w:val="24"/>
              </w:rPr>
            </w:pPr>
          </w:p>
          <w:p>
            <w:pPr>
              <w:pStyle w:val="TableParagraph"/>
              <w:spacing w:before="202"/>
              <w:ind w:left="352"/>
              <w:rPr>
                <w:sz w:val="24"/>
              </w:rPr>
            </w:pPr>
            <w:r>
              <w:rPr>
                <w:sz w:val="24"/>
              </w:rPr>
              <w:t>重点场所</w:t>
            </w:r>
          </w:p>
        </w:tc>
        <w:tc>
          <w:tcPr>
            <w:tcW w:w="1842" w:type="dxa"/>
            <w:vMerge w:val="restart"/>
          </w:tcPr>
          <w:p>
            <w:pPr>
              <w:pStyle w:val="TableParagraph"/>
              <w:rPr>
                <w:sz w:val="24"/>
              </w:rPr>
            </w:pPr>
          </w:p>
          <w:p>
            <w:pPr>
              <w:pStyle w:val="TableParagraph"/>
              <w:rPr>
                <w:sz w:val="24"/>
              </w:rPr>
            </w:pPr>
          </w:p>
          <w:p>
            <w:pPr>
              <w:pStyle w:val="TableParagraph"/>
              <w:rPr>
                <w:sz w:val="24"/>
              </w:rPr>
            </w:pPr>
          </w:p>
          <w:p>
            <w:pPr>
              <w:pStyle w:val="TableParagraph"/>
              <w:spacing w:before="202"/>
              <w:ind w:left="181" w:right="170"/>
              <w:jc w:val="center"/>
              <w:rPr>
                <w:sz w:val="24"/>
              </w:rPr>
            </w:pPr>
            <w:r>
              <w:rPr>
                <w:sz w:val="24"/>
              </w:rPr>
              <w:t>CBCS</w:t>
            </w:r>
          </w:p>
        </w:tc>
        <w:tc>
          <w:tcPr>
            <w:tcW w:w="4111" w:type="dxa"/>
          </w:tcPr>
          <w:p>
            <w:pPr>
              <w:pStyle w:val="TableParagraph"/>
              <w:spacing w:line="289" w:lineRule="exact" w:before="2"/>
              <w:ind w:left="955" w:right="945"/>
              <w:jc w:val="center"/>
              <w:rPr>
                <w:sz w:val="24"/>
              </w:rPr>
            </w:pPr>
            <w:r>
              <w:rPr>
                <w:sz w:val="24"/>
              </w:rPr>
              <w:t>乙炔站</w:t>
            </w:r>
          </w:p>
        </w:tc>
        <w:tc>
          <w:tcPr>
            <w:tcW w:w="1949" w:type="dxa"/>
          </w:tcPr>
          <w:p>
            <w:pPr>
              <w:pStyle w:val="TableParagraph"/>
              <w:spacing w:line="289" w:lineRule="exact" w:before="2"/>
              <w:ind w:left="113" w:right="105"/>
              <w:jc w:val="center"/>
              <w:rPr>
                <w:sz w:val="24"/>
              </w:rPr>
            </w:pPr>
            <w:r>
              <w:rPr>
                <w:sz w:val="24"/>
              </w:rPr>
              <w:t>YQ</w:t>
            </w:r>
          </w:p>
        </w:tc>
      </w:tr>
      <w:tr>
        <w:trPr>
          <w:trHeight w:val="310" w:hRule="atLeast"/>
        </w:trPr>
        <w:tc>
          <w:tcPr>
            <w:tcW w:w="1668" w:type="dxa"/>
            <w:vMerge/>
            <w:tcBorders>
              <w:top w:val="nil"/>
            </w:tcBorders>
          </w:tcPr>
          <w:p>
            <w:pPr>
              <w:rPr>
                <w:sz w:val="2"/>
                <w:szCs w:val="2"/>
              </w:rPr>
            </w:pPr>
          </w:p>
        </w:tc>
        <w:tc>
          <w:tcPr>
            <w:tcW w:w="1842" w:type="dxa"/>
            <w:vMerge/>
            <w:tcBorders>
              <w:top w:val="nil"/>
            </w:tcBorders>
          </w:tcPr>
          <w:p>
            <w:pPr>
              <w:rPr>
                <w:sz w:val="2"/>
                <w:szCs w:val="2"/>
              </w:rPr>
            </w:pPr>
          </w:p>
        </w:tc>
        <w:tc>
          <w:tcPr>
            <w:tcW w:w="4111" w:type="dxa"/>
          </w:tcPr>
          <w:p>
            <w:pPr>
              <w:pStyle w:val="TableParagraph"/>
              <w:spacing w:line="291" w:lineRule="exact"/>
              <w:ind w:left="955" w:right="945"/>
              <w:jc w:val="center"/>
              <w:rPr>
                <w:sz w:val="24"/>
              </w:rPr>
            </w:pPr>
            <w:r>
              <w:rPr>
                <w:sz w:val="24"/>
              </w:rPr>
              <w:t>氧气站</w:t>
            </w:r>
          </w:p>
        </w:tc>
        <w:tc>
          <w:tcPr>
            <w:tcW w:w="1949" w:type="dxa"/>
          </w:tcPr>
          <w:p>
            <w:pPr>
              <w:pStyle w:val="TableParagraph"/>
              <w:spacing w:line="291" w:lineRule="exact"/>
              <w:ind w:left="113" w:right="103"/>
              <w:jc w:val="center"/>
              <w:rPr>
                <w:sz w:val="12"/>
              </w:rPr>
            </w:pPr>
            <w:r>
              <w:rPr>
                <w:sz w:val="24"/>
              </w:rPr>
              <w:t>YQ</w:t>
            </w:r>
            <w:r>
              <w:rPr>
                <w:position w:val="-3"/>
                <w:sz w:val="12"/>
              </w:rPr>
              <w:t>1</w:t>
            </w:r>
          </w:p>
        </w:tc>
      </w:tr>
      <w:tr>
        <w:trPr>
          <w:trHeight w:val="310" w:hRule="atLeast"/>
        </w:trPr>
        <w:tc>
          <w:tcPr>
            <w:tcW w:w="1668" w:type="dxa"/>
            <w:vMerge/>
            <w:tcBorders>
              <w:top w:val="nil"/>
            </w:tcBorders>
          </w:tcPr>
          <w:p>
            <w:pPr>
              <w:rPr>
                <w:sz w:val="2"/>
                <w:szCs w:val="2"/>
              </w:rPr>
            </w:pPr>
          </w:p>
        </w:tc>
        <w:tc>
          <w:tcPr>
            <w:tcW w:w="1842" w:type="dxa"/>
            <w:vMerge/>
            <w:tcBorders>
              <w:top w:val="nil"/>
            </w:tcBorders>
          </w:tcPr>
          <w:p>
            <w:pPr>
              <w:rPr>
                <w:sz w:val="2"/>
                <w:szCs w:val="2"/>
              </w:rPr>
            </w:pPr>
          </w:p>
        </w:tc>
        <w:tc>
          <w:tcPr>
            <w:tcW w:w="4111" w:type="dxa"/>
          </w:tcPr>
          <w:p>
            <w:pPr>
              <w:pStyle w:val="TableParagraph"/>
              <w:spacing w:line="288" w:lineRule="exact" w:before="3"/>
              <w:ind w:left="955" w:right="945"/>
              <w:jc w:val="center"/>
              <w:rPr>
                <w:sz w:val="24"/>
              </w:rPr>
            </w:pPr>
            <w:r>
              <w:rPr>
                <w:sz w:val="24"/>
              </w:rPr>
              <w:t>危险化学品存放场所</w:t>
            </w:r>
          </w:p>
        </w:tc>
        <w:tc>
          <w:tcPr>
            <w:tcW w:w="1949" w:type="dxa"/>
          </w:tcPr>
          <w:p>
            <w:pPr>
              <w:pStyle w:val="TableParagraph"/>
              <w:spacing w:line="288" w:lineRule="exact" w:before="3"/>
              <w:ind w:left="113" w:right="105"/>
              <w:jc w:val="center"/>
              <w:rPr>
                <w:sz w:val="24"/>
              </w:rPr>
            </w:pPr>
            <w:r>
              <w:rPr>
                <w:sz w:val="24"/>
              </w:rPr>
              <w:t>WH</w:t>
            </w:r>
          </w:p>
        </w:tc>
      </w:tr>
      <w:tr>
        <w:trPr>
          <w:trHeight w:val="312" w:hRule="atLeast"/>
        </w:trPr>
        <w:tc>
          <w:tcPr>
            <w:tcW w:w="1668" w:type="dxa"/>
            <w:vMerge/>
            <w:tcBorders>
              <w:top w:val="nil"/>
            </w:tcBorders>
          </w:tcPr>
          <w:p>
            <w:pPr>
              <w:rPr>
                <w:sz w:val="2"/>
                <w:szCs w:val="2"/>
              </w:rPr>
            </w:pPr>
          </w:p>
        </w:tc>
        <w:tc>
          <w:tcPr>
            <w:tcW w:w="1842" w:type="dxa"/>
            <w:vMerge/>
            <w:tcBorders>
              <w:top w:val="nil"/>
            </w:tcBorders>
          </w:tcPr>
          <w:p>
            <w:pPr>
              <w:rPr>
                <w:sz w:val="2"/>
                <w:szCs w:val="2"/>
              </w:rPr>
            </w:pPr>
          </w:p>
        </w:tc>
        <w:tc>
          <w:tcPr>
            <w:tcW w:w="4111" w:type="dxa"/>
          </w:tcPr>
          <w:p>
            <w:pPr>
              <w:pStyle w:val="TableParagraph"/>
              <w:spacing w:line="291" w:lineRule="exact" w:before="1"/>
              <w:ind w:left="955" w:right="945"/>
              <w:jc w:val="center"/>
              <w:rPr>
                <w:sz w:val="24"/>
              </w:rPr>
            </w:pPr>
            <w:r>
              <w:rPr>
                <w:sz w:val="24"/>
              </w:rPr>
              <w:t>变配电站</w:t>
            </w:r>
          </w:p>
        </w:tc>
        <w:tc>
          <w:tcPr>
            <w:tcW w:w="1949" w:type="dxa"/>
          </w:tcPr>
          <w:p>
            <w:pPr>
              <w:pStyle w:val="TableParagraph"/>
              <w:spacing w:line="291" w:lineRule="exact" w:before="1"/>
              <w:ind w:left="113" w:right="105"/>
              <w:jc w:val="center"/>
              <w:rPr>
                <w:sz w:val="24"/>
              </w:rPr>
            </w:pPr>
            <w:r>
              <w:rPr>
                <w:sz w:val="24"/>
              </w:rPr>
              <w:t>BP</w:t>
            </w:r>
          </w:p>
        </w:tc>
      </w:tr>
      <w:tr>
        <w:trPr>
          <w:trHeight w:val="310" w:hRule="atLeast"/>
        </w:trPr>
        <w:tc>
          <w:tcPr>
            <w:tcW w:w="1668" w:type="dxa"/>
            <w:vMerge/>
            <w:tcBorders>
              <w:top w:val="nil"/>
            </w:tcBorders>
          </w:tcPr>
          <w:p>
            <w:pPr>
              <w:rPr>
                <w:sz w:val="2"/>
                <w:szCs w:val="2"/>
              </w:rPr>
            </w:pPr>
          </w:p>
        </w:tc>
        <w:tc>
          <w:tcPr>
            <w:tcW w:w="1842" w:type="dxa"/>
            <w:vMerge/>
            <w:tcBorders>
              <w:top w:val="nil"/>
            </w:tcBorders>
          </w:tcPr>
          <w:p>
            <w:pPr>
              <w:rPr>
                <w:sz w:val="2"/>
                <w:szCs w:val="2"/>
              </w:rPr>
            </w:pPr>
          </w:p>
        </w:tc>
        <w:tc>
          <w:tcPr>
            <w:tcW w:w="4111" w:type="dxa"/>
          </w:tcPr>
          <w:p>
            <w:pPr>
              <w:pStyle w:val="TableParagraph"/>
              <w:spacing w:line="290" w:lineRule="exact" w:before="1"/>
              <w:ind w:left="955" w:right="945"/>
              <w:jc w:val="center"/>
              <w:rPr>
                <w:sz w:val="24"/>
              </w:rPr>
            </w:pPr>
            <w:r>
              <w:rPr>
                <w:sz w:val="24"/>
              </w:rPr>
              <w:t>压缩空气站</w:t>
            </w:r>
          </w:p>
        </w:tc>
        <w:tc>
          <w:tcPr>
            <w:tcW w:w="1949" w:type="dxa"/>
          </w:tcPr>
          <w:p>
            <w:pPr>
              <w:pStyle w:val="TableParagraph"/>
              <w:spacing w:line="290" w:lineRule="exact" w:before="1"/>
              <w:ind w:left="113" w:right="105"/>
              <w:jc w:val="center"/>
              <w:rPr>
                <w:sz w:val="24"/>
              </w:rPr>
            </w:pPr>
            <w:r>
              <w:rPr>
                <w:sz w:val="24"/>
              </w:rPr>
              <w:t>YS</w:t>
            </w:r>
          </w:p>
        </w:tc>
      </w:tr>
      <w:tr>
        <w:trPr>
          <w:trHeight w:val="310" w:hRule="atLeast"/>
        </w:trPr>
        <w:tc>
          <w:tcPr>
            <w:tcW w:w="1668" w:type="dxa"/>
            <w:vMerge/>
            <w:tcBorders>
              <w:top w:val="nil"/>
            </w:tcBorders>
          </w:tcPr>
          <w:p>
            <w:pPr>
              <w:rPr>
                <w:sz w:val="2"/>
                <w:szCs w:val="2"/>
              </w:rPr>
            </w:pPr>
          </w:p>
        </w:tc>
        <w:tc>
          <w:tcPr>
            <w:tcW w:w="1842" w:type="dxa"/>
            <w:vMerge/>
            <w:tcBorders>
              <w:top w:val="nil"/>
            </w:tcBorders>
          </w:tcPr>
          <w:p>
            <w:pPr>
              <w:rPr>
                <w:sz w:val="2"/>
                <w:szCs w:val="2"/>
              </w:rPr>
            </w:pPr>
          </w:p>
        </w:tc>
        <w:tc>
          <w:tcPr>
            <w:tcW w:w="4111" w:type="dxa"/>
          </w:tcPr>
          <w:p>
            <w:pPr>
              <w:pStyle w:val="TableParagraph"/>
              <w:spacing w:line="289" w:lineRule="exact" w:before="1"/>
              <w:ind w:left="955" w:right="945"/>
              <w:jc w:val="center"/>
              <w:rPr>
                <w:sz w:val="24"/>
              </w:rPr>
            </w:pPr>
            <w:r>
              <w:rPr>
                <w:sz w:val="24"/>
              </w:rPr>
              <w:t>燃气站</w:t>
            </w:r>
          </w:p>
        </w:tc>
        <w:tc>
          <w:tcPr>
            <w:tcW w:w="1949" w:type="dxa"/>
          </w:tcPr>
          <w:p>
            <w:pPr>
              <w:pStyle w:val="TableParagraph"/>
              <w:spacing w:line="289" w:lineRule="exact" w:before="1"/>
              <w:ind w:left="113" w:right="105"/>
              <w:jc w:val="center"/>
              <w:rPr>
                <w:sz w:val="24"/>
              </w:rPr>
            </w:pPr>
            <w:r>
              <w:rPr>
                <w:sz w:val="24"/>
              </w:rPr>
              <w:t>RQ</w:t>
            </w:r>
          </w:p>
        </w:tc>
      </w:tr>
      <w:tr>
        <w:trPr>
          <w:trHeight w:val="310" w:hRule="atLeast"/>
        </w:trPr>
        <w:tc>
          <w:tcPr>
            <w:tcW w:w="1668" w:type="dxa"/>
            <w:vMerge/>
            <w:tcBorders>
              <w:top w:val="nil"/>
            </w:tcBorders>
          </w:tcPr>
          <w:p>
            <w:pPr>
              <w:rPr>
                <w:sz w:val="2"/>
                <w:szCs w:val="2"/>
              </w:rPr>
            </w:pPr>
          </w:p>
        </w:tc>
        <w:tc>
          <w:tcPr>
            <w:tcW w:w="1842" w:type="dxa"/>
            <w:vMerge/>
            <w:tcBorders>
              <w:top w:val="nil"/>
            </w:tcBorders>
          </w:tcPr>
          <w:p>
            <w:pPr>
              <w:rPr>
                <w:sz w:val="2"/>
                <w:szCs w:val="2"/>
              </w:rPr>
            </w:pPr>
          </w:p>
        </w:tc>
        <w:tc>
          <w:tcPr>
            <w:tcW w:w="4111" w:type="dxa"/>
          </w:tcPr>
          <w:p>
            <w:pPr>
              <w:pStyle w:val="TableParagraph"/>
              <w:spacing w:line="289" w:lineRule="exact" w:before="2"/>
              <w:ind w:left="955" w:right="945"/>
              <w:jc w:val="center"/>
              <w:rPr>
                <w:sz w:val="24"/>
              </w:rPr>
            </w:pPr>
            <w:r>
              <w:rPr>
                <w:sz w:val="24"/>
              </w:rPr>
              <w:t>加油站</w:t>
            </w:r>
          </w:p>
        </w:tc>
        <w:tc>
          <w:tcPr>
            <w:tcW w:w="1949" w:type="dxa"/>
          </w:tcPr>
          <w:p>
            <w:pPr>
              <w:pStyle w:val="TableParagraph"/>
              <w:spacing w:line="289" w:lineRule="exact" w:before="2"/>
              <w:ind w:left="113" w:right="105"/>
              <w:jc w:val="center"/>
              <w:rPr>
                <w:sz w:val="24"/>
              </w:rPr>
            </w:pPr>
            <w:r>
              <w:rPr>
                <w:sz w:val="24"/>
              </w:rPr>
              <w:t>JY</w:t>
            </w:r>
          </w:p>
        </w:tc>
      </w:tr>
      <w:tr>
        <w:trPr>
          <w:trHeight w:val="312" w:hRule="atLeast"/>
        </w:trPr>
        <w:tc>
          <w:tcPr>
            <w:tcW w:w="1668" w:type="dxa"/>
            <w:vMerge/>
            <w:tcBorders>
              <w:top w:val="nil"/>
            </w:tcBorders>
          </w:tcPr>
          <w:p>
            <w:pPr>
              <w:rPr>
                <w:sz w:val="2"/>
                <w:szCs w:val="2"/>
              </w:rPr>
            </w:pPr>
          </w:p>
        </w:tc>
        <w:tc>
          <w:tcPr>
            <w:tcW w:w="1842" w:type="dxa"/>
            <w:vMerge/>
            <w:tcBorders>
              <w:top w:val="nil"/>
            </w:tcBorders>
          </w:tcPr>
          <w:p>
            <w:pPr>
              <w:rPr>
                <w:sz w:val="2"/>
                <w:szCs w:val="2"/>
              </w:rPr>
            </w:pPr>
          </w:p>
        </w:tc>
        <w:tc>
          <w:tcPr>
            <w:tcW w:w="4111" w:type="dxa"/>
          </w:tcPr>
          <w:p>
            <w:pPr>
              <w:pStyle w:val="TableParagraph"/>
              <w:spacing w:line="289" w:lineRule="exact" w:before="2"/>
              <w:ind w:left="955" w:right="945"/>
              <w:jc w:val="center"/>
              <w:rPr>
                <w:sz w:val="24"/>
              </w:rPr>
            </w:pPr>
            <w:r>
              <w:rPr>
                <w:sz w:val="24"/>
              </w:rPr>
              <w:t>探伤室</w:t>
            </w:r>
          </w:p>
        </w:tc>
        <w:tc>
          <w:tcPr>
            <w:tcW w:w="1949" w:type="dxa"/>
          </w:tcPr>
          <w:p>
            <w:pPr>
              <w:pStyle w:val="TableParagraph"/>
              <w:spacing w:line="289" w:lineRule="exact" w:before="2"/>
              <w:ind w:left="113" w:right="105"/>
              <w:jc w:val="center"/>
              <w:rPr>
                <w:sz w:val="24"/>
              </w:rPr>
            </w:pPr>
            <w:r>
              <w:rPr>
                <w:sz w:val="24"/>
              </w:rPr>
              <w:t>TS</w:t>
            </w:r>
          </w:p>
        </w:tc>
      </w:tr>
      <w:tr>
        <w:trPr>
          <w:trHeight w:val="310" w:hRule="atLeast"/>
        </w:trPr>
        <w:tc>
          <w:tcPr>
            <w:tcW w:w="1668" w:type="dxa"/>
            <w:vMerge w:val="restart"/>
          </w:tcPr>
          <w:p>
            <w:pPr>
              <w:pStyle w:val="TableParagraph"/>
              <w:spacing w:before="160"/>
              <w:ind w:left="352"/>
              <w:rPr>
                <w:sz w:val="24"/>
              </w:rPr>
            </w:pPr>
            <w:r>
              <w:rPr>
                <w:sz w:val="24"/>
              </w:rPr>
              <w:t>重点设备</w:t>
            </w:r>
          </w:p>
        </w:tc>
        <w:tc>
          <w:tcPr>
            <w:tcW w:w="1842" w:type="dxa"/>
            <w:vMerge w:val="restart"/>
          </w:tcPr>
          <w:p>
            <w:pPr>
              <w:pStyle w:val="TableParagraph"/>
              <w:spacing w:before="160"/>
              <w:ind w:left="181" w:right="170"/>
              <w:jc w:val="center"/>
              <w:rPr>
                <w:sz w:val="24"/>
              </w:rPr>
            </w:pPr>
            <w:r>
              <w:rPr>
                <w:sz w:val="24"/>
              </w:rPr>
              <w:t>CBSB</w:t>
            </w:r>
          </w:p>
        </w:tc>
        <w:tc>
          <w:tcPr>
            <w:tcW w:w="4111" w:type="dxa"/>
          </w:tcPr>
          <w:p>
            <w:pPr>
              <w:pStyle w:val="TableParagraph"/>
              <w:spacing w:line="291" w:lineRule="exact"/>
              <w:ind w:left="955" w:right="945"/>
              <w:jc w:val="center"/>
              <w:rPr>
                <w:sz w:val="24"/>
              </w:rPr>
            </w:pPr>
            <w:r>
              <w:rPr>
                <w:sz w:val="24"/>
              </w:rPr>
              <w:t>压力容器</w:t>
            </w:r>
          </w:p>
        </w:tc>
        <w:tc>
          <w:tcPr>
            <w:tcW w:w="1949" w:type="dxa"/>
          </w:tcPr>
          <w:p>
            <w:pPr>
              <w:pStyle w:val="TableParagraph"/>
              <w:spacing w:line="291" w:lineRule="exact"/>
              <w:ind w:left="113" w:right="105"/>
              <w:jc w:val="center"/>
              <w:rPr>
                <w:sz w:val="24"/>
              </w:rPr>
            </w:pPr>
            <w:r>
              <w:rPr>
                <w:sz w:val="24"/>
              </w:rPr>
              <w:t>RQ</w:t>
            </w:r>
          </w:p>
        </w:tc>
      </w:tr>
      <w:tr>
        <w:trPr>
          <w:trHeight w:val="311" w:hRule="atLeast"/>
        </w:trPr>
        <w:tc>
          <w:tcPr>
            <w:tcW w:w="1668" w:type="dxa"/>
            <w:vMerge/>
            <w:tcBorders>
              <w:top w:val="nil"/>
            </w:tcBorders>
          </w:tcPr>
          <w:p>
            <w:pPr>
              <w:rPr>
                <w:sz w:val="2"/>
                <w:szCs w:val="2"/>
              </w:rPr>
            </w:pPr>
          </w:p>
        </w:tc>
        <w:tc>
          <w:tcPr>
            <w:tcW w:w="1842" w:type="dxa"/>
            <w:vMerge/>
            <w:tcBorders>
              <w:top w:val="nil"/>
            </w:tcBorders>
          </w:tcPr>
          <w:p>
            <w:pPr>
              <w:rPr>
                <w:sz w:val="2"/>
                <w:szCs w:val="2"/>
              </w:rPr>
            </w:pPr>
          </w:p>
        </w:tc>
        <w:tc>
          <w:tcPr>
            <w:tcW w:w="4111" w:type="dxa"/>
          </w:tcPr>
          <w:p>
            <w:pPr>
              <w:pStyle w:val="TableParagraph"/>
              <w:spacing w:line="290" w:lineRule="exact"/>
              <w:ind w:left="955" w:right="945"/>
              <w:jc w:val="center"/>
              <w:rPr>
                <w:sz w:val="24"/>
              </w:rPr>
            </w:pPr>
            <w:r>
              <w:rPr>
                <w:sz w:val="24"/>
              </w:rPr>
              <w:t>起重设备</w:t>
            </w:r>
          </w:p>
        </w:tc>
        <w:tc>
          <w:tcPr>
            <w:tcW w:w="1949" w:type="dxa"/>
          </w:tcPr>
          <w:p>
            <w:pPr>
              <w:pStyle w:val="TableParagraph"/>
              <w:spacing w:line="290" w:lineRule="exact"/>
              <w:ind w:left="113" w:right="105"/>
              <w:jc w:val="center"/>
              <w:rPr>
                <w:sz w:val="24"/>
              </w:rPr>
            </w:pPr>
            <w:r>
              <w:rPr>
                <w:sz w:val="24"/>
              </w:rPr>
              <w:t>QZ</w:t>
            </w:r>
          </w:p>
        </w:tc>
      </w:tr>
      <w:tr>
        <w:trPr>
          <w:trHeight w:val="311" w:hRule="atLeast"/>
        </w:trPr>
        <w:tc>
          <w:tcPr>
            <w:tcW w:w="1668" w:type="dxa"/>
            <w:vMerge w:val="restart"/>
          </w:tcPr>
          <w:p>
            <w:pPr>
              <w:pStyle w:val="TableParagraph"/>
              <w:spacing w:before="162"/>
              <w:ind w:left="352"/>
              <w:rPr>
                <w:sz w:val="24"/>
              </w:rPr>
            </w:pPr>
            <w:r>
              <w:rPr>
                <w:sz w:val="24"/>
              </w:rPr>
              <w:t>明火作业</w:t>
            </w:r>
          </w:p>
        </w:tc>
        <w:tc>
          <w:tcPr>
            <w:tcW w:w="1842" w:type="dxa"/>
            <w:vMerge w:val="restart"/>
          </w:tcPr>
          <w:p>
            <w:pPr>
              <w:pStyle w:val="TableParagraph"/>
              <w:spacing w:before="162"/>
              <w:ind w:left="181" w:right="170"/>
              <w:jc w:val="center"/>
              <w:rPr>
                <w:sz w:val="24"/>
              </w:rPr>
            </w:pPr>
            <w:r>
              <w:rPr>
                <w:sz w:val="24"/>
              </w:rPr>
              <w:t>CBMH</w:t>
            </w:r>
          </w:p>
        </w:tc>
        <w:tc>
          <w:tcPr>
            <w:tcW w:w="4111" w:type="dxa"/>
          </w:tcPr>
          <w:p>
            <w:pPr>
              <w:pStyle w:val="TableParagraph"/>
              <w:spacing w:line="290" w:lineRule="exact" w:before="1"/>
              <w:ind w:left="955" w:right="945"/>
              <w:jc w:val="center"/>
              <w:rPr>
                <w:sz w:val="24"/>
              </w:rPr>
            </w:pPr>
            <w:r>
              <w:rPr>
                <w:sz w:val="24"/>
              </w:rPr>
              <w:t>基本条件</w:t>
            </w:r>
          </w:p>
        </w:tc>
        <w:tc>
          <w:tcPr>
            <w:tcW w:w="1949" w:type="dxa"/>
          </w:tcPr>
          <w:p>
            <w:pPr>
              <w:pStyle w:val="TableParagraph"/>
              <w:spacing w:line="290" w:lineRule="exact" w:before="1"/>
              <w:ind w:left="113" w:right="105"/>
              <w:jc w:val="center"/>
              <w:rPr>
                <w:sz w:val="24"/>
              </w:rPr>
            </w:pPr>
            <w:r>
              <w:rPr>
                <w:sz w:val="24"/>
              </w:rPr>
              <w:t>JB</w:t>
            </w:r>
          </w:p>
        </w:tc>
      </w:tr>
      <w:tr>
        <w:trPr>
          <w:trHeight w:val="312" w:hRule="atLeast"/>
        </w:trPr>
        <w:tc>
          <w:tcPr>
            <w:tcW w:w="1668" w:type="dxa"/>
            <w:vMerge/>
            <w:tcBorders>
              <w:top w:val="nil"/>
            </w:tcBorders>
          </w:tcPr>
          <w:p>
            <w:pPr>
              <w:rPr>
                <w:sz w:val="2"/>
                <w:szCs w:val="2"/>
              </w:rPr>
            </w:pPr>
          </w:p>
        </w:tc>
        <w:tc>
          <w:tcPr>
            <w:tcW w:w="1842" w:type="dxa"/>
            <w:vMerge/>
            <w:tcBorders>
              <w:top w:val="nil"/>
            </w:tcBorders>
          </w:tcPr>
          <w:p>
            <w:pPr>
              <w:rPr>
                <w:sz w:val="2"/>
                <w:szCs w:val="2"/>
              </w:rPr>
            </w:pPr>
          </w:p>
        </w:tc>
        <w:tc>
          <w:tcPr>
            <w:tcW w:w="4111" w:type="dxa"/>
          </w:tcPr>
          <w:p>
            <w:pPr>
              <w:pStyle w:val="TableParagraph"/>
              <w:spacing w:line="290" w:lineRule="exact" w:before="2"/>
              <w:ind w:left="955" w:right="945"/>
              <w:jc w:val="center"/>
              <w:rPr>
                <w:sz w:val="24"/>
              </w:rPr>
            </w:pPr>
            <w:r>
              <w:rPr>
                <w:sz w:val="24"/>
              </w:rPr>
              <w:t>隐患内容</w:t>
            </w:r>
          </w:p>
        </w:tc>
        <w:tc>
          <w:tcPr>
            <w:tcW w:w="1949" w:type="dxa"/>
          </w:tcPr>
          <w:p>
            <w:pPr>
              <w:pStyle w:val="TableParagraph"/>
              <w:spacing w:line="290" w:lineRule="exact" w:before="2"/>
              <w:ind w:left="113" w:right="105"/>
              <w:jc w:val="center"/>
              <w:rPr>
                <w:sz w:val="24"/>
              </w:rPr>
            </w:pPr>
            <w:r>
              <w:rPr>
                <w:sz w:val="24"/>
              </w:rPr>
              <w:t>YH</w:t>
            </w:r>
          </w:p>
        </w:tc>
      </w:tr>
      <w:tr>
        <w:trPr>
          <w:trHeight w:val="310" w:hRule="atLeast"/>
        </w:trPr>
        <w:tc>
          <w:tcPr>
            <w:tcW w:w="1668" w:type="dxa"/>
            <w:vMerge w:val="restart"/>
          </w:tcPr>
          <w:p>
            <w:pPr>
              <w:pStyle w:val="TableParagraph"/>
              <w:spacing w:before="162"/>
              <w:ind w:left="352"/>
              <w:rPr>
                <w:sz w:val="24"/>
              </w:rPr>
            </w:pPr>
            <w:r>
              <w:rPr>
                <w:sz w:val="24"/>
              </w:rPr>
              <w:t>涂装作业</w:t>
            </w:r>
          </w:p>
        </w:tc>
        <w:tc>
          <w:tcPr>
            <w:tcW w:w="1842" w:type="dxa"/>
            <w:vMerge w:val="restart"/>
          </w:tcPr>
          <w:p>
            <w:pPr>
              <w:pStyle w:val="TableParagraph"/>
              <w:spacing w:before="162"/>
              <w:ind w:left="181" w:right="170"/>
              <w:jc w:val="center"/>
              <w:rPr>
                <w:sz w:val="24"/>
              </w:rPr>
            </w:pPr>
            <w:r>
              <w:rPr>
                <w:sz w:val="24"/>
              </w:rPr>
              <w:t>CBTZ</w:t>
            </w:r>
          </w:p>
        </w:tc>
        <w:tc>
          <w:tcPr>
            <w:tcW w:w="4111" w:type="dxa"/>
          </w:tcPr>
          <w:p>
            <w:pPr>
              <w:pStyle w:val="TableParagraph"/>
              <w:spacing w:line="290" w:lineRule="exact" w:before="1"/>
              <w:ind w:left="955" w:right="945"/>
              <w:jc w:val="center"/>
              <w:rPr>
                <w:sz w:val="24"/>
              </w:rPr>
            </w:pPr>
            <w:r>
              <w:rPr>
                <w:sz w:val="24"/>
              </w:rPr>
              <w:t>基本条件</w:t>
            </w:r>
          </w:p>
        </w:tc>
        <w:tc>
          <w:tcPr>
            <w:tcW w:w="1949" w:type="dxa"/>
          </w:tcPr>
          <w:p>
            <w:pPr>
              <w:pStyle w:val="TableParagraph"/>
              <w:spacing w:line="290" w:lineRule="exact" w:before="1"/>
              <w:ind w:left="113" w:right="105"/>
              <w:jc w:val="center"/>
              <w:rPr>
                <w:sz w:val="24"/>
              </w:rPr>
            </w:pPr>
            <w:r>
              <w:rPr>
                <w:sz w:val="24"/>
              </w:rPr>
              <w:t>JB</w:t>
            </w:r>
          </w:p>
        </w:tc>
      </w:tr>
      <w:tr>
        <w:trPr>
          <w:trHeight w:val="311" w:hRule="atLeast"/>
        </w:trPr>
        <w:tc>
          <w:tcPr>
            <w:tcW w:w="1668" w:type="dxa"/>
            <w:vMerge/>
            <w:tcBorders>
              <w:top w:val="nil"/>
            </w:tcBorders>
          </w:tcPr>
          <w:p>
            <w:pPr>
              <w:rPr>
                <w:sz w:val="2"/>
                <w:szCs w:val="2"/>
              </w:rPr>
            </w:pPr>
          </w:p>
        </w:tc>
        <w:tc>
          <w:tcPr>
            <w:tcW w:w="1842" w:type="dxa"/>
            <w:vMerge/>
            <w:tcBorders>
              <w:top w:val="nil"/>
            </w:tcBorders>
          </w:tcPr>
          <w:p>
            <w:pPr>
              <w:rPr>
                <w:sz w:val="2"/>
                <w:szCs w:val="2"/>
              </w:rPr>
            </w:pPr>
          </w:p>
        </w:tc>
        <w:tc>
          <w:tcPr>
            <w:tcW w:w="4111" w:type="dxa"/>
          </w:tcPr>
          <w:p>
            <w:pPr>
              <w:pStyle w:val="TableParagraph"/>
              <w:spacing w:line="289" w:lineRule="exact" w:before="2"/>
              <w:ind w:left="955" w:right="945"/>
              <w:jc w:val="center"/>
              <w:rPr>
                <w:sz w:val="24"/>
              </w:rPr>
            </w:pPr>
            <w:r>
              <w:rPr>
                <w:sz w:val="24"/>
              </w:rPr>
              <w:t>隐患内容</w:t>
            </w:r>
          </w:p>
        </w:tc>
        <w:tc>
          <w:tcPr>
            <w:tcW w:w="1949" w:type="dxa"/>
          </w:tcPr>
          <w:p>
            <w:pPr>
              <w:pStyle w:val="TableParagraph"/>
              <w:spacing w:line="289" w:lineRule="exact" w:before="2"/>
              <w:ind w:left="113" w:right="105"/>
              <w:jc w:val="center"/>
              <w:rPr>
                <w:sz w:val="24"/>
              </w:rPr>
            </w:pPr>
            <w:r>
              <w:rPr>
                <w:sz w:val="24"/>
              </w:rPr>
              <w:t>YH</w:t>
            </w:r>
          </w:p>
        </w:tc>
      </w:tr>
      <w:tr>
        <w:trPr>
          <w:trHeight w:val="311" w:hRule="atLeast"/>
        </w:trPr>
        <w:tc>
          <w:tcPr>
            <w:tcW w:w="1668" w:type="dxa"/>
            <w:vMerge w:val="restart"/>
          </w:tcPr>
          <w:p>
            <w:pPr>
              <w:pStyle w:val="TableParagraph"/>
              <w:spacing w:before="161"/>
              <w:ind w:left="112"/>
              <w:rPr>
                <w:sz w:val="24"/>
              </w:rPr>
            </w:pPr>
            <w:r>
              <w:rPr>
                <w:sz w:val="24"/>
              </w:rPr>
              <w:t>有限空间作业</w:t>
            </w:r>
          </w:p>
        </w:tc>
        <w:tc>
          <w:tcPr>
            <w:tcW w:w="1842" w:type="dxa"/>
            <w:vMerge w:val="restart"/>
          </w:tcPr>
          <w:p>
            <w:pPr>
              <w:pStyle w:val="TableParagraph"/>
              <w:spacing w:before="161"/>
              <w:ind w:left="181" w:right="170"/>
              <w:jc w:val="center"/>
              <w:rPr>
                <w:sz w:val="24"/>
              </w:rPr>
            </w:pPr>
            <w:r>
              <w:rPr>
                <w:sz w:val="24"/>
              </w:rPr>
              <w:t>CBYX</w:t>
            </w:r>
          </w:p>
        </w:tc>
        <w:tc>
          <w:tcPr>
            <w:tcW w:w="4111" w:type="dxa"/>
          </w:tcPr>
          <w:p>
            <w:pPr>
              <w:pStyle w:val="TableParagraph"/>
              <w:spacing w:line="288" w:lineRule="exact" w:before="2"/>
              <w:ind w:left="955" w:right="945"/>
              <w:jc w:val="center"/>
              <w:rPr>
                <w:sz w:val="24"/>
              </w:rPr>
            </w:pPr>
            <w:r>
              <w:rPr>
                <w:sz w:val="24"/>
              </w:rPr>
              <w:t>基本条件</w:t>
            </w:r>
          </w:p>
        </w:tc>
        <w:tc>
          <w:tcPr>
            <w:tcW w:w="1949" w:type="dxa"/>
          </w:tcPr>
          <w:p>
            <w:pPr>
              <w:pStyle w:val="TableParagraph"/>
              <w:spacing w:line="288" w:lineRule="exact" w:before="2"/>
              <w:ind w:left="113" w:right="105"/>
              <w:jc w:val="center"/>
              <w:rPr>
                <w:sz w:val="24"/>
              </w:rPr>
            </w:pPr>
            <w:r>
              <w:rPr>
                <w:sz w:val="24"/>
              </w:rPr>
              <w:t>JB</w:t>
            </w:r>
          </w:p>
        </w:tc>
      </w:tr>
      <w:tr>
        <w:trPr>
          <w:trHeight w:val="312" w:hRule="atLeast"/>
        </w:trPr>
        <w:tc>
          <w:tcPr>
            <w:tcW w:w="1668" w:type="dxa"/>
            <w:vMerge/>
            <w:tcBorders>
              <w:top w:val="nil"/>
            </w:tcBorders>
          </w:tcPr>
          <w:p>
            <w:pPr>
              <w:rPr>
                <w:sz w:val="2"/>
                <w:szCs w:val="2"/>
              </w:rPr>
            </w:pPr>
          </w:p>
        </w:tc>
        <w:tc>
          <w:tcPr>
            <w:tcW w:w="1842" w:type="dxa"/>
            <w:vMerge/>
            <w:tcBorders>
              <w:top w:val="nil"/>
            </w:tcBorders>
          </w:tcPr>
          <w:p>
            <w:pPr>
              <w:rPr>
                <w:sz w:val="2"/>
                <w:szCs w:val="2"/>
              </w:rPr>
            </w:pPr>
          </w:p>
        </w:tc>
        <w:tc>
          <w:tcPr>
            <w:tcW w:w="4111" w:type="dxa"/>
          </w:tcPr>
          <w:p>
            <w:pPr>
              <w:pStyle w:val="TableParagraph"/>
              <w:spacing w:line="289" w:lineRule="exact" w:before="3"/>
              <w:ind w:left="955" w:right="945"/>
              <w:jc w:val="center"/>
              <w:rPr>
                <w:sz w:val="24"/>
              </w:rPr>
            </w:pPr>
            <w:r>
              <w:rPr>
                <w:sz w:val="24"/>
              </w:rPr>
              <w:t>隐患内容</w:t>
            </w:r>
          </w:p>
        </w:tc>
        <w:tc>
          <w:tcPr>
            <w:tcW w:w="1949" w:type="dxa"/>
          </w:tcPr>
          <w:p>
            <w:pPr>
              <w:pStyle w:val="TableParagraph"/>
              <w:spacing w:line="289" w:lineRule="exact" w:before="3"/>
              <w:ind w:left="113" w:right="105"/>
              <w:jc w:val="center"/>
              <w:rPr>
                <w:sz w:val="24"/>
              </w:rPr>
            </w:pPr>
            <w:r>
              <w:rPr>
                <w:sz w:val="24"/>
              </w:rPr>
              <w:t>YH</w:t>
            </w:r>
          </w:p>
        </w:tc>
      </w:tr>
      <w:tr>
        <w:trPr>
          <w:trHeight w:val="310" w:hRule="atLeast"/>
        </w:trPr>
        <w:tc>
          <w:tcPr>
            <w:tcW w:w="1668" w:type="dxa"/>
            <w:vMerge w:val="restart"/>
          </w:tcPr>
          <w:p>
            <w:pPr>
              <w:pStyle w:val="TableParagraph"/>
              <w:spacing w:before="161"/>
              <w:ind w:left="352"/>
              <w:rPr>
                <w:sz w:val="24"/>
              </w:rPr>
            </w:pPr>
            <w:r>
              <w:rPr>
                <w:sz w:val="24"/>
              </w:rPr>
              <w:t>高处作业</w:t>
            </w:r>
          </w:p>
        </w:tc>
        <w:tc>
          <w:tcPr>
            <w:tcW w:w="1842" w:type="dxa"/>
            <w:vMerge w:val="restart"/>
          </w:tcPr>
          <w:p>
            <w:pPr>
              <w:pStyle w:val="TableParagraph"/>
              <w:spacing w:before="161"/>
              <w:ind w:left="181" w:right="170"/>
              <w:jc w:val="center"/>
              <w:rPr>
                <w:sz w:val="24"/>
              </w:rPr>
            </w:pPr>
            <w:r>
              <w:rPr>
                <w:sz w:val="24"/>
              </w:rPr>
              <w:t>CBGC</w:t>
            </w:r>
          </w:p>
        </w:tc>
        <w:tc>
          <w:tcPr>
            <w:tcW w:w="4111" w:type="dxa"/>
          </w:tcPr>
          <w:p>
            <w:pPr>
              <w:pStyle w:val="TableParagraph"/>
              <w:spacing w:line="291" w:lineRule="exact"/>
              <w:ind w:left="955" w:right="945"/>
              <w:jc w:val="center"/>
              <w:rPr>
                <w:sz w:val="24"/>
              </w:rPr>
            </w:pPr>
            <w:r>
              <w:rPr>
                <w:sz w:val="24"/>
              </w:rPr>
              <w:t>基本条件</w:t>
            </w:r>
          </w:p>
        </w:tc>
        <w:tc>
          <w:tcPr>
            <w:tcW w:w="1949" w:type="dxa"/>
          </w:tcPr>
          <w:p>
            <w:pPr>
              <w:pStyle w:val="TableParagraph"/>
              <w:spacing w:line="291" w:lineRule="exact"/>
              <w:ind w:left="113" w:right="105"/>
              <w:jc w:val="center"/>
              <w:rPr>
                <w:sz w:val="24"/>
              </w:rPr>
            </w:pPr>
            <w:r>
              <w:rPr>
                <w:sz w:val="24"/>
              </w:rPr>
              <w:t>JB</w:t>
            </w:r>
          </w:p>
        </w:tc>
      </w:tr>
      <w:tr>
        <w:trPr>
          <w:trHeight w:val="311" w:hRule="atLeast"/>
        </w:trPr>
        <w:tc>
          <w:tcPr>
            <w:tcW w:w="1668" w:type="dxa"/>
            <w:vMerge/>
            <w:tcBorders>
              <w:top w:val="nil"/>
            </w:tcBorders>
          </w:tcPr>
          <w:p>
            <w:pPr>
              <w:rPr>
                <w:sz w:val="2"/>
                <w:szCs w:val="2"/>
              </w:rPr>
            </w:pPr>
          </w:p>
        </w:tc>
        <w:tc>
          <w:tcPr>
            <w:tcW w:w="1842" w:type="dxa"/>
            <w:vMerge/>
            <w:tcBorders>
              <w:top w:val="nil"/>
            </w:tcBorders>
          </w:tcPr>
          <w:p>
            <w:pPr>
              <w:rPr>
                <w:sz w:val="2"/>
                <w:szCs w:val="2"/>
              </w:rPr>
            </w:pPr>
          </w:p>
        </w:tc>
        <w:tc>
          <w:tcPr>
            <w:tcW w:w="4111" w:type="dxa"/>
          </w:tcPr>
          <w:p>
            <w:pPr>
              <w:pStyle w:val="TableParagraph"/>
              <w:spacing w:line="290" w:lineRule="exact" w:before="1"/>
              <w:ind w:left="955" w:right="945"/>
              <w:jc w:val="center"/>
              <w:rPr>
                <w:sz w:val="24"/>
              </w:rPr>
            </w:pPr>
            <w:r>
              <w:rPr>
                <w:sz w:val="24"/>
              </w:rPr>
              <w:t>隐患内容</w:t>
            </w:r>
          </w:p>
        </w:tc>
        <w:tc>
          <w:tcPr>
            <w:tcW w:w="1949" w:type="dxa"/>
          </w:tcPr>
          <w:p>
            <w:pPr>
              <w:pStyle w:val="TableParagraph"/>
              <w:spacing w:line="290" w:lineRule="exact" w:before="1"/>
              <w:ind w:left="113" w:right="105"/>
              <w:jc w:val="center"/>
              <w:rPr>
                <w:sz w:val="24"/>
              </w:rPr>
            </w:pPr>
            <w:r>
              <w:rPr>
                <w:sz w:val="24"/>
              </w:rPr>
              <w:t>YH</w:t>
            </w:r>
          </w:p>
        </w:tc>
      </w:tr>
      <w:tr>
        <w:trPr>
          <w:trHeight w:val="311" w:hRule="atLeast"/>
        </w:trPr>
        <w:tc>
          <w:tcPr>
            <w:tcW w:w="1668" w:type="dxa"/>
            <w:vMerge w:val="restart"/>
          </w:tcPr>
          <w:p>
            <w:pPr>
              <w:pStyle w:val="TableParagraph"/>
              <w:spacing w:before="162"/>
              <w:ind w:left="352"/>
              <w:rPr>
                <w:sz w:val="24"/>
              </w:rPr>
            </w:pPr>
            <w:r>
              <w:rPr>
                <w:sz w:val="24"/>
              </w:rPr>
              <w:t>起重作业</w:t>
            </w:r>
          </w:p>
        </w:tc>
        <w:tc>
          <w:tcPr>
            <w:tcW w:w="1842" w:type="dxa"/>
            <w:vMerge w:val="restart"/>
          </w:tcPr>
          <w:p>
            <w:pPr>
              <w:pStyle w:val="TableParagraph"/>
              <w:spacing w:before="162"/>
              <w:ind w:left="181" w:right="170"/>
              <w:jc w:val="center"/>
              <w:rPr>
                <w:sz w:val="24"/>
              </w:rPr>
            </w:pPr>
            <w:r>
              <w:rPr>
                <w:sz w:val="24"/>
              </w:rPr>
              <w:t>CBQZ</w:t>
            </w:r>
          </w:p>
        </w:tc>
        <w:tc>
          <w:tcPr>
            <w:tcW w:w="4111" w:type="dxa"/>
          </w:tcPr>
          <w:p>
            <w:pPr>
              <w:pStyle w:val="TableParagraph"/>
              <w:spacing w:line="289" w:lineRule="exact" w:before="1"/>
              <w:ind w:left="955" w:right="945"/>
              <w:jc w:val="center"/>
              <w:rPr>
                <w:sz w:val="24"/>
              </w:rPr>
            </w:pPr>
            <w:r>
              <w:rPr>
                <w:sz w:val="24"/>
              </w:rPr>
              <w:t>基本条件</w:t>
            </w:r>
          </w:p>
        </w:tc>
        <w:tc>
          <w:tcPr>
            <w:tcW w:w="1949" w:type="dxa"/>
          </w:tcPr>
          <w:p>
            <w:pPr>
              <w:pStyle w:val="TableParagraph"/>
              <w:spacing w:line="289" w:lineRule="exact" w:before="1"/>
              <w:ind w:left="113" w:right="105"/>
              <w:jc w:val="center"/>
              <w:rPr>
                <w:sz w:val="24"/>
              </w:rPr>
            </w:pPr>
            <w:r>
              <w:rPr>
                <w:sz w:val="24"/>
              </w:rPr>
              <w:t>JB</w:t>
            </w:r>
          </w:p>
        </w:tc>
      </w:tr>
      <w:tr>
        <w:trPr>
          <w:trHeight w:val="311" w:hRule="atLeast"/>
        </w:trPr>
        <w:tc>
          <w:tcPr>
            <w:tcW w:w="1668" w:type="dxa"/>
            <w:vMerge/>
            <w:tcBorders>
              <w:top w:val="nil"/>
            </w:tcBorders>
          </w:tcPr>
          <w:p>
            <w:pPr>
              <w:rPr>
                <w:sz w:val="2"/>
                <w:szCs w:val="2"/>
              </w:rPr>
            </w:pPr>
          </w:p>
        </w:tc>
        <w:tc>
          <w:tcPr>
            <w:tcW w:w="1842" w:type="dxa"/>
            <w:vMerge/>
            <w:tcBorders>
              <w:top w:val="nil"/>
            </w:tcBorders>
          </w:tcPr>
          <w:p>
            <w:pPr>
              <w:rPr>
                <w:sz w:val="2"/>
                <w:szCs w:val="2"/>
              </w:rPr>
            </w:pPr>
          </w:p>
        </w:tc>
        <w:tc>
          <w:tcPr>
            <w:tcW w:w="4111" w:type="dxa"/>
          </w:tcPr>
          <w:p>
            <w:pPr>
              <w:pStyle w:val="TableParagraph"/>
              <w:spacing w:line="290" w:lineRule="exact" w:before="2"/>
              <w:ind w:left="955" w:right="945"/>
              <w:jc w:val="center"/>
              <w:rPr>
                <w:sz w:val="24"/>
              </w:rPr>
            </w:pPr>
            <w:r>
              <w:rPr>
                <w:sz w:val="24"/>
              </w:rPr>
              <w:t>隐患内容</w:t>
            </w:r>
          </w:p>
        </w:tc>
        <w:tc>
          <w:tcPr>
            <w:tcW w:w="1949" w:type="dxa"/>
          </w:tcPr>
          <w:p>
            <w:pPr>
              <w:pStyle w:val="TableParagraph"/>
              <w:spacing w:line="290" w:lineRule="exact" w:before="2"/>
              <w:ind w:left="113" w:right="105"/>
              <w:jc w:val="center"/>
              <w:rPr>
                <w:sz w:val="24"/>
              </w:rPr>
            </w:pPr>
            <w:r>
              <w:rPr>
                <w:sz w:val="24"/>
              </w:rPr>
              <w:t>YH</w:t>
            </w:r>
          </w:p>
        </w:tc>
      </w:tr>
      <w:tr>
        <w:trPr>
          <w:trHeight w:val="311" w:hRule="atLeast"/>
        </w:trPr>
        <w:tc>
          <w:tcPr>
            <w:tcW w:w="1668" w:type="dxa"/>
            <w:vMerge w:val="restart"/>
          </w:tcPr>
          <w:p>
            <w:pPr>
              <w:pStyle w:val="TableParagraph"/>
              <w:spacing w:before="160"/>
              <w:ind w:left="352"/>
              <w:rPr>
                <w:sz w:val="24"/>
              </w:rPr>
            </w:pPr>
            <w:r>
              <w:rPr>
                <w:sz w:val="24"/>
              </w:rPr>
              <w:t>电气作业</w:t>
            </w:r>
          </w:p>
        </w:tc>
        <w:tc>
          <w:tcPr>
            <w:tcW w:w="1842" w:type="dxa"/>
            <w:vMerge w:val="restart"/>
          </w:tcPr>
          <w:p>
            <w:pPr>
              <w:pStyle w:val="TableParagraph"/>
              <w:spacing w:before="160"/>
              <w:ind w:left="181" w:right="170"/>
              <w:jc w:val="center"/>
              <w:rPr>
                <w:sz w:val="24"/>
              </w:rPr>
            </w:pPr>
            <w:r>
              <w:rPr>
                <w:sz w:val="24"/>
              </w:rPr>
              <w:t>CBDQ</w:t>
            </w:r>
          </w:p>
        </w:tc>
        <w:tc>
          <w:tcPr>
            <w:tcW w:w="4111" w:type="dxa"/>
          </w:tcPr>
          <w:p>
            <w:pPr>
              <w:pStyle w:val="TableParagraph"/>
              <w:spacing w:line="289" w:lineRule="exact" w:before="2"/>
              <w:ind w:left="955" w:right="945"/>
              <w:jc w:val="center"/>
              <w:rPr>
                <w:sz w:val="24"/>
              </w:rPr>
            </w:pPr>
            <w:r>
              <w:rPr>
                <w:sz w:val="24"/>
              </w:rPr>
              <w:t>基本条件</w:t>
            </w:r>
          </w:p>
        </w:tc>
        <w:tc>
          <w:tcPr>
            <w:tcW w:w="1949" w:type="dxa"/>
          </w:tcPr>
          <w:p>
            <w:pPr>
              <w:pStyle w:val="TableParagraph"/>
              <w:spacing w:line="289" w:lineRule="exact" w:before="2"/>
              <w:ind w:left="113" w:right="105"/>
              <w:jc w:val="center"/>
              <w:rPr>
                <w:sz w:val="24"/>
              </w:rPr>
            </w:pPr>
            <w:r>
              <w:rPr>
                <w:sz w:val="24"/>
              </w:rPr>
              <w:t>JB</w:t>
            </w:r>
          </w:p>
        </w:tc>
      </w:tr>
      <w:tr>
        <w:trPr>
          <w:trHeight w:val="310" w:hRule="atLeast"/>
        </w:trPr>
        <w:tc>
          <w:tcPr>
            <w:tcW w:w="1668" w:type="dxa"/>
            <w:vMerge/>
            <w:tcBorders>
              <w:top w:val="nil"/>
            </w:tcBorders>
          </w:tcPr>
          <w:p>
            <w:pPr>
              <w:rPr>
                <w:sz w:val="2"/>
                <w:szCs w:val="2"/>
              </w:rPr>
            </w:pPr>
          </w:p>
        </w:tc>
        <w:tc>
          <w:tcPr>
            <w:tcW w:w="1842" w:type="dxa"/>
            <w:vMerge/>
            <w:tcBorders>
              <w:top w:val="nil"/>
            </w:tcBorders>
          </w:tcPr>
          <w:p>
            <w:pPr>
              <w:rPr>
                <w:sz w:val="2"/>
                <w:szCs w:val="2"/>
              </w:rPr>
            </w:pPr>
          </w:p>
        </w:tc>
        <w:tc>
          <w:tcPr>
            <w:tcW w:w="4111" w:type="dxa"/>
          </w:tcPr>
          <w:p>
            <w:pPr>
              <w:pStyle w:val="TableParagraph"/>
              <w:spacing w:line="291" w:lineRule="exact"/>
              <w:ind w:left="955" w:right="945"/>
              <w:jc w:val="center"/>
              <w:rPr>
                <w:sz w:val="24"/>
              </w:rPr>
            </w:pPr>
            <w:r>
              <w:rPr>
                <w:sz w:val="24"/>
              </w:rPr>
              <w:t>隐患内容</w:t>
            </w:r>
          </w:p>
        </w:tc>
        <w:tc>
          <w:tcPr>
            <w:tcW w:w="1949" w:type="dxa"/>
          </w:tcPr>
          <w:p>
            <w:pPr>
              <w:pStyle w:val="TableParagraph"/>
              <w:spacing w:line="291" w:lineRule="exact"/>
              <w:ind w:left="113" w:right="105"/>
              <w:jc w:val="center"/>
              <w:rPr>
                <w:sz w:val="24"/>
              </w:rPr>
            </w:pPr>
            <w:r>
              <w:rPr>
                <w:sz w:val="24"/>
              </w:rPr>
              <w:t>YH</w:t>
            </w:r>
          </w:p>
        </w:tc>
      </w:tr>
    </w:tbl>
    <w:p>
      <w:pPr>
        <w:pStyle w:val="BodyText"/>
        <w:spacing w:before="11"/>
        <w:ind w:left="0"/>
        <w:rPr>
          <w:sz w:val="18"/>
        </w:rPr>
      </w:pPr>
    </w:p>
    <w:p>
      <w:pPr>
        <w:pStyle w:val="ListParagraph"/>
        <w:numPr>
          <w:ilvl w:val="0"/>
          <w:numId w:val="34"/>
        </w:numPr>
        <w:tabs>
          <w:tab w:pos="678" w:val="left" w:leader="none"/>
        </w:tabs>
        <w:spacing w:line="240" w:lineRule="auto" w:before="0" w:after="0"/>
        <w:ind w:left="677" w:right="0" w:hanging="320"/>
        <w:jc w:val="left"/>
        <w:rPr>
          <w:rFonts w:ascii="黑体" w:eastAsia="黑体" w:hint="eastAsia"/>
          <w:sz w:val="32"/>
        </w:rPr>
      </w:pPr>
      <w:r>
        <w:rPr>
          <w:rFonts w:ascii="黑体" w:eastAsia="黑体" w:hint="eastAsia"/>
          <w:sz w:val="32"/>
        </w:rPr>
        <w:t>重大生产安全事故隐患直接判定标准</w:t>
      </w:r>
    </w:p>
    <w:p>
      <w:pPr>
        <w:pStyle w:val="BodyText"/>
        <w:spacing w:before="1"/>
        <w:ind w:left="0"/>
        <w:rPr>
          <w:rFonts w:ascii="黑体"/>
          <w:sz w:val="29"/>
        </w:rPr>
      </w:pPr>
    </w:p>
    <w:p>
      <w:pPr>
        <w:pStyle w:val="BodyText"/>
        <w:ind w:left="996"/>
      </w:pPr>
      <w:r>
        <w:rPr/>
        <w:t>船舶行业建设项目重大生产安全事故隐患直接判定标准见表2。</w:t>
      </w:r>
    </w:p>
    <w:p>
      <w:pPr>
        <w:tabs>
          <w:tab w:pos="685" w:val="left" w:leader="none"/>
        </w:tabs>
        <w:spacing w:before="23"/>
        <w:ind w:left="86" w:right="0" w:firstLine="0"/>
        <w:jc w:val="center"/>
        <w:rPr>
          <w:sz w:val="24"/>
        </w:rPr>
      </w:pPr>
      <w:r>
        <w:rPr>
          <w:sz w:val="24"/>
        </w:rPr>
        <w:t>表2</w:t>
        <w:tab/>
        <w:t>船舶行业建设项目重大生产安全事故隐患直接判定标准</w:t>
      </w:r>
    </w:p>
    <w:p>
      <w:pPr>
        <w:pStyle w:val="BodyText"/>
        <w:spacing w:before="6"/>
        <w:ind w:left="0"/>
        <w:rPr>
          <w:sz w:val="9"/>
        </w:rPr>
      </w:pPr>
    </w:p>
    <w:tbl>
      <w:tblPr>
        <w:tblW w:w="0" w:type="auto"/>
        <w:jc w:val="left"/>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39"/>
        <w:gridCol w:w="1131"/>
        <w:gridCol w:w="1424"/>
        <w:gridCol w:w="4256"/>
        <w:gridCol w:w="1520"/>
      </w:tblGrid>
      <w:tr>
        <w:trPr>
          <w:trHeight w:val="622" w:hRule="atLeast"/>
        </w:trPr>
        <w:tc>
          <w:tcPr>
            <w:tcW w:w="1239" w:type="dxa"/>
          </w:tcPr>
          <w:p>
            <w:pPr>
              <w:pStyle w:val="TableParagraph"/>
              <w:spacing w:before="156"/>
              <w:ind w:left="139"/>
              <w:rPr>
                <w:sz w:val="24"/>
              </w:rPr>
            </w:pPr>
            <w:r>
              <w:rPr>
                <w:sz w:val="24"/>
              </w:rPr>
              <w:t>隐患项目</w:t>
            </w:r>
          </w:p>
        </w:tc>
        <w:tc>
          <w:tcPr>
            <w:tcW w:w="1131" w:type="dxa"/>
          </w:tcPr>
          <w:p>
            <w:pPr>
              <w:pStyle w:val="TableParagraph"/>
              <w:spacing w:line="310" w:lineRule="atLeast"/>
              <w:ind w:left="443" w:right="195" w:hanging="240"/>
              <w:rPr>
                <w:sz w:val="24"/>
              </w:rPr>
            </w:pPr>
            <w:r>
              <w:rPr>
                <w:sz w:val="24"/>
              </w:rPr>
              <w:t>隐患类别</w:t>
            </w:r>
          </w:p>
        </w:tc>
        <w:tc>
          <w:tcPr>
            <w:tcW w:w="1424" w:type="dxa"/>
          </w:tcPr>
          <w:p>
            <w:pPr>
              <w:pStyle w:val="TableParagraph"/>
              <w:spacing w:before="156"/>
              <w:ind w:left="91" w:right="82"/>
              <w:jc w:val="center"/>
              <w:rPr>
                <w:sz w:val="24"/>
              </w:rPr>
            </w:pPr>
            <w:r>
              <w:rPr>
                <w:sz w:val="24"/>
              </w:rPr>
              <w:t>隐患编号</w:t>
            </w:r>
          </w:p>
        </w:tc>
        <w:tc>
          <w:tcPr>
            <w:tcW w:w="4256" w:type="dxa"/>
          </w:tcPr>
          <w:p>
            <w:pPr>
              <w:pStyle w:val="TableParagraph"/>
              <w:spacing w:before="156"/>
              <w:ind w:left="65" w:right="58"/>
              <w:jc w:val="center"/>
              <w:rPr>
                <w:sz w:val="24"/>
              </w:rPr>
            </w:pPr>
            <w:r>
              <w:rPr>
                <w:sz w:val="24"/>
              </w:rPr>
              <w:t>隐患内容</w:t>
            </w:r>
          </w:p>
        </w:tc>
        <w:tc>
          <w:tcPr>
            <w:tcW w:w="1520" w:type="dxa"/>
          </w:tcPr>
          <w:p>
            <w:pPr>
              <w:pStyle w:val="TableParagraph"/>
              <w:spacing w:before="156"/>
              <w:ind w:left="140" w:right="129"/>
              <w:jc w:val="center"/>
              <w:rPr>
                <w:sz w:val="24"/>
              </w:rPr>
            </w:pPr>
            <w:r>
              <w:rPr>
                <w:sz w:val="24"/>
              </w:rPr>
              <w:t>参考</w:t>
            </w:r>
          </w:p>
        </w:tc>
      </w:tr>
      <w:tr>
        <w:trPr>
          <w:trHeight w:val="310" w:hRule="atLeast"/>
        </w:trPr>
        <w:tc>
          <w:tcPr>
            <w:tcW w:w="1239" w:type="dxa"/>
            <w:tcBorders>
              <w:bottom w:val="nil"/>
            </w:tcBorders>
          </w:tcPr>
          <w:p>
            <w:pPr>
              <w:pStyle w:val="TableParagraph"/>
              <w:rPr>
                <w:rFonts w:ascii="Times New Roman"/>
                <w:sz w:val="22"/>
              </w:rPr>
            </w:pPr>
          </w:p>
        </w:tc>
        <w:tc>
          <w:tcPr>
            <w:tcW w:w="1131" w:type="dxa"/>
            <w:tcBorders>
              <w:bottom w:val="nil"/>
            </w:tcBorders>
          </w:tcPr>
          <w:p>
            <w:pPr>
              <w:pStyle w:val="TableParagraph"/>
              <w:spacing w:line="290" w:lineRule="exact" w:before="1"/>
              <w:ind w:left="63" w:right="57"/>
              <w:jc w:val="center"/>
              <w:rPr>
                <w:sz w:val="24"/>
              </w:rPr>
            </w:pPr>
            <w:r>
              <w:rPr>
                <w:sz w:val="24"/>
              </w:rPr>
              <w:t>基础管</w:t>
            </w:r>
          </w:p>
        </w:tc>
        <w:tc>
          <w:tcPr>
            <w:tcW w:w="1424" w:type="dxa"/>
            <w:vMerge w:val="restart"/>
          </w:tcPr>
          <w:p>
            <w:pPr>
              <w:pStyle w:val="TableParagraph"/>
              <w:spacing w:before="157"/>
              <w:ind w:left="111"/>
              <w:rPr>
                <w:sz w:val="24"/>
              </w:rPr>
            </w:pPr>
            <w:r>
              <w:rPr>
                <w:sz w:val="24"/>
              </w:rPr>
              <w:t>CBJS-JC001</w:t>
            </w:r>
          </w:p>
        </w:tc>
        <w:tc>
          <w:tcPr>
            <w:tcW w:w="4256" w:type="dxa"/>
            <w:vMerge w:val="restart"/>
          </w:tcPr>
          <w:p>
            <w:pPr>
              <w:pStyle w:val="TableParagraph"/>
              <w:spacing w:before="157"/>
              <w:ind w:left="108"/>
              <w:rPr>
                <w:sz w:val="24"/>
              </w:rPr>
            </w:pPr>
            <w:r>
              <w:rPr>
                <w:sz w:val="24"/>
              </w:rPr>
              <w:t>建设项目无审批、无核准或无备案文件</w:t>
            </w:r>
          </w:p>
        </w:tc>
        <w:tc>
          <w:tcPr>
            <w:tcW w:w="1520" w:type="dxa"/>
            <w:tcBorders>
              <w:bottom w:val="nil"/>
            </w:tcBorders>
          </w:tcPr>
          <w:p>
            <w:pPr>
              <w:pStyle w:val="TableParagraph"/>
              <w:spacing w:line="280" w:lineRule="exact" w:before="10"/>
              <w:ind w:left="140" w:right="129"/>
              <w:jc w:val="center"/>
              <w:rPr>
                <w:sz w:val="24"/>
              </w:rPr>
            </w:pPr>
            <w:r>
              <w:rPr>
                <w:sz w:val="24"/>
              </w:rPr>
              <w:t>《建设项目</w:t>
            </w:r>
          </w:p>
        </w:tc>
      </w:tr>
      <w:tr>
        <w:trPr>
          <w:trHeight w:val="301" w:hRule="atLeast"/>
        </w:trPr>
        <w:tc>
          <w:tcPr>
            <w:tcW w:w="1239" w:type="dxa"/>
            <w:tcBorders>
              <w:top w:val="nil"/>
              <w:bottom w:val="nil"/>
            </w:tcBorders>
          </w:tcPr>
          <w:p>
            <w:pPr>
              <w:pStyle w:val="TableParagraph"/>
              <w:rPr>
                <w:rFonts w:ascii="Times New Roman"/>
                <w:sz w:val="22"/>
              </w:rPr>
            </w:pPr>
          </w:p>
        </w:tc>
        <w:tc>
          <w:tcPr>
            <w:tcW w:w="1131" w:type="dxa"/>
            <w:tcBorders>
              <w:top w:val="nil"/>
            </w:tcBorders>
          </w:tcPr>
          <w:p>
            <w:pPr>
              <w:pStyle w:val="TableParagraph"/>
              <w:spacing w:line="281" w:lineRule="exact"/>
              <w:ind w:left="6"/>
              <w:jc w:val="center"/>
              <w:rPr>
                <w:sz w:val="24"/>
              </w:rPr>
            </w:pPr>
            <w:r>
              <w:rPr>
                <w:sz w:val="24"/>
              </w:rPr>
              <w:t>理</w:t>
            </w:r>
          </w:p>
        </w:tc>
        <w:tc>
          <w:tcPr>
            <w:tcW w:w="1424" w:type="dxa"/>
            <w:vMerge/>
            <w:tcBorders>
              <w:top w:val="nil"/>
            </w:tcBorders>
          </w:tcPr>
          <w:p>
            <w:pPr>
              <w:rPr>
                <w:sz w:val="2"/>
                <w:szCs w:val="2"/>
              </w:rPr>
            </w:pPr>
          </w:p>
        </w:tc>
        <w:tc>
          <w:tcPr>
            <w:tcW w:w="4256" w:type="dxa"/>
            <w:vMerge/>
            <w:tcBorders>
              <w:top w:val="nil"/>
            </w:tcBorders>
          </w:tcPr>
          <w:p>
            <w:pPr>
              <w:rPr>
                <w:sz w:val="2"/>
                <w:szCs w:val="2"/>
              </w:rPr>
            </w:pPr>
          </w:p>
        </w:tc>
        <w:tc>
          <w:tcPr>
            <w:tcW w:w="1520" w:type="dxa"/>
            <w:tcBorders>
              <w:top w:val="nil"/>
              <w:bottom w:val="nil"/>
            </w:tcBorders>
          </w:tcPr>
          <w:p>
            <w:pPr>
              <w:pStyle w:val="TableParagraph"/>
              <w:spacing w:line="281" w:lineRule="exact"/>
              <w:ind w:left="140" w:right="129"/>
              <w:jc w:val="center"/>
              <w:rPr>
                <w:sz w:val="24"/>
              </w:rPr>
            </w:pPr>
            <w:r>
              <w:rPr>
                <w:sz w:val="24"/>
              </w:rPr>
              <w:t>安全设施</w:t>
            </w:r>
          </w:p>
        </w:tc>
      </w:tr>
      <w:tr>
        <w:trPr>
          <w:trHeight w:val="622" w:hRule="atLeast"/>
        </w:trPr>
        <w:tc>
          <w:tcPr>
            <w:tcW w:w="1239" w:type="dxa"/>
            <w:vMerge w:val="restart"/>
            <w:tcBorders>
              <w:top w:val="nil"/>
            </w:tcBorders>
          </w:tcPr>
          <w:p>
            <w:pPr>
              <w:pStyle w:val="TableParagraph"/>
              <w:ind w:left="139"/>
              <w:rPr>
                <w:sz w:val="24"/>
              </w:rPr>
            </w:pPr>
            <w:r>
              <w:rPr>
                <w:sz w:val="24"/>
              </w:rPr>
              <w:t>建设项目</w:t>
            </w:r>
          </w:p>
        </w:tc>
        <w:tc>
          <w:tcPr>
            <w:tcW w:w="1131" w:type="dxa"/>
            <w:vMerge w:val="restart"/>
          </w:tcPr>
          <w:p>
            <w:pPr>
              <w:pStyle w:val="TableParagraph"/>
              <w:spacing w:line="242" w:lineRule="auto" w:before="161"/>
              <w:ind w:left="203" w:right="195"/>
              <w:rPr>
                <w:sz w:val="24"/>
              </w:rPr>
            </w:pPr>
            <w:r>
              <w:rPr>
                <w:sz w:val="24"/>
              </w:rPr>
              <w:t>安全设施管理</w:t>
            </w:r>
          </w:p>
        </w:tc>
        <w:tc>
          <w:tcPr>
            <w:tcW w:w="1424" w:type="dxa"/>
          </w:tcPr>
          <w:p>
            <w:pPr>
              <w:pStyle w:val="TableParagraph"/>
              <w:spacing w:before="156"/>
              <w:ind w:left="91" w:right="82"/>
              <w:jc w:val="center"/>
              <w:rPr>
                <w:sz w:val="24"/>
              </w:rPr>
            </w:pPr>
            <w:r>
              <w:rPr>
                <w:sz w:val="24"/>
              </w:rPr>
              <w:t>CBJS-AQ001</w:t>
            </w:r>
          </w:p>
        </w:tc>
        <w:tc>
          <w:tcPr>
            <w:tcW w:w="4256" w:type="dxa"/>
          </w:tcPr>
          <w:p>
            <w:pPr>
              <w:pStyle w:val="TableParagraph"/>
              <w:spacing w:line="310" w:lineRule="atLeast"/>
              <w:ind w:left="108" w:right="96"/>
              <w:rPr>
                <w:sz w:val="24"/>
              </w:rPr>
            </w:pPr>
            <w:r>
              <w:rPr>
                <w:sz w:val="24"/>
              </w:rPr>
              <w:t>企业未对安全生产条件和设施进行综合分析，且未形成书面报告</w:t>
            </w:r>
          </w:p>
        </w:tc>
        <w:tc>
          <w:tcPr>
            <w:tcW w:w="1520" w:type="dxa"/>
            <w:vMerge w:val="restart"/>
            <w:tcBorders>
              <w:top w:val="nil"/>
            </w:tcBorders>
          </w:tcPr>
          <w:p>
            <w:pPr>
              <w:pStyle w:val="TableParagraph"/>
              <w:spacing w:line="242" w:lineRule="auto"/>
              <w:ind w:left="160" w:right="147"/>
              <w:jc w:val="center"/>
              <w:rPr>
                <w:sz w:val="24"/>
              </w:rPr>
            </w:pPr>
            <w:r>
              <w:rPr>
                <w:sz w:val="24"/>
              </w:rPr>
              <w:t>“三同时” 监督管理办</w:t>
            </w:r>
          </w:p>
          <w:p>
            <w:pPr>
              <w:pStyle w:val="TableParagraph"/>
              <w:spacing w:line="300" w:lineRule="exact" w:before="1"/>
              <w:ind w:left="140" w:right="129"/>
              <w:jc w:val="center"/>
              <w:rPr>
                <w:sz w:val="24"/>
              </w:rPr>
            </w:pPr>
            <w:r>
              <w:rPr>
                <w:sz w:val="24"/>
              </w:rPr>
              <w:t>法》</w:t>
            </w:r>
          </w:p>
        </w:tc>
      </w:tr>
      <w:tr>
        <w:trPr>
          <w:trHeight w:val="308" w:hRule="atLeast"/>
        </w:trPr>
        <w:tc>
          <w:tcPr>
            <w:tcW w:w="1239" w:type="dxa"/>
            <w:vMerge/>
            <w:tcBorders>
              <w:top w:val="nil"/>
            </w:tcBorders>
          </w:tcPr>
          <w:p>
            <w:pPr>
              <w:rPr>
                <w:sz w:val="2"/>
                <w:szCs w:val="2"/>
              </w:rPr>
            </w:pPr>
          </w:p>
        </w:tc>
        <w:tc>
          <w:tcPr>
            <w:tcW w:w="1131" w:type="dxa"/>
            <w:vMerge/>
            <w:tcBorders>
              <w:top w:val="nil"/>
            </w:tcBorders>
          </w:tcPr>
          <w:p>
            <w:pPr>
              <w:rPr>
                <w:sz w:val="2"/>
                <w:szCs w:val="2"/>
              </w:rPr>
            </w:pPr>
          </w:p>
        </w:tc>
        <w:tc>
          <w:tcPr>
            <w:tcW w:w="1424" w:type="dxa"/>
          </w:tcPr>
          <w:p>
            <w:pPr>
              <w:pStyle w:val="TableParagraph"/>
              <w:spacing w:line="288" w:lineRule="exact" w:before="1"/>
              <w:ind w:left="91" w:right="82"/>
              <w:jc w:val="center"/>
              <w:rPr>
                <w:sz w:val="24"/>
              </w:rPr>
            </w:pPr>
            <w:r>
              <w:rPr>
                <w:sz w:val="24"/>
              </w:rPr>
              <w:t>CBJS-AQ002</w:t>
            </w:r>
          </w:p>
        </w:tc>
        <w:tc>
          <w:tcPr>
            <w:tcW w:w="4256" w:type="dxa"/>
          </w:tcPr>
          <w:p>
            <w:pPr>
              <w:pStyle w:val="TableParagraph"/>
              <w:spacing w:line="288" w:lineRule="exact" w:before="1"/>
              <w:ind w:left="68" w:right="58"/>
              <w:jc w:val="center"/>
              <w:rPr>
                <w:sz w:val="24"/>
              </w:rPr>
            </w:pPr>
            <w:r>
              <w:rPr>
                <w:sz w:val="24"/>
              </w:rPr>
              <w:t>企业在建设项目初步设计时，未委托有</w:t>
            </w:r>
          </w:p>
        </w:tc>
        <w:tc>
          <w:tcPr>
            <w:tcW w:w="1520" w:type="dxa"/>
            <w:vMerge/>
            <w:tcBorders>
              <w:top w:val="nil"/>
            </w:tcBorders>
          </w:tcPr>
          <w:p>
            <w:pPr>
              <w:rPr>
                <w:sz w:val="2"/>
                <w:szCs w:val="2"/>
              </w:rPr>
            </w:pPr>
          </w:p>
        </w:tc>
      </w:tr>
    </w:tbl>
    <w:p>
      <w:pPr>
        <w:spacing w:after="0"/>
        <w:rPr>
          <w:sz w:val="2"/>
          <w:szCs w:val="2"/>
        </w:rPr>
        <w:sectPr>
          <w:pgSz w:w="11910" w:h="16840"/>
          <w:pgMar w:header="0" w:footer="1039" w:top="1580" w:bottom="1300" w:left="1060" w:right="860"/>
        </w:sectPr>
      </w:pPr>
    </w:p>
    <w:p>
      <w:pPr>
        <w:pStyle w:val="BodyText"/>
        <w:spacing w:before="8"/>
        <w:ind w:left="0"/>
        <w:rPr>
          <w:rFonts w:ascii="Times New Roman"/>
          <w:sz w:val="28"/>
        </w:rPr>
      </w:pPr>
    </w:p>
    <w:tbl>
      <w:tblPr>
        <w:tblW w:w="0" w:type="auto"/>
        <w:jc w:val="left"/>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39"/>
        <w:gridCol w:w="1131"/>
        <w:gridCol w:w="1424"/>
        <w:gridCol w:w="4256"/>
        <w:gridCol w:w="1520"/>
      </w:tblGrid>
      <w:tr>
        <w:trPr>
          <w:trHeight w:val="934" w:hRule="atLeast"/>
        </w:trPr>
        <w:tc>
          <w:tcPr>
            <w:tcW w:w="1239" w:type="dxa"/>
            <w:vMerge w:val="restart"/>
          </w:tcPr>
          <w:p>
            <w:pPr>
              <w:pStyle w:val="TableParagraph"/>
              <w:rPr>
                <w:rFonts w:ascii="Times New Roman"/>
                <w:sz w:val="22"/>
              </w:rPr>
            </w:pPr>
          </w:p>
        </w:tc>
        <w:tc>
          <w:tcPr>
            <w:tcW w:w="1131" w:type="dxa"/>
            <w:vMerge w:val="restart"/>
          </w:tcPr>
          <w:p>
            <w:pPr>
              <w:pStyle w:val="TableParagraph"/>
              <w:rPr>
                <w:rFonts w:ascii="Times New Roman"/>
                <w:sz w:val="22"/>
              </w:rPr>
            </w:pPr>
          </w:p>
        </w:tc>
        <w:tc>
          <w:tcPr>
            <w:tcW w:w="1424" w:type="dxa"/>
          </w:tcPr>
          <w:p>
            <w:pPr>
              <w:pStyle w:val="TableParagraph"/>
              <w:rPr>
                <w:rFonts w:ascii="Times New Roman"/>
                <w:sz w:val="22"/>
              </w:rPr>
            </w:pPr>
          </w:p>
        </w:tc>
        <w:tc>
          <w:tcPr>
            <w:tcW w:w="4256" w:type="dxa"/>
          </w:tcPr>
          <w:p>
            <w:pPr>
              <w:pStyle w:val="TableParagraph"/>
              <w:spacing w:line="242" w:lineRule="auto" w:before="2"/>
              <w:ind w:left="108" w:right="37"/>
              <w:rPr>
                <w:sz w:val="24"/>
              </w:rPr>
            </w:pPr>
            <w:r>
              <w:rPr>
                <w:sz w:val="24"/>
              </w:rPr>
              <w:t>相应资质的设计单位对建设项目安全设施同时进行设计，且未编制安全设施</w:t>
            </w:r>
          </w:p>
          <w:p>
            <w:pPr>
              <w:pStyle w:val="TableParagraph"/>
              <w:spacing w:line="290" w:lineRule="exact" w:before="1"/>
              <w:ind w:left="108"/>
              <w:rPr>
                <w:sz w:val="24"/>
              </w:rPr>
            </w:pPr>
            <w:r>
              <w:rPr>
                <w:sz w:val="24"/>
              </w:rPr>
              <w:t>设计</w:t>
            </w:r>
          </w:p>
        </w:tc>
        <w:tc>
          <w:tcPr>
            <w:tcW w:w="1520" w:type="dxa"/>
            <w:vMerge w:val="restart"/>
          </w:tcPr>
          <w:p>
            <w:pPr>
              <w:pStyle w:val="TableParagraph"/>
              <w:rPr>
                <w:rFonts w:ascii="Times New Roman"/>
                <w:sz w:val="22"/>
              </w:rPr>
            </w:pPr>
          </w:p>
        </w:tc>
      </w:tr>
      <w:tr>
        <w:trPr>
          <w:trHeight w:val="621" w:hRule="atLeast"/>
        </w:trPr>
        <w:tc>
          <w:tcPr>
            <w:tcW w:w="1239" w:type="dxa"/>
            <w:vMerge/>
            <w:tcBorders>
              <w:top w:val="nil"/>
            </w:tcBorders>
          </w:tcPr>
          <w:p>
            <w:pPr>
              <w:rPr>
                <w:sz w:val="2"/>
                <w:szCs w:val="2"/>
              </w:rPr>
            </w:pPr>
          </w:p>
        </w:tc>
        <w:tc>
          <w:tcPr>
            <w:tcW w:w="1131" w:type="dxa"/>
            <w:vMerge/>
            <w:tcBorders>
              <w:top w:val="nil"/>
            </w:tcBorders>
          </w:tcPr>
          <w:p>
            <w:pPr>
              <w:rPr>
                <w:sz w:val="2"/>
                <w:szCs w:val="2"/>
              </w:rPr>
            </w:pPr>
          </w:p>
        </w:tc>
        <w:tc>
          <w:tcPr>
            <w:tcW w:w="1424" w:type="dxa"/>
          </w:tcPr>
          <w:p>
            <w:pPr>
              <w:pStyle w:val="TableParagraph"/>
              <w:spacing w:before="155"/>
              <w:ind w:left="111"/>
              <w:rPr>
                <w:sz w:val="24"/>
              </w:rPr>
            </w:pPr>
            <w:r>
              <w:rPr>
                <w:sz w:val="24"/>
              </w:rPr>
              <w:t>CBJS-AQ003</w:t>
            </w:r>
          </w:p>
        </w:tc>
        <w:tc>
          <w:tcPr>
            <w:tcW w:w="4256" w:type="dxa"/>
          </w:tcPr>
          <w:p>
            <w:pPr>
              <w:pStyle w:val="TableParagraph"/>
              <w:spacing w:before="1"/>
              <w:ind w:left="108"/>
              <w:rPr>
                <w:sz w:val="24"/>
              </w:rPr>
            </w:pPr>
            <w:r>
              <w:rPr>
                <w:sz w:val="24"/>
              </w:rPr>
              <w:t>企业未组织对建设项目安全设施设计</w:t>
            </w:r>
          </w:p>
          <w:p>
            <w:pPr>
              <w:pStyle w:val="TableParagraph"/>
              <w:spacing w:line="291" w:lineRule="exact" w:before="2"/>
              <w:ind w:left="108"/>
              <w:rPr>
                <w:sz w:val="24"/>
              </w:rPr>
            </w:pPr>
            <w:r>
              <w:rPr>
                <w:sz w:val="24"/>
              </w:rPr>
              <w:t>进行审查，且未形成书面报告</w:t>
            </w:r>
          </w:p>
        </w:tc>
        <w:tc>
          <w:tcPr>
            <w:tcW w:w="1520" w:type="dxa"/>
            <w:vMerge/>
            <w:tcBorders>
              <w:top w:val="nil"/>
            </w:tcBorders>
          </w:tcPr>
          <w:p>
            <w:pPr>
              <w:rPr>
                <w:sz w:val="2"/>
                <w:szCs w:val="2"/>
              </w:rPr>
            </w:pPr>
          </w:p>
        </w:tc>
      </w:tr>
      <w:tr>
        <w:trPr>
          <w:trHeight w:val="934" w:hRule="atLeast"/>
        </w:trPr>
        <w:tc>
          <w:tcPr>
            <w:tcW w:w="1239" w:type="dxa"/>
            <w:vMerge/>
            <w:tcBorders>
              <w:top w:val="nil"/>
            </w:tcBorders>
          </w:tcPr>
          <w:p>
            <w:pPr>
              <w:rPr>
                <w:sz w:val="2"/>
                <w:szCs w:val="2"/>
              </w:rPr>
            </w:pPr>
          </w:p>
        </w:tc>
        <w:tc>
          <w:tcPr>
            <w:tcW w:w="1131" w:type="dxa"/>
            <w:vMerge/>
            <w:tcBorders>
              <w:top w:val="nil"/>
            </w:tcBorders>
          </w:tcPr>
          <w:p>
            <w:pPr>
              <w:rPr>
                <w:sz w:val="2"/>
                <w:szCs w:val="2"/>
              </w:rPr>
            </w:pPr>
          </w:p>
        </w:tc>
        <w:tc>
          <w:tcPr>
            <w:tcW w:w="1424" w:type="dxa"/>
          </w:tcPr>
          <w:p>
            <w:pPr>
              <w:pStyle w:val="TableParagraph"/>
              <w:spacing w:before="2"/>
              <w:rPr>
                <w:rFonts w:ascii="Times New Roman"/>
                <w:sz w:val="27"/>
              </w:rPr>
            </w:pPr>
          </w:p>
          <w:p>
            <w:pPr>
              <w:pStyle w:val="TableParagraph"/>
              <w:ind w:left="111"/>
              <w:rPr>
                <w:sz w:val="24"/>
              </w:rPr>
            </w:pPr>
            <w:r>
              <w:rPr>
                <w:sz w:val="24"/>
              </w:rPr>
              <w:t>CBJS-AQ004</w:t>
            </w:r>
          </w:p>
        </w:tc>
        <w:tc>
          <w:tcPr>
            <w:tcW w:w="4256" w:type="dxa"/>
          </w:tcPr>
          <w:p>
            <w:pPr>
              <w:pStyle w:val="TableParagraph"/>
              <w:spacing w:line="242" w:lineRule="auto" w:before="3"/>
              <w:ind w:left="108" w:right="37"/>
              <w:rPr>
                <w:sz w:val="24"/>
              </w:rPr>
            </w:pPr>
            <w:r>
              <w:rPr>
                <w:sz w:val="24"/>
              </w:rPr>
              <w:t>建设项目安全设施的施工由未取得相应资质的施工单位进行，且未与建设项</w:t>
            </w:r>
          </w:p>
          <w:p>
            <w:pPr>
              <w:pStyle w:val="TableParagraph"/>
              <w:spacing w:line="289" w:lineRule="exact"/>
              <w:ind w:left="108"/>
              <w:rPr>
                <w:sz w:val="24"/>
              </w:rPr>
            </w:pPr>
            <w:r>
              <w:rPr>
                <w:sz w:val="24"/>
              </w:rPr>
              <w:t>目主体工程同时施工</w:t>
            </w:r>
          </w:p>
        </w:tc>
        <w:tc>
          <w:tcPr>
            <w:tcW w:w="1520" w:type="dxa"/>
            <w:vMerge/>
            <w:tcBorders>
              <w:top w:val="nil"/>
            </w:tcBorders>
          </w:tcPr>
          <w:p>
            <w:pPr>
              <w:rPr>
                <w:sz w:val="2"/>
                <w:szCs w:val="2"/>
              </w:rPr>
            </w:pPr>
          </w:p>
        </w:tc>
      </w:tr>
      <w:tr>
        <w:trPr>
          <w:trHeight w:val="934" w:hRule="atLeast"/>
        </w:trPr>
        <w:tc>
          <w:tcPr>
            <w:tcW w:w="1239" w:type="dxa"/>
            <w:vMerge/>
            <w:tcBorders>
              <w:top w:val="nil"/>
            </w:tcBorders>
          </w:tcPr>
          <w:p>
            <w:pPr>
              <w:rPr>
                <w:sz w:val="2"/>
                <w:szCs w:val="2"/>
              </w:rPr>
            </w:pPr>
          </w:p>
        </w:tc>
        <w:tc>
          <w:tcPr>
            <w:tcW w:w="1131" w:type="dxa"/>
            <w:vMerge/>
            <w:tcBorders>
              <w:top w:val="nil"/>
            </w:tcBorders>
          </w:tcPr>
          <w:p>
            <w:pPr>
              <w:rPr>
                <w:sz w:val="2"/>
                <w:szCs w:val="2"/>
              </w:rPr>
            </w:pPr>
          </w:p>
        </w:tc>
        <w:tc>
          <w:tcPr>
            <w:tcW w:w="1424" w:type="dxa"/>
          </w:tcPr>
          <w:p>
            <w:pPr>
              <w:pStyle w:val="TableParagraph"/>
              <w:spacing w:before="1"/>
              <w:rPr>
                <w:rFonts w:ascii="Times New Roman"/>
                <w:sz w:val="27"/>
              </w:rPr>
            </w:pPr>
          </w:p>
          <w:p>
            <w:pPr>
              <w:pStyle w:val="TableParagraph"/>
              <w:ind w:left="111"/>
              <w:rPr>
                <w:sz w:val="24"/>
              </w:rPr>
            </w:pPr>
            <w:r>
              <w:rPr>
                <w:sz w:val="24"/>
              </w:rPr>
              <w:t>CBJS-AQ005</w:t>
            </w:r>
          </w:p>
        </w:tc>
        <w:tc>
          <w:tcPr>
            <w:tcW w:w="4256" w:type="dxa"/>
          </w:tcPr>
          <w:p>
            <w:pPr>
              <w:pStyle w:val="TableParagraph"/>
              <w:spacing w:line="242" w:lineRule="auto" w:before="2"/>
              <w:ind w:left="108" w:right="37"/>
              <w:rPr>
                <w:sz w:val="24"/>
              </w:rPr>
            </w:pPr>
            <w:r>
              <w:rPr>
                <w:sz w:val="24"/>
              </w:rPr>
              <w:t>建设项目安全设施建成后，企业未对安全设施进行检查，或安全设施检查后未</w:t>
            </w:r>
          </w:p>
          <w:p>
            <w:pPr>
              <w:pStyle w:val="TableParagraph"/>
              <w:spacing w:line="290" w:lineRule="exact" w:before="1"/>
              <w:ind w:left="108"/>
              <w:rPr>
                <w:sz w:val="24"/>
              </w:rPr>
            </w:pPr>
            <w:r>
              <w:rPr>
                <w:sz w:val="24"/>
              </w:rPr>
              <w:t>对发现的问题及时整改</w:t>
            </w:r>
          </w:p>
        </w:tc>
        <w:tc>
          <w:tcPr>
            <w:tcW w:w="1520" w:type="dxa"/>
            <w:vMerge/>
            <w:tcBorders>
              <w:top w:val="nil"/>
            </w:tcBorders>
          </w:tcPr>
          <w:p>
            <w:pPr>
              <w:rPr>
                <w:sz w:val="2"/>
                <w:szCs w:val="2"/>
              </w:rPr>
            </w:pPr>
          </w:p>
        </w:tc>
      </w:tr>
      <w:tr>
        <w:trPr>
          <w:trHeight w:val="1244" w:hRule="atLeast"/>
        </w:trPr>
        <w:tc>
          <w:tcPr>
            <w:tcW w:w="1239" w:type="dxa"/>
            <w:vMerge/>
            <w:tcBorders>
              <w:top w:val="nil"/>
            </w:tcBorders>
          </w:tcPr>
          <w:p>
            <w:pPr>
              <w:rPr>
                <w:sz w:val="2"/>
                <w:szCs w:val="2"/>
              </w:rPr>
            </w:pPr>
          </w:p>
        </w:tc>
        <w:tc>
          <w:tcPr>
            <w:tcW w:w="1131" w:type="dxa"/>
            <w:vMerge/>
            <w:tcBorders>
              <w:top w:val="nil"/>
            </w:tcBorders>
          </w:tcPr>
          <w:p>
            <w:pPr>
              <w:rPr>
                <w:sz w:val="2"/>
                <w:szCs w:val="2"/>
              </w:rPr>
            </w:pPr>
          </w:p>
        </w:tc>
        <w:tc>
          <w:tcPr>
            <w:tcW w:w="1424" w:type="dxa"/>
          </w:tcPr>
          <w:p>
            <w:pPr>
              <w:pStyle w:val="TableParagraph"/>
              <w:rPr>
                <w:rFonts w:ascii="Times New Roman"/>
                <w:sz w:val="24"/>
              </w:rPr>
            </w:pPr>
          </w:p>
          <w:p>
            <w:pPr>
              <w:pStyle w:val="TableParagraph"/>
              <w:spacing w:before="191"/>
              <w:ind w:left="111"/>
              <w:rPr>
                <w:sz w:val="24"/>
              </w:rPr>
            </w:pPr>
            <w:r>
              <w:rPr>
                <w:sz w:val="24"/>
              </w:rPr>
              <w:t>CBJS-AQ006</w:t>
            </w:r>
          </w:p>
        </w:tc>
        <w:tc>
          <w:tcPr>
            <w:tcW w:w="4256" w:type="dxa"/>
          </w:tcPr>
          <w:p>
            <w:pPr>
              <w:pStyle w:val="TableParagraph"/>
              <w:spacing w:line="242" w:lineRule="auto" w:before="1"/>
              <w:ind w:left="108" w:right="96"/>
              <w:jc w:val="both"/>
              <w:rPr>
                <w:sz w:val="24"/>
              </w:rPr>
            </w:pPr>
            <w:r>
              <w:rPr>
                <w:spacing w:val="-4"/>
                <w:sz w:val="24"/>
              </w:rPr>
              <w:t>建设项目竣工投入生产或者使用前，企业未组织对安全设施进行竣工验收，且</w:t>
            </w:r>
            <w:r>
              <w:rPr>
                <w:spacing w:val="-7"/>
                <w:sz w:val="24"/>
              </w:rPr>
              <w:t>未形成书面报告，或安全设施竣工验收</w:t>
            </w:r>
          </w:p>
          <w:p>
            <w:pPr>
              <w:pStyle w:val="TableParagraph"/>
              <w:spacing w:line="290" w:lineRule="exact" w:before="2"/>
              <w:ind w:left="108"/>
              <w:rPr>
                <w:sz w:val="24"/>
              </w:rPr>
            </w:pPr>
            <w:r>
              <w:rPr>
                <w:sz w:val="24"/>
              </w:rPr>
              <w:t>不合格，即投入生产或使用</w:t>
            </w:r>
          </w:p>
        </w:tc>
        <w:tc>
          <w:tcPr>
            <w:tcW w:w="1520" w:type="dxa"/>
            <w:vMerge/>
            <w:tcBorders>
              <w:top w:val="nil"/>
            </w:tcBorders>
          </w:tcPr>
          <w:p>
            <w:pPr>
              <w:rPr>
                <w:sz w:val="2"/>
                <w:szCs w:val="2"/>
              </w:rPr>
            </w:pPr>
          </w:p>
        </w:tc>
      </w:tr>
      <w:tr>
        <w:trPr>
          <w:trHeight w:val="1245" w:hRule="atLeast"/>
        </w:trPr>
        <w:tc>
          <w:tcPr>
            <w:tcW w:w="1239" w:type="dxa"/>
            <w:vMerge/>
            <w:tcBorders>
              <w:top w:val="nil"/>
            </w:tcBorders>
          </w:tcPr>
          <w:p>
            <w:pPr>
              <w:rPr>
                <w:sz w:val="2"/>
                <w:szCs w:val="2"/>
              </w:rPr>
            </w:pPr>
          </w:p>
        </w:tc>
        <w:tc>
          <w:tcPr>
            <w:tcW w:w="1131" w:type="dxa"/>
            <w:vMerge w:val="restart"/>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line="242" w:lineRule="auto" w:before="177"/>
              <w:ind w:left="203" w:right="195"/>
              <w:jc w:val="both"/>
              <w:rPr>
                <w:sz w:val="24"/>
              </w:rPr>
            </w:pPr>
            <w:r>
              <w:rPr>
                <w:sz w:val="24"/>
              </w:rPr>
              <w:t>职业病防护设施管理</w:t>
            </w:r>
          </w:p>
        </w:tc>
        <w:tc>
          <w:tcPr>
            <w:tcW w:w="1424" w:type="dxa"/>
          </w:tcPr>
          <w:p>
            <w:pPr>
              <w:pStyle w:val="TableParagraph"/>
              <w:rPr>
                <w:rFonts w:ascii="Times New Roman"/>
                <w:sz w:val="24"/>
              </w:rPr>
            </w:pPr>
          </w:p>
          <w:p>
            <w:pPr>
              <w:pStyle w:val="TableParagraph"/>
              <w:spacing w:before="191"/>
              <w:ind w:left="111"/>
              <w:rPr>
                <w:sz w:val="24"/>
              </w:rPr>
            </w:pPr>
            <w:r>
              <w:rPr>
                <w:sz w:val="24"/>
              </w:rPr>
              <w:t>CBJS-ZY001</w:t>
            </w:r>
          </w:p>
        </w:tc>
        <w:tc>
          <w:tcPr>
            <w:tcW w:w="4256" w:type="dxa"/>
          </w:tcPr>
          <w:p>
            <w:pPr>
              <w:pStyle w:val="TableParagraph"/>
              <w:spacing w:line="242" w:lineRule="auto" w:before="1"/>
              <w:ind w:left="108" w:right="96"/>
              <w:jc w:val="both"/>
              <w:rPr>
                <w:sz w:val="24"/>
              </w:rPr>
            </w:pPr>
            <w:r>
              <w:rPr>
                <w:spacing w:val="-4"/>
                <w:sz w:val="24"/>
              </w:rPr>
              <w:t>对可能产生职业病危害的建设项目，建</w:t>
            </w:r>
            <w:r>
              <w:rPr>
                <w:spacing w:val="10"/>
                <w:sz w:val="24"/>
              </w:rPr>
              <w:t>设单位未在建设项目可行性论证阶段委托有相应资质的单位进行职业病危</w:t>
            </w:r>
          </w:p>
          <w:p>
            <w:pPr>
              <w:pStyle w:val="TableParagraph"/>
              <w:spacing w:line="291" w:lineRule="exact"/>
              <w:ind w:left="108"/>
              <w:rPr>
                <w:sz w:val="24"/>
              </w:rPr>
            </w:pPr>
            <w:r>
              <w:rPr>
                <w:sz w:val="24"/>
              </w:rPr>
              <w:t>害预评价，且未编制预评价报告</w:t>
            </w:r>
          </w:p>
        </w:tc>
        <w:tc>
          <w:tcPr>
            <w:tcW w:w="1520" w:type="dxa"/>
            <w:vMerge w:val="restart"/>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line="242" w:lineRule="auto" w:before="141"/>
              <w:ind w:left="107" w:right="94"/>
              <w:jc w:val="both"/>
              <w:rPr>
                <w:sz w:val="24"/>
              </w:rPr>
            </w:pPr>
            <w:r>
              <w:rPr>
                <w:spacing w:val="17"/>
                <w:sz w:val="24"/>
              </w:rPr>
              <w:t>《建设项目职业病防护</w:t>
            </w:r>
            <w:r>
              <w:rPr>
                <w:spacing w:val="-7"/>
                <w:sz w:val="24"/>
              </w:rPr>
              <w:t>设施“ 三同</w:t>
            </w:r>
            <w:r>
              <w:rPr>
                <w:spacing w:val="-6"/>
                <w:sz w:val="24"/>
              </w:rPr>
              <w:t>时” 监督管</w:t>
            </w:r>
            <w:r>
              <w:rPr>
                <w:sz w:val="24"/>
              </w:rPr>
              <w:t>理办法》</w:t>
            </w:r>
          </w:p>
        </w:tc>
      </w:tr>
      <w:tr>
        <w:trPr>
          <w:trHeight w:val="934" w:hRule="atLeast"/>
        </w:trPr>
        <w:tc>
          <w:tcPr>
            <w:tcW w:w="1239" w:type="dxa"/>
            <w:vMerge/>
            <w:tcBorders>
              <w:top w:val="nil"/>
            </w:tcBorders>
          </w:tcPr>
          <w:p>
            <w:pPr>
              <w:rPr>
                <w:sz w:val="2"/>
                <w:szCs w:val="2"/>
              </w:rPr>
            </w:pPr>
          </w:p>
        </w:tc>
        <w:tc>
          <w:tcPr>
            <w:tcW w:w="1131" w:type="dxa"/>
            <w:vMerge/>
            <w:tcBorders>
              <w:top w:val="nil"/>
            </w:tcBorders>
          </w:tcPr>
          <w:p>
            <w:pPr>
              <w:rPr>
                <w:sz w:val="2"/>
                <w:szCs w:val="2"/>
              </w:rPr>
            </w:pPr>
          </w:p>
        </w:tc>
        <w:tc>
          <w:tcPr>
            <w:tcW w:w="1424" w:type="dxa"/>
          </w:tcPr>
          <w:p>
            <w:pPr>
              <w:pStyle w:val="TableParagraph"/>
              <w:spacing w:before="1"/>
              <w:rPr>
                <w:rFonts w:ascii="Times New Roman"/>
                <w:sz w:val="27"/>
              </w:rPr>
            </w:pPr>
          </w:p>
          <w:p>
            <w:pPr>
              <w:pStyle w:val="TableParagraph"/>
              <w:ind w:left="111"/>
              <w:rPr>
                <w:sz w:val="24"/>
              </w:rPr>
            </w:pPr>
            <w:r>
              <w:rPr>
                <w:sz w:val="24"/>
              </w:rPr>
              <w:t>CBJS-ZY002</w:t>
            </w:r>
          </w:p>
        </w:tc>
        <w:tc>
          <w:tcPr>
            <w:tcW w:w="4256" w:type="dxa"/>
          </w:tcPr>
          <w:p>
            <w:pPr>
              <w:pStyle w:val="TableParagraph"/>
              <w:spacing w:line="242" w:lineRule="auto" w:before="2"/>
              <w:ind w:left="108" w:right="37"/>
              <w:rPr>
                <w:sz w:val="24"/>
              </w:rPr>
            </w:pPr>
            <w:r>
              <w:rPr>
                <w:sz w:val="24"/>
              </w:rPr>
              <w:t>建设项目职业病危害预评价报告不符合职业病防治有关法律、法规、规章和</w:t>
            </w:r>
          </w:p>
          <w:p>
            <w:pPr>
              <w:pStyle w:val="TableParagraph"/>
              <w:spacing w:line="290" w:lineRule="exact"/>
              <w:ind w:left="108"/>
              <w:rPr>
                <w:sz w:val="24"/>
              </w:rPr>
            </w:pPr>
            <w:r>
              <w:rPr>
                <w:sz w:val="24"/>
              </w:rPr>
              <w:t>标准的要求或报告内容不全</w:t>
            </w:r>
          </w:p>
        </w:tc>
        <w:tc>
          <w:tcPr>
            <w:tcW w:w="1520" w:type="dxa"/>
            <w:vMerge/>
            <w:tcBorders>
              <w:top w:val="nil"/>
            </w:tcBorders>
          </w:tcPr>
          <w:p>
            <w:pPr>
              <w:rPr>
                <w:sz w:val="2"/>
                <w:szCs w:val="2"/>
              </w:rPr>
            </w:pPr>
          </w:p>
        </w:tc>
      </w:tr>
      <w:tr>
        <w:trPr>
          <w:trHeight w:val="2178" w:hRule="atLeast"/>
        </w:trPr>
        <w:tc>
          <w:tcPr>
            <w:tcW w:w="1239" w:type="dxa"/>
            <w:vMerge/>
            <w:tcBorders>
              <w:top w:val="nil"/>
            </w:tcBorders>
          </w:tcPr>
          <w:p>
            <w:pPr>
              <w:rPr>
                <w:sz w:val="2"/>
                <w:szCs w:val="2"/>
              </w:rPr>
            </w:pPr>
          </w:p>
        </w:tc>
        <w:tc>
          <w:tcPr>
            <w:tcW w:w="1131" w:type="dxa"/>
            <w:vMerge/>
            <w:tcBorders>
              <w:top w:val="nil"/>
            </w:tcBorders>
          </w:tcPr>
          <w:p>
            <w:pPr>
              <w:rPr>
                <w:sz w:val="2"/>
                <w:szCs w:val="2"/>
              </w:rPr>
            </w:pPr>
          </w:p>
        </w:tc>
        <w:tc>
          <w:tcPr>
            <w:tcW w:w="1424" w:type="dxa"/>
          </w:tcPr>
          <w:p>
            <w:pPr>
              <w:pStyle w:val="TableParagraph"/>
              <w:rPr>
                <w:rFonts w:ascii="Times New Roman"/>
                <w:sz w:val="24"/>
              </w:rPr>
            </w:pPr>
          </w:p>
          <w:p>
            <w:pPr>
              <w:pStyle w:val="TableParagraph"/>
              <w:rPr>
                <w:rFonts w:ascii="Times New Roman"/>
                <w:sz w:val="24"/>
              </w:rPr>
            </w:pPr>
          </w:p>
          <w:p>
            <w:pPr>
              <w:pStyle w:val="TableParagraph"/>
              <w:spacing w:before="3"/>
              <w:rPr>
                <w:rFonts w:ascii="Times New Roman"/>
                <w:sz w:val="33"/>
              </w:rPr>
            </w:pPr>
          </w:p>
          <w:p>
            <w:pPr>
              <w:pStyle w:val="TableParagraph"/>
              <w:ind w:left="111"/>
              <w:rPr>
                <w:sz w:val="24"/>
              </w:rPr>
            </w:pPr>
            <w:r>
              <w:rPr>
                <w:sz w:val="24"/>
              </w:rPr>
              <w:t>CBJS-ZY003</w:t>
            </w:r>
          </w:p>
        </w:tc>
        <w:tc>
          <w:tcPr>
            <w:tcW w:w="4256" w:type="dxa"/>
          </w:tcPr>
          <w:p>
            <w:pPr>
              <w:pStyle w:val="TableParagraph"/>
              <w:spacing w:line="242" w:lineRule="auto" w:before="1"/>
              <w:ind w:left="108" w:right="96"/>
              <w:jc w:val="both"/>
              <w:rPr>
                <w:sz w:val="24"/>
              </w:rPr>
            </w:pPr>
            <w:r>
              <w:rPr>
                <w:spacing w:val="-4"/>
                <w:sz w:val="24"/>
              </w:rPr>
              <w:t>职业病危害预评价报告编制完成后，建</w:t>
            </w:r>
            <w:r>
              <w:rPr>
                <w:spacing w:val="10"/>
                <w:sz w:val="24"/>
              </w:rPr>
              <w:t>设单位未根据职业病危害等级对职业</w:t>
            </w:r>
            <w:r>
              <w:rPr>
                <w:spacing w:val="-5"/>
                <w:sz w:val="24"/>
              </w:rPr>
              <w:t>病危害预评价报告进行评审，且未形成</w:t>
            </w:r>
            <w:r>
              <w:rPr>
                <w:spacing w:val="-8"/>
                <w:sz w:val="24"/>
              </w:rPr>
              <w:t>评审意见；或未按照评审意见对职业病</w:t>
            </w:r>
            <w:r>
              <w:rPr>
                <w:spacing w:val="-4"/>
                <w:sz w:val="24"/>
              </w:rPr>
              <w:t>危害预评价报告进行修改完善；或职业</w:t>
            </w:r>
            <w:r>
              <w:rPr>
                <w:spacing w:val="10"/>
                <w:sz w:val="24"/>
              </w:rPr>
              <w:t>病危害预评价工作过程未形成书面报</w:t>
            </w:r>
          </w:p>
          <w:p>
            <w:pPr>
              <w:pStyle w:val="TableParagraph"/>
              <w:spacing w:line="290" w:lineRule="exact" w:before="4"/>
              <w:ind w:left="108"/>
              <w:rPr>
                <w:sz w:val="24"/>
              </w:rPr>
            </w:pPr>
            <w:r>
              <w:rPr>
                <w:sz w:val="24"/>
              </w:rPr>
              <w:t>告</w:t>
            </w:r>
          </w:p>
        </w:tc>
        <w:tc>
          <w:tcPr>
            <w:tcW w:w="1520" w:type="dxa"/>
            <w:vMerge/>
            <w:tcBorders>
              <w:top w:val="nil"/>
            </w:tcBorders>
          </w:tcPr>
          <w:p>
            <w:pPr>
              <w:rPr>
                <w:sz w:val="2"/>
                <w:szCs w:val="2"/>
              </w:rPr>
            </w:pPr>
          </w:p>
        </w:tc>
      </w:tr>
      <w:tr>
        <w:trPr>
          <w:trHeight w:val="622" w:hRule="atLeast"/>
        </w:trPr>
        <w:tc>
          <w:tcPr>
            <w:tcW w:w="1239" w:type="dxa"/>
            <w:vMerge/>
            <w:tcBorders>
              <w:top w:val="nil"/>
            </w:tcBorders>
          </w:tcPr>
          <w:p>
            <w:pPr>
              <w:rPr>
                <w:sz w:val="2"/>
                <w:szCs w:val="2"/>
              </w:rPr>
            </w:pPr>
          </w:p>
        </w:tc>
        <w:tc>
          <w:tcPr>
            <w:tcW w:w="1131" w:type="dxa"/>
            <w:vMerge/>
            <w:tcBorders>
              <w:top w:val="nil"/>
            </w:tcBorders>
          </w:tcPr>
          <w:p>
            <w:pPr>
              <w:rPr>
                <w:sz w:val="2"/>
                <w:szCs w:val="2"/>
              </w:rPr>
            </w:pPr>
          </w:p>
        </w:tc>
        <w:tc>
          <w:tcPr>
            <w:tcW w:w="1424" w:type="dxa"/>
          </w:tcPr>
          <w:p>
            <w:pPr>
              <w:pStyle w:val="TableParagraph"/>
              <w:spacing w:before="158"/>
              <w:ind w:left="111"/>
              <w:rPr>
                <w:sz w:val="24"/>
              </w:rPr>
            </w:pPr>
            <w:r>
              <w:rPr>
                <w:sz w:val="24"/>
              </w:rPr>
              <w:t>CBJS-ZY004</w:t>
            </w:r>
          </w:p>
        </w:tc>
        <w:tc>
          <w:tcPr>
            <w:tcW w:w="4256" w:type="dxa"/>
          </w:tcPr>
          <w:p>
            <w:pPr>
              <w:pStyle w:val="TableParagraph"/>
              <w:spacing w:before="2"/>
              <w:ind w:left="108"/>
              <w:rPr>
                <w:sz w:val="24"/>
              </w:rPr>
            </w:pPr>
            <w:r>
              <w:rPr>
                <w:sz w:val="24"/>
              </w:rPr>
              <w:t>建设项目职业病危害预评价报告未通</w:t>
            </w:r>
          </w:p>
          <w:p>
            <w:pPr>
              <w:pStyle w:val="TableParagraph"/>
              <w:spacing w:line="289" w:lineRule="exact" w:before="4"/>
              <w:ind w:left="108"/>
              <w:rPr>
                <w:sz w:val="24"/>
              </w:rPr>
            </w:pPr>
            <w:r>
              <w:rPr>
                <w:sz w:val="24"/>
              </w:rPr>
              <w:t>过评审</w:t>
            </w:r>
          </w:p>
        </w:tc>
        <w:tc>
          <w:tcPr>
            <w:tcW w:w="1520" w:type="dxa"/>
            <w:vMerge/>
            <w:tcBorders>
              <w:top w:val="nil"/>
            </w:tcBorders>
          </w:tcPr>
          <w:p>
            <w:pPr>
              <w:rPr>
                <w:sz w:val="2"/>
                <w:szCs w:val="2"/>
              </w:rPr>
            </w:pPr>
          </w:p>
        </w:tc>
      </w:tr>
      <w:tr>
        <w:trPr>
          <w:trHeight w:val="1555" w:hRule="atLeast"/>
        </w:trPr>
        <w:tc>
          <w:tcPr>
            <w:tcW w:w="1239" w:type="dxa"/>
            <w:vMerge/>
            <w:tcBorders>
              <w:top w:val="nil"/>
            </w:tcBorders>
          </w:tcPr>
          <w:p>
            <w:pPr>
              <w:rPr>
                <w:sz w:val="2"/>
                <w:szCs w:val="2"/>
              </w:rPr>
            </w:pPr>
          </w:p>
        </w:tc>
        <w:tc>
          <w:tcPr>
            <w:tcW w:w="1131" w:type="dxa"/>
            <w:vMerge/>
            <w:tcBorders>
              <w:top w:val="nil"/>
            </w:tcBorders>
          </w:tcPr>
          <w:p>
            <w:pPr>
              <w:rPr>
                <w:sz w:val="2"/>
                <w:szCs w:val="2"/>
              </w:rPr>
            </w:pPr>
          </w:p>
        </w:tc>
        <w:tc>
          <w:tcPr>
            <w:tcW w:w="1424" w:type="dxa"/>
          </w:tcPr>
          <w:p>
            <w:pPr>
              <w:pStyle w:val="TableParagraph"/>
              <w:rPr>
                <w:rFonts w:ascii="Times New Roman"/>
                <w:sz w:val="24"/>
              </w:rPr>
            </w:pPr>
          </w:p>
          <w:p>
            <w:pPr>
              <w:pStyle w:val="TableParagraph"/>
              <w:spacing w:before="3"/>
              <w:rPr>
                <w:rFonts w:ascii="Times New Roman"/>
                <w:sz w:val="30"/>
              </w:rPr>
            </w:pPr>
          </w:p>
          <w:p>
            <w:pPr>
              <w:pStyle w:val="TableParagraph"/>
              <w:ind w:left="111"/>
              <w:rPr>
                <w:sz w:val="24"/>
              </w:rPr>
            </w:pPr>
            <w:r>
              <w:rPr>
                <w:sz w:val="24"/>
              </w:rPr>
              <w:t>CBJS-ZY005</w:t>
            </w:r>
          </w:p>
        </w:tc>
        <w:tc>
          <w:tcPr>
            <w:tcW w:w="4256" w:type="dxa"/>
          </w:tcPr>
          <w:p>
            <w:pPr>
              <w:pStyle w:val="TableParagraph"/>
              <w:spacing w:line="242" w:lineRule="auto"/>
              <w:ind w:left="108" w:right="96"/>
              <w:jc w:val="both"/>
              <w:rPr>
                <w:sz w:val="24"/>
              </w:rPr>
            </w:pPr>
            <w:r>
              <w:rPr>
                <w:spacing w:val="10"/>
                <w:sz w:val="24"/>
              </w:rPr>
              <w:t>建设项目职业病危害预评价报告通过</w:t>
            </w:r>
            <w:r>
              <w:rPr>
                <w:spacing w:val="-8"/>
                <w:sz w:val="24"/>
              </w:rPr>
              <w:t>评审后，建设项目的生产规模、工艺等</w:t>
            </w:r>
            <w:r>
              <w:rPr>
                <w:spacing w:val="10"/>
                <w:sz w:val="24"/>
              </w:rPr>
              <w:t>发生变更导致职业病危害风险发生重</w:t>
            </w:r>
            <w:r>
              <w:rPr>
                <w:spacing w:val="-8"/>
                <w:sz w:val="24"/>
              </w:rPr>
              <w:t>大变化的，建设单位未对变更内容重新</w:t>
            </w:r>
          </w:p>
          <w:p>
            <w:pPr>
              <w:pStyle w:val="TableParagraph"/>
              <w:spacing w:line="290" w:lineRule="exact" w:before="3"/>
              <w:ind w:left="108"/>
              <w:rPr>
                <w:sz w:val="24"/>
              </w:rPr>
            </w:pPr>
            <w:r>
              <w:rPr>
                <w:sz w:val="24"/>
              </w:rPr>
              <w:t>进行职业病危害预评价和评审</w:t>
            </w:r>
          </w:p>
        </w:tc>
        <w:tc>
          <w:tcPr>
            <w:tcW w:w="1520" w:type="dxa"/>
            <w:vMerge/>
            <w:tcBorders>
              <w:top w:val="nil"/>
            </w:tcBorders>
          </w:tcPr>
          <w:p>
            <w:pPr>
              <w:rPr>
                <w:sz w:val="2"/>
                <w:szCs w:val="2"/>
              </w:rPr>
            </w:pPr>
          </w:p>
        </w:tc>
      </w:tr>
      <w:tr>
        <w:trPr>
          <w:trHeight w:val="1245" w:hRule="atLeast"/>
        </w:trPr>
        <w:tc>
          <w:tcPr>
            <w:tcW w:w="1239" w:type="dxa"/>
            <w:vMerge/>
            <w:tcBorders>
              <w:top w:val="nil"/>
            </w:tcBorders>
          </w:tcPr>
          <w:p>
            <w:pPr>
              <w:rPr>
                <w:sz w:val="2"/>
                <w:szCs w:val="2"/>
              </w:rPr>
            </w:pPr>
          </w:p>
        </w:tc>
        <w:tc>
          <w:tcPr>
            <w:tcW w:w="1131" w:type="dxa"/>
            <w:vMerge/>
            <w:tcBorders>
              <w:top w:val="nil"/>
            </w:tcBorders>
          </w:tcPr>
          <w:p>
            <w:pPr>
              <w:rPr>
                <w:sz w:val="2"/>
                <w:szCs w:val="2"/>
              </w:rPr>
            </w:pPr>
          </w:p>
        </w:tc>
        <w:tc>
          <w:tcPr>
            <w:tcW w:w="1424" w:type="dxa"/>
          </w:tcPr>
          <w:p>
            <w:pPr>
              <w:pStyle w:val="TableParagraph"/>
              <w:rPr>
                <w:rFonts w:ascii="Times New Roman"/>
                <w:sz w:val="24"/>
              </w:rPr>
            </w:pPr>
          </w:p>
          <w:p>
            <w:pPr>
              <w:pStyle w:val="TableParagraph"/>
              <w:spacing w:before="191"/>
              <w:ind w:left="111"/>
              <w:rPr>
                <w:sz w:val="24"/>
              </w:rPr>
            </w:pPr>
            <w:r>
              <w:rPr>
                <w:sz w:val="24"/>
              </w:rPr>
              <w:t>CBJS-ZY006</w:t>
            </w:r>
          </w:p>
        </w:tc>
        <w:tc>
          <w:tcPr>
            <w:tcW w:w="4256" w:type="dxa"/>
          </w:tcPr>
          <w:p>
            <w:pPr>
              <w:pStyle w:val="TableParagraph"/>
              <w:spacing w:line="242" w:lineRule="auto" w:before="1"/>
              <w:ind w:left="108" w:right="55"/>
              <w:jc w:val="both"/>
              <w:rPr>
                <w:sz w:val="24"/>
              </w:rPr>
            </w:pPr>
            <w:r>
              <w:rPr>
                <w:sz w:val="24"/>
              </w:rPr>
              <w:t>存在职业病危害的建设项目，建设单位未在施工前按照职业病防治有关法律、法规、规章和标准的要求，进行职业病</w:t>
            </w:r>
          </w:p>
          <w:p>
            <w:pPr>
              <w:pStyle w:val="TableParagraph"/>
              <w:spacing w:line="290" w:lineRule="exact" w:before="2"/>
              <w:ind w:left="108"/>
              <w:rPr>
                <w:sz w:val="24"/>
              </w:rPr>
            </w:pPr>
            <w:r>
              <w:rPr>
                <w:sz w:val="24"/>
              </w:rPr>
              <w:t>防护设施设计</w:t>
            </w:r>
          </w:p>
        </w:tc>
        <w:tc>
          <w:tcPr>
            <w:tcW w:w="1520" w:type="dxa"/>
            <w:vMerge/>
            <w:tcBorders>
              <w:top w:val="nil"/>
            </w:tcBorders>
          </w:tcPr>
          <w:p>
            <w:pPr>
              <w:rPr>
                <w:sz w:val="2"/>
                <w:szCs w:val="2"/>
              </w:rPr>
            </w:pPr>
          </w:p>
        </w:tc>
      </w:tr>
      <w:tr>
        <w:trPr>
          <w:trHeight w:val="621" w:hRule="atLeast"/>
        </w:trPr>
        <w:tc>
          <w:tcPr>
            <w:tcW w:w="1239" w:type="dxa"/>
            <w:vMerge/>
            <w:tcBorders>
              <w:top w:val="nil"/>
            </w:tcBorders>
          </w:tcPr>
          <w:p>
            <w:pPr>
              <w:rPr>
                <w:sz w:val="2"/>
                <w:szCs w:val="2"/>
              </w:rPr>
            </w:pPr>
          </w:p>
        </w:tc>
        <w:tc>
          <w:tcPr>
            <w:tcW w:w="1131" w:type="dxa"/>
            <w:vMerge/>
            <w:tcBorders>
              <w:top w:val="nil"/>
            </w:tcBorders>
          </w:tcPr>
          <w:p>
            <w:pPr>
              <w:rPr>
                <w:sz w:val="2"/>
                <w:szCs w:val="2"/>
              </w:rPr>
            </w:pPr>
          </w:p>
        </w:tc>
        <w:tc>
          <w:tcPr>
            <w:tcW w:w="1424" w:type="dxa"/>
          </w:tcPr>
          <w:p>
            <w:pPr>
              <w:pStyle w:val="TableParagraph"/>
              <w:spacing w:before="157"/>
              <w:ind w:left="111"/>
              <w:rPr>
                <w:sz w:val="24"/>
              </w:rPr>
            </w:pPr>
            <w:r>
              <w:rPr>
                <w:sz w:val="24"/>
              </w:rPr>
              <w:t>CBJS-ZY007</w:t>
            </w:r>
          </w:p>
        </w:tc>
        <w:tc>
          <w:tcPr>
            <w:tcW w:w="4256" w:type="dxa"/>
          </w:tcPr>
          <w:p>
            <w:pPr>
              <w:pStyle w:val="TableParagraph"/>
              <w:spacing w:before="1"/>
              <w:ind w:left="108"/>
              <w:rPr>
                <w:sz w:val="24"/>
              </w:rPr>
            </w:pPr>
            <w:r>
              <w:rPr>
                <w:sz w:val="24"/>
              </w:rPr>
              <w:t>建设项目职业病防护设施设计内容不</w:t>
            </w:r>
          </w:p>
          <w:p>
            <w:pPr>
              <w:pStyle w:val="TableParagraph"/>
              <w:spacing w:line="287" w:lineRule="exact" w:before="5"/>
              <w:ind w:left="108"/>
              <w:rPr>
                <w:sz w:val="24"/>
              </w:rPr>
            </w:pPr>
            <w:r>
              <w:rPr>
                <w:sz w:val="24"/>
              </w:rPr>
              <w:t>全</w:t>
            </w:r>
          </w:p>
        </w:tc>
        <w:tc>
          <w:tcPr>
            <w:tcW w:w="1520" w:type="dxa"/>
            <w:vMerge/>
            <w:tcBorders>
              <w:top w:val="nil"/>
            </w:tcBorders>
          </w:tcPr>
          <w:p>
            <w:pPr>
              <w:rPr>
                <w:sz w:val="2"/>
                <w:szCs w:val="2"/>
              </w:rPr>
            </w:pPr>
          </w:p>
        </w:tc>
      </w:tr>
    </w:tbl>
    <w:p>
      <w:pPr>
        <w:spacing w:after="0"/>
        <w:rPr>
          <w:sz w:val="2"/>
          <w:szCs w:val="2"/>
        </w:rPr>
        <w:sectPr>
          <w:pgSz w:w="11910" w:h="16840"/>
          <w:pgMar w:header="0" w:footer="1039" w:top="1580" w:bottom="1220" w:left="1060" w:right="860"/>
        </w:sectPr>
      </w:pPr>
    </w:p>
    <w:p>
      <w:pPr>
        <w:pStyle w:val="BodyText"/>
        <w:spacing w:before="8"/>
        <w:ind w:left="0"/>
        <w:rPr>
          <w:rFonts w:ascii="Times New Roman"/>
          <w:sz w:val="28"/>
        </w:rPr>
      </w:pPr>
    </w:p>
    <w:tbl>
      <w:tblPr>
        <w:tblW w:w="0" w:type="auto"/>
        <w:jc w:val="left"/>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39"/>
        <w:gridCol w:w="1131"/>
        <w:gridCol w:w="1424"/>
        <w:gridCol w:w="4256"/>
        <w:gridCol w:w="1520"/>
      </w:tblGrid>
      <w:tr>
        <w:trPr>
          <w:trHeight w:val="1867" w:hRule="atLeast"/>
        </w:trPr>
        <w:tc>
          <w:tcPr>
            <w:tcW w:w="1239" w:type="dxa"/>
            <w:vMerge w:val="restart"/>
          </w:tcPr>
          <w:p>
            <w:pPr>
              <w:pStyle w:val="TableParagraph"/>
              <w:rPr>
                <w:rFonts w:ascii="Times New Roman"/>
                <w:sz w:val="22"/>
              </w:rPr>
            </w:pPr>
          </w:p>
        </w:tc>
        <w:tc>
          <w:tcPr>
            <w:tcW w:w="1131" w:type="dxa"/>
            <w:vMerge w:val="restart"/>
          </w:tcPr>
          <w:p>
            <w:pPr>
              <w:pStyle w:val="TableParagraph"/>
              <w:rPr>
                <w:rFonts w:ascii="Times New Roman"/>
                <w:sz w:val="22"/>
              </w:rPr>
            </w:pPr>
          </w:p>
        </w:tc>
        <w:tc>
          <w:tcPr>
            <w:tcW w:w="1424" w:type="dxa"/>
          </w:tcPr>
          <w:p>
            <w:pPr>
              <w:pStyle w:val="TableParagraph"/>
              <w:rPr>
                <w:rFonts w:ascii="Times New Roman"/>
                <w:sz w:val="24"/>
              </w:rPr>
            </w:pPr>
          </w:p>
          <w:p>
            <w:pPr>
              <w:pStyle w:val="TableParagraph"/>
              <w:rPr>
                <w:rFonts w:ascii="Times New Roman"/>
                <w:sz w:val="24"/>
              </w:rPr>
            </w:pPr>
          </w:p>
          <w:p>
            <w:pPr>
              <w:pStyle w:val="TableParagraph"/>
              <w:spacing w:before="9"/>
              <w:rPr>
                <w:rFonts w:ascii="Times New Roman"/>
                <w:sz w:val="19"/>
              </w:rPr>
            </w:pPr>
          </w:p>
          <w:p>
            <w:pPr>
              <w:pStyle w:val="TableParagraph"/>
              <w:ind w:left="111"/>
              <w:rPr>
                <w:sz w:val="24"/>
              </w:rPr>
            </w:pPr>
            <w:r>
              <w:rPr>
                <w:sz w:val="24"/>
              </w:rPr>
              <w:t>CBJS-ZY008</w:t>
            </w:r>
          </w:p>
        </w:tc>
        <w:tc>
          <w:tcPr>
            <w:tcW w:w="4256" w:type="dxa"/>
          </w:tcPr>
          <w:p>
            <w:pPr>
              <w:pStyle w:val="TableParagraph"/>
              <w:spacing w:line="242" w:lineRule="auto" w:before="2"/>
              <w:ind w:left="108" w:right="96"/>
              <w:jc w:val="both"/>
              <w:rPr>
                <w:sz w:val="24"/>
              </w:rPr>
            </w:pPr>
            <w:r>
              <w:rPr>
                <w:spacing w:val="-5"/>
                <w:sz w:val="24"/>
              </w:rPr>
              <w:t>职业病防护设施设计完成后，建设单位</w:t>
            </w:r>
            <w:r>
              <w:rPr>
                <w:spacing w:val="10"/>
                <w:sz w:val="24"/>
              </w:rPr>
              <w:t>未根据职业病危害等级对职业病防护设施设计进行评审，且未形成评审意</w:t>
            </w:r>
            <w:r>
              <w:rPr>
                <w:spacing w:val="-8"/>
                <w:sz w:val="24"/>
              </w:rPr>
              <w:t>见；或未按照评审意见对职业病防护设</w:t>
            </w:r>
          </w:p>
          <w:p>
            <w:pPr>
              <w:pStyle w:val="TableParagraph"/>
              <w:spacing w:line="310" w:lineRule="atLeast" w:before="1"/>
              <w:ind w:left="108" w:right="37"/>
              <w:rPr>
                <w:sz w:val="24"/>
              </w:rPr>
            </w:pPr>
            <w:r>
              <w:rPr>
                <w:sz w:val="24"/>
              </w:rPr>
              <w:t>施设计进行修改完善；或职业病防护设施设计工作过程未形成书面报告</w:t>
            </w:r>
          </w:p>
        </w:tc>
        <w:tc>
          <w:tcPr>
            <w:tcW w:w="1520" w:type="dxa"/>
            <w:vMerge w:val="restart"/>
          </w:tcPr>
          <w:p>
            <w:pPr>
              <w:pStyle w:val="TableParagraph"/>
              <w:rPr>
                <w:rFonts w:ascii="Times New Roman"/>
                <w:sz w:val="22"/>
              </w:rPr>
            </w:pPr>
          </w:p>
        </w:tc>
      </w:tr>
      <w:tr>
        <w:trPr>
          <w:trHeight w:val="622" w:hRule="atLeast"/>
        </w:trPr>
        <w:tc>
          <w:tcPr>
            <w:tcW w:w="1239" w:type="dxa"/>
            <w:vMerge/>
            <w:tcBorders>
              <w:top w:val="nil"/>
            </w:tcBorders>
          </w:tcPr>
          <w:p>
            <w:pPr>
              <w:rPr>
                <w:sz w:val="2"/>
                <w:szCs w:val="2"/>
              </w:rPr>
            </w:pPr>
          </w:p>
        </w:tc>
        <w:tc>
          <w:tcPr>
            <w:tcW w:w="1131" w:type="dxa"/>
            <w:vMerge/>
            <w:tcBorders>
              <w:top w:val="nil"/>
            </w:tcBorders>
          </w:tcPr>
          <w:p>
            <w:pPr>
              <w:rPr>
                <w:sz w:val="2"/>
                <w:szCs w:val="2"/>
              </w:rPr>
            </w:pPr>
          </w:p>
        </w:tc>
        <w:tc>
          <w:tcPr>
            <w:tcW w:w="1424" w:type="dxa"/>
          </w:tcPr>
          <w:p>
            <w:pPr>
              <w:pStyle w:val="TableParagraph"/>
              <w:spacing w:before="157"/>
              <w:ind w:left="111"/>
              <w:rPr>
                <w:sz w:val="24"/>
              </w:rPr>
            </w:pPr>
            <w:r>
              <w:rPr>
                <w:sz w:val="24"/>
              </w:rPr>
              <w:t>CBJS-ZY009</w:t>
            </w:r>
          </w:p>
        </w:tc>
        <w:tc>
          <w:tcPr>
            <w:tcW w:w="4256" w:type="dxa"/>
          </w:tcPr>
          <w:p>
            <w:pPr>
              <w:pStyle w:val="TableParagraph"/>
              <w:spacing w:before="1"/>
              <w:ind w:left="108"/>
              <w:rPr>
                <w:sz w:val="24"/>
              </w:rPr>
            </w:pPr>
            <w:r>
              <w:rPr>
                <w:sz w:val="24"/>
              </w:rPr>
              <w:t>建设项目职业病防护设施设计未通过</w:t>
            </w:r>
          </w:p>
          <w:p>
            <w:pPr>
              <w:pStyle w:val="TableParagraph"/>
              <w:spacing w:line="289" w:lineRule="exact" w:before="4"/>
              <w:ind w:left="108"/>
              <w:rPr>
                <w:sz w:val="24"/>
              </w:rPr>
            </w:pPr>
            <w:r>
              <w:rPr>
                <w:sz w:val="24"/>
              </w:rPr>
              <w:t>评审</w:t>
            </w:r>
          </w:p>
        </w:tc>
        <w:tc>
          <w:tcPr>
            <w:tcW w:w="1520" w:type="dxa"/>
            <w:vMerge/>
            <w:tcBorders>
              <w:top w:val="nil"/>
            </w:tcBorders>
          </w:tcPr>
          <w:p>
            <w:pPr>
              <w:rPr>
                <w:sz w:val="2"/>
                <w:szCs w:val="2"/>
              </w:rPr>
            </w:pPr>
          </w:p>
        </w:tc>
      </w:tr>
      <w:tr>
        <w:trPr>
          <w:trHeight w:val="934" w:hRule="atLeast"/>
        </w:trPr>
        <w:tc>
          <w:tcPr>
            <w:tcW w:w="1239" w:type="dxa"/>
            <w:vMerge/>
            <w:tcBorders>
              <w:top w:val="nil"/>
            </w:tcBorders>
          </w:tcPr>
          <w:p>
            <w:pPr>
              <w:rPr>
                <w:sz w:val="2"/>
                <w:szCs w:val="2"/>
              </w:rPr>
            </w:pPr>
          </w:p>
        </w:tc>
        <w:tc>
          <w:tcPr>
            <w:tcW w:w="1131" w:type="dxa"/>
            <w:vMerge/>
            <w:tcBorders>
              <w:top w:val="nil"/>
            </w:tcBorders>
          </w:tcPr>
          <w:p>
            <w:pPr>
              <w:rPr>
                <w:sz w:val="2"/>
                <w:szCs w:val="2"/>
              </w:rPr>
            </w:pPr>
          </w:p>
        </w:tc>
        <w:tc>
          <w:tcPr>
            <w:tcW w:w="1424" w:type="dxa"/>
          </w:tcPr>
          <w:p>
            <w:pPr>
              <w:pStyle w:val="TableParagraph"/>
              <w:spacing w:before="1"/>
              <w:rPr>
                <w:rFonts w:ascii="Times New Roman"/>
                <w:sz w:val="27"/>
              </w:rPr>
            </w:pPr>
          </w:p>
          <w:p>
            <w:pPr>
              <w:pStyle w:val="TableParagraph"/>
              <w:spacing w:before="1"/>
              <w:ind w:left="111"/>
              <w:rPr>
                <w:sz w:val="24"/>
              </w:rPr>
            </w:pPr>
            <w:r>
              <w:rPr>
                <w:sz w:val="24"/>
              </w:rPr>
              <w:t>CBJS-ZY010</w:t>
            </w:r>
          </w:p>
        </w:tc>
        <w:tc>
          <w:tcPr>
            <w:tcW w:w="4256" w:type="dxa"/>
          </w:tcPr>
          <w:p>
            <w:pPr>
              <w:pStyle w:val="TableParagraph"/>
              <w:spacing w:line="242" w:lineRule="auto" w:before="3"/>
              <w:ind w:left="108" w:right="96"/>
              <w:rPr>
                <w:sz w:val="24"/>
              </w:rPr>
            </w:pPr>
            <w:r>
              <w:rPr>
                <w:sz w:val="24"/>
              </w:rPr>
              <w:t>建设单位未按照评审通过的设计和有关规定组织职业病防护设施的采购和</w:t>
            </w:r>
          </w:p>
          <w:p>
            <w:pPr>
              <w:pStyle w:val="TableParagraph"/>
              <w:spacing w:line="290" w:lineRule="exact"/>
              <w:ind w:left="108"/>
              <w:rPr>
                <w:sz w:val="24"/>
              </w:rPr>
            </w:pPr>
            <w:r>
              <w:rPr>
                <w:sz w:val="24"/>
              </w:rPr>
              <w:t>施工</w:t>
            </w:r>
          </w:p>
        </w:tc>
        <w:tc>
          <w:tcPr>
            <w:tcW w:w="1520" w:type="dxa"/>
            <w:vMerge/>
            <w:tcBorders>
              <w:top w:val="nil"/>
            </w:tcBorders>
          </w:tcPr>
          <w:p>
            <w:pPr>
              <w:rPr>
                <w:sz w:val="2"/>
                <w:szCs w:val="2"/>
              </w:rPr>
            </w:pPr>
          </w:p>
        </w:tc>
      </w:tr>
      <w:tr>
        <w:trPr>
          <w:trHeight w:val="1555" w:hRule="atLeast"/>
        </w:trPr>
        <w:tc>
          <w:tcPr>
            <w:tcW w:w="1239" w:type="dxa"/>
            <w:vMerge/>
            <w:tcBorders>
              <w:top w:val="nil"/>
            </w:tcBorders>
          </w:tcPr>
          <w:p>
            <w:pPr>
              <w:rPr>
                <w:sz w:val="2"/>
                <w:szCs w:val="2"/>
              </w:rPr>
            </w:pPr>
          </w:p>
        </w:tc>
        <w:tc>
          <w:tcPr>
            <w:tcW w:w="1131" w:type="dxa"/>
            <w:vMerge/>
            <w:tcBorders>
              <w:top w:val="nil"/>
            </w:tcBorders>
          </w:tcPr>
          <w:p>
            <w:pPr>
              <w:rPr>
                <w:sz w:val="2"/>
                <w:szCs w:val="2"/>
              </w:rPr>
            </w:pPr>
          </w:p>
        </w:tc>
        <w:tc>
          <w:tcPr>
            <w:tcW w:w="1424" w:type="dxa"/>
          </w:tcPr>
          <w:p>
            <w:pPr>
              <w:pStyle w:val="TableParagraph"/>
              <w:rPr>
                <w:rFonts w:ascii="Times New Roman"/>
                <w:sz w:val="24"/>
              </w:rPr>
            </w:pPr>
          </w:p>
          <w:p>
            <w:pPr>
              <w:pStyle w:val="TableParagraph"/>
              <w:spacing w:before="2"/>
              <w:rPr>
                <w:rFonts w:ascii="Times New Roman"/>
                <w:sz w:val="30"/>
              </w:rPr>
            </w:pPr>
          </w:p>
          <w:p>
            <w:pPr>
              <w:pStyle w:val="TableParagraph"/>
              <w:ind w:left="111"/>
              <w:rPr>
                <w:sz w:val="24"/>
              </w:rPr>
            </w:pPr>
            <w:r>
              <w:rPr>
                <w:sz w:val="24"/>
              </w:rPr>
              <w:t>CBJS-ZY011</w:t>
            </w:r>
          </w:p>
        </w:tc>
        <w:tc>
          <w:tcPr>
            <w:tcW w:w="4256" w:type="dxa"/>
          </w:tcPr>
          <w:p>
            <w:pPr>
              <w:pStyle w:val="TableParagraph"/>
              <w:spacing w:line="242" w:lineRule="auto" w:before="2"/>
              <w:ind w:left="108" w:right="96"/>
              <w:jc w:val="both"/>
              <w:rPr>
                <w:sz w:val="24"/>
              </w:rPr>
            </w:pPr>
            <w:r>
              <w:rPr>
                <w:spacing w:val="10"/>
                <w:sz w:val="24"/>
              </w:rPr>
              <w:t>建设项目职业病防护设施设计在完成</w:t>
            </w:r>
            <w:r>
              <w:rPr>
                <w:spacing w:val="-8"/>
                <w:sz w:val="24"/>
              </w:rPr>
              <w:t>评审后，建设项目的生产规模、工艺等</w:t>
            </w:r>
            <w:r>
              <w:rPr>
                <w:spacing w:val="10"/>
                <w:sz w:val="24"/>
              </w:rPr>
              <w:t>发生变更导致职业病危害风险发生重</w:t>
            </w:r>
            <w:r>
              <w:rPr>
                <w:spacing w:val="-8"/>
                <w:sz w:val="24"/>
              </w:rPr>
              <w:t>大变化的，建设单位未对变更的内容重</w:t>
            </w:r>
          </w:p>
          <w:p>
            <w:pPr>
              <w:pStyle w:val="TableParagraph"/>
              <w:spacing w:line="291" w:lineRule="exact" w:before="1"/>
              <w:ind w:left="108"/>
              <w:rPr>
                <w:sz w:val="24"/>
              </w:rPr>
            </w:pPr>
            <w:r>
              <w:rPr>
                <w:sz w:val="24"/>
              </w:rPr>
              <w:t>新进行职业病防护设施设计和评审</w:t>
            </w:r>
          </w:p>
        </w:tc>
        <w:tc>
          <w:tcPr>
            <w:tcW w:w="1520" w:type="dxa"/>
            <w:vMerge/>
            <w:tcBorders>
              <w:top w:val="nil"/>
            </w:tcBorders>
          </w:tcPr>
          <w:p>
            <w:pPr>
              <w:rPr>
                <w:sz w:val="2"/>
                <w:szCs w:val="2"/>
              </w:rPr>
            </w:pPr>
          </w:p>
        </w:tc>
      </w:tr>
      <w:tr>
        <w:trPr>
          <w:trHeight w:val="1245" w:hRule="atLeast"/>
        </w:trPr>
        <w:tc>
          <w:tcPr>
            <w:tcW w:w="1239" w:type="dxa"/>
            <w:vMerge/>
            <w:tcBorders>
              <w:top w:val="nil"/>
            </w:tcBorders>
          </w:tcPr>
          <w:p>
            <w:pPr>
              <w:rPr>
                <w:sz w:val="2"/>
                <w:szCs w:val="2"/>
              </w:rPr>
            </w:pPr>
          </w:p>
        </w:tc>
        <w:tc>
          <w:tcPr>
            <w:tcW w:w="1131" w:type="dxa"/>
            <w:vMerge/>
            <w:tcBorders>
              <w:top w:val="nil"/>
            </w:tcBorders>
          </w:tcPr>
          <w:p>
            <w:pPr>
              <w:rPr>
                <w:sz w:val="2"/>
                <w:szCs w:val="2"/>
              </w:rPr>
            </w:pPr>
          </w:p>
        </w:tc>
        <w:tc>
          <w:tcPr>
            <w:tcW w:w="1424" w:type="dxa"/>
          </w:tcPr>
          <w:p>
            <w:pPr>
              <w:pStyle w:val="TableParagraph"/>
              <w:rPr>
                <w:rFonts w:ascii="Times New Roman"/>
                <w:sz w:val="24"/>
              </w:rPr>
            </w:pPr>
          </w:p>
          <w:p>
            <w:pPr>
              <w:pStyle w:val="TableParagraph"/>
              <w:spacing w:before="193"/>
              <w:ind w:left="111"/>
              <w:rPr>
                <w:sz w:val="24"/>
              </w:rPr>
            </w:pPr>
            <w:r>
              <w:rPr>
                <w:sz w:val="24"/>
              </w:rPr>
              <w:t>CBJS-ZY012</w:t>
            </w:r>
          </w:p>
        </w:tc>
        <w:tc>
          <w:tcPr>
            <w:tcW w:w="4256" w:type="dxa"/>
          </w:tcPr>
          <w:p>
            <w:pPr>
              <w:pStyle w:val="TableParagraph"/>
              <w:spacing w:line="242" w:lineRule="auto" w:before="3"/>
              <w:ind w:left="108" w:right="55"/>
              <w:jc w:val="both"/>
              <w:rPr>
                <w:sz w:val="24"/>
              </w:rPr>
            </w:pPr>
            <w:r>
              <w:rPr>
                <w:sz w:val="24"/>
              </w:rPr>
              <w:t>建设项目投入生产或者使用前，建设单位未依照职业病防治有关法律、法规、规章和标准要求，采取相应职业病危害</w:t>
            </w:r>
          </w:p>
          <w:p>
            <w:pPr>
              <w:pStyle w:val="TableParagraph"/>
              <w:spacing w:line="290" w:lineRule="exact"/>
              <w:ind w:left="108"/>
              <w:rPr>
                <w:sz w:val="24"/>
              </w:rPr>
            </w:pPr>
            <w:r>
              <w:rPr>
                <w:sz w:val="24"/>
              </w:rPr>
              <w:t>防治管理措施</w:t>
            </w:r>
          </w:p>
        </w:tc>
        <w:tc>
          <w:tcPr>
            <w:tcW w:w="1520" w:type="dxa"/>
            <w:vMerge/>
            <w:tcBorders>
              <w:top w:val="nil"/>
            </w:tcBorders>
          </w:tcPr>
          <w:p>
            <w:pPr>
              <w:rPr>
                <w:sz w:val="2"/>
                <w:szCs w:val="2"/>
              </w:rPr>
            </w:pPr>
          </w:p>
        </w:tc>
      </w:tr>
      <w:tr>
        <w:trPr>
          <w:trHeight w:val="2179" w:hRule="atLeast"/>
        </w:trPr>
        <w:tc>
          <w:tcPr>
            <w:tcW w:w="1239" w:type="dxa"/>
            <w:vMerge/>
            <w:tcBorders>
              <w:top w:val="nil"/>
            </w:tcBorders>
          </w:tcPr>
          <w:p>
            <w:pPr>
              <w:rPr>
                <w:sz w:val="2"/>
                <w:szCs w:val="2"/>
              </w:rPr>
            </w:pPr>
          </w:p>
        </w:tc>
        <w:tc>
          <w:tcPr>
            <w:tcW w:w="1131" w:type="dxa"/>
            <w:vMerge/>
            <w:tcBorders>
              <w:top w:val="nil"/>
            </w:tcBorders>
          </w:tcPr>
          <w:p>
            <w:pPr>
              <w:rPr>
                <w:sz w:val="2"/>
                <w:szCs w:val="2"/>
              </w:rPr>
            </w:pPr>
          </w:p>
        </w:tc>
        <w:tc>
          <w:tcPr>
            <w:tcW w:w="1424" w:type="dxa"/>
          </w:tcPr>
          <w:p>
            <w:pPr>
              <w:pStyle w:val="TableParagraph"/>
              <w:rPr>
                <w:rFonts w:ascii="Times New Roman"/>
                <w:sz w:val="24"/>
              </w:rPr>
            </w:pPr>
          </w:p>
          <w:p>
            <w:pPr>
              <w:pStyle w:val="TableParagraph"/>
              <w:rPr>
                <w:rFonts w:ascii="Times New Roman"/>
                <w:sz w:val="24"/>
              </w:rPr>
            </w:pPr>
          </w:p>
          <w:p>
            <w:pPr>
              <w:pStyle w:val="TableParagraph"/>
              <w:spacing w:before="3"/>
              <w:rPr>
                <w:rFonts w:ascii="Times New Roman"/>
                <w:sz w:val="33"/>
              </w:rPr>
            </w:pPr>
          </w:p>
          <w:p>
            <w:pPr>
              <w:pStyle w:val="TableParagraph"/>
              <w:ind w:left="111"/>
              <w:rPr>
                <w:sz w:val="24"/>
              </w:rPr>
            </w:pPr>
            <w:r>
              <w:rPr>
                <w:sz w:val="24"/>
              </w:rPr>
              <w:t>CBJS-ZY013</w:t>
            </w:r>
          </w:p>
        </w:tc>
        <w:tc>
          <w:tcPr>
            <w:tcW w:w="4256" w:type="dxa"/>
          </w:tcPr>
          <w:p>
            <w:pPr>
              <w:pStyle w:val="TableParagraph"/>
              <w:spacing w:line="242" w:lineRule="auto" w:before="1"/>
              <w:ind w:left="108" w:right="96"/>
              <w:jc w:val="both"/>
              <w:rPr>
                <w:sz w:val="24"/>
              </w:rPr>
            </w:pPr>
            <w:r>
              <w:rPr>
                <w:spacing w:val="10"/>
                <w:sz w:val="24"/>
              </w:rPr>
              <w:t>建设项目在竣工验收前或者试运行期</w:t>
            </w:r>
            <w:r>
              <w:rPr>
                <w:spacing w:val="-8"/>
                <w:sz w:val="24"/>
              </w:rPr>
              <w:t>间，建设单位未进行职业病危害控制效果评价，且未编制评价报告；或建设项</w:t>
            </w:r>
            <w:r>
              <w:rPr>
                <w:spacing w:val="10"/>
                <w:sz w:val="24"/>
              </w:rPr>
              <w:t>目职业病危害控制效果评价报告不符</w:t>
            </w:r>
            <w:r>
              <w:rPr>
                <w:spacing w:val="-5"/>
                <w:sz w:val="24"/>
              </w:rPr>
              <w:t>合职业病防治有关法律、法规、规章和</w:t>
            </w:r>
          </w:p>
          <w:p>
            <w:pPr>
              <w:pStyle w:val="TableParagraph"/>
              <w:spacing w:line="310" w:lineRule="atLeast" w:before="2"/>
              <w:ind w:left="108" w:right="37"/>
              <w:rPr>
                <w:sz w:val="24"/>
              </w:rPr>
            </w:pPr>
            <w:r>
              <w:rPr>
                <w:sz w:val="24"/>
              </w:rPr>
              <w:t>标准的要求；或职业病危害控制效果评价报告内容不全</w:t>
            </w:r>
          </w:p>
        </w:tc>
        <w:tc>
          <w:tcPr>
            <w:tcW w:w="1520" w:type="dxa"/>
            <w:vMerge/>
            <w:tcBorders>
              <w:top w:val="nil"/>
            </w:tcBorders>
          </w:tcPr>
          <w:p>
            <w:pPr>
              <w:rPr>
                <w:sz w:val="2"/>
                <w:szCs w:val="2"/>
              </w:rPr>
            </w:pPr>
          </w:p>
        </w:tc>
      </w:tr>
      <w:tr>
        <w:trPr>
          <w:trHeight w:val="1555" w:hRule="atLeast"/>
        </w:trPr>
        <w:tc>
          <w:tcPr>
            <w:tcW w:w="1239" w:type="dxa"/>
            <w:vMerge/>
            <w:tcBorders>
              <w:top w:val="nil"/>
            </w:tcBorders>
          </w:tcPr>
          <w:p>
            <w:pPr>
              <w:rPr>
                <w:sz w:val="2"/>
                <w:szCs w:val="2"/>
              </w:rPr>
            </w:pPr>
          </w:p>
        </w:tc>
        <w:tc>
          <w:tcPr>
            <w:tcW w:w="1131" w:type="dxa"/>
            <w:vMerge/>
            <w:tcBorders>
              <w:top w:val="nil"/>
            </w:tcBorders>
          </w:tcPr>
          <w:p>
            <w:pPr>
              <w:rPr>
                <w:sz w:val="2"/>
                <w:szCs w:val="2"/>
              </w:rPr>
            </w:pPr>
          </w:p>
        </w:tc>
        <w:tc>
          <w:tcPr>
            <w:tcW w:w="1424" w:type="dxa"/>
          </w:tcPr>
          <w:p>
            <w:pPr>
              <w:pStyle w:val="TableParagraph"/>
              <w:rPr>
                <w:rFonts w:ascii="Times New Roman"/>
                <w:sz w:val="24"/>
              </w:rPr>
            </w:pPr>
          </w:p>
          <w:p>
            <w:pPr>
              <w:pStyle w:val="TableParagraph"/>
              <w:spacing w:before="1"/>
              <w:rPr>
                <w:rFonts w:ascii="Times New Roman"/>
                <w:sz w:val="30"/>
              </w:rPr>
            </w:pPr>
          </w:p>
          <w:p>
            <w:pPr>
              <w:pStyle w:val="TableParagraph"/>
              <w:ind w:left="111"/>
              <w:rPr>
                <w:sz w:val="24"/>
              </w:rPr>
            </w:pPr>
            <w:r>
              <w:rPr>
                <w:sz w:val="24"/>
              </w:rPr>
              <w:t>CBJS-ZY014</w:t>
            </w:r>
          </w:p>
        </w:tc>
        <w:tc>
          <w:tcPr>
            <w:tcW w:w="4256" w:type="dxa"/>
          </w:tcPr>
          <w:p>
            <w:pPr>
              <w:pStyle w:val="TableParagraph"/>
              <w:spacing w:line="242" w:lineRule="auto" w:before="1"/>
              <w:ind w:left="108" w:right="96"/>
              <w:jc w:val="both"/>
              <w:rPr>
                <w:sz w:val="24"/>
              </w:rPr>
            </w:pPr>
            <w:r>
              <w:rPr>
                <w:spacing w:val="-4"/>
                <w:sz w:val="24"/>
              </w:rPr>
              <w:t>建设单位在职业病防护设施验收前，未</w:t>
            </w:r>
            <w:r>
              <w:rPr>
                <w:spacing w:val="-7"/>
                <w:sz w:val="24"/>
              </w:rPr>
              <w:t>编制验收方案；或验收方案不全：或职</w:t>
            </w:r>
            <w:r>
              <w:rPr>
                <w:spacing w:val="12"/>
                <w:sz w:val="24"/>
              </w:rPr>
              <w:t>业病防护设施验收前</w:t>
            </w:r>
            <w:r>
              <w:rPr>
                <w:spacing w:val="6"/>
                <w:sz w:val="24"/>
              </w:rPr>
              <w:t>20</w:t>
            </w:r>
            <w:r>
              <w:rPr>
                <w:spacing w:val="7"/>
                <w:sz w:val="24"/>
              </w:rPr>
              <w:t>日未将验收方</w:t>
            </w:r>
            <w:r>
              <w:rPr>
                <w:spacing w:val="10"/>
                <w:sz w:val="24"/>
              </w:rPr>
              <w:t>案向管辖该建设项目的安全生产监督</w:t>
            </w:r>
          </w:p>
          <w:p>
            <w:pPr>
              <w:pStyle w:val="TableParagraph"/>
              <w:spacing w:line="290" w:lineRule="exact" w:before="3"/>
              <w:ind w:left="108"/>
              <w:rPr>
                <w:sz w:val="24"/>
              </w:rPr>
            </w:pPr>
            <w:r>
              <w:rPr>
                <w:sz w:val="24"/>
              </w:rPr>
              <w:t>管理部门进行书面报告</w:t>
            </w:r>
          </w:p>
        </w:tc>
        <w:tc>
          <w:tcPr>
            <w:tcW w:w="1520" w:type="dxa"/>
            <w:vMerge/>
            <w:tcBorders>
              <w:top w:val="nil"/>
            </w:tcBorders>
          </w:tcPr>
          <w:p>
            <w:pPr>
              <w:rPr>
                <w:sz w:val="2"/>
                <w:szCs w:val="2"/>
              </w:rPr>
            </w:pPr>
          </w:p>
        </w:tc>
      </w:tr>
      <w:tr>
        <w:trPr>
          <w:trHeight w:val="3422" w:hRule="atLeast"/>
        </w:trPr>
        <w:tc>
          <w:tcPr>
            <w:tcW w:w="1239" w:type="dxa"/>
            <w:vMerge/>
            <w:tcBorders>
              <w:top w:val="nil"/>
            </w:tcBorders>
          </w:tcPr>
          <w:p>
            <w:pPr>
              <w:rPr>
                <w:sz w:val="2"/>
                <w:szCs w:val="2"/>
              </w:rPr>
            </w:pPr>
          </w:p>
        </w:tc>
        <w:tc>
          <w:tcPr>
            <w:tcW w:w="1131" w:type="dxa"/>
            <w:vMerge/>
            <w:tcBorders>
              <w:top w:val="nil"/>
            </w:tcBorders>
          </w:tcPr>
          <w:p>
            <w:pPr>
              <w:rPr>
                <w:sz w:val="2"/>
                <w:szCs w:val="2"/>
              </w:rPr>
            </w:pPr>
          </w:p>
        </w:tc>
        <w:tc>
          <w:tcPr>
            <w:tcW w:w="1424"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77"/>
              <w:ind w:left="111"/>
              <w:rPr>
                <w:sz w:val="24"/>
              </w:rPr>
            </w:pPr>
            <w:r>
              <w:rPr>
                <w:sz w:val="24"/>
              </w:rPr>
              <w:t>CBJS-ZY015</w:t>
            </w:r>
          </w:p>
        </w:tc>
        <w:tc>
          <w:tcPr>
            <w:tcW w:w="4256" w:type="dxa"/>
          </w:tcPr>
          <w:p>
            <w:pPr>
              <w:pStyle w:val="TableParagraph"/>
              <w:spacing w:line="242" w:lineRule="auto" w:before="2"/>
              <w:ind w:left="108" w:right="55"/>
              <w:jc w:val="both"/>
              <w:rPr>
                <w:sz w:val="24"/>
              </w:rPr>
            </w:pPr>
            <w:r>
              <w:rPr>
                <w:spacing w:val="11"/>
                <w:sz w:val="24"/>
              </w:rPr>
              <w:t>建设单位未根据职业病危害等级对职</w:t>
            </w:r>
            <w:r>
              <w:rPr>
                <w:spacing w:val="9"/>
                <w:sz w:val="24"/>
              </w:rPr>
              <w:t>业病危害控制效果评价报告进行评审、</w:t>
            </w:r>
            <w:r>
              <w:rPr>
                <w:spacing w:val="-3"/>
                <w:sz w:val="24"/>
              </w:rPr>
              <w:t>未对职业病防护设施进行验收，且未形</w:t>
            </w:r>
            <w:r>
              <w:rPr>
                <w:spacing w:val="-7"/>
                <w:sz w:val="24"/>
              </w:rPr>
              <w:t>成评审意见和验收意见；或未按照评审</w:t>
            </w:r>
            <w:r>
              <w:rPr>
                <w:spacing w:val="11"/>
                <w:sz w:val="24"/>
              </w:rPr>
              <w:t>意见和验收意见对职业病危害控制效果评价报告和职业病防护设施进行整</w:t>
            </w:r>
            <w:r>
              <w:rPr>
                <w:spacing w:val="-2"/>
                <w:sz w:val="24"/>
              </w:rPr>
              <w:t>改完善；或职业病危害控制效果评价和</w:t>
            </w:r>
            <w:r>
              <w:rPr>
                <w:spacing w:val="11"/>
                <w:sz w:val="24"/>
              </w:rPr>
              <w:t>职业病防护设施验收工作过程未形成</w:t>
            </w:r>
            <w:r>
              <w:rPr>
                <w:sz w:val="24"/>
              </w:rPr>
              <w:t>书面报告；或职业病危害严重的建设项</w:t>
            </w:r>
            <w:r>
              <w:rPr>
                <w:spacing w:val="12"/>
                <w:sz w:val="24"/>
              </w:rPr>
              <w:t>目未在验收完成之日起</w:t>
            </w:r>
            <w:r>
              <w:rPr>
                <w:spacing w:val="6"/>
                <w:sz w:val="24"/>
              </w:rPr>
              <w:t>20</w:t>
            </w:r>
            <w:r>
              <w:rPr>
                <w:spacing w:val="9"/>
                <w:sz w:val="24"/>
              </w:rPr>
              <w:t>日内向管辖</w:t>
            </w:r>
          </w:p>
          <w:p>
            <w:pPr>
              <w:pStyle w:val="TableParagraph"/>
              <w:spacing w:line="287" w:lineRule="exact" w:before="7"/>
              <w:ind w:left="108"/>
              <w:rPr>
                <w:sz w:val="24"/>
              </w:rPr>
            </w:pPr>
            <w:r>
              <w:rPr>
                <w:spacing w:val="11"/>
                <w:sz w:val="24"/>
              </w:rPr>
              <w:t>该建设项目的安全生产监督管理部门</w:t>
            </w:r>
          </w:p>
        </w:tc>
        <w:tc>
          <w:tcPr>
            <w:tcW w:w="1520" w:type="dxa"/>
            <w:vMerge/>
            <w:tcBorders>
              <w:top w:val="nil"/>
            </w:tcBorders>
          </w:tcPr>
          <w:p>
            <w:pPr>
              <w:rPr>
                <w:sz w:val="2"/>
                <w:szCs w:val="2"/>
              </w:rPr>
            </w:pPr>
          </w:p>
        </w:tc>
      </w:tr>
    </w:tbl>
    <w:p>
      <w:pPr>
        <w:spacing w:after="0"/>
        <w:rPr>
          <w:sz w:val="2"/>
          <w:szCs w:val="2"/>
        </w:rPr>
        <w:sectPr>
          <w:pgSz w:w="11910" w:h="16840"/>
          <w:pgMar w:header="0" w:footer="1039" w:top="1580" w:bottom="1220" w:left="1060" w:right="860"/>
        </w:sectPr>
      </w:pPr>
    </w:p>
    <w:p>
      <w:pPr>
        <w:pStyle w:val="BodyText"/>
        <w:spacing w:before="8"/>
        <w:ind w:left="0"/>
        <w:rPr>
          <w:rFonts w:ascii="Times New Roman"/>
          <w:sz w:val="28"/>
        </w:rPr>
      </w:pPr>
    </w:p>
    <w:tbl>
      <w:tblPr>
        <w:tblW w:w="0" w:type="auto"/>
        <w:jc w:val="left"/>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39"/>
        <w:gridCol w:w="1131"/>
        <w:gridCol w:w="1424"/>
        <w:gridCol w:w="4256"/>
        <w:gridCol w:w="1520"/>
      </w:tblGrid>
      <w:tr>
        <w:trPr>
          <w:trHeight w:val="310" w:hRule="atLeast"/>
        </w:trPr>
        <w:tc>
          <w:tcPr>
            <w:tcW w:w="1239" w:type="dxa"/>
            <w:vMerge w:val="restart"/>
          </w:tcPr>
          <w:p>
            <w:pPr>
              <w:pStyle w:val="TableParagraph"/>
              <w:rPr>
                <w:rFonts w:ascii="Times New Roman"/>
                <w:sz w:val="24"/>
              </w:rPr>
            </w:pPr>
          </w:p>
        </w:tc>
        <w:tc>
          <w:tcPr>
            <w:tcW w:w="1131" w:type="dxa"/>
            <w:vMerge w:val="restart"/>
          </w:tcPr>
          <w:p>
            <w:pPr>
              <w:pStyle w:val="TableParagraph"/>
              <w:rPr>
                <w:rFonts w:ascii="Times New Roman"/>
                <w:sz w:val="24"/>
              </w:rPr>
            </w:pPr>
          </w:p>
        </w:tc>
        <w:tc>
          <w:tcPr>
            <w:tcW w:w="1424" w:type="dxa"/>
          </w:tcPr>
          <w:p>
            <w:pPr>
              <w:pStyle w:val="TableParagraph"/>
              <w:rPr>
                <w:rFonts w:ascii="Times New Roman"/>
                <w:sz w:val="22"/>
              </w:rPr>
            </w:pPr>
          </w:p>
        </w:tc>
        <w:tc>
          <w:tcPr>
            <w:tcW w:w="4256" w:type="dxa"/>
          </w:tcPr>
          <w:p>
            <w:pPr>
              <w:pStyle w:val="TableParagraph"/>
              <w:spacing w:line="289" w:lineRule="exact" w:before="2"/>
              <w:ind w:left="108"/>
              <w:rPr>
                <w:sz w:val="24"/>
              </w:rPr>
            </w:pPr>
            <w:r>
              <w:rPr>
                <w:sz w:val="24"/>
              </w:rPr>
              <w:t>提交书面报告</w:t>
            </w:r>
          </w:p>
        </w:tc>
        <w:tc>
          <w:tcPr>
            <w:tcW w:w="1520" w:type="dxa"/>
            <w:vMerge w:val="restart"/>
          </w:tcPr>
          <w:p>
            <w:pPr>
              <w:pStyle w:val="TableParagraph"/>
              <w:rPr>
                <w:rFonts w:ascii="Times New Roman"/>
                <w:sz w:val="24"/>
              </w:rPr>
            </w:pPr>
          </w:p>
        </w:tc>
      </w:tr>
      <w:tr>
        <w:trPr>
          <w:trHeight w:val="934" w:hRule="atLeast"/>
        </w:trPr>
        <w:tc>
          <w:tcPr>
            <w:tcW w:w="1239" w:type="dxa"/>
            <w:vMerge/>
            <w:tcBorders>
              <w:top w:val="nil"/>
            </w:tcBorders>
          </w:tcPr>
          <w:p>
            <w:pPr>
              <w:rPr>
                <w:sz w:val="2"/>
                <w:szCs w:val="2"/>
              </w:rPr>
            </w:pPr>
          </w:p>
        </w:tc>
        <w:tc>
          <w:tcPr>
            <w:tcW w:w="1131" w:type="dxa"/>
            <w:vMerge/>
            <w:tcBorders>
              <w:top w:val="nil"/>
            </w:tcBorders>
          </w:tcPr>
          <w:p>
            <w:pPr>
              <w:rPr>
                <w:sz w:val="2"/>
                <w:szCs w:val="2"/>
              </w:rPr>
            </w:pPr>
          </w:p>
        </w:tc>
        <w:tc>
          <w:tcPr>
            <w:tcW w:w="1424" w:type="dxa"/>
          </w:tcPr>
          <w:p>
            <w:pPr>
              <w:pStyle w:val="TableParagraph"/>
              <w:spacing w:before="2"/>
              <w:rPr>
                <w:rFonts w:ascii="Times New Roman"/>
                <w:sz w:val="27"/>
              </w:rPr>
            </w:pPr>
          </w:p>
          <w:p>
            <w:pPr>
              <w:pStyle w:val="TableParagraph"/>
              <w:ind w:left="111"/>
              <w:rPr>
                <w:sz w:val="24"/>
              </w:rPr>
            </w:pPr>
            <w:r>
              <w:rPr>
                <w:sz w:val="24"/>
              </w:rPr>
              <w:t>CBJS-ZY016</w:t>
            </w:r>
          </w:p>
        </w:tc>
        <w:tc>
          <w:tcPr>
            <w:tcW w:w="4256" w:type="dxa"/>
          </w:tcPr>
          <w:p>
            <w:pPr>
              <w:pStyle w:val="TableParagraph"/>
              <w:spacing w:line="242" w:lineRule="auto" w:before="3"/>
              <w:ind w:left="108" w:right="37"/>
              <w:rPr>
                <w:sz w:val="24"/>
              </w:rPr>
            </w:pPr>
            <w:r>
              <w:rPr>
                <w:sz w:val="24"/>
              </w:rPr>
              <w:t>建设项目职业病危害控制效果评价报告未通过评审。或职业病防护设施未通</w:t>
            </w:r>
          </w:p>
          <w:p>
            <w:pPr>
              <w:pStyle w:val="TableParagraph"/>
              <w:spacing w:line="289" w:lineRule="exact"/>
              <w:ind w:left="108"/>
              <w:rPr>
                <w:sz w:val="24"/>
              </w:rPr>
            </w:pPr>
            <w:r>
              <w:rPr>
                <w:sz w:val="24"/>
              </w:rPr>
              <w:t>过验收，即投入生产或者使用</w:t>
            </w:r>
          </w:p>
        </w:tc>
        <w:tc>
          <w:tcPr>
            <w:tcW w:w="1520" w:type="dxa"/>
            <w:vMerge/>
            <w:tcBorders>
              <w:top w:val="nil"/>
            </w:tcBorders>
          </w:tcPr>
          <w:p>
            <w:pPr>
              <w:rPr>
                <w:sz w:val="2"/>
                <w:szCs w:val="2"/>
              </w:rPr>
            </w:pPr>
          </w:p>
        </w:tc>
      </w:tr>
    </w:tbl>
    <w:p>
      <w:pPr>
        <w:pStyle w:val="BodyText"/>
        <w:spacing w:before="5"/>
        <w:ind w:left="0"/>
        <w:rPr>
          <w:rFonts w:ascii="Times New Roman"/>
          <w:sz w:val="16"/>
        </w:rPr>
      </w:pPr>
    </w:p>
    <w:p>
      <w:pPr>
        <w:pStyle w:val="ListParagraph"/>
        <w:numPr>
          <w:ilvl w:val="0"/>
          <w:numId w:val="34"/>
        </w:numPr>
        <w:tabs>
          <w:tab w:pos="678" w:val="left" w:leader="none"/>
        </w:tabs>
        <w:spacing w:line="240" w:lineRule="auto" w:before="55" w:after="0"/>
        <w:ind w:left="677" w:right="0" w:hanging="320"/>
        <w:jc w:val="left"/>
        <w:rPr>
          <w:rFonts w:ascii="黑体" w:eastAsia="黑体" w:hint="eastAsia"/>
          <w:sz w:val="32"/>
        </w:rPr>
      </w:pPr>
      <w:r>
        <w:rPr>
          <w:rFonts w:ascii="黑体" w:eastAsia="黑体" w:hint="eastAsia"/>
          <w:sz w:val="32"/>
        </w:rPr>
        <w:t>重大生产安全事故隐患综合判定标准</w:t>
      </w:r>
    </w:p>
    <w:p>
      <w:pPr>
        <w:pStyle w:val="Heading3"/>
        <w:numPr>
          <w:ilvl w:val="1"/>
          <w:numId w:val="34"/>
        </w:numPr>
        <w:tabs>
          <w:tab w:pos="1002" w:val="left" w:leader="none"/>
        </w:tabs>
        <w:spacing w:line="240" w:lineRule="auto" w:before="139" w:after="0"/>
        <w:ind w:left="1001" w:right="0" w:hanging="644"/>
        <w:jc w:val="left"/>
      </w:pPr>
      <w:r>
        <w:rPr/>
        <w:t>船舶行业建设项目重大生产安全事故隐患综合判定标准</w:t>
      </w:r>
    </w:p>
    <w:p>
      <w:pPr>
        <w:pStyle w:val="BodyText"/>
        <w:spacing w:before="57"/>
        <w:ind w:left="996"/>
      </w:pPr>
      <w:r>
        <w:rPr/>
        <w:t>船舶行业建设项目重大生产安全事故隐患综合判定标准见表3。</w:t>
      </w:r>
    </w:p>
    <w:p>
      <w:pPr>
        <w:tabs>
          <w:tab w:pos="685" w:val="left" w:leader="none"/>
        </w:tabs>
        <w:spacing w:before="23"/>
        <w:ind w:left="86" w:right="0" w:firstLine="0"/>
        <w:jc w:val="center"/>
        <w:rPr>
          <w:sz w:val="24"/>
        </w:rPr>
      </w:pPr>
      <w:r>
        <w:rPr>
          <w:sz w:val="24"/>
        </w:rPr>
        <w:t>表2</w:t>
        <w:tab/>
        <w:t>船舶行业建设项目重大生产安全事故隐患综合判定标准</w:t>
      </w:r>
    </w:p>
    <w:p>
      <w:pPr>
        <w:pStyle w:val="BodyText"/>
        <w:spacing w:before="7"/>
        <w:ind w:left="0"/>
        <w:rPr>
          <w:sz w:val="9"/>
        </w:rPr>
      </w:pPr>
    </w:p>
    <w:tbl>
      <w:tblPr>
        <w:tblW w:w="0" w:type="auto"/>
        <w:jc w:val="left"/>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1"/>
        <w:gridCol w:w="1134"/>
        <w:gridCol w:w="1559"/>
        <w:gridCol w:w="2693"/>
        <w:gridCol w:w="1488"/>
        <w:gridCol w:w="1595"/>
      </w:tblGrid>
      <w:tr>
        <w:trPr>
          <w:trHeight w:val="934" w:hRule="atLeast"/>
        </w:trPr>
        <w:tc>
          <w:tcPr>
            <w:tcW w:w="1101" w:type="dxa"/>
          </w:tcPr>
          <w:p>
            <w:pPr>
              <w:pStyle w:val="TableParagraph"/>
              <w:spacing w:line="242" w:lineRule="auto" w:before="156"/>
              <w:ind w:left="429" w:right="179" w:hanging="240"/>
              <w:rPr>
                <w:sz w:val="24"/>
              </w:rPr>
            </w:pPr>
            <w:r>
              <w:rPr>
                <w:sz w:val="24"/>
              </w:rPr>
              <w:t>隐患项目</w:t>
            </w:r>
          </w:p>
        </w:tc>
        <w:tc>
          <w:tcPr>
            <w:tcW w:w="1134" w:type="dxa"/>
          </w:tcPr>
          <w:p>
            <w:pPr>
              <w:pStyle w:val="TableParagraph"/>
              <w:spacing w:line="242" w:lineRule="auto" w:before="156"/>
              <w:ind w:left="447" w:right="194" w:hanging="240"/>
              <w:rPr>
                <w:sz w:val="24"/>
              </w:rPr>
            </w:pPr>
            <w:r>
              <w:rPr>
                <w:sz w:val="24"/>
              </w:rPr>
              <w:t>隐患类别</w:t>
            </w:r>
          </w:p>
        </w:tc>
        <w:tc>
          <w:tcPr>
            <w:tcW w:w="1559" w:type="dxa"/>
          </w:tcPr>
          <w:p>
            <w:pPr>
              <w:pStyle w:val="TableParagraph"/>
              <w:spacing w:before="4"/>
              <w:rPr>
                <w:sz w:val="24"/>
              </w:rPr>
            </w:pPr>
          </w:p>
          <w:p>
            <w:pPr>
              <w:pStyle w:val="TableParagraph"/>
              <w:ind w:left="128" w:right="118"/>
              <w:jc w:val="center"/>
              <w:rPr>
                <w:sz w:val="24"/>
              </w:rPr>
            </w:pPr>
            <w:r>
              <w:rPr>
                <w:sz w:val="24"/>
              </w:rPr>
              <w:t>隐患编号</w:t>
            </w:r>
          </w:p>
        </w:tc>
        <w:tc>
          <w:tcPr>
            <w:tcW w:w="2693" w:type="dxa"/>
          </w:tcPr>
          <w:p>
            <w:pPr>
              <w:pStyle w:val="TableParagraph"/>
              <w:spacing w:before="4"/>
              <w:rPr>
                <w:sz w:val="24"/>
              </w:rPr>
            </w:pPr>
          </w:p>
          <w:p>
            <w:pPr>
              <w:pStyle w:val="TableParagraph"/>
              <w:ind w:left="864"/>
              <w:rPr>
                <w:sz w:val="24"/>
              </w:rPr>
            </w:pPr>
            <w:r>
              <w:rPr>
                <w:sz w:val="24"/>
              </w:rPr>
              <w:t>隐患内容</w:t>
            </w:r>
          </w:p>
        </w:tc>
        <w:tc>
          <w:tcPr>
            <w:tcW w:w="1488" w:type="dxa"/>
          </w:tcPr>
          <w:p>
            <w:pPr>
              <w:pStyle w:val="TableParagraph"/>
              <w:spacing w:before="4"/>
              <w:rPr>
                <w:sz w:val="24"/>
              </w:rPr>
            </w:pPr>
          </w:p>
          <w:p>
            <w:pPr>
              <w:pStyle w:val="TableParagraph"/>
              <w:ind w:left="484" w:right="474"/>
              <w:jc w:val="center"/>
              <w:rPr>
                <w:sz w:val="24"/>
              </w:rPr>
            </w:pPr>
            <w:r>
              <w:rPr>
                <w:sz w:val="24"/>
              </w:rPr>
              <w:t>参考</w:t>
            </w:r>
          </w:p>
        </w:tc>
        <w:tc>
          <w:tcPr>
            <w:tcW w:w="1595" w:type="dxa"/>
          </w:tcPr>
          <w:p>
            <w:pPr>
              <w:pStyle w:val="TableParagraph"/>
              <w:spacing w:line="242" w:lineRule="auto" w:before="2"/>
              <w:ind w:left="197" w:right="185"/>
              <w:jc w:val="center"/>
              <w:rPr>
                <w:sz w:val="24"/>
              </w:rPr>
            </w:pPr>
            <w:r>
              <w:rPr>
                <w:sz w:val="24"/>
              </w:rPr>
              <w:t>重大生产安全事故隐患</w:t>
            </w:r>
          </w:p>
          <w:p>
            <w:pPr>
              <w:pStyle w:val="TableParagraph"/>
              <w:spacing w:line="290" w:lineRule="exact" w:before="1"/>
              <w:ind w:left="194" w:right="185"/>
              <w:jc w:val="center"/>
              <w:rPr>
                <w:sz w:val="24"/>
              </w:rPr>
            </w:pPr>
            <w:r>
              <w:rPr>
                <w:sz w:val="24"/>
              </w:rPr>
              <w:t>判据</w:t>
            </w:r>
          </w:p>
        </w:tc>
      </w:tr>
      <w:tr>
        <w:trPr>
          <w:trHeight w:val="1868" w:hRule="atLeast"/>
        </w:trPr>
        <w:tc>
          <w:tcPr>
            <w:tcW w:w="1101" w:type="dxa"/>
            <w:vMerge w:val="restart"/>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0"/>
              </w:rPr>
            </w:pPr>
          </w:p>
          <w:p>
            <w:pPr>
              <w:pStyle w:val="TableParagraph"/>
              <w:spacing w:line="242" w:lineRule="auto" w:before="1"/>
              <w:ind w:left="309" w:right="179" w:hanging="120"/>
              <w:rPr>
                <w:sz w:val="24"/>
              </w:rPr>
            </w:pPr>
            <w:r>
              <w:rPr>
                <w:sz w:val="24"/>
              </w:rPr>
              <w:t>总平面布置</w:t>
            </w:r>
          </w:p>
        </w:tc>
        <w:tc>
          <w:tcPr>
            <w:tcW w:w="1134" w:type="dxa"/>
            <w:vMerge w:val="restart"/>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0"/>
              </w:rPr>
            </w:pPr>
          </w:p>
          <w:p>
            <w:pPr>
              <w:pStyle w:val="TableParagraph"/>
              <w:spacing w:line="242" w:lineRule="auto" w:before="1"/>
              <w:ind w:left="447" w:right="194" w:hanging="240"/>
              <w:rPr>
                <w:sz w:val="24"/>
              </w:rPr>
            </w:pPr>
            <w:r>
              <w:rPr>
                <w:sz w:val="24"/>
              </w:rPr>
              <w:t>消防管理</w:t>
            </w:r>
          </w:p>
        </w:tc>
        <w:tc>
          <w:tcPr>
            <w:tcW w:w="1559" w:type="dxa"/>
          </w:tcPr>
          <w:p>
            <w:pPr>
              <w:pStyle w:val="TableParagraph"/>
              <w:rPr>
                <w:sz w:val="24"/>
              </w:rPr>
            </w:pPr>
          </w:p>
          <w:p>
            <w:pPr>
              <w:pStyle w:val="TableParagraph"/>
              <w:rPr>
                <w:sz w:val="24"/>
              </w:rPr>
            </w:pPr>
          </w:p>
          <w:p>
            <w:pPr>
              <w:pStyle w:val="TableParagraph"/>
              <w:spacing w:before="164"/>
              <w:ind w:left="128" w:right="118"/>
              <w:jc w:val="center"/>
              <w:rPr>
                <w:sz w:val="24"/>
              </w:rPr>
            </w:pPr>
            <w:r>
              <w:rPr>
                <w:sz w:val="24"/>
              </w:rPr>
              <w:t>CBPM-XF001</w:t>
            </w:r>
          </w:p>
        </w:tc>
        <w:tc>
          <w:tcPr>
            <w:tcW w:w="2693" w:type="dxa"/>
          </w:tcPr>
          <w:p>
            <w:pPr>
              <w:pStyle w:val="TableParagraph"/>
              <w:spacing w:line="242" w:lineRule="auto" w:before="1"/>
              <w:ind w:left="108" w:right="172"/>
              <w:jc w:val="both"/>
              <w:rPr>
                <w:sz w:val="24"/>
              </w:rPr>
            </w:pPr>
            <w:r>
              <w:rPr>
                <w:sz w:val="24"/>
              </w:rPr>
              <w:t>厂房、仓库、建设工程施工现场临时性用房或用作人员密集场所的临时性建筑等建筑构建耐火等级及夹芯材料燃烧</w:t>
            </w:r>
          </w:p>
          <w:p>
            <w:pPr>
              <w:pStyle w:val="TableParagraph"/>
              <w:spacing w:line="289" w:lineRule="exact" w:before="5"/>
              <w:ind w:left="108"/>
              <w:rPr>
                <w:sz w:val="24"/>
              </w:rPr>
            </w:pPr>
            <w:r>
              <w:rPr>
                <w:sz w:val="24"/>
              </w:rPr>
              <w:t>性能不符合标准要求</w:t>
            </w:r>
          </w:p>
        </w:tc>
        <w:tc>
          <w:tcPr>
            <w:tcW w:w="1488" w:type="dxa"/>
          </w:tcPr>
          <w:p>
            <w:pPr>
              <w:pStyle w:val="TableParagraph"/>
              <w:rPr>
                <w:sz w:val="24"/>
              </w:rPr>
            </w:pPr>
          </w:p>
          <w:p>
            <w:pPr>
              <w:pStyle w:val="TableParagraph"/>
              <w:spacing w:before="8"/>
              <w:rPr>
                <w:sz w:val="24"/>
              </w:rPr>
            </w:pPr>
          </w:p>
          <w:p>
            <w:pPr>
              <w:pStyle w:val="TableParagraph"/>
              <w:ind w:left="108"/>
              <w:rPr>
                <w:sz w:val="24"/>
              </w:rPr>
            </w:pPr>
            <w:r>
              <w:rPr>
                <w:sz w:val="24"/>
              </w:rPr>
              <w:t>1 GB 50016</w:t>
            </w:r>
          </w:p>
          <w:p>
            <w:pPr>
              <w:pStyle w:val="TableParagraph"/>
              <w:spacing w:before="4"/>
              <w:ind w:left="108"/>
              <w:rPr>
                <w:sz w:val="24"/>
              </w:rPr>
            </w:pPr>
            <w:r>
              <w:rPr>
                <w:sz w:val="24"/>
              </w:rPr>
              <w:t>2 GB 50720</w:t>
            </w:r>
          </w:p>
        </w:tc>
        <w:tc>
          <w:tcPr>
            <w:tcW w:w="1595" w:type="dxa"/>
            <w:vMerge w:val="restart"/>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29"/>
              </w:rPr>
            </w:pPr>
          </w:p>
          <w:p>
            <w:pPr>
              <w:pStyle w:val="TableParagraph"/>
              <w:spacing w:line="242" w:lineRule="auto"/>
              <w:ind w:left="108" w:right="34"/>
              <w:jc w:val="both"/>
              <w:rPr>
                <w:sz w:val="24"/>
              </w:rPr>
            </w:pPr>
            <w:r>
              <w:rPr>
                <w:sz w:val="24"/>
              </w:rPr>
              <w:t>同一次隐患排查过程中， 企业发现任意三项隐患内容的，判定为重大生产安全事故隐患</w:t>
            </w:r>
          </w:p>
        </w:tc>
      </w:tr>
      <w:tr>
        <w:trPr>
          <w:trHeight w:val="1555"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rPr>
                <w:sz w:val="24"/>
              </w:rPr>
            </w:pPr>
          </w:p>
          <w:p>
            <w:pPr>
              <w:pStyle w:val="TableParagraph"/>
              <w:spacing w:before="7"/>
              <w:rPr>
                <w:sz w:val="24"/>
              </w:rPr>
            </w:pPr>
          </w:p>
          <w:p>
            <w:pPr>
              <w:pStyle w:val="TableParagraph"/>
              <w:ind w:left="128" w:right="118"/>
              <w:jc w:val="center"/>
              <w:rPr>
                <w:sz w:val="24"/>
              </w:rPr>
            </w:pPr>
            <w:r>
              <w:rPr>
                <w:sz w:val="24"/>
              </w:rPr>
              <w:t>CBPM-XF002</w:t>
            </w:r>
          </w:p>
        </w:tc>
        <w:tc>
          <w:tcPr>
            <w:tcW w:w="2693" w:type="dxa"/>
          </w:tcPr>
          <w:p>
            <w:pPr>
              <w:pStyle w:val="TableParagraph"/>
              <w:spacing w:line="242" w:lineRule="auto"/>
              <w:ind w:left="108" w:right="95"/>
              <w:jc w:val="both"/>
              <w:rPr>
                <w:sz w:val="24"/>
              </w:rPr>
            </w:pPr>
            <w:r>
              <w:rPr>
                <w:spacing w:val="-8"/>
                <w:sz w:val="24"/>
              </w:rPr>
              <w:t>甲类、乙类.丙类液体储</w:t>
            </w:r>
            <w:r>
              <w:rPr>
                <w:sz w:val="24"/>
              </w:rPr>
              <w:t>罐(区)，可燃、助燃气体储罐(区)，厂房和仓库的防火间距不符合标</w:t>
            </w:r>
          </w:p>
          <w:p>
            <w:pPr>
              <w:pStyle w:val="TableParagraph"/>
              <w:spacing w:line="290" w:lineRule="exact" w:before="3"/>
              <w:ind w:left="108"/>
              <w:rPr>
                <w:sz w:val="24"/>
              </w:rPr>
            </w:pPr>
            <w:r>
              <w:rPr>
                <w:sz w:val="24"/>
              </w:rPr>
              <w:t>准要求</w:t>
            </w:r>
          </w:p>
        </w:tc>
        <w:tc>
          <w:tcPr>
            <w:tcW w:w="1488" w:type="dxa"/>
            <w:vMerge w:val="restart"/>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17"/>
              </w:rPr>
            </w:pPr>
          </w:p>
          <w:p>
            <w:pPr>
              <w:pStyle w:val="TableParagraph"/>
              <w:ind w:left="108"/>
              <w:rPr>
                <w:sz w:val="24"/>
              </w:rPr>
            </w:pPr>
            <w:r>
              <w:rPr>
                <w:sz w:val="24"/>
              </w:rPr>
              <w:t>GB 50016</w:t>
            </w:r>
          </w:p>
        </w:tc>
        <w:tc>
          <w:tcPr>
            <w:tcW w:w="1595" w:type="dxa"/>
            <w:vMerge/>
            <w:tcBorders>
              <w:top w:val="nil"/>
            </w:tcBorders>
          </w:tcPr>
          <w:p>
            <w:pPr>
              <w:rPr>
                <w:sz w:val="2"/>
                <w:szCs w:val="2"/>
              </w:rPr>
            </w:pPr>
          </w:p>
        </w:tc>
      </w:tr>
      <w:tr>
        <w:trPr>
          <w:trHeight w:val="622"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155"/>
              <w:ind w:left="128" w:right="118"/>
              <w:jc w:val="center"/>
              <w:rPr>
                <w:sz w:val="24"/>
              </w:rPr>
            </w:pPr>
            <w:r>
              <w:rPr>
                <w:sz w:val="24"/>
              </w:rPr>
              <w:t>CBPM-XF003</w:t>
            </w:r>
          </w:p>
        </w:tc>
        <w:tc>
          <w:tcPr>
            <w:tcW w:w="2693" w:type="dxa"/>
          </w:tcPr>
          <w:p>
            <w:pPr>
              <w:pStyle w:val="TableParagraph"/>
              <w:spacing w:before="1"/>
              <w:ind w:left="108"/>
              <w:rPr>
                <w:sz w:val="24"/>
              </w:rPr>
            </w:pPr>
            <w:r>
              <w:rPr>
                <w:sz w:val="24"/>
              </w:rPr>
              <w:t>有爆炸危险的厂房和仓</w:t>
            </w:r>
          </w:p>
          <w:p>
            <w:pPr>
              <w:pStyle w:val="TableParagraph"/>
              <w:spacing w:line="291" w:lineRule="exact" w:before="2"/>
              <w:ind w:left="108"/>
              <w:rPr>
                <w:sz w:val="24"/>
              </w:rPr>
            </w:pPr>
            <w:r>
              <w:rPr>
                <w:sz w:val="24"/>
              </w:rPr>
              <w:t>库不符合防爆要求</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622"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157"/>
              <w:ind w:left="128" w:right="118"/>
              <w:jc w:val="center"/>
              <w:rPr>
                <w:sz w:val="24"/>
              </w:rPr>
            </w:pPr>
            <w:r>
              <w:rPr>
                <w:sz w:val="24"/>
              </w:rPr>
              <w:t>CBPM-XF004</w:t>
            </w:r>
          </w:p>
        </w:tc>
        <w:tc>
          <w:tcPr>
            <w:tcW w:w="2693" w:type="dxa"/>
          </w:tcPr>
          <w:p>
            <w:pPr>
              <w:pStyle w:val="TableParagraph"/>
              <w:spacing w:line="310" w:lineRule="atLeast"/>
              <w:ind w:left="108" w:right="172"/>
              <w:rPr>
                <w:sz w:val="24"/>
              </w:rPr>
            </w:pPr>
            <w:r>
              <w:rPr>
                <w:sz w:val="24"/>
              </w:rPr>
              <w:t>厂房和仓库的安全疏散不符合标准要求</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1555"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rPr>
                <w:sz w:val="24"/>
              </w:rPr>
            </w:pPr>
          </w:p>
          <w:p>
            <w:pPr>
              <w:pStyle w:val="TableParagraph"/>
              <w:spacing w:before="8"/>
              <w:rPr>
                <w:sz w:val="24"/>
              </w:rPr>
            </w:pPr>
          </w:p>
          <w:p>
            <w:pPr>
              <w:pStyle w:val="TableParagraph"/>
              <w:ind w:left="128" w:right="118"/>
              <w:jc w:val="center"/>
              <w:rPr>
                <w:sz w:val="24"/>
              </w:rPr>
            </w:pPr>
            <w:r>
              <w:rPr>
                <w:sz w:val="24"/>
              </w:rPr>
              <w:t>CBPM-XF005</w:t>
            </w:r>
          </w:p>
        </w:tc>
        <w:tc>
          <w:tcPr>
            <w:tcW w:w="2693" w:type="dxa"/>
          </w:tcPr>
          <w:p>
            <w:pPr>
              <w:pStyle w:val="TableParagraph"/>
              <w:spacing w:line="242" w:lineRule="auto" w:before="1"/>
              <w:ind w:left="108" w:right="172"/>
              <w:jc w:val="both"/>
              <w:rPr>
                <w:sz w:val="24"/>
              </w:rPr>
            </w:pPr>
            <w:r>
              <w:rPr>
                <w:sz w:val="24"/>
              </w:rPr>
              <w:t>甲类、乙类、丙类液体储罐(区)，可燃、助燃气体储罐(区)，未与装卸区、辅助生产区以及</w:t>
            </w:r>
          </w:p>
          <w:p>
            <w:pPr>
              <w:pStyle w:val="TableParagraph"/>
              <w:spacing w:line="289" w:lineRule="exact" w:before="3"/>
              <w:ind w:left="108"/>
              <w:rPr>
                <w:sz w:val="24"/>
              </w:rPr>
            </w:pPr>
            <w:r>
              <w:rPr>
                <w:sz w:val="24"/>
              </w:rPr>
              <w:t>办公区分开布置</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1245"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rPr>
                <w:sz w:val="24"/>
              </w:rPr>
            </w:pPr>
          </w:p>
          <w:p>
            <w:pPr>
              <w:pStyle w:val="TableParagraph"/>
              <w:spacing w:before="160"/>
              <w:ind w:left="128" w:right="118"/>
              <w:jc w:val="center"/>
              <w:rPr>
                <w:sz w:val="24"/>
              </w:rPr>
            </w:pPr>
            <w:r>
              <w:rPr>
                <w:sz w:val="24"/>
              </w:rPr>
              <w:t>CBPM-XF006</w:t>
            </w:r>
          </w:p>
        </w:tc>
        <w:tc>
          <w:tcPr>
            <w:tcW w:w="2693" w:type="dxa"/>
          </w:tcPr>
          <w:p>
            <w:pPr>
              <w:pStyle w:val="TableParagraph"/>
              <w:spacing w:line="242" w:lineRule="auto" w:before="2"/>
              <w:ind w:left="108" w:right="172"/>
              <w:jc w:val="both"/>
              <w:rPr>
                <w:sz w:val="24"/>
              </w:rPr>
            </w:pPr>
            <w:r>
              <w:rPr>
                <w:sz w:val="24"/>
              </w:rPr>
              <w:t>甲类、乙类、丙类液体储罐区和可燃气体储罐区，消防车道不符合标</w:t>
            </w:r>
          </w:p>
          <w:p>
            <w:pPr>
              <w:pStyle w:val="TableParagraph"/>
              <w:spacing w:line="289" w:lineRule="exact" w:before="2"/>
              <w:ind w:left="108"/>
              <w:rPr>
                <w:sz w:val="24"/>
              </w:rPr>
            </w:pPr>
            <w:r>
              <w:rPr>
                <w:sz w:val="24"/>
              </w:rPr>
              <w:t>准要求</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1242"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rPr>
                <w:sz w:val="24"/>
              </w:rPr>
            </w:pPr>
          </w:p>
          <w:p>
            <w:pPr>
              <w:pStyle w:val="TableParagraph"/>
              <w:spacing w:before="161"/>
              <w:ind w:left="128" w:right="118"/>
              <w:jc w:val="center"/>
              <w:rPr>
                <w:sz w:val="24"/>
              </w:rPr>
            </w:pPr>
            <w:r>
              <w:rPr>
                <w:sz w:val="24"/>
              </w:rPr>
              <w:t>CBPM-XF007</w:t>
            </w:r>
          </w:p>
        </w:tc>
        <w:tc>
          <w:tcPr>
            <w:tcW w:w="2693" w:type="dxa"/>
          </w:tcPr>
          <w:p>
            <w:pPr>
              <w:pStyle w:val="TableParagraph"/>
              <w:spacing w:line="242" w:lineRule="auto" w:before="3"/>
              <w:ind w:left="108" w:right="-29"/>
              <w:rPr>
                <w:sz w:val="24"/>
              </w:rPr>
            </w:pPr>
            <w:r>
              <w:rPr>
                <w:sz w:val="24"/>
              </w:rPr>
              <w:t>架空电力线路与甲类、</w:t>
            </w:r>
            <w:r>
              <w:rPr>
                <w:spacing w:val="-7"/>
                <w:sz w:val="24"/>
              </w:rPr>
              <w:t>乙类厂房(仓库)，甲类、</w:t>
            </w:r>
            <w:r>
              <w:rPr>
                <w:sz w:val="24"/>
              </w:rPr>
              <w:t>乙类液体储罐，可燃、</w:t>
            </w:r>
          </w:p>
          <w:p>
            <w:pPr>
              <w:pStyle w:val="TableParagraph"/>
              <w:spacing w:line="288" w:lineRule="exact"/>
              <w:ind w:left="108"/>
              <w:rPr>
                <w:sz w:val="24"/>
              </w:rPr>
            </w:pPr>
            <w:r>
              <w:rPr>
                <w:sz w:val="24"/>
              </w:rPr>
              <w:t>助燃气体储罐的最近水</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bl>
    <w:p>
      <w:pPr>
        <w:spacing w:after="0"/>
        <w:rPr>
          <w:sz w:val="2"/>
          <w:szCs w:val="2"/>
        </w:rPr>
        <w:sectPr>
          <w:pgSz w:w="11910" w:h="16840"/>
          <w:pgMar w:header="0" w:footer="1039" w:top="1580" w:bottom="1220" w:left="1060" w:right="860"/>
        </w:sectPr>
      </w:pPr>
    </w:p>
    <w:p>
      <w:pPr>
        <w:pStyle w:val="BodyText"/>
        <w:spacing w:before="8"/>
        <w:ind w:left="0"/>
        <w:rPr>
          <w:rFonts w:ascii="Times New Roman"/>
          <w:sz w:val="28"/>
        </w:rPr>
      </w:pPr>
    </w:p>
    <w:tbl>
      <w:tblPr>
        <w:tblW w:w="0" w:type="auto"/>
        <w:jc w:val="left"/>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1"/>
        <w:gridCol w:w="1134"/>
        <w:gridCol w:w="1559"/>
        <w:gridCol w:w="2693"/>
        <w:gridCol w:w="1488"/>
        <w:gridCol w:w="1595"/>
      </w:tblGrid>
      <w:tr>
        <w:trPr>
          <w:trHeight w:val="310" w:hRule="atLeast"/>
        </w:trPr>
        <w:tc>
          <w:tcPr>
            <w:tcW w:w="1101" w:type="dxa"/>
            <w:vMerge w:val="restart"/>
          </w:tcPr>
          <w:p>
            <w:pPr>
              <w:pStyle w:val="TableParagraph"/>
              <w:rPr>
                <w:rFonts w:ascii="Times New Roman"/>
                <w:sz w:val="22"/>
              </w:rPr>
            </w:pPr>
          </w:p>
        </w:tc>
        <w:tc>
          <w:tcPr>
            <w:tcW w:w="1134" w:type="dxa"/>
            <w:vMerge w:val="restart"/>
          </w:tcPr>
          <w:p>
            <w:pPr>
              <w:pStyle w:val="TableParagraph"/>
              <w:rPr>
                <w:rFonts w:ascii="Times New Roman"/>
                <w:sz w:val="22"/>
              </w:rPr>
            </w:pPr>
          </w:p>
        </w:tc>
        <w:tc>
          <w:tcPr>
            <w:tcW w:w="1559" w:type="dxa"/>
          </w:tcPr>
          <w:p>
            <w:pPr>
              <w:pStyle w:val="TableParagraph"/>
              <w:rPr>
                <w:rFonts w:ascii="Times New Roman"/>
                <w:sz w:val="22"/>
              </w:rPr>
            </w:pPr>
          </w:p>
        </w:tc>
        <w:tc>
          <w:tcPr>
            <w:tcW w:w="2693" w:type="dxa"/>
          </w:tcPr>
          <w:p>
            <w:pPr>
              <w:pStyle w:val="TableParagraph"/>
              <w:spacing w:line="289" w:lineRule="exact" w:before="2"/>
              <w:ind w:left="108"/>
              <w:rPr>
                <w:sz w:val="24"/>
              </w:rPr>
            </w:pPr>
            <w:r>
              <w:rPr>
                <w:sz w:val="24"/>
              </w:rPr>
              <w:t>平距离不符合标准要求</w:t>
            </w:r>
          </w:p>
        </w:tc>
        <w:tc>
          <w:tcPr>
            <w:tcW w:w="1488" w:type="dxa"/>
          </w:tcPr>
          <w:p>
            <w:pPr>
              <w:pStyle w:val="TableParagraph"/>
              <w:rPr>
                <w:rFonts w:ascii="Times New Roman"/>
                <w:sz w:val="22"/>
              </w:rPr>
            </w:pPr>
          </w:p>
        </w:tc>
        <w:tc>
          <w:tcPr>
            <w:tcW w:w="1595" w:type="dxa"/>
            <w:vMerge w:val="restart"/>
          </w:tcPr>
          <w:p>
            <w:pPr>
              <w:pStyle w:val="TableParagraph"/>
              <w:rPr>
                <w:rFonts w:ascii="Times New Roman"/>
                <w:sz w:val="22"/>
              </w:rPr>
            </w:pPr>
          </w:p>
        </w:tc>
      </w:tr>
      <w:tr>
        <w:trPr>
          <w:trHeight w:val="1868"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rPr>
                <w:rFonts w:ascii="Times New Roman"/>
                <w:sz w:val="24"/>
              </w:rPr>
            </w:pPr>
          </w:p>
          <w:p>
            <w:pPr>
              <w:pStyle w:val="TableParagraph"/>
              <w:rPr>
                <w:rFonts w:ascii="Times New Roman"/>
                <w:sz w:val="24"/>
              </w:rPr>
            </w:pPr>
          </w:p>
          <w:p>
            <w:pPr>
              <w:pStyle w:val="TableParagraph"/>
              <w:spacing w:before="7"/>
              <w:rPr>
                <w:rFonts w:ascii="Times New Roman"/>
                <w:sz w:val="19"/>
              </w:rPr>
            </w:pPr>
          </w:p>
          <w:p>
            <w:pPr>
              <w:pStyle w:val="TableParagraph"/>
              <w:ind w:right="167"/>
              <w:jc w:val="right"/>
              <w:rPr>
                <w:sz w:val="24"/>
              </w:rPr>
            </w:pPr>
            <w:r>
              <w:rPr>
                <w:sz w:val="24"/>
              </w:rPr>
              <w:t>CBPM-XF008</w:t>
            </w:r>
          </w:p>
        </w:tc>
        <w:tc>
          <w:tcPr>
            <w:tcW w:w="2693" w:type="dxa"/>
          </w:tcPr>
          <w:p>
            <w:pPr>
              <w:pStyle w:val="TableParagraph"/>
              <w:spacing w:before="2"/>
              <w:rPr>
                <w:rFonts w:ascii="Times New Roman"/>
                <w:sz w:val="27"/>
              </w:rPr>
            </w:pPr>
          </w:p>
          <w:p>
            <w:pPr>
              <w:pStyle w:val="TableParagraph"/>
              <w:spacing w:line="242" w:lineRule="auto"/>
              <w:ind w:left="108" w:right="95"/>
              <w:rPr>
                <w:sz w:val="24"/>
              </w:rPr>
            </w:pPr>
            <w:r>
              <w:rPr>
                <w:sz w:val="24"/>
              </w:rPr>
              <w:t>设有消防控制室的消防重点单位(除已建立专职消防队的重点单位 </w:t>
            </w:r>
            <w:r>
              <w:rPr>
                <w:spacing w:val="-8"/>
                <w:sz w:val="24"/>
              </w:rPr>
              <w:t>外)，未建立微型消防站</w:t>
            </w:r>
          </w:p>
        </w:tc>
        <w:tc>
          <w:tcPr>
            <w:tcW w:w="1488" w:type="dxa"/>
          </w:tcPr>
          <w:p>
            <w:pPr>
              <w:pStyle w:val="TableParagraph"/>
              <w:spacing w:line="242" w:lineRule="auto" w:before="3"/>
              <w:ind w:left="108" w:right="167"/>
              <w:rPr>
                <w:sz w:val="24"/>
              </w:rPr>
            </w:pPr>
            <w:r>
              <w:rPr>
                <w:sz w:val="24"/>
              </w:rPr>
              <w:t>《消防重点单位微型消防站建设标准》(公消[2015]301</w:t>
            </w:r>
          </w:p>
          <w:p>
            <w:pPr>
              <w:pStyle w:val="TableParagraph"/>
              <w:spacing w:line="290" w:lineRule="exact" w:before="2"/>
              <w:ind w:left="108"/>
              <w:rPr>
                <w:sz w:val="24"/>
              </w:rPr>
            </w:pPr>
            <w:r>
              <w:rPr>
                <w:sz w:val="24"/>
              </w:rPr>
              <w:t>号)</w:t>
            </w:r>
          </w:p>
        </w:tc>
        <w:tc>
          <w:tcPr>
            <w:tcW w:w="1595" w:type="dxa"/>
            <w:vMerge/>
            <w:tcBorders>
              <w:top w:val="nil"/>
            </w:tcBorders>
          </w:tcPr>
          <w:p>
            <w:pPr>
              <w:rPr>
                <w:sz w:val="2"/>
                <w:szCs w:val="2"/>
              </w:rPr>
            </w:pPr>
          </w:p>
        </w:tc>
      </w:tr>
      <w:tr>
        <w:trPr>
          <w:trHeight w:val="933" w:hRule="atLeast"/>
        </w:trPr>
        <w:tc>
          <w:tcPr>
            <w:tcW w:w="1101" w:type="dxa"/>
            <w:vMerge w:val="restart"/>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line="242" w:lineRule="auto" w:before="204"/>
              <w:ind w:left="429" w:right="179" w:hanging="240"/>
              <w:rPr>
                <w:sz w:val="24"/>
              </w:rPr>
            </w:pPr>
            <w:r>
              <w:rPr>
                <w:sz w:val="24"/>
              </w:rPr>
              <w:t>重点场所</w:t>
            </w:r>
          </w:p>
        </w:tc>
        <w:tc>
          <w:tcPr>
            <w:tcW w:w="1134" w:type="dxa"/>
            <w:vMerge w:val="restart"/>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31"/>
              </w:rPr>
            </w:pPr>
          </w:p>
          <w:p>
            <w:pPr>
              <w:pStyle w:val="TableParagraph"/>
              <w:spacing w:before="1"/>
              <w:ind w:left="207"/>
              <w:rPr>
                <w:sz w:val="24"/>
              </w:rPr>
            </w:pPr>
            <w:r>
              <w:rPr>
                <w:sz w:val="24"/>
              </w:rPr>
              <w:t>乙炔站</w:t>
            </w:r>
          </w:p>
        </w:tc>
        <w:tc>
          <w:tcPr>
            <w:tcW w:w="1559" w:type="dxa"/>
          </w:tcPr>
          <w:p>
            <w:pPr>
              <w:pStyle w:val="TableParagraph"/>
              <w:rPr>
                <w:rFonts w:ascii="Times New Roman"/>
                <w:sz w:val="27"/>
              </w:rPr>
            </w:pPr>
          </w:p>
          <w:p>
            <w:pPr>
              <w:pStyle w:val="TableParagraph"/>
              <w:spacing w:before="1"/>
              <w:ind w:right="167"/>
              <w:jc w:val="right"/>
              <w:rPr>
                <w:sz w:val="24"/>
              </w:rPr>
            </w:pPr>
            <w:r>
              <w:rPr>
                <w:sz w:val="24"/>
              </w:rPr>
              <w:t>CBCS-YQ001</w:t>
            </w:r>
          </w:p>
        </w:tc>
        <w:tc>
          <w:tcPr>
            <w:tcW w:w="2693" w:type="dxa"/>
          </w:tcPr>
          <w:p>
            <w:pPr>
              <w:pStyle w:val="TableParagraph"/>
              <w:spacing w:line="242" w:lineRule="auto" w:before="2"/>
              <w:ind w:left="108" w:right="172"/>
              <w:rPr>
                <w:sz w:val="24"/>
              </w:rPr>
            </w:pPr>
            <w:r>
              <w:rPr>
                <w:sz w:val="24"/>
              </w:rPr>
              <w:t>有爆炸危险的生产间围护结构的门、窗未向外</w:t>
            </w:r>
          </w:p>
          <w:p>
            <w:pPr>
              <w:pStyle w:val="TableParagraph"/>
              <w:spacing w:line="291" w:lineRule="exact"/>
              <w:ind w:left="108"/>
              <w:rPr>
                <w:sz w:val="24"/>
              </w:rPr>
            </w:pPr>
            <w:r>
              <w:rPr>
                <w:sz w:val="24"/>
              </w:rPr>
              <w:t>开启</w:t>
            </w:r>
          </w:p>
        </w:tc>
        <w:tc>
          <w:tcPr>
            <w:tcW w:w="1488" w:type="dxa"/>
            <w:vMerge w:val="restart"/>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35"/>
              </w:rPr>
            </w:pPr>
          </w:p>
          <w:p>
            <w:pPr>
              <w:pStyle w:val="TableParagraph"/>
              <w:ind w:left="108"/>
              <w:rPr>
                <w:sz w:val="24"/>
              </w:rPr>
            </w:pPr>
            <w:r>
              <w:rPr>
                <w:sz w:val="24"/>
              </w:rPr>
              <w:t>GB 50031</w:t>
            </w:r>
          </w:p>
        </w:tc>
        <w:tc>
          <w:tcPr>
            <w:tcW w:w="1595" w:type="dxa"/>
            <w:vMerge w:val="restart"/>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6"/>
              <w:rPr>
                <w:rFonts w:ascii="Times New Roman"/>
                <w:sz w:val="32"/>
              </w:rPr>
            </w:pPr>
          </w:p>
          <w:p>
            <w:pPr>
              <w:pStyle w:val="TableParagraph"/>
              <w:spacing w:line="242" w:lineRule="auto"/>
              <w:ind w:left="108" w:right="34" w:hanging="63"/>
              <w:jc w:val="center"/>
              <w:rPr>
                <w:sz w:val="24"/>
              </w:rPr>
            </w:pPr>
            <w:r>
              <w:rPr>
                <w:sz w:val="24"/>
              </w:rPr>
              <w:t>同一次隐患 </w:t>
            </w:r>
            <w:r>
              <w:rPr>
                <w:spacing w:val="-3"/>
                <w:sz w:val="24"/>
              </w:rPr>
              <w:t>排查过程中， </w:t>
            </w:r>
            <w:r>
              <w:rPr>
                <w:sz w:val="24"/>
              </w:rPr>
              <w:t>企业发现任 意三项隐患 </w:t>
            </w:r>
            <w:r>
              <w:rPr>
                <w:spacing w:val="-11"/>
                <w:sz w:val="24"/>
              </w:rPr>
              <w:t>内容的，判定为重大生产 安全事故隐 患</w:t>
            </w:r>
          </w:p>
        </w:tc>
      </w:tr>
      <w:tr>
        <w:trPr>
          <w:trHeight w:val="1556"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rPr>
                <w:rFonts w:ascii="Times New Roman"/>
                <w:sz w:val="24"/>
              </w:rPr>
            </w:pPr>
          </w:p>
          <w:p>
            <w:pPr>
              <w:pStyle w:val="TableParagraph"/>
              <w:spacing w:before="1"/>
              <w:rPr>
                <w:rFonts w:ascii="Times New Roman"/>
                <w:sz w:val="30"/>
              </w:rPr>
            </w:pPr>
          </w:p>
          <w:p>
            <w:pPr>
              <w:pStyle w:val="TableParagraph"/>
              <w:ind w:right="167"/>
              <w:jc w:val="right"/>
              <w:rPr>
                <w:sz w:val="24"/>
              </w:rPr>
            </w:pPr>
            <w:r>
              <w:rPr>
                <w:sz w:val="24"/>
              </w:rPr>
              <w:t>CBCS-YQ002</w:t>
            </w:r>
          </w:p>
        </w:tc>
        <w:tc>
          <w:tcPr>
            <w:tcW w:w="2693" w:type="dxa"/>
          </w:tcPr>
          <w:p>
            <w:pPr>
              <w:pStyle w:val="TableParagraph"/>
              <w:spacing w:line="242" w:lineRule="auto" w:before="1"/>
              <w:ind w:left="108" w:right="172"/>
              <w:jc w:val="both"/>
              <w:rPr>
                <w:sz w:val="24"/>
              </w:rPr>
            </w:pPr>
            <w:r>
              <w:rPr>
                <w:sz w:val="24"/>
              </w:rPr>
              <w:t>有爆炸危险的生产间与无爆炸危险的生产间或房间的隔墙上有管道穿过时，未在穿墙处用非</w:t>
            </w:r>
          </w:p>
          <w:p>
            <w:pPr>
              <w:pStyle w:val="TableParagraph"/>
              <w:spacing w:line="289" w:lineRule="exact" w:before="3"/>
              <w:ind w:left="108"/>
              <w:rPr>
                <w:sz w:val="24"/>
              </w:rPr>
            </w:pPr>
            <w:r>
              <w:rPr>
                <w:sz w:val="24"/>
              </w:rPr>
              <w:t>燃烧材料密封填塞</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934"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1"/>
              <w:rPr>
                <w:rFonts w:ascii="Times New Roman"/>
                <w:sz w:val="27"/>
              </w:rPr>
            </w:pPr>
          </w:p>
          <w:p>
            <w:pPr>
              <w:pStyle w:val="TableParagraph"/>
              <w:ind w:right="167"/>
              <w:jc w:val="right"/>
              <w:rPr>
                <w:sz w:val="24"/>
              </w:rPr>
            </w:pPr>
            <w:r>
              <w:rPr>
                <w:sz w:val="24"/>
              </w:rPr>
              <w:t>CBCS-YQ003</w:t>
            </w:r>
          </w:p>
        </w:tc>
        <w:tc>
          <w:tcPr>
            <w:tcW w:w="2693" w:type="dxa"/>
          </w:tcPr>
          <w:p>
            <w:pPr>
              <w:pStyle w:val="TableParagraph"/>
              <w:spacing w:line="242" w:lineRule="auto" w:before="2"/>
              <w:ind w:left="108" w:right="172"/>
              <w:rPr>
                <w:sz w:val="24"/>
              </w:rPr>
            </w:pPr>
            <w:r>
              <w:rPr>
                <w:sz w:val="24"/>
              </w:rPr>
              <w:t>乙炔管、乙炔汇流排无导除静电的接地装置，</w:t>
            </w:r>
          </w:p>
          <w:p>
            <w:pPr>
              <w:pStyle w:val="TableParagraph"/>
              <w:spacing w:line="290" w:lineRule="exact"/>
              <w:ind w:left="108"/>
              <w:rPr>
                <w:sz w:val="24"/>
              </w:rPr>
            </w:pPr>
            <w:r>
              <w:rPr>
                <w:sz w:val="24"/>
              </w:rPr>
              <w:t>或接地电阻大于10Ω</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1555"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rPr>
                <w:rFonts w:ascii="Times New Roman"/>
                <w:sz w:val="24"/>
              </w:rPr>
            </w:pPr>
          </w:p>
          <w:p>
            <w:pPr>
              <w:pStyle w:val="TableParagraph"/>
              <w:spacing w:before="2"/>
              <w:rPr>
                <w:rFonts w:ascii="Times New Roman"/>
                <w:sz w:val="30"/>
              </w:rPr>
            </w:pPr>
          </w:p>
          <w:p>
            <w:pPr>
              <w:pStyle w:val="TableParagraph"/>
              <w:ind w:right="167"/>
              <w:jc w:val="right"/>
              <w:rPr>
                <w:sz w:val="24"/>
              </w:rPr>
            </w:pPr>
            <w:r>
              <w:rPr>
                <w:sz w:val="24"/>
              </w:rPr>
              <w:t>CBCS-YQ004</w:t>
            </w:r>
          </w:p>
        </w:tc>
        <w:tc>
          <w:tcPr>
            <w:tcW w:w="2693" w:type="dxa"/>
          </w:tcPr>
          <w:p>
            <w:pPr>
              <w:pStyle w:val="TableParagraph"/>
              <w:spacing w:line="242" w:lineRule="auto" w:before="1"/>
              <w:ind w:left="108" w:right="-29"/>
              <w:rPr>
                <w:sz w:val="24"/>
              </w:rPr>
            </w:pPr>
            <w:r>
              <w:rPr>
                <w:spacing w:val="-8"/>
                <w:sz w:val="24"/>
              </w:rPr>
              <w:t>乙炔汇流排间、空瓶间、</w:t>
            </w:r>
            <w:r>
              <w:rPr>
                <w:spacing w:val="-7"/>
                <w:sz w:val="24"/>
              </w:rPr>
              <w:t>实瓶间、贮罐间等</w:t>
            </w:r>
            <w:r>
              <w:rPr>
                <w:sz w:val="24"/>
              </w:rPr>
              <w:t>1区爆炸危险区未设乙炔可燃气体测爆仪，且测报仪</w:t>
            </w:r>
          </w:p>
          <w:p>
            <w:pPr>
              <w:pStyle w:val="TableParagraph"/>
              <w:spacing w:line="289" w:lineRule="exact" w:before="3"/>
              <w:ind w:left="108"/>
              <w:rPr>
                <w:sz w:val="24"/>
              </w:rPr>
            </w:pPr>
            <w:r>
              <w:rPr>
                <w:sz w:val="24"/>
              </w:rPr>
              <w:t>未与通风机联锁</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1556"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rPr>
                <w:rFonts w:ascii="Times New Roman"/>
                <w:sz w:val="24"/>
              </w:rPr>
            </w:pPr>
          </w:p>
          <w:p>
            <w:pPr>
              <w:pStyle w:val="TableParagraph"/>
              <w:spacing w:before="3"/>
              <w:rPr>
                <w:rFonts w:ascii="Times New Roman"/>
                <w:sz w:val="30"/>
              </w:rPr>
            </w:pPr>
          </w:p>
          <w:p>
            <w:pPr>
              <w:pStyle w:val="TableParagraph"/>
              <w:ind w:right="167"/>
              <w:jc w:val="right"/>
              <w:rPr>
                <w:sz w:val="24"/>
              </w:rPr>
            </w:pPr>
            <w:r>
              <w:rPr>
                <w:sz w:val="24"/>
              </w:rPr>
              <w:t>CBCS-YQ005</w:t>
            </w:r>
          </w:p>
        </w:tc>
        <w:tc>
          <w:tcPr>
            <w:tcW w:w="2693" w:type="dxa"/>
          </w:tcPr>
          <w:p>
            <w:pPr>
              <w:pStyle w:val="TableParagraph"/>
              <w:spacing w:line="242" w:lineRule="auto"/>
              <w:ind w:left="108" w:right="172"/>
              <w:jc w:val="both"/>
              <w:rPr>
                <w:sz w:val="24"/>
              </w:rPr>
            </w:pPr>
            <w:r>
              <w:rPr>
                <w:sz w:val="24"/>
              </w:rPr>
              <w:t>乙炔管道无导除静电的接地装置；当每对法兰或螺纹接头间电阻值超过0.03Ω时，无跨接导</w:t>
            </w:r>
          </w:p>
          <w:p>
            <w:pPr>
              <w:pStyle w:val="TableParagraph"/>
              <w:spacing w:line="290" w:lineRule="exact" w:before="3"/>
              <w:ind w:left="108"/>
              <w:rPr>
                <w:sz w:val="24"/>
              </w:rPr>
            </w:pPr>
            <w:r>
              <w:rPr>
                <w:sz w:val="24"/>
              </w:rPr>
              <w:t>线</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1556"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rPr>
                <w:rFonts w:ascii="Times New Roman"/>
                <w:sz w:val="24"/>
              </w:rPr>
            </w:pPr>
          </w:p>
          <w:p>
            <w:pPr>
              <w:pStyle w:val="TableParagraph"/>
              <w:spacing w:before="2"/>
              <w:rPr>
                <w:rFonts w:ascii="Times New Roman"/>
                <w:sz w:val="30"/>
              </w:rPr>
            </w:pPr>
          </w:p>
          <w:p>
            <w:pPr>
              <w:pStyle w:val="TableParagraph"/>
              <w:ind w:right="167"/>
              <w:jc w:val="right"/>
              <w:rPr>
                <w:sz w:val="24"/>
              </w:rPr>
            </w:pPr>
            <w:r>
              <w:rPr>
                <w:sz w:val="24"/>
              </w:rPr>
              <w:t>CBCS-YQ006</w:t>
            </w:r>
          </w:p>
        </w:tc>
        <w:tc>
          <w:tcPr>
            <w:tcW w:w="2693" w:type="dxa"/>
          </w:tcPr>
          <w:p>
            <w:pPr>
              <w:pStyle w:val="TableParagraph"/>
              <w:spacing w:line="242" w:lineRule="auto" w:before="1"/>
              <w:ind w:left="108" w:right="172"/>
              <w:jc w:val="both"/>
              <w:rPr>
                <w:sz w:val="24"/>
              </w:rPr>
            </w:pPr>
            <w:r>
              <w:rPr>
                <w:sz w:val="24"/>
              </w:rPr>
              <w:t>每个焊炬、割炬或淬火炬未设单独的岗位回火防止器；回火防止器设保护箱时未采用通风良</w:t>
            </w:r>
          </w:p>
          <w:p>
            <w:pPr>
              <w:pStyle w:val="TableParagraph"/>
              <w:spacing w:line="289" w:lineRule="exact" w:before="3"/>
              <w:ind w:left="108"/>
              <w:rPr>
                <w:sz w:val="24"/>
              </w:rPr>
            </w:pPr>
            <w:r>
              <w:rPr>
                <w:sz w:val="24"/>
              </w:rPr>
              <w:t>好的保护箱</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1245"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rPr>
                <w:rFonts w:ascii="Times New Roman"/>
                <w:sz w:val="24"/>
              </w:rPr>
            </w:pPr>
          </w:p>
          <w:p>
            <w:pPr>
              <w:pStyle w:val="TableParagraph"/>
              <w:spacing w:before="192"/>
              <w:ind w:right="167"/>
              <w:jc w:val="right"/>
              <w:rPr>
                <w:sz w:val="24"/>
              </w:rPr>
            </w:pPr>
            <w:r>
              <w:rPr>
                <w:sz w:val="24"/>
              </w:rPr>
              <w:t>CBCS-YQ007</w:t>
            </w:r>
          </w:p>
        </w:tc>
        <w:tc>
          <w:tcPr>
            <w:tcW w:w="2693" w:type="dxa"/>
          </w:tcPr>
          <w:p>
            <w:pPr>
              <w:pStyle w:val="TableParagraph"/>
              <w:spacing w:line="242" w:lineRule="auto" w:before="2"/>
              <w:ind w:left="108" w:right="172"/>
              <w:jc w:val="both"/>
              <w:rPr>
                <w:sz w:val="24"/>
              </w:rPr>
            </w:pPr>
            <w:r>
              <w:rPr>
                <w:sz w:val="24"/>
              </w:rPr>
              <w:t>压力为0.02MPa以上至0.15MPa的车间乙炔管道进口处未设中央回火</w:t>
            </w:r>
          </w:p>
          <w:p>
            <w:pPr>
              <w:pStyle w:val="TableParagraph"/>
              <w:spacing w:line="289" w:lineRule="exact" w:before="2"/>
              <w:ind w:left="108"/>
              <w:rPr>
                <w:sz w:val="24"/>
              </w:rPr>
            </w:pPr>
            <w:r>
              <w:rPr>
                <w:sz w:val="24"/>
              </w:rPr>
              <w:t>防止器</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1555"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rPr>
                <w:rFonts w:ascii="Times New Roman"/>
                <w:sz w:val="24"/>
              </w:rPr>
            </w:pPr>
          </w:p>
          <w:p>
            <w:pPr>
              <w:pStyle w:val="TableParagraph"/>
              <w:spacing w:before="3"/>
              <w:rPr>
                <w:rFonts w:ascii="Times New Roman"/>
                <w:sz w:val="30"/>
              </w:rPr>
            </w:pPr>
          </w:p>
          <w:p>
            <w:pPr>
              <w:pStyle w:val="TableParagraph"/>
              <w:ind w:right="167"/>
              <w:jc w:val="right"/>
              <w:rPr>
                <w:sz w:val="24"/>
              </w:rPr>
            </w:pPr>
            <w:r>
              <w:rPr>
                <w:sz w:val="24"/>
              </w:rPr>
              <w:t>CBCS-YQ008</w:t>
            </w:r>
          </w:p>
        </w:tc>
        <w:tc>
          <w:tcPr>
            <w:tcW w:w="2693" w:type="dxa"/>
          </w:tcPr>
          <w:p>
            <w:pPr>
              <w:pStyle w:val="TableParagraph"/>
              <w:spacing w:line="242" w:lineRule="auto" w:before="2"/>
              <w:ind w:left="108" w:right="95"/>
              <w:jc w:val="both"/>
              <w:rPr>
                <w:sz w:val="24"/>
              </w:rPr>
            </w:pPr>
            <w:r>
              <w:rPr>
                <w:sz w:val="24"/>
              </w:rPr>
              <w:t>乙炔汇流排各部位的阻火器和阀件等的设置不符合JB/T</w:t>
            </w:r>
            <w:r>
              <w:rPr>
                <w:spacing w:val="-44"/>
                <w:sz w:val="24"/>
              </w:rPr>
              <w:t> </w:t>
            </w:r>
            <w:r>
              <w:rPr>
                <w:sz w:val="24"/>
              </w:rPr>
              <w:t>8856</w:t>
            </w:r>
            <w:r>
              <w:rPr>
                <w:spacing w:val="-4"/>
                <w:sz w:val="24"/>
              </w:rPr>
              <w:t>的标准要</w:t>
            </w:r>
            <w:r>
              <w:rPr>
                <w:sz w:val="24"/>
              </w:rPr>
              <w:t>求；或乙炔汇流排通向</w:t>
            </w:r>
          </w:p>
          <w:p>
            <w:pPr>
              <w:pStyle w:val="TableParagraph"/>
              <w:spacing w:line="289" w:lineRule="exact" w:before="1"/>
              <w:ind w:left="108"/>
              <w:rPr>
                <w:sz w:val="24"/>
              </w:rPr>
            </w:pPr>
            <w:r>
              <w:rPr>
                <w:sz w:val="24"/>
              </w:rPr>
              <w:t>用户的输气总管上未设</w:t>
            </w:r>
          </w:p>
        </w:tc>
        <w:tc>
          <w:tcPr>
            <w:tcW w:w="1488" w:type="dxa"/>
          </w:tcPr>
          <w:p>
            <w:pPr>
              <w:pStyle w:val="TableParagraph"/>
              <w:rPr>
                <w:rFonts w:ascii="Times New Roman"/>
                <w:sz w:val="24"/>
              </w:rPr>
            </w:pPr>
          </w:p>
          <w:p>
            <w:pPr>
              <w:pStyle w:val="TableParagraph"/>
              <w:spacing w:before="3"/>
              <w:rPr>
                <w:rFonts w:ascii="Times New Roman"/>
                <w:sz w:val="30"/>
              </w:rPr>
            </w:pPr>
          </w:p>
          <w:p>
            <w:pPr>
              <w:pStyle w:val="TableParagraph"/>
              <w:ind w:left="108"/>
              <w:rPr>
                <w:sz w:val="24"/>
              </w:rPr>
            </w:pPr>
            <w:r>
              <w:rPr>
                <w:sz w:val="24"/>
              </w:rPr>
              <w:t>JB/T 8856</w:t>
            </w:r>
          </w:p>
        </w:tc>
        <w:tc>
          <w:tcPr>
            <w:tcW w:w="1595" w:type="dxa"/>
            <w:vMerge/>
            <w:tcBorders>
              <w:top w:val="nil"/>
            </w:tcBorders>
          </w:tcPr>
          <w:p>
            <w:pPr>
              <w:rPr>
                <w:sz w:val="2"/>
                <w:szCs w:val="2"/>
              </w:rPr>
            </w:pPr>
          </w:p>
        </w:tc>
      </w:tr>
    </w:tbl>
    <w:p>
      <w:pPr>
        <w:spacing w:after="0"/>
        <w:rPr>
          <w:sz w:val="2"/>
          <w:szCs w:val="2"/>
        </w:rPr>
        <w:sectPr>
          <w:pgSz w:w="11910" w:h="16840"/>
          <w:pgMar w:header="0" w:footer="1039" w:top="1580" w:bottom="1220" w:left="1060" w:right="860"/>
        </w:sectPr>
      </w:pPr>
    </w:p>
    <w:p>
      <w:pPr>
        <w:pStyle w:val="BodyText"/>
        <w:spacing w:before="8"/>
        <w:ind w:left="0"/>
        <w:rPr>
          <w:rFonts w:ascii="Times New Roman"/>
          <w:sz w:val="28"/>
        </w:rPr>
      </w:pPr>
    </w:p>
    <w:tbl>
      <w:tblPr>
        <w:tblW w:w="0" w:type="auto"/>
        <w:jc w:val="left"/>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1"/>
        <w:gridCol w:w="1134"/>
        <w:gridCol w:w="1559"/>
        <w:gridCol w:w="2693"/>
        <w:gridCol w:w="1488"/>
        <w:gridCol w:w="1595"/>
      </w:tblGrid>
      <w:tr>
        <w:trPr>
          <w:trHeight w:val="310" w:hRule="atLeast"/>
        </w:trPr>
        <w:tc>
          <w:tcPr>
            <w:tcW w:w="1101" w:type="dxa"/>
            <w:vMerge w:val="restart"/>
          </w:tcPr>
          <w:p>
            <w:pPr>
              <w:pStyle w:val="TableParagraph"/>
              <w:rPr>
                <w:rFonts w:ascii="Times New Roman"/>
                <w:sz w:val="22"/>
              </w:rPr>
            </w:pPr>
          </w:p>
        </w:tc>
        <w:tc>
          <w:tcPr>
            <w:tcW w:w="1134" w:type="dxa"/>
            <w:vMerge w:val="restart"/>
          </w:tcPr>
          <w:p>
            <w:pPr>
              <w:pStyle w:val="TableParagraph"/>
              <w:rPr>
                <w:rFonts w:ascii="Times New Roman"/>
                <w:sz w:val="22"/>
              </w:rPr>
            </w:pPr>
          </w:p>
        </w:tc>
        <w:tc>
          <w:tcPr>
            <w:tcW w:w="1559" w:type="dxa"/>
          </w:tcPr>
          <w:p>
            <w:pPr>
              <w:pStyle w:val="TableParagraph"/>
              <w:rPr>
                <w:rFonts w:ascii="Times New Roman"/>
                <w:sz w:val="22"/>
              </w:rPr>
            </w:pPr>
          </w:p>
        </w:tc>
        <w:tc>
          <w:tcPr>
            <w:tcW w:w="2693" w:type="dxa"/>
          </w:tcPr>
          <w:p>
            <w:pPr>
              <w:pStyle w:val="TableParagraph"/>
              <w:spacing w:line="289" w:lineRule="exact" w:before="2"/>
              <w:ind w:left="108"/>
              <w:rPr>
                <w:sz w:val="24"/>
              </w:rPr>
            </w:pPr>
            <w:r>
              <w:rPr>
                <w:sz w:val="24"/>
              </w:rPr>
              <w:t>置安全水封或阻火器</w:t>
            </w:r>
          </w:p>
        </w:tc>
        <w:tc>
          <w:tcPr>
            <w:tcW w:w="1488" w:type="dxa"/>
          </w:tcPr>
          <w:p>
            <w:pPr>
              <w:pStyle w:val="TableParagraph"/>
              <w:rPr>
                <w:rFonts w:ascii="Times New Roman"/>
                <w:sz w:val="22"/>
              </w:rPr>
            </w:pPr>
          </w:p>
        </w:tc>
        <w:tc>
          <w:tcPr>
            <w:tcW w:w="1595" w:type="dxa"/>
            <w:vMerge w:val="restart"/>
          </w:tcPr>
          <w:p>
            <w:pPr>
              <w:pStyle w:val="TableParagraph"/>
              <w:rPr>
                <w:rFonts w:ascii="Times New Roman"/>
                <w:sz w:val="22"/>
              </w:rPr>
            </w:pPr>
          </w:p>
        </w:tc>
      </w:tr>
      <w:tr>
        <w:trPr>
          <w:trHeight w:val="1245"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rPr>
                <w:rFonts w:ascii="Times New Roman"/>
                <w:sz w:val="24"/>
              </w:rPr>
            </w:pPr>
          </w:p>
          <w:p>
            <w:pPr>
              <w:pStyle w:val="TableParagraph"/>
              <w:spacing w:before="192"/>
              <w:ind w:left="128" w:right="118"/>
              <w:jc w:val="center"/>
              <w:rPr>
                <w:sz w:val="24"/>
              </w:rPr>
            </w:pPr>
            <w:r>
              <w:rPr>
                <w:sz w:val="24"/>
              </w:rPr>
              <w:t>CBCS-YQ009</w:t>
            </w:r>
          </w:p>
        </w:tc>
        <w:tc>
          <w:tcPr>
            <w:tcW w:w="2693" w:type="dxa"/>
          </w:tcPr>
          <w:p>
            <w:pPr>
              <w:pStyle w:val="TableParagraph"/>
              <w:spacing w:line="242" w:lineRule="auto" w:before="3"/>
              <w:ind w:left="108" w:right="172"/>
              <w:jc w:val="both"/>
              <w:rPr>
                <w:sz w:val="24"/>
              </w:rPr>
            </w:pPr>
            <w:r>
              <w:rPr>
                <w:sz w:val="24"/>
              </w:rPr>
              <w:t>有爆炸危险的生产间未设置泄压面积，或泄压面积和泄压设施不符合</w:t>
            </w:r>
          </w:p>
          <w:p>
            <w:pPr>
              <w:pStyle w:val="TableParagraph"/>
              <w:spacing w:line="290" w:lineRule="exact"/>
              <w:ind w:left="108"/>
              <w:jc w:val="both"/>
              <w:rPr>
                <w:sz w:val="24"/>
              </w:rPr>
            </w:pPr>
            <w:r>
              <w:rPr>
                <w:sz w:val="24"/>
              </w:rPr>
              <w:t>GB 50016的要求</w:t>
            </w:r>
          </w:p>
        </w:tc>
        <w:tc>
          <w:tcPr>
            <w:tcW w:w="1488" w:type="dxa"/>
          </w:tcPr>
          <w:p>
            <w:pPr>
              <w:pStyle w:val="TableParagraph"/>
              <w:rPr>
                <w:rFonts w:ascii="Times New Roman"/>
                <w:sz w:val="24"/>
              </w:rPr>
            </w:pPr>
          </w:p>
          <w:p>
            <w:pPr>
              <w:pStyle w:val="TableParagraph"/>
              <w:spacing w:before="192"/>
              <w:ind w:left="108"/>
              <w:rPr>
                <w:sz w:val="24"/>
              </w:rPr>
            </w:pPr>
            <w:r>
              <w:rPr>
                <w:sz w:val="24"/>
              </w:rPr>
              <w:t>GB 50016</w:t>
            </w:r>
          </w:p>
        </w:tc>
        <w:tc>
          <w:tcPr>
            <w:tcW w:w="1595" w:type="dxa"/>
            <w:vMerge/>
            <w:tcBorders>
              <w:top w:val="nil"/>
            </w:tcBorders>
          </w:tcPr>
          <w:p>
            <w:pPr>
              <w:rPr>
                <w:sz w:val="2"/>
                <w:szCs w:val="2"/>
              </w:rPr>
            </w:pPr>
          </w:p>
        </w:tc>
      </w:tr>
      <w:tr>
        <w:trPr>
          <w:trHeight w:val="1245"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rPr>
                <w:rFonts w:ascii="Times New Roman"/>
                <w:sz w:val="24"/>
              </w:rPr>
            </w:pPr>
          </w:p>
          <w:p>
            <w:pPr>
              <w:pStyle w:val="TableParagraph"/>
              <w:spacing w:before="193"/>
              <w:ind w:left="128" w:right="118"/>
              <w:jc w:val="center"/>
              <w:rPr>
                <w:sz w:val="24"/>
              </w:rPr>
            </w:pPr>
            <w:r>
              <w:rPr>
                <w:sz w:val="24"/>
              </w:rPr>
              <w:t>CBCS-YQ010</w:t>
            </w:r>
          </w:p>
        </w:tc>
        <w:tc>
          <w:tcPr>
            <w:tcW w:w="2693" w:type="dxa"/>
          </w:tcPr>
          <w:p>
            <w:pPr>
              <w:pStyle w:val="TableParagraph"/>
              <w:spacing w:line="242" w:lineRule="auto" w:before="3"/>
              <w:ind w:left="108" w:right="172"/>
              <w:jc w:val="both"/>
              <w:rPr>
                <w:sz w:val="24"/>
              </w:rPr>
            </w:pPr>
            <w:r>
              <w:rPr>
                <w:sz w:val="24"/>
              </w:rPr>
              <w:t>乙炔站、乙炔汇流排间和露天设置的贮罐的防雷设计不符合现行国家</w:t>
            </w:r>
          </w:p>
          <w:p>
            <w:pPr>
              <w:pStyle w:val="TableParagraph"/>
              <w:spacing w:line="290" w:lineRule="exact"/>
              <w:ind w:left="108"/>
              <w:jc w:val="both"/>
              <w:rPr>
                <w:sz w:val="24"/>
              </w:rPr>
            </w:pPr>
            <w:r>
              <w:rPr>
                <w:sz w:val="24"/>
              </w:rPr>
              <w:t>标准GB 50057的要求</w:t>
            </w:r>
          </w:p>
        </w:tc>
        <w:tc>
          <w:tcPr>
            <w:tcW w:w="1488" w:type="dxa"/>
          </w:tcPr>
          <w:p>
            <w:pPr>
              <w:pStyle w:val="TableParagraph"/>
              <w:rPr>
                <w:rFonts w:ascii="Times New Roman"/>
                <w:sz w:val="24"/>
              </w:rPr>
            </w:pPr>
          </w:p>
          <w:p>
            <w:pPr>
              <w:pStyle w:val="TableParagraph"/>
              <w:spacing w:before="193"/>
              <w:ind w:left="108"/>
              <w:rPr>
                <w:sz w:val="24"/>
              </w:rPr>
            </w:pPr>
            <w:r>
              <w:rPr>
                <w:sz w:val="24"/>
              </w:rPr>
              <w:t>GB 50057</w:t>
            </w:r>
          </w:p>
        </w:tc>
        <w:tc>
          <w:tcPr>
            <w:tcW w:w="1595" w:type="dxa"/>
            <w:vMerge/>
            <w:tcBorders>
              <w:top w:val="nil"/>
            </w:tcBorders>
          </w:tcPr>
          <w:p>
            <w:pPr>
              <w:rPr>
                <w:sz w:val="2"/>
                <w:szCs w:val="2"/>
              </w:rPr>
            </w:pPr>
          </w:p>
        </w:tc>
      </w:tr>
      <w:tr>
        <w:trPr>
          <w:trHeight w:val="1868" w:hRule="atLeast"/>
        </w:trPr>
        <w:tc>
          <w:tcPr>
            <w:tcW w:w="1101" w:type="dxa"/>
            <w:vMerge/>
            <w:tcBorders>
              <w:top w:val="nil"/>
            </w:tcBorders>
          </w:tcPr>
          <w:p>
            <w:pPr>
              <w:rPr>
                <w:sz w:val="2"/>
                <w:szCs w:val="2"/>
              </w:rPr>
            </w:pPr>
          </w:p>
        </w:tc>
        <w:tc>
          <w:tcPr>
            <w:tcW w:w="1134" w:type="dxa"/>
            <w:vMerge w:val="restart"/>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1"/>
              <w:rPr>
                <w:rFonts w:ascii="Times New Roman"/>
                <w:sz w:val="25"/>
              </w:rPr>
            </w:pPr>
          </w:p>
          <w:p>
            <w:pPr>
              <w:pStyle w:val="TableParagraph"/>
              <w:ind w:left="207"/>
              <w:rPr>
                <w:sz w:val="24"/>
              </w:rPr>
            </w:pPr>
            <w:r>
              <w:rPr>
                <w:sz w:val="24"/>
              </w:rPr>
              <w:t>氧气站</w:t>
            </w:r>
          </w:p>
        </w:tc>
        <w:tc>
          <w:tcPr>
            <w:tcW w:w="1559" w:type="dxa"/>
          </w:tcPr>
          <w:p>
            <w:pPr>
              <w:pStyle w:val="TableParagraph"/>
              <w:rPr>
                <w:rFonts w:ascii="Times New Roman"/>
                <w:sz w:val="26"/>
              </w:rPr>
            </w:pPr>
          </w:p>
          <w:p>
            <w:pPr>
              <w:pStyle w:val="TableParagraph"/>
              <w:rPr>
                <w:rFonts w:ascii="Times New Roman"/>
                <w:sz w:val="26"/>
              </w:rPr>
            </w:pPr>
          </w:p>
          <w:p>
            <w:pPr>
              <w:pStyle w:val="TableParagraph"/>
              <w:spacing w:before="180"/>
              <w:ind w:left="128" w:right="121"/>
              <w:jc w:val="center"/>
              <w:rPr>
                <w:sz w:val="24"/>
              </w:rPr>
            </w:pPr>
            <w:r>
              <w:rPr>
                <w:sz w:val="24"/>
              </w:rPr>
              <w:t>CBCS-YQ</w:t>
            </w:r>
            <w:r>
              <w:rPr>
                <w:position w:val="-2"/>
                <w:sz w:val="12"/>
              </w:rPr>
              <w:t>1</w:t>
            </w:r>
            <w:r>
              <w:rPr>
                <w:sz w:val="24"/>
              </w:rPr>
              <w:t>001</w:t>
            </w:r>
          </w:p>
        </w:tc>
        <w:tc>
          <w:tcPr>
            <w:tcW w:w="2693" w:type="dxa"/>
          </w:tcPr>
          <w:p>
            <w:pPr>
              <w:pStyle w:val="TableParagraph"/>
              <w:spacing w:line="242" w:lineRule="auto" w:before="1"/>
              <w:ind w:left="108" w:right="-29"/>
              <w:rPr>
                <w:sz w:val="24"/>
              </w:rPr>
            </w:pPr>
            <w:r>
              <w:rPr>
                <w:sz w:val="24"/>
              </w:rPr>
              <w:t>积聚液氧、液体空气的</w:t>
            </w:r>
            <w:r>
              <w:rPr>
                <w:spacing w:val="-8"/>
                <w:sz w:val="24"/>
              </w:rPr>
              <w:t>各类设备、氧气压缩机、</w:t>
            </w:r>
            <w:r>
              <w:rPr>
                <w:sz w:val="24"/>
              </w:rPr>
              <w:t>氧气灌充台和氧气管道未设导除静电的接地装置，或接地电阻大于10</w:t>
            </w:r>
          </w:p>
          <w:p>
            <w:pPr>
              <w:pStyle w:val="TableParagraph"/>
              <w:spacing w:line="289" w:lineRule="exact" w:before="4"/>
              <w:ind w:left="108"/>
              <w:rPr>
                <w:sz w:val="24"/>
              </w:rPr>
            </w:pPr>
            <w:r>
              <w:rPr>
                <w:sz w:val="24"/>
              </w:rPr>
              <w:t>Ω</w:t>
            </w:r>
          </w:p>
        </w:tc>
        <w:tc>
          <w:tcPr>
            <w:tcW w:w="1488" w:type="dxa"/>
            <w:vMerge w:val="restart"/>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42"/>
              <w:ind w:left="108"/>
              <w:rPr>
                <w:sz w:val="24"/>
              </w:rPr>
            </w:pPr>
            <w:r>
              <w:rPr>
                <w:sz w:val="24"/>
              </w:rPr>
              <w:t>1 GB 50030</w:t>
            </w:r>
          </w:p>
          <w:p>
            <w:pPr>
              <w:pStyle w:val="TableParagraph"/>
              <w:spacing w:before="5"/>
              <w:ind w:left="108"/>
              <w:rPr>
                <w:sz w:val="24"/>
              </w:rPr>
            </w:pPr>
            <w:r>
              <w:rPr>
                <w:sz w:val="24"/>
              </w:rPr>
              <w:t>2 GB 50057</w:t>
            </w:r>
          </w:p>
        </w:tc>
        <w:tc>
          <w:tcPr>
            <w:tcW w:w="1595" w:type="dxa"/>
            <w:vMerge w:val="restart"/>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2"/>
              <w:rPr>
                <w:rFonts w:ascii="Times New Roman"/>
                <w:sz w:val="27"/>
              </w:rPr>
            </w:pPr>
          </w:p>
          <w:p>
            <w:pPr>
              <w:pStyle w:val="TableParagraph"/>
              <w:spacing w:line="242" w:lineRule="auto"/>
              <w:ind w:left="108" w:right="34" w:hanging="63"/>
              <w:jc w:val="center"/>
              <w:rPr>
                <w:sz w:val="24"/>
              </w:rPr>
            </w:pPr>
            <w:r>
              <w:rPr>
                <w:sz w:val="24"/>
              </w:rPr>
              <w:t>同一次隐患 </w:t>
            </w:r>
            <w:r>
              <w:rPr>
                <w:spacing w:val="-3"/>
                <w:sz w:val="24"/>
              </w:rPr>
              <w:t>排查过程中， </w:t>
            </w:r>
            <w:r>
              <w:rPr>
                <w:sz w:val="24"/>
              </w:rPr>
              <w:t>企业发现任 意三项隐患 </w:t>
            </w:r>
            <w:r>
              <w:rPr>
                <w:spacing w:val="-11"/>
                <w:sz w:val="24"/>
              </w:rPr>
              <w:t>内容的，判定为重大生产 安全事故隐 患</w:t>
            </w:r>
          </w:p>
        </w:tc>
      </w:tr>
      <w:tr>
        <w:trPr>
          <w:trHeight w:val="1245"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rPr>
                <w:rFonts w:ascii="Times New Roman"/>
                <w:sz w:val="26"/>
              </w:rPr>
            </w:pPr>
          </w:p>
          <w:p>
            <w:pPr>
              <w:pStyle w:val="TableParagraph"/>
              <w:spacing w:before="169"/>
              <w:ind w:left="128" w:right="121"/>
              <w:jc w:val="center"/>
              <w:rPr>
                <w:sz w:val="24"/>
              </w:rPr>
            </w:pPr>
            <w:r>
              <w:rPr>
                <w:sz w:val="24"/>
              </w:rPr>
              <w:t>CBCS-YQ</w:t>
            </w:r>
            <w:r>
              <w:rPr>
                <w:position w:val="-2"/>
                <w:sz w:val="12"/>
              </w:rPr>
              <w:t>1</w:t>
            </w:r>
            <w:r>
              <w:rPr>
                <w:sz w:val="24"/>
              </w:rPr>
              <w:t>002</w:t>
            </w:r>
          </w:p>
        </w:tc>
        <w:tc>
          <w:tcPr>
            <w:tcW w:w="2693" w:type="dxa"/>
          </w:tcPr>
          <w:p>
            <w:pPr>
              <w:pStyle w:val="TableParagraph"/>
              <w:spacing w:line="242" w:lineRule="auto" w:before="2"/>
              <w:ind w:left="108" w:right="172"/>
              <w:jc w:val="both"/>
              <w:rPr>
                <w:sz w:val="24"/>
              </w:rPr>
            </w:pPr>
            <w:r>
              <w:rPr>
                <w:spacing w:val="-2"/>
                <w:sz w:val="24"/>
              </w:rPr>
              <w:t>进入用户车间的氧气主管在车间入口处未装设切断阀、压力表，或未</w:t>
            </w:r>
          </w:p>
          <w:p>
            <w:pPr>
              <w:pStyle w:val="TableParagraph"/>
              <w:spacing w:line="291" w:lineRule="exact"/>
              <w:ind w:left="108"/>
              <w:rPr>
                <w:sz w:val="24"/>
              </w:rPr>
            </w:pPr>
            <w:r>
              <w:rPr>
                <w:sz w:val="24"/>
              </w:rPr>
              <w:t>在适当位置设置放散管</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934"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1"/>
              <w:rPr>
                <w:rFonts w:ascii="Times New Roman"/>
                <w:sz w:val="27"/>
              </w:rPr>
            </w:pPr>
          </w:p>
          <w:p>
            <w:pPr>
              <w:pStyle w:val="TableParagraph"/>
              <w:ind w:left="128" w:right="121"/>
              <w:jc w:val="center"/>
              <w:rPr>
                <w:sz w:val="24"/>
              </w:rPr>
            </w:pPr>
            <w:r>
              <w:rPr>
                <w:sz w:val="24"/>
              </w:rPr>
              <w:t>CBCS-YQ</w:t>
            </w:r>
            <w:r>
              <w:rPr>
                <w:position w:val="-2"/>
                <w:sz w:val="12"/>
              </w:rPr>
              <w:t>1</w:t>
            </w:r>
            <w:r>
              <w:rPr>
                <w:sz w:val="24"/>
              </w:rPr>
              <w:t>003</w:t>
            </w:r>
          </w:p>
        </w:tc>
        <w:tc>
          <w:tcPr>
            <w:tcW w:w="2693" w:type="dxa"/>
          </w:tcPr>
          <w:p>
            <w:pPr>
              <w:pStyle w:val="TableParagraph"/>
              <w:spacing w:line="242" w:lineRule="auto"/>
              <w:ind w:left="108" w:right="172"/>
              <w:rPr>
                <w:sz w:val="24"/>
              </w:rPr>
            </w:pPr>
            <w:r>
              <w:rPr>
                <w:sz w:val="24"/>
              </w:rPr>
              <w:t>氧气管道设置的导除静电接地装置不符合标准</w:t>
            </w:r>
          </w:p>
          <w:p>
            <w:pPr>
              <w:pStyle w:val="TableParagraph"/>
              <w:spacing w:line="290" w:lineRule="exact" w:before="3"/>
              <w:ind w:left="108"/>
              <w:rPr>
                <w:sz w:val="24"/>
              </w:rPr>
            </w:pPr>
            <w:r>
              <w:rPr>
                <w:sz w:val="24"/>
              </w:rPr>
              <w:t>要求</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1245"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rPr>
                <w:rFonts w:ascii="Times New Roman"/>
                <w:sz w:val="26"/>
              </w:rPr>
            </w:pPr>
          </w:p>
          <w:p>
            <w:pPr>
              <w:pStyle w:val="TableParagraph"/>
              <w:spacing w:before="168"/>
              <w:ind w:left="128" w:right="121"/>
              <w:jc w:val="center"/>
              <w:rPr>
                <w:sz w:val="24"/>
              </w:rPr>
            </w:pPr>
            <w:r>
              <w:rPr>
                <w:sz w:val="24"/>
              </w:rPr>
              <w:t>CBCS-YQ</w:t>
            </w:r>
            <w:r>
              <w:rPr>
                <w:position w:val="-2"/>
                <w:sz w:val="12"/>
              </w:rPr>
              <w:t>1</w:t>
            </w:r>
            <w:r>
              <w:rPr>
                <w:sz w:val="24"/>
              </w:rPr>
              <w:t>004</w:t>
            </w:r>
          </w:p>
        </w:tc>
        <w:tc>
          <w:tcPr>
            <w:tcW w:w="2693" w:type="dxa"/>
          </w:tcPr>
          <w:p>
            <w:pPr>
              <w:pStyle w:val="TableParagraph"/>
              <w:spacing w:line="242" w:lineRule="auto" w:before="1"/>
              <w:ind w:left="108" w:right="172"/>
              <w:jc w:val="both"/>
              <w:rPr>
                <w:sz w:val="24"/>
              </w:rPr>
            </w:pPr>
            <w:r>
              <w:rPr>
                <w:spacing w:val="-2"/>
                <w:sz w:val="24"/>
              </w:rPr>
              <w:t>氧气站和露天布置的氧气贮罐、液氧贮罐等的防雷设计不符合现行国</w:t>
            </w:r>
          </w:p>
          <w:p>
            <w:pPr>
              <w:pStyle w:val="TableParagraph"/>
              <w:spacing w:line="290" w:lineRule="exact" w:before="2"/>
              <w:ind w:left="108"/>
              <w:jc w:val="both"/>
              <w:rPr>
                <w:sz w:val="24"/>
              </w:rPr>
            </w:pPr>
            <w:r>
              <w:rPr>
                <w:sz w:val="24"/>
              </w:rPr>
              <w:t>家标准GB</w:t>
            </w:r>
            <w:r>
              <w:rPr>
                <w:spacing w:val="-44"/>
                <w:sz w:val="24"/>
              </w:rPr>
              <w:t> </w:t>
            </w:r>
            <w:r>
              <w:rPr>
                <w:sz w:val="24"/>
              </w:rPr>
              <w:t>50057 的要求</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933" w:hRule="atLeast"/>
        </w:trPr>
        <w:tc>
          <w:tcPr>
            <w:tcW w:w="1101" w:type="dxa"/>
            <w:vMerge/>
            <w:tcBorders>
              <w:top w:val="nil"/>
            </w:tcBorders>
          </w:tcPr>
          <w:p>
            <w:pPr>
              <w:rPr>
                <w:sz w:val="2"/>
                <w:szCs w:val="2"/>
              </w:rPr>
            </w:pPr>
          </w:p>
        </w:tc>
        <w:tc>
          <w:tcPr>
            <w:tcW w:w="1134" w:type="dxa"/>
            <w:vMerge w:val="restart"/>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8"/>
              <w:rPr>
                <w:rFonts w:ascii="Times New Roman"/>
                <w:sz w:val="33"/>
              </w:rPr>
            </w:pPr>
          </w:p>
          <w:p>
            <w:pPr>
              <w:pStyle w:val="TableParagraph"/>
              <w:spacing w:line="242" w:lineRule="auto" w:before="1"/>
              <w:ind w:left="207" w:right="194"/>
              <w:jc w:val="both"/>
              <w:rPr>
                <w:sz w:val="24"/>
              </w:rPr>
            </w:pPr>
            <w:r>
              <w:rPr>
                <w:sz w:val="24"/>
              </w:rPr>
              <w:t>危险化学品存放场所</w:t>
            </w:r>
          </w:p>
        </w:tc>
        <w:tc>
          <w:tcPr>
            <w:tcW w:w="1559" w:type="dxa"/>
          </w:tcPr>
          <w:p>
            <w:pPr>
              <w:pStyle w:val="TableParagraph"/>
              <w:rPr>
                <w:rFonts w:ascii="Times New Roman"/>
                <w:sz w:val="27"/>
              </w:rPr>
            </w:pPr>
          </w:p>
          <w:p>
            <w:pPr>
              <w:pStyle w:val="TableParagraph"/>
              <w:spacing w:before="1"/>
              <w:ind w:left="128" w:right="118"/>
              <w:jc w:val="center"/>
              <w:rPr>
                <w:sz w:val="24"/>
              </w:rPr>
            </w:pPr>
            <w:r>
              <w:rPr>
                <w:sz w:val="24"/>
              </w:rPr>
              <w:t>CBCS-WH001</w:t>
            </w:r>
          </w:p>
        </w:tc>
        <w:tc>
          <w:tcPr>
            <w:tcW w:w="2693" w:type="dxa"/>
          </w:tcPr>
          <w:p>
            <w:pPr>
              <w:pStyle w:val="TableParagraph"/>
              <w:spacing w:line="242" w:lineRule="auto" w:before="2"/>
              <w:ind w:left="108" w:right="292"/>
              <w:rPr>
                <w:sz w:val="24"/>
              </w:rPr>
            </w:pPr>
            <w:r>
              <w:rPr>
                <w:sz w:val="24"/>
              </w:rPr>
              <w:t>危险化学品库房(临时存放场所)未设置可燃</w:t>
            </w:r>
          </w:p>
          <w:p>
            <w:pPr>
              <w:pStyle w:val="TableParagraph"/>
              <w:spacing w:line="290" w:lineRule="exact"/>
              <w:ind w:left="108"/>
              <w:rPr>
                <w:sz w:val="24"/>
              </w:rPr>
            </w:pPr>
            <w:r>
              <w:rPr>
                <w:sz w:val="24"/>
              </w:rPr>
              <w:t>气体报警装置</w:t>
            </w:r>
          </w:p>
        </w:tc>
        <w:tc>
          <w:tcPr>
            <w:tcW w:w="1488" w:type="dxa"/>
            <w:vMerge w:val="restart"/>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62"/>
              <w:ind w:left="108"/>
              <w:jc w:val="both"/>
              <w:rPr>
                <w:sz w:val="24"/>
              </w:rPr>
            </w:pPr>
            <w:r>
              <w:rPr>
                <w:sz w:val="24"/>
              </w:rPr>
              <w:t>1 GB 15603</w:t>
            </w:r>
          </w:p>
          <w:p>
            <w:pPr>
              <w:pStyle w:val="TableParagraph"/>
              <w:spacing w:line="242" w:lineRule="auto" w:before="2"/>
              <w:ind w:left="108" w:right="167"/>
              <w:jc w:val="both"/>
              <w:rPr>
                <w:sz w:val="24"/>
              </w:rPr>
            </w:pPr>
            <w:r>
              <w:rPr>
                <w:sz w:val="24"/>
              </w:rPr>
              <w:t>2 《化工和危险化学品生产经营单位重大生产安全事故隐患判定标准(试行)》</w:t>
            </w:r>
          </w:p>
        </w:tc>
        <w:tc>
          <w:tcPr>
            <w:tcW w:w="1595" w:type="dxa"/>
            <w:vMerge w:val="restart"/>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line="242" w:lineRule="auto" w:before="162"/>
              <w:ind w:left="108" w:right="34" w:hanging="63"/>
              <w:jc w:val="center"/>
              <w:rPr>
                <w:sz w:val="24"/>
              </w:rPr>
            </w:pPr>
            <w:r>
              <w:rPr>
                <w:sz w:val="24"/>
              </w:rPr>
              <w:t>同一次隐患 </w:t>
            </w:r>
            <w:r>
              <w:rPr>
                <w:spacing w:val="-3"/>
                <w:sz w:val="24"/>
              </w:rPr>
              <w:t>排查过程中， </w:t>
            </w:r>
            <w:r>
              <w:rPr>
                <w:sz w:val="24"/>
              </w:rPr>
              <w:t>企业发现任 意三项隐患 </w:t>
            </w:r>
            <w:r>
              <w:rPr>
                <w:spacing w:val="-11"/>
                <w:sz w:val="24"/>
              </w:rPr>
              <w:t>内容的，判定为重大生产 安全事故隐 患</w:t>
            </w:r>
          </w:p>
        </w:tc>
      </w:tr>
      <w:tr>
        <w:trPr>
          <w:trHeight w:val="1245"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rPr>
                <w:rFonts w:ascii="Times New Roman"/>
                <w:sz w:val="24"/>
              </w:rPr>
            </w:pPr>
          </w:p>
          <w:p>
            <w:pPr>
              <w:pStyle w:val="TableParagraph"/>
              <w:spacing w:before="191"/>
              <w:ind w:left="128" w:right="118"/>
              <w:jc w:val="center"/>
              <w:rPr>
                <w:sz w:val="24"/>
              </w:rPr>
            </w:pPr>
            <w:r>
              <w:rPr>
                <w:sz w:val="24"/>
              </w:rPr>
              <w:t>CBCS-WH002</w:t>
            </w:r>
          </w:p>
        </w:tc>
        <w:tc>
          <w:tcPr>
            <w:tcW w:w="2693" w:type="dxa"/>
          </w:tcPr>
          <w:p>
            <w:pPr>
              <w:pStyle w:val="TableParagraph"/>
              <w:spacing w:line="242" w:lineRule="auto" w:before="2"/>
              <w:ind w:left="108" w:right="172"/>
              <w:jc w:val="both"/>
              <w:rPr>
                <w:sz w:val="24"/>
              </w:rPr>
            </w:pPr>
            <w:r>
              <w:rPr>
                <w:sz w:val="24"/>
              </w:rPr>
              <w:t>危险化学品库房(临时存放场所)未使用防爆电气设备设施或电气设</w:t>
            </w:r>
          </w:p>
          <w:p>
            <w:pPr>
              <w:pStyle w:val="TableParagraph"/>
              <w:spacing w:line="289" w:lineRule="exact" w:before="2"/>
              <w:ind w:left="108"/>
              <w:rPr>
                <w:sz w:val="24"/>
              </w:rPr>
            </w:pPr>
            <w:r>
              <w:rPr>
                <w:sz w:val="24"/>
              </w:rPr>
              <w:t>备设施未接地</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1245"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rPr>
                <w:rFonts w:ascii="Times New Roman"/>
                <w:sz w:val="24"/>
              </w:rPr>
            </w:pPr>
          </w:p>
          <w:p>
            <w:pPr>
              <w:pStyle w:val="TableParagraph"/>
              <w:spacing w:before="192"/>
              <w:ind w:left="128" w:right="118"/>
              <w:jc w:val="center"/>
              <w:rPr>
                <w:sz w:val="24"/>
              </w:rPr>
            </w:pPr>
            <w:r>
              <w:rPr>
                <w:sz w:val="24"/>
              </w:rPr>
              <w:t>CBCS-WH003</w:t>
            </w:r>
          </w:p>
        </w:tc>
        <w:tc>
          <w:tcPr>
            <w:tcW w:w="2693" w:type="dxa"/>
          </w:tcPr>
          <w:p>
            <w:pPr>
              <w:pStyle w:val="TableParagraph"/>
              <w:spacing w:line="242" w:lineRule="auto" w:before="2"/>
              <w:ind w:left="108" w:right="172"/>
              <w:jc w:val="both"/>
              <w:rPr>
                <w:sz w:val="24"/>
              </w:rPr>
            </w:pPr>
            <w:r>
              <w:rPr>
                <w:sz w:val="24"/>
              </w:rPr>
              <w:t>危险化学品库房(临时存放场所)超量或超品</w:t>
            </w:r>
            <w:r>
              <w:rPr>
                <w:spacing w:val="-2"/>
                <w:sz w:val="24"/>
              </w:rPr>
              <w:t>种储存危险化学品，或</w:t>
            </w:r>
          </w:p>
          <w:p>
            <w:pPr>
              <w:pStyle w:val="TableParagraph"/>
              <w:spacing w:line="289" w:lineRule="exact" w:before="2"/>
              <w:ind w:left="108"/>
              <w:rPr>
                <w:sz w:val="24"/>
              </w:rPr>
            </w:pPr>
            <w:r>
              <w:rPr>
                <w:sz w:val="24"/>
              </w:rPr>
              <w:t>相互禁配物质混放混存</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933"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1"/>
              <w:rPr>
                <w:rFonts w:ascii="Times New Roman"/>
                <w:sz w:val="27"/>
              </w:rPr>
            </w:pPr>
          </w:p>
          <w:p>
            <w:pPr>
              <w:pStyle w:val="TableParagraph"/>
              <w:ind w:left="128" w:right="118"/>
              <w:jc w:val="center"/>
              <w:rPr>
                <w:sz w:val="24"/>
              </w:rPr>
            </w:pPr>
            <w:r>
              <w:rPr>
                <w:sz w:val="24"/>
              </w:rPr>
              <w:t>CBCS-WH004</w:t>
            </w:r>
          </w:p>
        </w:tc>
        <w:tc>
          <w:tcPr>
            <w:tcW w:w="2693" w:type="dxa"/>
          </w:tcPr>
          <w:p>
            <w:pPr>
              <w:pStyle w:val="TableParagraph"/>
              <w:spacing w:line="242" w:lineRule="auto" w:before="2"/>
              <w:ind w:left="108" w:right="292"/>
              <w:rPr>
                <w:sz w:val="24"/>
              </w:rPr>
            </w:pPr>
            <w:r>
              <w:rPr>
                <w:sz w:val="24"/>
              </w:rPr>
              <w:t>危险化学品库房(临时存放场所)防雷设备设</w:t>
            </w:r>
          </w:p>
          <w:p>
            <w:pPr>
              <w:pStyle w:val="TableParagraph"/>
              <w:spacing w:line="290" w:lineRule="exact" w:before="1"/>
              <w:ind w:left="108"/>
              <w:rPr>
                <w:sz w:val="24"/>
              </w:rPr>
            </w:pPr>
            <w:r>
              <w:rPr>
                <w:sz w:val="24"/>
              </w:rPr>
              <w:t>施未定期检测</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621"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157"/>
              <w:ind w:left="128" w:right="118"/>
              <w:jc w:val="center"/>
              <w:rPr>
                <w:sz w:val="24"/>
              </w:rPr>
            </w:pPr>
            <w:r>
              <w:rPr>
                <w:sz w:val="24"/>
              </w:rPr>
              <w:t>CBCS-WH005</w:t>
            </w:r>
          </w:p>
        </w:tc>
        <w:tc>
          <w:tcPr>
            <w:tcW w:w="2693" w:type="dxa"/>
          </w:tcPr>
          <w:p>
            <w:pPr>
              <w:pStyle w:val="TableParagraph"/>
              <w:spacing w:before="1"/>
              <w:ind w:left="108"/>
              <w:rPr>
                <w:sz w:val="24"/>
              </w:rPr>
            </w:pPr>
            <w:r>
              <w:rPr>
                <w:sz w:val="24"/>
              </w:rPr>
              <w:t>危险化学品库房(临时</w:t>
            </w:r>
          </w:p>
          <w:p>
            <w:pPr>
              <w:pStyle w:val="TableParagraph"/>
              <w:spacing w:line="287" w:lineRule="exact" w:before="5"/>
              <w:ind w:left="108"/>
              <w:rPr>
                <w:sz w:val="24"/>
              </w:rPr>
            </w:pPr>
            <w:r>
              <w:rPr>
                <w:sz w:val="24"/>
              </w:rPr>
              <w:t>存放场所)未安装通风</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bl>
    <w:p>
      <w:pPr>
        <w:spacing w:after="0"/>
        <w:rPr>
          <w:sz w:val="2"/>
          <w:szCs w:val="2"/>
        </w:rPr>
        <w:sectPr>
          <w:pgSz w:w="11910" w:h="16840"/>
          <w:pgMar w:header="0" w:footer="1039" w:top="1580" w:bottom="1220" w:left="1060" w:right="860"/>
        </w:sectPr>
      </w:pPr>
    </w:p>
    <w:p>
      <w:pPr>
        <w:pStyle w:val="BodyText"/>
        <w:spacing w:before="8"/>
        <w:ind w:left="0"/>
        <w:rPr>
          <w:rFonts w:ascii="Times New Roman"/>
          <w:sz w:val="28"/>
        </w:rPr>
      </w:pPr>
    </w:p>
    <w:tbl>
      <w:tblPr>
        <w:tblW w:w="0" w:type="auto"/>
        <w:jc w:val="left"/>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1"/>
        <w:gridCol w:w="1134"/>
        <w:gridCol w:w="1559"/>
        <w:gridCol w:w="2693"/>
        <w:gridCol w:w="1488"/>
        <w:gridCol w:w="1595"/>
      </w:tblGrid>
      <w:tr>
        <w:trPr>
          <w:trHeight w:val="622" w:hRule="atLeast"/>
        </w:trPr>
        <w:tc>
          <w:tcPr>
            <w:tcW w:w="1101" w:type="dxa"/>
            <w:vMerge w:val="restart"/>
          </w:tcPr>
          <w:p>
            <w:pPr>
              <w:pStyle w:val="TableParagraph"/>
              <w:rPr>
                <w:rFonts w:ascii="Times New Roman"/>
                <w:sz w:val="22"/>
              </w:rPr>
            </w:pPr>
          </w:p>
        </w:tc>
        <w:tc>
          <w:tcPr>
            <w:tcW w:w="1134" w:type="dxa"/>
            <w:vMerge w:val="restart"/>
          </w:tcPr>
          <w:p>
            <w:pPr>
              <w:pStyle w:val="TableParagraph"/>
              <w:rPr>
                <w:rFonts w:ascii="Times New Roman"/>
                <w:sz w:val="22"/>
              </w:rPr>
            </w:pPr>
          </w:p>
        </w:tc>
        <w:tc>
          <w:tcPr>
            <w:tcW w:w="1559" w:type="dxa"/>
          </w:tcPr>
          <w:p>
            <w:pPr>
              <w:pStyle w:val="TableParagraph"/>
              <w:rPr>
                <w:rFonts w:ascii="Times New Roman"/>
                <w:sz w:val="22"/>
              </w:rPr>
            </w:pPr>
          </w:p>
        </w:tc>
        <w:tc>
          <w:tcPr>
            <w:tcW w:w="2693" w:type="dxa"/>
          </w:tcPr>
          <w:p>
            <w:pPr>
              <w:pStyle w:val="TableParagraph"/>
              <w:spacing w:line="310" w:lineRule="atLeast"/>
              <w:ind w:left="108" w:right="172"/>
              <w:rPr>
                <w:sz w:val="24"/>
              </w:rPr>
            </w:pPr>
            <w:r>
              <w:rPr>
                <w:sz w:val="24"/>
              </w:rPr>
              <w:t>设备或通排风系统未设导除静电的接地装置</w:t>
            </w:r>
          </w:p>
        </w:tc>
        <w:tc>
          <w:tcPr>
            <w:tcW w:w="1488" w:type="dxa"/>
            <w:vMerge w:val="restart"/>
          </w:tcPr>
          <w:p>
            <w:pPr>
              <w:pStyle w:val="TableParagraph"/>
              <w:rPr>
                <w:rFonts w:ascii="Times New Roman"/>
                <w:sz w:val="22"/>
              </w:rPr>
            </w:pPr>
          </w:p>
        </w:tc>
        <w:tc>
          <w:tcPr>
            <w:tcW w:w="1595" w:type="dxa"/>
            <w:vMerge w:val="restart"/>
          </w:tcPr>
          <w:p>
            <w:pPr>
              <w:pStyle w:val="TableParagraph"/>
              <w:rPr>
                <w:rFonts w:ascii="Times New Roman"/>
                <w:sz w:val="22"/>
              </w:rPr>
            </w:pPr>
          </w:p>
        </w:tc>
      </w:tr>
      <w:tr>
        <w:trPr>
          <w:trHeight w:val="1245"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rPr>
                <w:rFonts w:ascii="Times New Roman"/>
                <w:sz w:val="24"/>
              </w:rPr>
            </w:pPr>
          </w:p>
          <w:p>
            <w:pPr>
              <w:pStyle w:val="TableParagraph"/>
              <w:spacing w:before="190"/>
              <w:ind w:right="167"/>
              <w:jc w:val="right"/>
              <w:rPr>
                <w:sz w:val="24"/>
              </w:rPr>
            </w:pPr>
            <w:r>
              <w:rPr>
                <w:sz w:val="24"/>
              </w:rPr>
              <w:t>CBCS-WH006</w:t>
            </w:r>
          </w:p>
        </w:tc>
        <w:tc>
          <w:tcPr>
            <w:tcW w:w="2693" w:type="dxa"/>
          </w:tcPr>
          <w:p>
            <w:pPr>
              <w:pStyle w:val="TableParagraph"/>
              <w:ind w:left="108"/>
              <w:rPr>
                <w:sz w:val="24"/>
              </w:rPr>
            </w:pPr>
            <w:r>
              <w:rPr>
                <w:sz w:val="24"/>
              </w:rPr>
              <w:t>有毒物品未贮存在阴</w:t>
            </w:r>
          </w:p>
          <w:p>
            <w:pPr>
              <w:pStyle w:val="TableParagraph"/>
              <w:spacing w:line="242" w:lineRule="auto" w:before="5"/>
              <w:ind w:left="108" w:right="-29"/>
              <w:rPr>
                <w:sz w:val="24"/>
              </w:rPr>
            </w:pPr>
            <w:r>
              <w:rPr>
                <w:spacing w:val="-8"/>
                <w:sz w:val="24"/>
              </w:rPr>
              <w:t>凉、通风、干燥的场所， </w:t>
            </w:r>
            <w:r>
              <w:rPr>
                <w:sz w:val="24"/>
              </w:rPr>
              <w:t>或露天存放或接近酸类</w:t>
            </w:r>
          </w:p>
          <w:p>
            <w:pPr>
              <w:pStyle w:val="TableParagraph"/>
              <w:spacing w:line="291" w:lineRule="exact"/>
              <w:ind w:left="108"/>
              <w:rPr>
                <w:sz w:val="24"/>
              </w:rPr>
            </w:pPr>
            <w:r>
              <w:rPr>
                <w:sz w:val="24"/>
              </w:rPr>
              <w:t>物质存放</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932"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11"/>
              <w:rPr>
                <w:rFonts w:ascii="Times New Roman"/>
                <w:sz w:val="26"/>
              </w:rPr>
            </w:pPr>
          </w:p>
          <w:p>
            <w:pPr>
              <w:pStyle w:val="TableParagraph"/>
              <w:ind w:right="167"/>
              <w:jc w:val="right"/>
              <w:rPr>
                <w:sz w:val="24"/>
              </w:rPr>
            </w:pPr>
            <w:r>
              <w:rPr>
                <w:sz w:val="24"/>
              </w:rPr>
              <w:t>CBCS-WH007</w:t>
            </w:r>
          </w:p>
        </w:tc>
        <w:tc>
          <w:tcPr>
            <w:tcW w:w="2693" w:type="dxa"/>
          </w:tcPr>
          <w:p>
            <w:pPr>
              <w:pStyle w:val="TableParagraph"/>
              <w:ind w:left="108"/>
              <w:rPr>
                <w:sz w:val="24"/>
              </w:rPr>
            </w:pPr>
            <w:r>
              <w:rPr>
                <w:sz w:val="24"/>
              </w:rPr>
              <w:t>腐蚀性物品包装不严，</w:t>
            </w:r>
          </w:p>
          <w:p>
            <w:pPr>
              <w:pStyle w:val="TableParagraph"/>
              <w:spacing w:line="310" w:lineRule="atLeast" w:before="3"/>
              <w:ind w:left="108" w:right="172"/>
              <w:rPr>
                <w:sz w:val="24"/>
              </w:rPr>
            </w:pPr>
            <w:r>
              <w:rPr>
                <w:spacing w:val="-2"/>
                <w:sz w:val="24"/>
              </w:rPr>
              <w:t>存在泄露风险，或与液化气体和其他物品共存</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1245"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rPr>
                <w:rFonts w:ascii="Times New Roman"/>
                <w:sz w:val="24"/>
              </w:rPr>
            </w:pPr>
          </w:p>
          <w:p>
            <w:pPr>
              <w:pStyle w:val="TableParagraph"/>
              <w:spacing w:before="193"/>
              <w:ind w:right="167"/>
              <w:jc w:val="right"/>
              <w:rPr>
                <w:sz w:val="24"/>
              </w:rPr>
            </w:pPr>
            <w:r>
              <w:rPr>
                <w:sz w:val="24"/>
              </w:rPr>
              <w:t>CBCS-WH008</w:t>
            </w:r>
          </w:p>
        </w:tc>
        <w:tc>
          <w:tcPr>
            <w:tcW w:w="2693" w:type="dxa"/>
          </w:tcPr>
          <w:p>
            <w:pPr>
              <w:pStyle w:val="TableParagraph"/>
              <w:spacing w:line="242" w:lineRule="auto" w:before="1"/>
              <w:ind w:left="108" w:right="172"/>
              <w:rPr>
                <w:sz w:val="24"/>
              </w:rPr>
            </w:pPr>
            <w:r>
              <w:rPr>
                <w:sz w:val="24"/>
              </w:rPr>
              <w:t>进入化学危险品贮存区域的人员、机动车辆和</w:t>
            </w:r>
          </w:p>
          <w:p>
            <w:pPr>
              <w:pStyle w:val="TableParagraph"/>
              <w:spacing w:line="310" w:lineRule="atLeast"/>
              <w:ind w:left="108" w:right="172"/>
              <w:rPr>
                <w:sz w:val="24"/>
              </w:rPr>
            </w:pPr>
            <w:r>
              <w:rPr>
                <w:sz w:val="24"/>
              </w:rPr>
              <w:t>作业车辆未采取防火措施</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934"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2"/>
              <w:rPr>
                <w:rFonts w:ascii="Times New Roman"/>
                <w:sz w:val="27"/>
              </w:rPr>
            </w:pPr>
          </w:p>
          <w:p>
            <w:pPr>
              <w:pStyle w:val="TableParagraph"/>
              <w:ind w:right="167"/>
              <w:jc w:val="right"/>
              <w:rPr>
                <w:sz w:val="24"/>
              </w:rPr>
            </w:pPr>
            <w:r>
              <w:rPr>
                <w:sz w:val="24"/>
              </w:rPr>
              <w:t>CBCS-WH009</w:t>
            </w:r>
          </w:p>
        </w:tc>
        <w:tc>
          <w:tcPr>
            <w:tcW w:w="2693" w:type="dxa"/>
          </w:tcPr>
          <w:p>
            <w:pPr>
              <w:pStyle w:val="TableParagraph"/>
              <w:spacing w:before="1"/>
              <w:ind w:left="108"/>
              <w:rPr>
                <w:sz w:val="24"/>
              </w:rPr>
            </w:pPr>
            <w:r>
              <w:rPr>
                <w:sz w:val="24"/>
              </w:rPr>
              <w:t>化学危险品建筑未安装</w:t>
            </w:r>
          </w:p>
          <w:p>
            <w:pPr>
              <w:pStyle w:val="TableParagraph"/>
              <w:spacing w:line="310" w:lineRule="atLeast" w:before="2"/>
              <w:ind w:left="108" w:right="172"/>
              <w:rPr>
                <w:sz w:val="24"/>
              </w:rPr>
            </w:pPr>
            <w:r>
              <w:rPr>
                <w:sz w:val="24"/>
              </w:rPr>
              <w:t>自动监测和火灾报警系统</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623"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156"/>
              <w:ind w:right="167"/>
              <w:jc w:val="right"/>
              <w:rPr>
                <w:sz w:val="24"/>
              </w:rPr>
            </w:pPr>
            <w:r>
              <w:rPr>
                <w:sz w:val="24"/>
              </w:rPr>
              <w:t>CBCS-WH010</w:t>
            </w:r>
          </w:p>
        </w:tc>
        <w:tc>
          <w:tcPr>
            <w:tcW w:w="2693" w:type="dxa"/>
          </w:tcPr>
          <w:p>
            <w:pPr>
              <w:pStyle w:val="TableParagraph"/>
              <w:spacing w:line="310" w:lineRule="atLeast"/>
              <w:ind w:left="108" w:right="172"/>
              <w:rPr>
                <w:sz w:val="24"/>
              </w:rPr>
            </w:pPr>
            <w:r>
              <w:rPr>
                <w:sz w:val="24"/>
              </w:rPr>
              <w:t>化学危险品贮存区内堆积可燃废弃物品</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932"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rPr>
                <w:rFonts w:ascii="Times New Roman"/>
                <w:sz w:val="27"/>
              </w:rPr>
            </w:pPr>
          </w:p>
          <w:p>
            <w:pPr>
              <w:pStyle w:val="TableParagraph"/>
              <w:ind w:right="167"/>
              <w:jc w:val="right"/>
              <w:rPr>
                <w:sz w:val="24"/>
              </w:rPr>
            </w:pPr>
            <w:r>
              <w:rPr>
                <w:sz w:val="24"/>
              </w:rPr>
              <w:t>CBCS-WH011</w:t>
            </w:r>
          </w:p>
        </w:tc>
        <w:tc>
          <w:tcPr>
            <w:tcW w:w="2693" w:type="dxa"/>
          </w:tcPr>
          <w:p>
            <w:pPr>
              <w:pStyle w:val="TableParagraph"/>
              <w:spacing w:before="1"/>
              <w:ind w:left="108"/>
              <w:rPr>
                <w:sz w:val="24"/>
              </w:rPr>
            </w:pPr>
            <w:r>
              <w:rPr>
                <w:sz w:val="24"/>
              </w:rPr>
              <w:t>危险化学品库房(临时</w:t>
            </w:r>
          </w:p>
          <w:p>
            <w:pPr>
              <w:pStyle w:val="TableParagraph"/>
              <w:spacing w:line="310" w:lineRule="atLeast" w:before="2"/>
              <w:ind w:left="108" w:right="292"/>
              <w:rPr>
                <w:sz w:val="24"/>
              </w:rPr>
            </w:pPr>
            <w:r>
              <w:rPr>
                <w:spacing w:val="-2"/>
                <w:sz w:val="24"/>
              </w:rPr>
              <w:t>存放场所)消防器材数</w:t>
            </w:r>
            <w:r>
              <w:rPr>
                <w:sz w:val="24"/>
              </w:rPr>
              <w:t>量不足、选型不正确</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933" w:hRule="atLeast"/>
        </w:trPr>
        <w:tc>
          <w:tcPr>
            <w:tcW w:w="1101" w:type="dxa"/>
            <w:vMerge/>
            <w:tcBorders>
              <w:top w:val="nil"/>
            </w:tcBorders>
          </w:tcPr>
          <w:p>
            <w:pPr>
              <w:rPr>
                <w:sz w:val="2"/>
                <w:szCs w:val="2"/>
              </w:rPr>
            </w:pPr>
          </w:p>
        </w:tc>
        <w:tc>
          <w:tcPr>
            <w:tcW w:w="1134" w:type="dxa"/>
            <w:vMerge w:val="restart"/>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3"/>
              <w:rPr>
                <w:rFonts w:ascii="Times New Roman"/>
                <w:sz w:val="19"/>
              </w:rPr>
            </w:pPr>
          </w:p>
          <w:p>
            <w:pPr>
              <w:pStyle w:val="TableParagraph"/>
              <w:spacing w:line="242" w:lineRule="auto"/>
              <w:ind w:left="447" w:right="194" w:hanging="240"/>
              <w:rPr>
                <w:sz w:val="24"/>
              </w:rPr>
            </w:pPr>
            <w:r>
              <w:rPr>
                <w:sz w:val="24"/>
              </w:rPr>
              <w:t>变配电站</w:t>
            </w:r>
          </w:p>
        </w:tc>
        <w:tc>
          <w:tcPr>
            <w:tcW w:w="1559" w:type="dxa"/>
          </w:tcPr>
          <w:p>
            <w:pPr>
              <w:pStyle w:val="TableParagraph"/>
              <w:spacing w:before="2"/>
              <w:rPr>
                <w:rFonts w:ascii="Times New Roman"/>
                <w:sz w:val="27"/>
              </w:rPr>
            </w:pPr>
          </w:p>
          <w:p>
            <w:pPr>
              <w:pStyle w:val="TableParagraph"/>
              <w:ind w:right="167"/>
              <w:jc w:val="right"/>
              <w:rPr>
                <w:sz w:val="24"/>
              </w:rPr>
            </w:pPr>
            <w:r>
              <w:rPr>
                <w:sz w:val="24"/>
              </w:rPr>
              <w:t>CBCS-BP001</w:t>
            </w:r>
          </w:p>
        </w:tc>
        <w:tc>
          <w:tcPr>
            <w:tcW w:w="2693" w:type="dxa"/>
          </w:tcPr>
          <w:p>
            <w:pPr>
              <w:pStyle w:val="TableParagraph"/>
              <w:spacing w:before="1"/>
              <w:ind w:left="108"/>
              <w:rPr>
                <w:sz w:val="24"/>
              </w:rPr>
            </w:pPr>
            <w:r>
              <w:rPr>
                <w:sz w:val="24"/>
              </w:rPr>
              <w:t>站区和房内的消防、避</w:t>
            </w:r>
          </w:p>
          <w:p>
            <w:pPr>
              <w:pStyle w:val="TableParagraph"/>
              <w:spacing w:line="310" w:lineRule="atLeast" w:before="2"/>
              <w:ind w:left="108" w:right="172"/>
              <w:rPr>
                <w:sz w:val="24"/>
              </w:rPr>
            </w:pPr>
            <w:r>
              <w:rPr>
                <w:sz w:val="24"/>
              </w:rPr>
              <w:t>雷、接地系统未按规定定期进行检验</w:t>
            </w:r>
          </w:p>
        </w:tc>
        <w:tc>
          <w:tcPr>
            <w:tcW w:w="1488" w:type="dxa"/>
            <w:vMerge w:val="restart"/>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1"/>
              <w:rPr>
                <w:rFonts w:ascii="Times New Roman"/>
                <w:sz w:val="29"/>
              </w:rPr>
            </w:pPr>
          </w:p>
          <w:p>
            <w:pPr>
              <w:pStyle w:val="TableParagraph"/>
              <w:ind w:left="108"/>
              <w:rPr>
                <w:sz w:val="24"/>
              </w:rPr>
            </w:pPr>
            <w:r>
              <w:rPr>
                <w:sz w:val="24"/>
              </w:rPr>
              <w:t>1 GB 50059</w:t>
            </w:r>
          </w:p>
          <w:p>
            <w:pPr>
              <w:pStyle w:val="TableParagraph"/>
              <w:spacing w:before="2"/>
              <w:ind w:left="108"/>
              <w:rPr>
                <w:sz w:val="24"/>
              </w:rPr>
            </w:pPr>
            <w:r>
              <w:rPr>
                <w:sz w:val="24"/>
              </w:rPr>
              <w:t>2 GB 26860</w:t>
            </w:r>
          </w:p>
          <w:p>
            <w:pPr>
              <w:pStyle w:val="TableParagraph"/>
              <w:spacing w:before="4"/>
              <w:ind w:left="108"/>
              <w:rPr>
                <w:sz w:val="24"/>
              </w:rPr>
            </w:pPr>
            <w:r>
              <w:rPr>
                <w:sz w:val="24"/>
              </w:rPr>
              <w:t>3 GB 50029</w:t>
            </w:r>
          </w:p>
        </w:tc>
        <w:tc>
          <w:tcPr>
            <w:tcW w:w="1595" w:type="dxa"/>
            <w:vMerge w:val="restart"/>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3"/>
              <w:rPr>
                <w:rFonts w:ascii="Times New Roman"/>
                <w:sz w:val="34"/>
              </w:rPr>
            </w:pPr>
          </w:p>
          <w:p>
            <w:pPr>
              <w:pStyle w:val="TableParagraph"/>
              <w:spacing w:line="242" w:lineRule="auto" w:before="1"/>
              <w:ind w:left="108" w:right="34" w:hanging="63"/>
              <w:jc w:val="center"/>
              <w:rPr>
                <w:sz w:val="24"/>
              </w:rPr>
            </w:pPr>
            <w:r>
              <w:rPr>
                <w:sz w:val="24"/>
              </w:rPr>
              <w:t>同一次隐患 </w:t>
            </w:r>
            <w:r>
              <w:rPr>
                <w:spacing w:val="-3"/>
                <w:sz w:val="24"/>
              </w:rPr>
              <w:t>排查过程中， </w:t>
            </w:r>
            <w:r>
              <w:rPr>
                <w:sz w:val="24"/>
              </w:rPr>
              <w:t>企业发现任 意三项隐患 </w:t>
            </w:r>
            <w:r>
              <w:rPr>
                <w:spacing w:val="-11"/>
                <w:sz w:val="24"/>
              </w:rPr>
              <w:t>内容的，判定为重大生产 安全事故隐 患</w:t>
            </w:r>
          </w:p>
        </w:tc>
      </w:tr>
      <w:tr>
        <w:trPr>
          <w:trHeight w:val="934"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1"/>
              <w:rPr>
                <w:rFonts w:ascii="Times New Roman"/>
                <w:sz w:val="27"/>
              </w:rPr>
            </w:pPr>
          </w:p>
          <w:p>
            <w:pPr>
              <w:pStyle w:val="TableParagraph"/>
              <w:spacing w:before="1"/>
              <w:ind w:right="167"/>
              <w:jc w:val="right"/>
              <w:rPr>
                <w:sz w:val="24"/>
              </w:rPr>
            </w:pPr>
            <w:r>
              <w:rPr>
                <w:sz w:val="24"/>
              </w:rPr>
              <w:t>CBCS-BP002</w:t>
            </w:r>
          </w:p>
        </w:tc>
        <w:tc>
          <w:tcPr>
            <w:tcW w:w="2693" w:type="dxa"/>
          </w:tcPr>
          <w:p>
            <w:pPr>
              <w:pStyle w:val="TableParagraph"/>
              <w:spacing w:line="242" w:lineRule="auto" w:before="3"/>
              <w:ind w:left="108" w:right="172"/>
              <w:rPr>
                <w:sz w:val="24"/>
              </w:rPr>
            </w:pPr>
            <w:r>
              <w:rPr>
                <w:sz w:val="24"/>
              </w:rPr>
              <w:t>电气设备的绝缘有破 </w:t>
            </w:r>
            <w:r>
              <w:rPr>
                <w:spacing w:val="-2"/>
                <w:sz w:val="24"/>
              </w:rPr>
              <w:t>损、过热、膨胀变形、</w:t>
            </w:r>
          </w:p>
          <w:p>
            <w:pPr>
              <w:pStyle w:val="TableParagraph"/>
              <w:spacing w:line="290" w:lineRule="exact"/>
              <w:ind w:left="108"/>
              <w:rPr>
                <w:sz w:val="24"/>
              </w:rPr>
            </w:pPr>
            <w:r>
              <w:rPr>
                <w:sz w:val="24"/>
              </w:rPr>
              <w:t>放电痕迹</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933"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1"/>
              <w:rPr>
                <w:rFonts w:ascii="Times New Roman"/>
                <w:sz w:val="27"/>
              </w:rPr>
            </w:pPr>
          </w:p>
          <w:p>
            <w:pPr>
              <w:pStyle w:val="TableParagraph"/>
              <w:ind w:right="167"/>
              <w:jc w:val="right"/>
              <w:rPr>
                <w:sz w:val="24"/>
              </w:rPr>
            </w:pPr>
            <w:r>
              <w:rPr>
                <w:sz w:val="24"/>
              </w:rPr>
              <w:t>CBCS-BP003</w:t>
            </w:r>
          </w:p>
        </w:tc>
        <w:tc>
          <w:tcPr>
            <w:tcW w:w="2693" w:type="dxa"/>
          </w:tcPr>
          <w:p>
            <w:pPr>
              <w:pStyle w:val="TableParagraph"/>
              <w:spacing w:line="242" w:lineRule="auto" w:before="2"/>
              <w:ind w:left="108" w:right="172"/>
              <w:rPr>
                <w:sz w:val="24"/>
              </w:rPr>
            </w:pPr>
            <w:r>
              <w:rPr>
                <w:sz w:val="24"/>
              </w:rPr>
              <w:t>变压器、高压开关柜、低压开关柜操作面地面</w:t>
            </w:r>
          </w:p>
          <w:p>
            <w:pPr>
              <w:pStyle w:val="TableParagraph"/>
              <w:spacing w:line="290" w:lineRule="exact"/>
              <w:ind w:left="108"/>
              <w:rPr>
                <w:sz w:val="24"/>
              </w:rPr>
            </w:pPr>
            <w:r>
              <w:rPr>
                <w:sz w:val="24"/>
              </w:rPr>
              <w:t>未铺设绝缘(胶)垫</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1245"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rPr>
                <w:rFonts w:ascii="Times New Roman"/>
                <w:sz w:val="24"/>
              </w:rPr>
            </w:pPr>
          </w:p>
          <w:p>
            <w:pPr>
              <w:pStyle w:val="TableParagraph"/>
              <w:spacing w:before="191"/>
              <w:ind w:right="167"/>
              <w:jc w:val="right"/>
              <w:rPr>
                <w:sz w:val="24"/>
              </w:rPr>
            </w:pPr>
            <w:r>
              <w:rPr>
                <w:sz w:val="24"/>
              </w:rPr>
              <w:t>CBCS-BP004</w:t>
            </w:r>
          </w:p>
        </w:tc>
        <w:tc>
          <w:tcPr>
            <w:tcW w:w="2693" w:type="dxa"/>
          </w:tcPr>
          <w:p>
            <w:pPr>
              <w:pStyle w:val="TableParagraph"/>
              <w:spacing w:line="242" w:lineRule="auto" w:before="1"/>
              <w:ind w:left="108" w:right="172"/>
              <w:jc w:val="both"/>
              <w:rPr>
                <w:sz w:val="24"/>
              </w:rPr>
            </w:pPr>
            <w:r>
              <w:rPr>
                <w:sz w:val="24"/>
              </w:rPr>
              <w:t>未按GB 26860的规定配备安全工器具和防护用品，或安全工器具和防</w:t>
            </w:r>
          </w:p>
          <w:p>
            <w:pPr>
              <w:pStyle w:val="TableParagraph"/>
              <w:spacing w:line="290" w:lineRule="exact" w:before="2"/>
              <w:ind w:left="108"/>
              <w:rPr>
                <w:sz w:val="24"/>
              </w:rPr>
            </w:pPr>
            <w:r>
              <w:rPr>
                <w:sz w:val="24"/>
              </w:rPr>
              <w:t>护用品未定期检测</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1245"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rPr>
                <w:rFonts w:ascii="Times New Roman"/>
                <w:sz w:val="24"/>
              </w:rPr>
            </w:pPr>
          </w:p>
          <w:p>
            <w:pPr>
              <w:pStyle w:val="TableParagraph"/>
              <w:spacing w:before="191"/>
              <w:ind w:right="167"/>
              <w:jc w:val="right"/>
              <w:rPr>
                <w:sz w:val="24"/>
              </w:rPr>
            </w:pPr>
            <w:r>
              <w:rPr>
                <w:sz w:val="24"/>
              </w:rPr>
              <w:t>CBCS-BP005</w:t>
            </w:r>
          </w:p>
        </w:tc>
        <w:tc>
          <w:tcPr>
            <w:tcW w:w="2693" w:type="dxa"/>
          </w:tcPr>
          <w:p>
            <w:pPr>
              <w:pStyle w:val="TableParagraph"/>
              <w:spacing w:line="242" w:lineRule="auto" w:before="1"/>
              <w:ind w:left="108" w:right="172"/>
              <w:jc w:val="both"/>
              <w:rPr>
                <w:sz w:val="24"/>
              </w:rPr>
            </w:pPr>
            <w:r>
              <w:rPr>
                <w:sz w:val="24"/>
              </w:rPr>
              <w:t>变电站主变压器等各种带油电气设备及建筑物未配备适当数量的移动</w:t>
            </w:r>
          </w:p>
          <w:p>
            <w:pPr>
              <w:pStyle w:val="TableParagraph"/>
              <w:spacing w:line="290" w:lineRule="exact" w:before="2"/>
              <w:ind w:left="108"/>
              <w:rPr>
                <w:sz w:val="24"/>
              </w:rPr>
            </w:pPr>
            <w:r>
              <w:rPr>
                <w:sz w:val="24"/>
              </w:rPr>
              <w:t>式灭火器</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1243"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rPr>
                <w:rFonts w:ascii="Times New Roman"/>
                <w:sz w:val="24"/>
              </w:rPr>
            </w:pPr>
          </w:p>
          <w:p>
            <w:pPr>
              <w:pStyle w:val="TableParagraph"/>
              <w:spacing w:before="191"/>
              <w:ind w:right="167"/>
              <w:jc w:val="right"/>
              <w:rPr>
                <w:sz w:val="24"/>
              </w:rPr>
            </w:pPr>
            <w:r>
              <w:rPr>
                <w:sz w:val="24"/>
              </w:rPr>
              <w:t>CBCS-BP006</w:t>
            </w:r>
          </w:p>
        </w:tc>
        <w:tc>
          <w:tcPr>
            <w:tcW w:w="2693" w:type="dxa"/>
          </w:tcPr>
          <w:p>
            <w:pPr>
              <w:pStyle w:val="TableParagraph"/>
              <w:spacing w:line="242" w:lineRule="auto" w:before="1"/>
              <w:ind w:left="108" w:right="172"/>
              <w:jc w:val="both"/>
              <w:rPr>
                <w:sz w:val="24"/>
              </w:rPr>
            </w:pPr>
            <w:r>
              <w:rPr>
                <w:spacing w:val="-2"/>
                <w:sz w:val="24"/>
              </w:rPr>
              <w:t>变压器室、电容器室、蓄电池室、电缆夹层、配电装置室以及其他有</w:t>
            </w:r>
          </w:p>
          <w:p>
            <w:pPr>
              <w:pStyle w:val="TableParagraph"/>
              <w:spacing w:line="288" w:lineRule="exact" w:before="2"/>
              <w:ind w:left="108"/>
              <w:rPr>
                <w:sz w:val="24"/>
              </w:rPr>
            </w:pPr>
            <w:r>
              <w:rPr>
                <w:sz w:val="24"/>
              </w:rPr>
              <w:t>充油电气设备房间的门</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bl>
    <w:p>
      <w:pPr>
        <w:spacing w:after="0"/>
        <w:rPr>
          <w:sz w:val="2"/>
          <w:szCs w:val="2"/>
        </w:rPr>
        <w:sectPr>
          <w:pgSz w:w="11910" w:h="16840"/>
          <w:pgMar w:header="0" w:footer="1039" w:top="1580" w:bottom="1220" w:left="1060" w:right="860"/>
        </w:sectPr>
      </w:pPr>
    </w:p>
    <w:p>
      <w:pPr>
        <w:pStyle w:val="BodyText"/>
        <w:spacing w:before="8"/>
        <w:ind w:left="0"/>
        <w:rPr>
          <w:rFonts w:ascii="Times New Roman"/>
          <w:sz w:val="28"/>
        </w:rPr>
      </w:pPr>
    </w:p>
    <w:tbl>
      <w:tblPr>
        <w:tblW w:w="0" w:type="auto"/>
        <w:jc w:val="left"/>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1"/>
        <w:gridCol w:w="1134"/>
        <w:gridCol w:w="1559"/>
        <w:gridCol w:w="2693"/>
        <w:gridCol w:w="1488"/>
        <w:gridCol w:w="1595"/>
      </w:tblGrid>
      <w:tr>
        <w:trPr>
          <w:trHeight w:val="310" w:hRule="atLeast"/>
        </w:trPr>
        <w:tc>
          <w:tcPr>
            <w:tcW w:w="1101" w:type="dxa"/>
            <w:vMerge w:val="restart"/>
          </w:tcPr>
          <w:p>
            <w:pPr>
              <w:pStyle w:val="TableParagraph"/>
              <w:rPr>
                <w:rFonts w:ascii="Times New Roman"/>
                <w:sz w:val="22"/>
              </w:rPr>
            </w:pPr>
          </w:p>
        </w:tc>
        <w:tc>
          <w:tcPr>
            <w:tcW w:w="1134" w:type="dxa"/>
            <w:vMerge w:val="restart"/>
          </w:tcPr>
          <w:p>
            <w:pPr>
              <w:pStyle w:val="TableParagraph"/>
              <w:rPr>
                <w:rFonts w:ascii="Times New Roman"/>
                <w:sz w:val="22"/>
              </w:rPr>
            </w:pPr>
          </w:p>
        </w:tc>
        <w:tc>
          <w:tcPr>
            <w:tcW w:w="1559" w:type="dxa"/>
          </w:tcPr>
          <w:p>
            <w:pPr>
              <w:pStyle w:val="TableParagraph"/>
              <w:rPr>
                <w:rFonts w:ascii="Times New Roman"/>
                <w:sz w:val="22"/>
              </w:rPr>
            </w:pPr>
          </w:p>
        </w:tc>
        <w:tc>
          <w:tcPr>
            <w:tcW w:w="2693" w:type="dxa"/>
          </w:tcPr>
          <w:p>
            <w:pPr>
              <w:pStyle w:val="TableParagraph"/>
              <w:spacing w:line="289" w:lineRule="exact" w:before="2"/>
              <w:ind w:left="108"/>
              <w:rPr>
                <w:sz w:val="24"/>
              </w:rPr>
            </w:pPr>
            <w:r>
              <w:rPr>
                <w:sz w:val="24"/>
              </w:rPr>
              <w:t>未向疏散方向开启</w:t>
            </w:r>
          </w:p>
        </w:tc>
        <w:tc>
          <w:tcPr>
            <w:tcW w:w="1488" w:type="dxa"/>
            <w:vMerge w:val="restart"/>
          </w:tcPr>
          <w:p>
            <w:pPr>
              <w:pStyle w:val="TableParagraph"/>
              <w:rPr>
                <w:rFonts w:ascii="Times New Roman"/>
                <w:sz w:val="22"/>
              </w:rPr>
            </w:pPr>
          </w:p>
        </w:tc>
        <w:tc>
          <w:tcPr>
            <w:tcW w:w="1595" w:type="dxa"/>
            <w:vMerge w:val="restart"/>
          </w:tcPr>
          <w:p>
            <w:pPr>
              <w:pStyle w:val="TableParagraph"/>
              <w:rPr>
                <w:rFonts w:ascii="Times New Roman"/>
                <w:sz w:val="22"/>
              </w:rPr>
            </w:pPr>
          </w:p>
        </w:tc>
      </w:tr>
      <w:tr>
        <w:trPr>
          <w:trHeight w:val="1868"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rPr>
                <w:rFonts w:ascii="Times New Roman"/>
                <w:sz w:val="24"/>
              </w:rPr>
            </w:pPr>
          </w:p>
          <w:p>
            <w:pPr>
              <w:pStyle w:val="TableParagraph"/>
              <w:rPr>
                <w:rFonts w:ascii="Times New Roman"/>
                <w:sz w:val="24"/>
              </w:rPr>
            </w:pPr>
          </w:p>
          <w:p>
            <w:pPr>
              <w:pStyle w:val="TableParagraph"/>
              <w:spacing w:before="7"/>
              <w:rPr>
                <w:rFonts w:ascii="Times New Roman"/>
                <w:sz w:val="19"/>
              </w:rPr>
            </w:pPr>
          </w:p>
          <w:p>
            <w:pPr>
              <w:pStyle w:val="TableParagraph"/>
              <w:ind w:right="167"/>
              <w:jc w:val="right"/>
              <w:rPr>
                <w:sz w:val="24"/>
              </w:rPr>
            </w:pPr>
            <w:r>
              <w:rPr>
                <w:sz w:val="24"/>
              </w:rPr>
              <w:t>CBCS-BP007</w:t>
            </w:r>
          </w:p>
        </w:tc>
        <w:tc>
          <w:tcPr>
            <w:tcW w:w="2693" w:type="dxa"/>
          </w:tcPr>
          <w:p>
            <w:pPr>
              <w:pStyle w:val="TableParagraph"/>
              <w:spacing w:line="242" w:lineRule="auto" w:before="3"/>
              <w:ind w:left="108" w:right="172"/>
              <w:rPr>
                <w:sz w:val="24"/>
              </w:rPr>
            </w:pPr>
            <w:r>
              <w:rPr>
                <w:spacing w:val="-2"/>
                <w:sz w:val="24"/>
              </w:rPr>
              <w:t>电缆从室外进入室内的</w:t>
            </w:r>
            <w:r>
              <w:rPr>
                <w:sz w:val="24"/>
              </w:rPr>
              <w:t>入口处与电缆竖井的 </w:t>
            </w:r>
            <w:r>
              <w:rPr>
                <w:spacing w:val="-2"/>
                <w:sz w:val="24"/>
              </w:rPr>
              <w:t>出、入口处，以及控制室与电缆层之间未采取防止电缆火灾蔓延的阻</w:t>
            </w:r>
          </w:p>
          <w:p>
            <w:pPr>
              <w:pStyle w:val="TableParagraph"/>
              <w:spacing w:line="290" w:lineRule="exact" w:before="2"/>
              <w:ind w:left="108"/>
              <w:rPr>
                <w:sz w:val="24"/>
              </w:rPr>
            </w:pPr>
            <w:r>
              <w:rPr>
                <w:sz w:val="24"/>
              </w:rPr>
              <w:t>燃及分隔的措施</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621"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155"/>
              <w:ind w:right="167"/>
              <w:jc w:val="right"/>
              <w:rPr>
                <w:sz w:val="24"/>
              </w:rPr>
            </w:pPr>
            <w:r>
              <w:rPr>
                <w:sz w:val="24"/>
              </w:rPr>
              <w:t>CBCS-BP008</w:t>
            </w:r>
          </w:p>
        </w:tc>
        <w:tc>
          <w:tcPr>
            <w:tcW w:w="2693" w:type="dxa"/>
          </w:tcPr>
          <w:p>
            <w:pPr>
              <w:pStyle w:val="TableParagraph"/>
              <w:spacing w:before="2"/>
              <w:ind w:left="108"/>
              <w:rPr>
                <w:sz w:val="24"/>
              </w:rPr>
            </w:pPr>
            <w:r>
              <w:rPr>
                <w:sz w:val="24"/>
              </w:rPr>
              <w:t>变电站的六氟化硫开关</w:t>
            </w:r>
          </w:p>
          <w:p>
            <w:pPr>
              <w:pStyle w:val="TableParagraph"/>
              <w:spacing w:line="291" w:lineRule="exact" w:before="2"/>
              <w:ind w:left="108"/>
              <w:rPr>
                <w:sz w:val="24"/>
              </w:rPr>
            </w:pPr>
            <w:r>
              <w:rPr>
                <w:sz w:val="24"/>
              </w:rPr>
              <w:t>室未设置机械排风设施</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2802"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42"/>
              <w:ind w:right="167"/>
              <w:jc w:val="right"/>
              <w:rPr>
                <w:sz w:val="24"/>
              </w:rPr>
            </w:pPr>
            <w:r>
              <w:rPr>
                <w:sz w:val="24"/>
              </w:rPr>
              <w:t>CBCS-BP009</w:t>
            </w:r>
          </w:p>
        </w:tc>
        <w:tc>
          <w:tcPr>
            <w:tcW w:w="2693" w:type="dxa"/>
          </w:tcPr>
          <w:p>
            <w:pPr>
              <w:pStyle w:val="TableParagraph"/>
              <w:spacing w:line="242" w:lineRule="auto" w:before="1"/>
              <w:ind w:left="108" w:right="172"/>
              <w:rPr>
                <w:sz w:val="24"/>
              </w:rPr>
            </w:pPr>
            <w:r>
              <w:rPr>
                <w:sz w:val="24"/>
              </w:rPr>
              <w:t>建筑面积超过250 m'</w:t>
            </w:r>
            <w:r>
              <w:rPr>
                <w:spacing w:val="-17"/>
                <w:sz w:val="24"/>
              </w:rPr>
              <w:t>的</w:t>
            </w:r>
            <w:r>
              <w:rPr>
                <w:spacing w:val="-2"/>
                <w:sz w:val="24"/>
              </w:rPr>
              <w:t>主控通信室、配电装置室、电缆夹层，其疏散出口不易少于两个，楼层的第二个出口可设在</w:t>
            </w:r>
            <w:r>
              <w:rPr>
                <w:sz w:val="24"/>
              </w:rPr>
              <w:t>固定楼梯的室外平台 </w:t>
            </w:r>
            <w:r>
              <w:rPr>
                <w:spacing w:val="-2"/>
                <w:sz w:val="24"/>
              </w:rPr>
              <w:t>处。当配电装置室的长</w:t>
            </w:r>
            <w:r>
              <w:rPr>
                <w:sz w:val="24"/>
              </w:rPr>
              <w:t>度超过60 m</w:t>
            </w:r>
            <w:r>
              <w:rPr>
                <w:spacing w:val="-4"/>
                <w:sz w:val="24"/>
              </w:rPr>
              <w:t>时，应增设</w:t>
            </w:r>
          </w:p>
          <w:p>
            <w:pPr>
              <w:pStyle w:val="TableParagraph"/>
              <w:spacing w:line="290" w:lineRule="exact" w:before="6"/>
              <w:ind w:left="108"/>
              <w:rPr>
                <w:sz w:val="24"/>
              </w:rPr>
            </w:pPr>
            <w:r>
              <w:rPr>
                <w:sz w:val="24"/>
              </w:rPr>
              <w:t>一个中间疏散出口</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932" w:hRule="atLeast"/>
        </w:trPr>
        <w:tc>
          <w:tcPr>
            <w:tcW w:w="1101" w:type="dxa"/>
            <w:vMerge/>
            <w:tcBorders>
              <w:top w:val="nil"/>
            </w:tcBorders>
          </w:tcPr>
          <w:p>
            <w:pPr>
              <w:rPr>
                <w:sz w:val="2"/>
                <w:szCs w:val="2"/>
              </w:rPr>
            </w:pPr>
          </w:p>
        </w:tc>
        <w:tc>
          <w:tcPr>
            <w:tcW w:w="1134" w:type="dxa"/>
            <w:vMerge w:val="restart"/>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0"/>
              <w:rPr>
                <w:rFonts w:ascii="Times New Roman"/>
                <w:sz w:val="32"/>
              </w:rPr>
            </w:pPr>
          </w:p>
          <w:p>
            <w:pPr>
              <w:pStyle w:val="TableParagraph"/>
              <w:spacing w:line="242" w:lineRule="auto" w:before="1"/>
              <w:ind w:left="327" w:right="194" w:hanging="120"/>
              <w:rPr>
                <w:sz w:val="24"/>
              </w:rPr>
            </w:pPr>
            <w:r>
              <w:rPr>
                <w:sz w:val="24"/>
              </w:rPr>
              <w:t>压缩空气站</w:t>
            </w:r>
          </w:p>
        </w:tc>
        <w:tc>
          <w:tcPr>
            <w:tcW w:w="1559" w:type="dxa"/>
          </w:tcPr>
          <w:p>
            <w:pPr>
              <w:pStyle w:val="TableParagraph"/>
              <w:rPr>
                <w:rFonts w:ascii="Times New Roman"/>
                <w:sz w:val="27"/>
              </w:rPr>
            </w:pPr>
          </w:p>
          <w:p>
            <w:pPr>
              <w:pStyle w:val="TableParagraph"/>
              <w:spacing w:before="1"/>
              <w:ind w:right="167"/>
              <w:jc w:val="right"/>
              <w:rPr>
                <w:sz w:val="24"/>
              </w:rPr>
            </w:pPr>
            <w:r>
              <w:rPr>
                <w:sz w:val="24"/>
              </w:rPr>
              <w:t>CBCS-YS001</w:t>
            </w:r>
          </w:p>
        </w:tc>
        <w:tc>
          <w:tcPr>
            <w:tcW w:w="2693" w:type="dxa"/>
          </w:tcPr>
          <w:p>
            <w:pPr>
              <w:pStyle w:val="TableParagraph"/>
              <w:spacing w:line="242" w:lineRule="auto" w:before="2"/>
              <w:ind w:left="108" w:right="172"/>
              <w:rPr>
                <w:sz w:val="24"/>
              </w:rPr>
            </w:pPr>
            <w:r>
              <w:rPr>
                <w:sz w:val="24"/>
              </w:rPr>
              <w:t>报警信号和自动保护控制装置的装设不符合CB</w:t>
            </w:r>
          </w:p>
          <w:p>
            <w:pPr>
              <w:pStyle w:val="TableParagraph"/>
              <w:spacing w:line="290" w:lineRule="exact"/>
              <w:ind w:left="108"/>
              <w:rPr>
                <w:sz w:val="24"/>
              </w:rPr>
            </w:pPr>
            <w:r>
              <w:rPr>
                <w:sz w:val="24"/>
              </w:rPr>
              <w:t>50029 的相关规定</w:t>
            </w:r>
          </w:p>
        </w:tc>
        <w:tc>
          <w:tcPr>
            <w:tcW w:w="1488" w:type="dxa"/>
            <w:vMerge w:val="restart"/>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3"/>
              <w:rPr>
                <w:rFonts w:ascii="Times New Roman"/>
                <w:sz w:val="22"/>
              </w:rPr>
            </w:pPr>
          </w:p>
          <w:p>
            <w:pPr>
              <w:pStyle w:val="TableParagraph"/>
              <w:ind w:left="108"/>
              <w:rPr>
                <w:sz w:val="24"/>
              </w:rPr>
            </w:pPr>
            <w:r>
              <w:rPr>
                <w:sz w:val="24"/>
              </w:rPr>
              <w:t>GB 50029</w:t>
            </w:r>
          </w:p>
        </w:tc>
        <w:tc>
          <w:tcPr>
            <w:tcW w:w="1595" w:type="dxa"/>
            <w:vMerge w:val="restart"/>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8"/>
              <w:rPr>
                <w:rFonts w:ascii="Times New Roman"/>
                <w:sz w:val="23"/>
              </w:rPr>
            </w:pPr>
          </w:p>
          <w:p>
            <w:pPr>
              <w:pStyle w:val="TableParagraph"/>
              <w:spacing w:line="242" w:lineRule="auto"/>
              <w:ind w:left="108" w:right="34" w:hanging="63"/>
              <w:jc w:val="center"/>
              <w:rPr>
                <w:sz w:val="24"/>
              </w:rPr>
            </w:pPr>
            <w:r>
              <w:rPr>
                <w:sz w:val="24"/>
              </w:rPr>
              <w:t>同一次隐患 </w:t>
            </w:r>
            <w:r>
              <w:rPr>
                <w:spacing w:val="-3"/>
                <w:sz w:val="24"/>
              </w:rPr>
              <w:t>排查过程中， </w:t>
            </w:r>
            <w:r>
              <w:rPr>
                <w:sz w:val="24"/>
              </w:rPr>
              <w:t>企业发现任 意三项隐患 </w:t>
            </w:r>
            <w:r>
              <w:rPr>
                <w:spacing w:val="-11"/>
                <w:sz w:val="24"/>
              </w:rPr>
              <w:t>内容的，判定为重大生产 安全事故隐 患</w:t>
            </w:r>
          </w:p>
        </w:tc>
      </w:tr>
      <w:tr>
        <w:trPr>
          <w:trHeight w:val="622"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158"/>
              <w:ind w:right="167"/>
              <w:jc w:val="right"/>
              <w:rPr>
                <w:sz w:val="24"/>
              </w:rPr>
            </w:pPr>
            <w:r>
              <w:rPr>
                <w:sz w:val="24"/>
              </w:rPr>
              <w:t>CBCS-YS002</w:t>
            </w:r>
          </w:p>
        </w:tc>
        <w:tc>
          <w:tcPr>
            <w:tcW w:w="2693" w:type="dxa"/>
          </w:tcPr>
          <w:p>
            <w:pPr>
              <w:pStyle w:val="TableParagraph"/>
              <w:spacing w:before="2"/>
              <w:ind w:left="108"/>
              <w:rPr>
                <w:sz w:val="24"/>
              </w:rPr>
            </w:pPr>
            <w:r>
              <w:rPr>
                <w:sz w:val="24"/>
              </w:rPr>
              <w:t>控制室和空气压缩机旁</w:t>
            </w:r>
          </w:p>
          <w:p>
            <w:pPr>
              <w:pStyle w:val="TableParagraph"/>
              <w:spacing w:line="289" w:lineRule="exact" w:before="4"/>
              <w:ind w:left="108"/>
              <w:rPr>
                <w:sz w:val="24"/>
              </w:rPr>
            </w:pPr>
            <w:r>
              <w:rPr>
                <w:sz w:val="24"/>
              </w:rPr>
              <w:t>均未设置紧急停车按钮</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622"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156"/>
              <w:ind w:right="167"/>
              <w:jc w:val="right"/>
              <w:rPr>
                <w:sz w:val="24"/>
              </w:rPr>
            </w:pPr>
            <w:r>
              <w:rPr>
                <w:sz w:val="24"/>
              </w:rPr>
              <w:t>CBCS-YS003</w:t>
            </w:r>
          </w:p>
        </w:tc>
        <w:tc>
          <w:tcPr>
            <w:tcW w:w="2693" w:type="dxa"/>
          </w:tcPr>
          <w:p>
            <w:pPr>
              <w:pStyle w:val="TableParagraph"/>
              <w:ind w:left="108"/>
              <w:rPr>
                <w:sz w:val="24"/>
              </w:rPr>
            </w:pPr>
            <w:r>
              <w:rPr>
                <w:sz w:val="24"/>
              </w:rPr>
              <w:t>储气罐未装设安全阀或</w:t>
            </w:r>
          </w:p>
          <w:p>
            <w:pPr>
              <w:pStyle w:val="TableParagraph"/>
              <w:spacing w:line="290" w:lineRule="exact" w:before="4"/>
              <w:ind w:left="108"/>
              <w:rPr>
                <w:sz w:val="24"/>
              </w:rPr>
            </w:pPr>
            <w:r>
              <w:rPr>
                <w:sz w:val="24"/>
              </w:rPr>
              <w:t>安全阀未定期检验</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623"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157"/>
              <w:ind w:right="167"/>
              <w:jc w:val="right"/>
              <w:rPr>
                <w:sz w:val="24"/>
              </w:rPr>
            </w:pPr>
            <w:r>
              <w:rPr>
                <w:sz w:val="24"/>
              </w:rPr>
              <w:t>CBCS-YS004</w:t>
            </w:r>
          </w:p>
        </w:tc>
        <w:tc>
          <w:tcPr>
            <w:tcW w:w="2693" w:type="dxa"/>
          </w:tcPr>
          <w:p>
            <w:pPr>
              <w:pStyle w:val="TableParagraph"/>
              <w:spacing w:before="2"/>
              <w:ind w:left="108"/>
              <w:rPr>
                <w:sz w:val="24"/>
              </w:rPr>
            </w:pPr>
            <w:r>
              <w:rPr>
                <w:sz w:val="24"/>
              </w:rPr>
              <w:t>储气罐与供气总管之间</w:t>
            </w:r>
          </w:p>
          <w:p>
            <w:pPr>
              <w:pStyle w:val="TableParagraph"/>
              <w:spacing w:line="289" w:lineRule="exact" w:before="4"/>
              <w:ind w:left="108"/>
              <w:rPr>
                <w:sz w:val="24"/>
              </w:rPr>
            </w:pPr>
            <w:r>
              <w:rPr>
                <w:sz w:val="24"/>
              </w:rPr>
              <w:t>未装设切断阀</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933"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1"/>
              <w:rPr>
                <w:rFonts w:ascii="Times New Roman"/>
                <w:sz w:val="27"/>
              </w:rPr>
            </w:pPr>
          </w:p>
          <w:p>
            <w:pPr>
              <w:pStyle w:val="TableParagraph"/>
              <w:ind w:right="167"/>
              <w:jc w:val="right"/>
              <w:rPr>
                <w:sz w:val="24"/>
              </w:rPr>
            </w:pPr>
            <w:r>
              <w:rPr>
                <w:sz w:val="24"/>
              </w:rPr>
              <w:t>CBCS-YS005</w:t>
            </w:r>
          </w:p>
        </w:tc>
        <w:tc>
          <w:tcPr>
            <w:tcW w:w="2693" w:type="dxa"/>
          </w:tcPr>
          <w:p>
            <w:pPr>
              <w:pStyle w:val="TableParagraph"/>
              <w:spacing w:line="242" w:lineRule="auto"/>
              <w:ind w:left="108" w:right="172"/>
              <w:rPr>
                <w:sz w:val="24"/>
              </w:rPr>
            </w:pPr>
            <w:r>
              <w:rPr>
                <w:sz w:val="24"/>
              </w:rPr>
              <w:t>空气压缩机的联轴器和传动部分未装设安全防</w:t>
            </w:r>
          </w:p>
          <w:p>
            <w:pPr>
              <w:pStyle w:val="TableParagraph"/>
              <w:spacing w:line="290" w:lineRule="exact" w:before="3"/>
              <w:ind w:left="108"/>
              <w:rPr>
                <w:sz w:val="24"/>
              </w:rPr>
            </w:pPr>
            <w:r>
              <w:rPr>
                <w:sz w:val="24"/>
              </w:rPr>
              <w:t>护设施</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3112"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9"/>
              <w:rPr>
                <w:rFonts w:ascii="Times New Roman"/>
                <w:sz w:val="25"/>
              </w:rPr>
            </w:pPr>
          </w:p>
          <w:p>
            <w:pPr>
              <w:pStyle w:val="TableParagraph"/>
              <w:ind w:right="167"/>
              <w:jc w:val="right"/>
              <w:rPr>
                <w:sz w:val="24"/>
              </w:rPr>
            </w:pPr>
            <w:r>
              <w:rPr>
                <w:sz w:val="24"/>
              </w:rPr>
              <w:t>CBCS-YS006</w:t>
            </w:r>
          </w:p>
        </w:tc>
        <w:tc>
          <w:tcPr>
            <w:tcW w:w="2693" w:type="dxa"/>
          </w:tcPr>
          <w:p>
            <w:pPr>
              <w:pStyle w:val="TableParagraph"/>
              <w:spacing w:line="242" w:lineRule="auto" w:before="1"/>
              <w:ind w:left="108" w:right="172"/>
              <w:jc w:val="both"/>
              <w:rPr>
                <w:sz w:val="24"/>
              </w:rPr>
            </w:pPr>
            <w:r>
              <w:rPr>
                <w:sz w:val="24"/>
              </w:rPr>
              <w:t>活塞空气压缩机、隔膜空气压缩机与储气罐之间未装设止回阀；空气压缩机与止回阀之间未设置放空管：活骞空气压缩机、隔膜空气压缩机与储气罐之间装设切断阀时，空气压缩机与切断阀之间未装设安全</w:t>
            </w:r>
          </w:p>
          <w:p>
            <w:pPr>
              <w:pStyle w:val="TableParagraph"/>
              <w:spacing w:line="290" w:lineRule="exact" w:before="6"/>
              <w:ind w:left="108"/>
              <w:rPr>
                <w:sz w:val="24"/>
              </w:rPr>
            </w:pPr>
            <w:r>
              <w:rPr>
                <w:sz w:val="24"/>
              </w:rPr>
              <w:t>阀</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621" w:hRule="atLeast"/>
        </w:trPr>
        <w:tc>
          <w:tcPr>
            <w:tcW w:w="1101" w:type="dxa"/>
            <w:vMerge/>
            <w:tcBorders>
              <w:top w:val="nil"/>
            </w:tcBorders>
          </w:tcPr>
          <w:p>
            <w:pPr>
              <w:rPr>
                <w:sz w:val="2"/>
                <w:szCs w:val="2"/>
              </w:rPr>
            </w:pPr>
          </w:p>
        </w:tc>
        <w:tc>
          <w:tcPr>
            <w:tcW w:w="1134" w:type="dxa"/>
          </w:tcPr>
          <w:p>
            <w:pPr>
              <w:pStyle w:val="TableParagraph"/>
              <w:spacing w:before="158"/>
              <w:ind w:left="207"/>
              <w:rPr>
                <w:sz w:val="24"/>
              </w:rPr>
            </w:pPr>
            <w:r>
              <w:rPr>
                <w:sz w:val="24"/>
              </w:rPr>
              <w:t>燃气站</w:t>
            </w:r>
          </w:p>
        </w:tc>
        <w:tc>
          <w:tcPr>
            <w:tcW w:w="1559" w:type="dxa"/>
          </w:tcPr>
          <w:p>
            <w:pPr>
              <w:pStyle w:val="TableParagraph"/>
              <w:spacing w:before="158"/>
              <w:ind w:right="167"/>
              <w:jc w:val="right"/>
              <w:rPr>
                <w:sz w:val="24"/>
              </w:rPr>
            </w:pPr>
            <w:r>
              <w:rPr>
                <w:sz w:val="24"/>
              </w:rPr>
              <w:t>CBCS-RQ001</w:t>
            </w:r>
          </w:p>
        </w:tc>
        <w:tc>
          <w:tcPr>
            <w:tcW w:w="2693" w:type="dxa"/>
          </w:tcPr>
          <w:p>
            <w:pPr>
              <w:pStyle w:val="TableParagraph"/>
              <w:spacing w:before="2"/>
              <w:ind w:left="108"/>
              <w:rPr>
                <w:sz w:val="24"/>
              </w:rPr>
            </w:pPr>
            <w:r>
              <w:rPr>
                <w:sz w:val="24"/>
              </w:rPr>
              <w:t>站内未设置消防系统且</w:t>
            </w:r>
          </w:p>
          <w:p>
            <w:pPr>
              <w:pStyle w:val="TableParagraph"/>
              <w:spacing w:line="287" w:lineRule="exact" w:before="4"/>
              <w:ind w:left="108"/>
              <w:rPr>
                <w:sz w:val="24"/>
              </w:rPr>
            </w:pPr>
            <w:r>
              <w:rPr>
                <w:sz w:val="24"/>
              </w:rPr>
              <w:t>未按照GB 50140要求配</w:t>
            </w:r>
          </w:p>
        </w:tc>
        <w:tc>
          <w:tcPr>
            <w:tcW w:w="1488" w:type="dxa"/>
          </w:tcPr>
          <w:p>
            <w:pPr>
              <w:pStyle w:val="TableParagraph"/>
              <w:spacing w:before="2"/>
              <w:ind w:left="108"/>
              <w:rPr>
                <w:sz w:val="24"/>
              </w:rPr>
            </w:pPr>
            <w:r>
              <w:rPr>
                <w:sz w:val="24"/>
              </w:rPr>
              <w:t>1 GB 50494</w:t>
            </w:r>
          </w:p>
          <w:p>
            <w:pPr>
              <w:pStyle w:val="TableParagraph"/>
              <w:spacing w:line="287" w:lineRule="exact" w:before="4"/>
              <w:ind w:left="108"/>
              <w:rPr>
                <w:sz w:val="24"/>
              </w:rPr>
            </w:pPr>
            <w:r>
              <w:rPr>
                <w:sz w:val="24"/>
              </w:rPr>
              <w:t>2 GB 50140</w:t>
            </w:r>
          </w:p>
        </w:tc>
        <w:tc>
          <w:tcPr>
            <w:tcW w:w="1595" w:type="dxa"/>
          </w:tcPr>
          <w:p>
            <w:pPr>
              <w:pStyle w:val="TableParagraph"/>
              <w:spacing w:before="2"/>
              <w:ind w:left="197"/>
              <w:rPr>
                <w:sz w:val="24"/>
              </w:rPr>
            </w:pPr>
            <w:r>
              <w:rPr>
                <w:sz w:val="24"/>
              </w:rPr>
              <w:t>同一次隐患</w:t>
            </w:r>
          </w:p>
          <w:p>
            <w:pPr>
              <w:pStyle w:val="TableParagraph"/>
              <w:spacing w:line="287" w:lineRule="exact" w:before="4"/>
              <w:ind w:left="108"/>
              <w:rPr>
                <w:sz w:val="24"/>
              </w:rPr>
            </w:pPr>
            <w:r>
              <w:rPr>
                <w:sz w:val="24"/>
              </w:rPr>
              <w:t>排查过程中，</w:t>
            </w:r>
          </w:p>
        </w:tc>
      </w:tr>
    </w:tbl>
    <w:p>
      <w:pPr>
        <w:spacing w:after="0" w:line="287" w:lineRule="exact"/>
        <w:rPr>
          <w:sz w:val="24"/>
        </w:rPr>
        <w:sectPr>
          <w:footerReference w:type="default" r:id="rId20"/>
          <w:pgSz w:w="11910" w:h="16840"/>
          <w:pgMar w:footer="1039" w:header="0" w:top="1580" w:bottom="1220" w:left="1060" w:right="860"/>
          <w:pgNumType w:start="110"/>
        </w:sectPr>
      </w:pPr>
    </w:p>
    <w:p>
      <w:pPr>
        <w:pStyle w:val="BodyText"/>
        <w:spacing w:before="8"/>
        <w:ind w:left="0"/>
        <w:rPr>
          <w:rFonts w:ascii="Times New Roman"/>
          <w:sz w:val="28"/>
        </w:rPr>
      </w:pPr>
    </w:p>
    <w:tbl>
      <w:tblPr>
        <w:tblW w:w="0" w:type="auto"/>
        <w:jc w:val="left"/>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1"/>
        <w:gridCol w:w="1134"/>
        <w:gridCol w:w="1559"/>
        <w:gridCol w:w="2693"/>
        <w:gridCol w:w="1488"/>
        <w:gridCol w:w="1595"/>
      </w:tblGrid>
      <w:tr>
        <w:trPr>
          <w:trHeight w:val="310" w:hRule="atLeast"/>
        </w:trPr>
        <w:tc>
          <w:tcPr>
            <w:tcW w:w="1101" w:type="dxa"/>
            <w:vMerge w:val="restart"/>
          </w:tcPr>
          <w:p>
            <w:pPr>
              <w:pStyle w:val="TableParagraph"/>
              <w:rPr>
                <w:rFonts w:ascii="Times New Roman"/>
                <w:sz w:val="22"/>
              </w:rPr>
            </w:pPr>
          </w:p>
        </w:tc>
        <w:tc>
          <w:tcPr>
            <w:tcW w:w="1134" w:type="dxa"/>
            <w:vMerge w:val="restart"/>
          </w:tcPr>
          <w:p>
            <w:pPr>
              <w:pStyle w:val="TableParagraph"/>
              <w:rPr>
                <w:rFonts w:ascii="Times New Roman"/>
                <w:sz w:val="22"/>
              </w:rPr>
            </w:pPr>
          </w:p>
        </w:tc>
        <w:tc>
          <w:tcPr>
            <w:tcW w:w="1559" w:type="dxa"/>
          </w:tcPr>
          <w:p>
            <w:pPr>
              <w:pStyle w:val="TableParagraph"/>
              <w:rPr>
                <w:rFonts w:ascii="Times New Roman"/>
                <w:sz w:val="22"/>
              </w:rPr>
            </w:pPr>
          </w:p>
        </w:tc>
        <w:tc>
          <w:tcPr>
            <w:tcW w:w="2693" w:type="dxa"/>
          </w:tcPr>
          <w:p>
            <w:pPr>
              <w:pStyle w:val="TableParagraph"/>
              <w:spacing w:line="289" w:lineRule="exact" w:before="2"/>
              <w:ind w:left="108"/>
              <w:rPr>
                <w:sz w:val="24"/>
              </w:rPr>
            </w:pPr>
            <w:r>
              <w:rPr>
                <w:sz w:val="24"/>
              </w:rPr>
              <w:t>备相应的灭火器</w:t>
            </w:r>
          </w:p>
        </w:tc>
        <w:tc>
          <w:tcPr>
            <w:tcW w:w="1488" w:type="dxa"/>
            <w:vMerge w:val="restart"/>
          </w:tcPr>
          <w:p>
            <w:pPr>
              <w:pStyle w:val="TableParagraph"/>
              <w:rPr>
                <w:rFonts w:ascii="Times New Roman"/>
                <w:sz w:val="22"/>
              </w:rPr>
            </w:pPr>
          </w:p>
        </w:tc>
        <w:tc>
          <w:tcPr>
            <w:tcW w:w="1595" w:type="dxa"/>
            <w:vMerge w:val="restart"/>
          </w:tcPr>
          <w:p>
            <w:pPr>
              <w:pStyle w:val="TableParagraph"/>
              <w:spacing w:line="242" w:lineRule="auto" w:before="2"/>
              <w:ind w:left="108" w:right="97"/>
              <w:jc w:val="center"/>
              <w:rPr>
                <w:sz w:val="24"/>
              </w:rPr>
            </w:pPr>
            <w:r>
              <w:rPr>
                <w:sz w:val="24"/>
              </w:rPr>
              <w:t>企业发现任意三项隐患</w:t>
            </w:r>
            <w:r>
              <w:rPr>
                <w:spacing w:val="-14"/>
                <w:sz w:val="24"/>
              </w:rPr>
              <w:t>内容的，判定</w:t>
            </w:r>
            <w:r>
              <w:rPr>
                <w:sz w:val="24"/>
              </w:rPr>
              <w:t>为重大生产安全事故隐患</w:t>
            </w:r>
          </w:p>
        </w:tc>
      </w:tr>
      <w:tr>
        <w:trPr>
          <w:trHeight w:val="1245"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rPr>
                <w:rFonts w:ascii="Times New Roman"/>
                <w:sz w:val="24"/>
              </w:rPr>
            </w:pPr>
          </w:p>
          <w:p>
            <w:pPr>
              <w:pStyle w:val="TableParagraph"/>
              <w:spacing w:before="192"/>
              <w:ind w:right="167"/>
              <w:jc w:val="right"/>
              <w:rPr>
                <w:sz w:val="24"/>
              </w:rPr>
            </w:pPr>
            <w:r>
              <w:rPr>
                <w:sz w:val="24"/>
              </w:rPr>
              <w:t>CBCS-RQ002</w:t>
            </w:r>
          </w:p>
        </w:tc>
        <w:tc>
          <w:tcPr>
            <w:tcW w:w="2693" w:type="dxa"/>
          </w:tcPr>
          <w:p>
            <w:pPr>
              <w:pStyle w:val="TableParagraph"/>
              <w:spacing w:line="242" w:lineRule="auto" w:before="3"/>
              <w:ind w:left="108" w:right="172"/>
              <w:jc w:val="both"/>
              <w:rPr>
                <w:sz w:val="24"/>
              </w:rPr>
            </w:pPr>
            <w:r>
              <w:rPr>
                <w:sz w:val="24"/>
              </w:rPr>
              <w:t>液化石油气和液化天然气储罐区未设置周边封闭的不燃烧体实体防护</w:t>
            </w:r>
          </w:p>
          <w:p>
            <w:pPr>
              <w:pStyle w:val="TableParagraph"/>
              <w:spacing w:line="290" w:lineRule="exact"/>
              <w:ind w:left="108"/>
              <w:rPr>
                <w:sz w:val="24"/>
              </w:rPr>
            </w:pPr>
            <w:r>
              <w:rPr>
                <w:sz w:val="24"/>
              </w:rPr>
              <w:t>墙</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1557"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rPr>
                <w:rFonts w:ascii="Times New Roman"/>
                <w:sz w:val="24"/>
              </w:rPr>
            </w:pPr>
          </w:p>
          <w:p>
            <w:pPr>
              <w:pStyle w:val="TableParagraph"/>
              <w:spacing w:before="3"/>
              <w:rPr>
                <w:rFonts w:ascii="Times New Roman"/>
                <w:sz w:val="30"/>
              </w:rPr>
            </w:pPr>
          </w:p>
          <w:p>
            <w:pPr>
              <w:pStyle w:val="TableParagraph"/>
              <w:spacing w:before="1"/>
              <w:ind w:right="167"/>
              <w:jc w:val="right"/>
              <w:rPr>
                <w:sz w:val="24"/>
              </w:rPr>
            </w:pPr>
            <w:r>
              <w:rPr>
                <w:sz w:val="24"/>
              </w:rPr>
              <w:t>CBCS-RQ003</w:t>
            </w:r>
          </w:p>
        </w:tc>
        <w:tc>
          <w:tcPr>
            <w:tcW w:w="2693" w:type="dxa"/>
          </w:tcPr>
          <w:p>
            <w:pPr>
              <w:pStyle w:val="TableParagraph"/>
              <w:spacing w:line="242" w:lineRule="auto" w:before="3"/>
              <w:ind w:left="108" w:right="172"/>
              <w:jc w:val="both"/>
              <w:rPr>
                <w:sz w:val="24"/>
              </w:rPr>
            </w:pPr>
            <w:r>
              <w:rPr>
                <w:sz w:val="24"/>
              </w:rPr>
              <w:t>站内具有爆炸和火灾危险建(构)筑物的电气装置未确定爆炸危险区域等级和范围，且未采取</w:t>
            </w:r>
          </w:p>
          <w:p>
            <w:pPr>
              <w:pStyle w:val="TableParagraph"/>
              <w:spacing w:line="291" w:lineRule="exact" w:before="1"/>
              <w:ind w:left="108"/>
              <w:rPr>
                <w:sz w:val="24"/>
              </w:rPr>
            </w:pPr>
            <w:r>
              <w:rPr>
                <w:sz w:val="24"/>
              </w:rPr>
              <w:t>相应措施</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1245"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rPr>
                <w:rFonts w:ascii="Times New Roman"/>
                <w:sz w:val="24"/>
              </w:rPr>
            </w:pPr>
          </w:p>
          <w:p>
            <w:pPr>
              <w:pStyle w:val="TableParagraph"/>
              <w:spacing w:before="190"/>
              <w:ind w:right="167"/>
              <w:jc w:val="right"/>
              <w:rPr>
                <w:sz w:val="24"/>
              </w:rPr>
            </w:pPr>
            <w:r>
              <w:rPr>
                <w:sz w:val="24"/>
              </w:rPr>
              <w:t>CBCS-RQ004</w:t>
            </w:r>
          </w:p>
        </w:tc>
        <w:tc>
          <w:tcPr>
            <w:tcW w:w="2693" w:type="dxa"/>
          </w:tcPr>
          <w:p>
            <w:pPr>
              <w:pStyle w:val="TableParagraph"/>
              <w:spacing w:line="242" w:lineRule="auto" w:before="1"/>
              <w:ind w:left="108" w:right="172"/>
              <w:jc w:val="both"/>
              <w:rPr>
                <w:sz w:val="24"/>
              </w:rPr>
            </w:pPr>
            <w:r>
              <w:rPr>
                <w:sz w:val="24"/>
              </w:rPr>
              <w:t>站内具有爆炸和火灾危险的建(构)筑物及露天钢质燃气储罐未采取防</w:t>
            </w:r>
          </w:p>
          <w:p>
            <w:pPr>
              <w:pStyle w:val="TableParagraph"/>
              <w:spacing w:line="290" w:lineRule="exact" w:before="2"/>
              <w:ind w:left="108"/>
              <w:rPr>
                <w:sz w:val="24"/>
              </w:rPr>
            </w:pPr>
            <w:r>
              <w:rPr>
                <w:sz w:val="24"/>
              </w:rPr>
              <w:t>雷接地措施</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932"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rPr>
                <w:rFonts w:ascii="Times New Roman"/>
                <w:sz w:val="27"/>
              </w:rPr>
            </w:pPr>
          </w:p>
          <w:p>
            <w:pPr>
              <w:pStyle w:val="TableParagraph"/>
              <w:ind w:right="167"/>
              <w:jc w:val="right"/>
              <w:rPr>
                <w:sz w:val="24"/>
              </w:rPr>
            </w:pPr>
            <w:r>
              <w:rPr>
                <w:sz w:val="24"/>
              </w:rPr>
              <w:t>CBCS-RQ005</w:t>
            </w:r>
          </w:p>
        </w:tc>
        <w:tc>
          <w:tcPr>
            <w:tcW w:w="2693" w:type="dxa"/>
          </w:tcPr>
          <w:p>
            <w:pPr>
              <w:pStyle w:val="TableParagraph"/>
              <w:spacing w:before="1"/>
              <w:ind w:left="108"/>
              <w:rPr>
                <w:sz w:val="24"/>
              </w:rPr>
            </w:pPr>
            <w:r>
              <w:rPr>
                <w:sz w:val="24"/>
              </w:rPr>
              <w:t>站内可能产生静电危害</w:t>
            </w:r>
          </w:p>
          <w:p>
            <w:pPr>
              <w:pStyle w:val="TableParagraph"/>
              <w:spacing w:line="310" w:lineRule="atLeast" w:before="2"/>
              <w:ind w:left="108" w:right="172"/>
              <w:rPr>
                <w:sz w:val="24"/>
              </w:rPr>
            </w:pPr>
            <w:r>
              <w:rPr>
                <w:sz w:val="24"/>
              </w:rPr>
              <w:t>的储罐、设备和管道未采取静电接地措施</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1245"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rPr>
                <w:rFonts w:ascii="Times New Roman"/>
                <w:sz w:val="24"/>
              </w:rPr>
            </w:pPr>
          </w:p>
          <w:p>
            <w:pPr>
              <w:pStyle w:val="TableParagraph"/>
              <w:spacing w:before="191"/>
              <w:ind w:right="167"/>
              <w:jc w:val="right"/>
              <w:rPr>
                <w:sz w:val="24"/>
              </w:rPr>
            </w:pPr>
            <w:r>
              <w:rPr>
                <w:sz w:val="24"/>
              </w:rPr>
              <w:t>CBCS-RQ006</w:t>
            </w:r>
          </w:p>
        </w:tc>
        <w:tc>
          <w:tcPr>
            <w:tcW w:w="2693" w:type="dxa"/>
          </w:tcPr>
          <w:p>
            <w:pPr>
              <w:pStyle w:val="TableParagraph"/>
              <w:spacing w:line="242" w:lineRule="auto" w:before="1"/>
              <w:ind w:left="108" w:right="172"/>
              <w:jc w:val="both"/>
              <w:rPr>
                <w:sz w:val="24"/>
              </w:rPr>
            </w:pPr>
            <w:r>
              <w:rPr>
                <w:sz w:val="24"/>
              </w:rPr>
              <w:t>站内具有燃气泄漏和爆炸危险的场所未设置可燃气体泄漏检测报警装</w:t>
            </w:r>
          </w:p>
          <w:p>
            <w:pPr>
              <w:pStyle w:val="TableParagraph"/>
              <w:spacing w:line="290" w:lineRule="exact" w:before="2"/>
              <w:ind w:left="108"/>
              <w:rPr>
                <w:sz w:val="24"/>
              </w:rPr>
            </w:pPr>
            <w:r>
              <w:rPr>
                <w:sz w:val="24"/>
              </w:rPr>
              <w:t>置</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933"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rPr>
                <w:rFonts w:ascii="Times New Roman"/>
                <w:sz w:val="27"/>
              </w:rPr>
            </w:pPr>
          </w:p>
          <w:p>
            <w:pPr>
              <w:pStyle w:val="TableParagraph"/>
              <w:ind w:right="167"/>
              <w:jc w:val="right"/>
              <w:rPr>
                <w:sz w:val="24"/>
              </w:rPr>
            </w:pPr>
            <w:r>
              <w:rPr>
                <w:sz w:val="24"/>
              </w:rPr>
              <w:t>CBCS-RQ007</w:t>
            </w:r>
          </w:p>
        </w:tc>
        <w:tc>
          <w:tcPr>
            <w:tcW w:w="2693" w:type="dxa"/>
          </w:tcPr>
          <w:p>
            <w:pPr>
              <w:pStyle w:val="TableParagraph"/>
              <w:spacing w:before="1"/>
              <w:ind w:left="108"/>
              <w:rPr>
                <w:sz w:val="24"/>
              </w:rPr>
            </w:pPr>
            <w:r>
              <w:rPr>
                <w:sz w:val="24"/>
              </w:rPr>
              <w:t>站内具有爆炸危险的封</w:t>
            </w:r>
          </w:p>
          <w:p>
            <w:pPr>
              <w:pStyle w:val="TableParagraph"/>
              <w:spacing w:line="310" w:lineRule="atLeast" w:before="2"/>
              <w:ind w:left="108" w:right="172"/>
              <w:rPr>
                <w:sz w:val="24"/>
              </w:rPr>
            </w:pPr>
            <w:r>
              <w:rPr>
                <w:sz w:val="24"/>
              </w:rPr>
              <w:t>闭式建筑未采取良好的通风措施</w:t>
            </w:r>
          </w:p>
        </w:tc>
        <w:tc>
          <w:tcPr>
            <w:tcW w:w="1488" w:type="dxa"/>
            <w:vMerge w:val="restart"/>
          </w:tcPr>
          <w:p>
            <w:pPr>
              <w:pStyle w:val="TableParagraph"/>
              <w:rPr>
                <w:rFonts w:ascii="Times New Roman"/>
                <w:sz w:val="24"/>
              </w:rPr>
            </w:pPr>
          </w:p>
          <w:p>
            <w:pPr>
              <w:pStyle w:val="TableParagraph"/>
              <w:rPr>
                <w:rFonts w:ascii="Times New Roman"/>
                <w:sz w:val="24"/>
              </w:rPr>
            </w:pPr>
          </w:p>
          <w:p>
            <w:pPr>
              <w:pStyle w:val="TableParagraph"/>
              <w:spacing w:before="8"/>
              <w:rPr>
                <w:rFonts w:ascii="Times New Roman"/>
                <w:sz w:val="33"/>
              </w:rPr>
            </w:pPr>
          </w:p>
          <w:p>
            <w:pPr>
              <w:pStyle w:val="TableParagraph"/>
              <w:ind w:left="108"/>
              <w:rPr>
                <w:sz w:val="24"/>
              </w:rPr>
            </w:pPr>
            <w:r>
              <w:rPr>
                <w:sz w:val="24"/>
              </w:rPr>
              <w:t>GB 50028</w:t>
            </w:r>
          </w:p>
        </w:tc>
        <w:tc>
          <w:tcPr>
            <w:tcW w:w="1595" w:type="dxa"/>
            <w:vMerge/>
            <w:tcBorders>
              <w:top w:val="nil"/>
            </w:tcBorders>
          </w:tcPr>
          <w:p>
            <w:pPr>
              <w:rPr>
                <w:sz w:val="2"/>
                <w:szCs w:val="2"/>
              </w:rPr>
            </w:pPr>
          </w:p>
        </w:tc>
      </w:tr>
      <w:tr>
        <w:trPr>
          <w:trHeight w:val="1245"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rPr>
                <w:rFonts w:ascii="Times New Roman"/>
                <w:sz w:val="24"/>
              </w:rPr>
            </w:pPr>
          </w:p>
          <w:p>
            <w:pPr>
              <w:pStyle w:val="TableParagraph"/>
              <w:spacing w:before="193"/>
              <w:ind w:right="167"/>
              <w:jc w:val="right"/>
              <w:rPr>
                <w:sz w:val="24"/>
              </w:rPr>
            </w:pPr>
            <w:r>
              <w:rPr>
                <w:sz w:val="24"/>
              </w:rPr>
              <w:t>CBCS-RQ008</w:t>
            </w:r>
          </w:p>
        </w:tc>
        <w:tc>
          <w:tcPr>
            <w:tcW w:w="2693" w:type="dxa"/>
          </w:tcPr>
          <w:p>
            <w:pPr>
              <w:pStyle w:val="TableParagraph"/>
              <w:spacing w:line="242" w:lineRule="auto" w:before="3"/>
              <w:ind w:left="108" w:right="172"/>
              <w:jc w:val="both"/>
              <w:rPr>
                <w:sz w:val="24"/>
              </w:rPr>
            </w:pPr>
            <w:r>
              <w:rPr>
                <w:sz w:val="24"/>
              </w:rPr>
              <w:t>压缩天然气、液化石油气的管道、储罐接管及储罐等的安全阀件不符</w:t>
            </w:r>
          </w:p>
          <w:p>
            <w:pPr>
              <w:pStyle w:val="TableParagraph"/>
              <w:spacing w:line="290" w:lineRule="exact"/>
              <w:ind w:left="108"/>
              <w:jc w:val="both"/>
              <w:rPr>
                <w:sz w:val="24"/>
              </w:rPr>
            </w:pPr>
            <w:r>
              <w:rPr>
                <w:sz w:val="24"/>
              </w:rPr>
              <w:t>合GB 50028的要求</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934" w:hRule="atLeast"/>
        </w:trPr>
        <w:tc>
          <w:tcPr>
            <w:tcW w:w="1101" w:type="dxa"/>
            <w:vMerge/>
            <w:tcBorders>
              <w:top w:val="nil"/>
            </w:tcBorders>
          </w:tcPr>
          <w:p>
            <w:pPr>
              <w:rPr>
                <w:sz w:val="2"/>
                <w:szCs w:val="2"/>
              </w:rPr>
            </w:pPr>
          </w:p>
        </w:tc>
        <w:tc>
          <w:tcPr>
            <w:tcW w:w="1134" w:type="dxa"/>
            <w:vMerge w:val="restart"/>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
              <w:rPr>
                <w:rFonts w:ascii="Times New Roman"/>
                <w:sz w:val="34"/>
              </w:rPr>
            </w:pPr>
          </w:p>
          <w:p>
            <w:pPr>
              <w:pStyle w:val="TableParagraph"/>
              <w:ind w:left="207"/>
              <w:rPr>
                <w:sz w:val="24"/>
              </w:rPr>
            </w:pPr>
            <w:r>
              <w:rPr>
                <w:sz w:val="24"/>
              </w:rPr>
              <w:t>加油站</w:t>
            </w:r>
          </w:p>
        </w:tc>
        <w:tc>
          <w:tcPr>
            <w:tcW w:w="1559" w:type="dxa"/>
          </w:tcPr>
          <w:p>
            <w:pPr>
              <w:pStyle w:val="TableParagraph"/>
              <w:spacing w:before="2"/>
              <w:rPr>
                <w:rFonts w:ascii="Times New Roman"/>
                <w:sz w:val="27"/>
              </w:rPr>
            </w:pPr>
          </w:p>
          <w:p>
            <w:pPr>
              <w:pStyle w:val="TableParagraph"/>
              <w:ind w:right="167"/>
              <w:jc w:val="right"/>
              <w:rPr>
                <w:sz w:val="24"/>
              </w:rPr>
            </w:pPr>
            <w:r>
              <w:rPr>
                <w:sz w:val="24"/>
              </w:rPr>
              <w:t>CBCS-JY001</w:t>
            </w:r>
          </w:p>
        </w:tc>
        <w:tc>
          <w:tcPr>
            <w:tcW w:w="2693" w:type="dxa"/>
          </w:tcPr>
          <w:p>
            <w:pPr>
              <w:pStyle w:val="TableParagraph"/>
              <w:spacing w:before="1"/>
              <w:ind w:left="108"/>
              <w:rPr>
                <w:sz w:val="24"/>
              </w:rPr>
            </w:pPr>
            <w:r>
              <w:rPr>
                <w:sz w:val="24"/>
              </w:rPr>
              <w:t>加油作业区内作业时有</w:t>
            </w:r>
          </w:p>
          <w:p>
            <w:pPr>
              <w:pStyle w:val="TableParagraph"/>
              <w:spacing w:line="310" w:lineRule="atLeast" w:before="2"/>
              <w:ind w:left="108" w:right="172"/>
              <w:rPr>
                <w:sz w:val="24"/>
              </w:rPr>
            </w:pPr>
            <w:r>
              <w:rPr>
                <w:sz w:val="24"/>
              </w:rPr>
              <w:t>明火地点或散发火花地点</w:t>
            </w:r>
          </w:p>
        </w:tc>
        <w:tc>
          <w:tcPr>
            <w:tcW w:w="1488" w:type="dxa"/>
            <w:vMerge w:val="restart"/>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8"/>
              <w:rPr>
                <w:rFonts w:ascii="Times New Roman"/>
                <w:sz w:val="20"/>
              </w:rPr>
            </w:pPr>
          </w:p>
          <w:p>
            <w:pPr>
              <w:pStyle w:val="TableParagraph"/>
              <w:ind w:left="108"/>
              <w:rPr>
                <w:sz w:val="24"/>
              </w:rPr>
            </w:pPr>
            <w:r>
              <w:rPr>
                <w:sz w:val="24"/>
              </w:rPr>
              <w:t>1 GB 50016</w:t>
            </w:r>
          </w:p>
          <w:p>
            <w:pPr>
              <w:pStyle w:val="TableParagraph"/>
              <w:spacing w:before="3"/>
              <w:ind w:left="108"/>
              <w:rPr>
                <w:sz w:val="24"/>
              </w:rPr>
            </w:pPr>
            <w:r>
              <w:rPr>
                <w:sz w:val="24"/>
              </w:rPr>
              <w:t>2 GB 50057</w:t>
            </w:r>
          </w:p>
        </w:tc>
        <w:tc>
          <w:tcPr>
            <w:tcW w:w="1595" w:type="dxa"/>
            <w:vMerge w:val="restart"/>
          </w:tcPr>
          <w:p>
            <w:pPr>
              <w:pStyle w:val="TableParagraph"/>
              <w:rPr>
                <w:rFonts w:ascii="Times New Roman"/>
                <w:sz w:val="24"/>
              </w:rPr>
            </w:pPr>
          </w:p>
          <w:p>
            <w:pPr>
              <w:pStyle w:val="TableParagraph"/>
              <w:rPr>
                <w:rFonts w:ascii="Times New Roman"/>
                <w:sz w:val="24"/>
              </w:rPr>
            </w:pPr>
          </w:p>
          <w:p>
            <w:pPr>
              <w:pStyle w:val="TableParagraph"/>
              <w:spacing w:before="6"/>
              <w:rPr>
                <w:rFonts w:ascii="Times New Roman"/>
                <w:sz w:val="35"/>
              </w:rPr>
            </w:pPr>
          </w:p>
          <w:p>
            <w:pPr>
              <w:pStyle w:val="TableParagraph"/>
              <w:spacing w:line="242" w:lineRule="auto"/>
              <w:ind w:left="108" w:right="34" w:hanging="63"/>
              <w:jc w:val="center"/>
              <w:rPr>
                <w:sz w:val="24"/>
              </w:rPr>
            </w:pPr>
            <w:r>
              <w:rPr>
                <w:sz w:val="24"/>
              </w:rPr>
              <w:t>同一次隐患 </w:t>
            </w:r>
            <w:r>
              <w:rPr>
                <w:spacing w:val="-3"/>
                <w:sz w:val="24"/>
              </w:rPr>
              <w:t>排查过程中， </w:t>
            </w:r>
            <w:r>
              <w:rPr>
                <w:sz w:val="24"/>
              </w:rPr>
              <w:t>企业发现任 意三项隐患 </w:t>
            </w:r>
            <w:r>
              <w:rPr>
                <w:spacing w:val="-11"/>
                <w:sz w:val="24"/>
              </w:rPr>
              <w:t>内容的，判定为重大生产 安全事故隐 患</w:t>
            </w:r>
          </w:p>
        </w:tc>
      </w:tr>
      <w:tr>
        <w:trPr>
          <w:trHeight w:val="933"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1"/>
              <w:rPr>
                <w:rFonts w:ascii="Times New Roman"/>
                <w:sz w:val="27"/>
              </w:rPr>
            </w:pPr>
          </w:p>
          <w:p>
            <w:pPr>
              <w:pStyle w:val="TableParagraph"/>
              <w:ind w:right="167"/>
              <w:jc w:val="right"/>
              <w:rPr>
                <w:sz w:val="24"/>
              </w:rPr>
            </w:pPr>
            <w:r>
              <w:rPr>
                <w:sz w:val="24"/>
              </w:rPr>
              <w:t>CBCS-JY002</w:t>
            </w:r>
          </w:p>
        </w:tc>
        <w:tc>
          <w:tcPr>
            <w:tcW w:w="2693" w:type="dxa"/>
          </w:tcPr>
          <w:p>
            <w:pPr>
              <w:pStyle w:val="TableParagraph"/>
              <w:ind w:left="108"/>
              <w:rPr>
                <w:sz w:val="24"/>
              </w:rPr>
            </w:pPr>
            <w:r>
              <w:rPr>
                <w:sz w:val="24"/>
              </w:rPr>
              <w:t>加油站的汽油罐和柴油</w:t>
            </w:r>
          </w:p>
          <w:p>
            <w:pPr>
              <w:pStyle w:val="TableParagraph"/>
              <w:spacing w:line="310" w:lineRule="atLeast" w:before="2"/>
              <w:ind w:left="108" w:right="172"/>
              <w:rPr>
                <w:sz w:val="24"/>
              </w:rPr>
            </w:pPr>
            <w:r>
              <w:rPr>
                <w:sz w:val="24"/>
              </w:rPr>
              <w:t>罐设置在室内或地下室内</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622"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155"/>
              <w:ind w:right="167"/>
              <w:jc w:val="right"/>
              <w:rPr>
                <w:sz w:val="24"/>
              </w:rPr>
            </w:pPr>
            <w:r>
              <w:rPr>
                <w:sz w:val="24"/>
              </w:rPr>
              <w:t>CBCS-JY003</w:t>
            </w:r>
          </w:p>
        </w:tc>
        <w:tc>
          <w:tcPr>
            <w:tcW w:w="2693" w:type="dxa"/>
          </w:tcPr>
          <w:p>
            <w:pPr>
              <w:pStyle w:val="TableParagraph"/>
              <w:spacing w:before="1"/>
              <w:ind w:left="108"/>
              <w:rPr>
                <w:sz w:val="24"/>
              </w:rPr>
            </w:pPr>
            <w:r>
              <w:rPr>
                <w:sz w:val="24"/>
              </w:rPr>
              <w:t>油罐导除静电措施不完</w:t>
            </w:r>
          </w:p>
          <w:p>
            <w:pPr>
              <w:pStyle w:val="TableParagraph"/>
              <w:spacing w:line="291" w:lineRule="exact" w:before="3"/>
              <w:ind w:left="108"/>
              <w:rPr>
                <w:sz w:val="24"/>
              </w:rPr>
            </w:pPr>
            <w:r>
              <w:rPr>
                <w:sz w:val="24"/>
              </w:rPr>
              <w:t>好</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622"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157"/>
              <w:ind w:right="167"/>
              <w:jc w:val="right"/>
              <w:rPr>
                <w:sz w:val="24"/>
              </w:rPr>
            </w:pPr>
            <w:r>
              <w:rPr>
                <w:sz w:val="24"/>
              </w:rPr>
              <w:t>CBCS-JY004</w:t>
            </w:r>
          </w:p>
        </w:tc>
        <w:tc>
          <w:tcPr>
            <w:tcW w:w="2693" w:type="dxa"/>
          </w:tcPr>
          <w:p>
            <w:pPr>
              <w:pStyle w:val="TableParagraph"/>
              <w:spacing w:before="1"/>
              <w:ind w:left="108"/>
              <w:rPr>
                <w:sz w:val="24"/>
              </w:rPr>
            </w:pPr>
            <w:r>
              <w:rPr>
                <w:sz w:val="24"/>
              </w:rPr>
              <w:t>油罐未设置高液位报警</w:t>
            </w:r>
          </w:p>
          <w:p>
            <w:pPr>
              <w:pStyle w:val="TableParagraph"/>
              <w:spacing w:line="290" w:lineRule="exact" w:before="4"/>
              <w:ind w:left="108"/>
              <w:rPr>
                <w:sz w:val="24"/>
              </w:rPr>
            </w:pPr>
            <w:r>
              <w:rPr>
                <w:sz w:val="24"/>
              </w:rPr>
              <w:t>装置</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622"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155"/>
              <w:ind w:right="167"/>
              <w:jc w:val="right"/>
              <w:rPr>
                <w:sz w:val="24"/>
              </w:rPr>
            </w:pPr>
            <w:r>
              <w:rPr>
                <w:sz w:val="24"/>
              </w:rPr>
              <w:t>CBCS-JY005</w:t>
            </w:r>
          </w:p>
        </w:tc>
        <w:tc>
          <w:tcPr>
            <w:tcW w:w="2693" w:type="dxa"/>
          </w:tcPr>
          <w:p>
            <w:pPr>
              <w:pStyle w:val="TableParagraph"/>
              <w:spacing w:before="1"/>
              <w:ind w:left="108"/>
              <w:rPr>
                <w:sz w:val="24"/>
              </w:rPr>
            </w:pPr>
            <w:r>
              <w:rPr>
                <w:sz w:val="24"/>
              </w:rPr>
              <w:t>加油软管上未设置安全</w:t>
            </w:r>
          </w:p>
          <w:p>
            <w:pPr>
              <w:pStyle w:val="TableParagraph"/>
              <w:spacing w:line="291" w:lineRule="exact" w:before="2"/>
              <w:ind w:left="108"/>
              <w:rPr>
                <w:sz w:val="24"/>
              </w:rPr>
            </w:pPr>
            <w:r>
              <w:rPr>
                <w:sz w:val="24"/>
              </w:rPr>
              <w:t>拉断阀</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621"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157"/>
              <w:ind w:right="167"/>
              <w:jc w:val="right"/>
              <w:rPr>
                <w:sz w:val="24"/>
              </w:rPr>
            </w:pPr>
            <w:r>
              <w:rPr>
                <w:sz w:val="24"/>
              </w:rPr>
              <w:t>CBCS-JY006</w:t>
            </w:r>
          </w:p>
        </w:tc>
        <w:tc>
          <w:tcPr>
            <w:tcW w:w="2693" w:type="dxa"/>
          </w:tcPr>
          <w:p>
            <w:pPr>
              <w:pStyle w:val="TableParagraph"/>
              <w:spacing w:line="310" w:lineRule="atLeast"/>
              <w:ind w:left="108" w:right="172"/>
              <w:rPr>
                <w:sz w:val="24"/>
              </w:rPr>
            </w:pPr>
            <w:r>
              <w:rPr>
                <w:sz w:val="24"/>
              </w:rPr>
              <w:t>油罐车卸油未采取密闭卸油方式</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bl>
    <w:p>
      <w:pPr>
        <w:spacing w:after="0"/>
        <w:rPr>
          <w:sz w:val="2"/>
          <w:szCs w:val="2"/>
        </w:rPr>
        <w:sectPr>
          <w:pgSz w:w="11910" w:h="16840"/>
          <w:pgMar w:header="0" w:footer="1039" w:top="1580" w:bottom="1220" w:left="1060" w:right="860"/>
        </w:sectPr>
      </w:pPr>
    </w:p>
    <w:p>
      <w:pPr>
        <w:pStyle w:val="BodyText"/>
        <w:spacing w:before="8"/>
        <w:ind w:left="0"/>
        <w:rPr>
          <w:rFonts w:ascii="Times New Roman"/>
          <w:sz w:val="28"/>
        </w:rPr>
      </w:pPr>
    </w:p>
    <w:tbl>
      <w:tblPr>
        <w:tblW w:w="0" w:type="auto"/>
        <w:jc w:val="left"/>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1"/>
        <w:gridCol w:w="1134"/>
        <w:gridCol w:w="1559"/>
        <w:gridCol w:w="2693"/>
        <w:gridCol w:w="1488"/>
        <w:gridCol w:w="1595"/>
      </w:tblGrid>
      <w:tr>
        <w:trPr>
          <w:trHeight w:val="622" w:hRule="atLeast"/>
        </w:trPr>
        <w:tc>
          <w:tcPr>
            <w:tcW w:w="1101" w:type="dxa"/>
            <w:vMerge w:val="restart"/>
          </w:tcPr>
          <w:p>
            <w:pPr>
              <w:pStyle w:val="TableParagraph"/>
              <w:rPr>
                <w:rFonts w:ascii="Times New Roman"/>
                <w:sz w:val="22"/>
              </w:rPr>
            </w:pPr>
          </w:p>
        </w:tc>
        <w:tc>
          <w:tcPr>
            <w:tcW w:w="1134" w:type="dxa"/>
            <w:vMerge w:val="restart"/>
          </w:tcPr>
          <w:p>
            <w:pPr>
              <w:pStyle w:val="TableParagraph"/>
              <w:rPr>
                <w:rFonts w:ascii="Times New Roman"/>
                <w:sz w:val="22"/>
              </w:rPr>
            </w:pPr>
          </w:p>
        </w:tc>
        <w:tc>
          <w:tcPr>
            <w:tcW w:w="1559" w:type="dxa"/>
          </w:tcPr>
          <w:p>
            <w:pPr>
              <w:pStyle w:val="TableParagraph"/>
              <w:spacing w:before="156"/>
              <w:ind w:left="179"/>
              <w:rPr>
                <w:sz w:val="24"/>
              </w:rPr>
            </w:pPr>
            <w:r>
              <w:rPr>
                <w:sz w:val="24"/>
              </w:rPr>
              <w:t>CBCS-JY007</w:t>
            </w:r>
          </w:p>
        </w:tc>
        <w:tc>
          <w:tcPr>
            <w:tcW w:w="2693" w:type="dxa"/>
          </w:tcPr>
          <w:p>
            <w:pPr>
              <w:pStyle w:val="TableParagraph"/>
              <w:spacing w:line="310" w:lineRule="atLeast"/>
              <w:ind w:left="108" w:right="172"/>
              <w:rPr>
                <w:sz w:val="24"/>
              </w:rPr>
            </w:pPr>
            <w:r>
              <w:rPr>
                <w:sz w:val="24"/>
              </w:rPr>
              <w:t>油罐通气管管口距离地面高度不足4 m</w:t>
            </w:r>
          </w:p>
        </w:tc>
        <w:tc>
          <w:tcPr>
            <w:tcW w:w="1488" w:type="dxa"/>
            <w:vMerge w:val="restart"/>
          </w:tcPr>
          <w:p>
            <w:pPr>
              <w:pStyle w:val="TableParagraph"/>
              <w:rPr>
                <w:rFonts w:ascii="Times New Roman"/>
                <w:sz w:val="22"/>
              </w:rPr>
            </w:pPr>
          </w:p>
        </w:tc>
        <w:tc>
          <w:tcPr>
            <w:tcW w:w="1595" w:type="dxa"/>
            <w:vMerge w:val="restart"/>
          </w:tcPr>
          <w:p>
            <w:pPr>
              <w:pStyle w:val="TableParagraph"/>
              <w:rPr>
                <w:rFonts w:ascii="Times New Roman"/>
                <w:sz w:val="22"/>
              </w:rPr>
            </w:pPr>
          </w:p>
        </w:tc>
      </w:tr>
      <w:tr>
        <w:trPr>
          <w:trHeight w:val="932"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11"/>
              <w:rPr>
                <w:rFonts w:ascii="Times New Roman"/>
                <w:sz w:val="26"/>
              </w:rPr>
            </w:pPr>
          </w:p>
          <w:p>
            <w:pPr>
              <w:pStyle w:val="TableParagraph"/>
              <w:ind w:left="179"/>
              <w:rPr>
                <w:sz w:val="24"/>
              </w:rPr>
            </w:pPr>
            <w:r>
              <w:rPr>
                <w:sz w:val="24"/>
              </w:rPr>
              <w:t>CBCS-JY008</w:t>
            </w:r>
          </w:p>
        </w:tc>
        <w:tc>
          <w:tcPr>
            <w:tcW w:w="2693" w:type="dxa"/>
          </w:tcPr>
          <w:p>
            <w:pPr>
              <w:pStyle w:val="TableParagraph"/>
              <w:ind w:left="108"/>
              <w:rPr>
                <w:sz w:val="24"/>
              </w:rPr>
            </w:pPr>
            <w:r>
              <w:rPr>
                <w:sz w:val="24"/>
              </w:rPr>
              <w:t>加油站工艺设备配备的</w:t>
            </w:r>
          </w:p>
          <w:p>
            <w:pPr>
              <w:pStyle w:val="TableParagraph"/>
              <w:spacing w:line="310" w:lineRule="atLeast" w:before="2"/>
              <w:ind w:left="108" w:right="652"/>
              <w:rPr>
                <w:sz w:val="24"/>
              </w:rPr>
            </w:pPr>
            <w:r>
              <w:rPr>
                <w:sz w:val="24"/>
              </w:rPr>
              <w:t>灭火器材不符合GB 50156 要求</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934"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2"/>
              <w:rPr>
                <w:rFonts w:ascii="Times New Roman"/>
                <w:sz w:val="27"/>
              </w:rPr>
            </w:pPr>
          </w:p>
          <w:p>
            <w:pPr>
              <w:pStyle w:val="TableParagraph"/>
              <w:ind w:left="179"/>
              <w:rPr>
                <w:sz w:val="24"/>
              </w:rPr>
            </w:pPr>
            <w:r>
              <w:rPr>
                <w:sz w:val="24"/>
              </w:rPr>
              <w:t>CBCS-JY009</w:t>
            </w:r>
          </w:p>
        </w:tc>
        <w:tc>
          <w:tcPr>
            <w:tcW w:w="2693" w:type="dxa"/>
          </w:tcPr>
          <w:p>
            <w:pPr>
              <w:pStyle w:val="TableParagraph"/>
              <w:spacing w:line="242" w:lineRule="auto" w:before="3"/>
              <w:ind w:left="108" w:right="172"/>
              <w:rPr>
                <w:sz w:val="24"/>
              </w:rPr>
            </w:pPr>
            <w:r>
              <w:rPr>
                <w:sz w:val="24"/>
              </w:rPr>
              <w:t>当采用电缆沟敷设电缆时，加油站作业区内的</w:t>
            </w:r>
          </w:p>
          <w:p>
            <w:pPr>
              <w:pStyle w:val="TableParagraph"/>
              <w:spacing w:line="289" w:lineRule="exact"/>
              <w:ind w:left="108"/>
              <w:rPr>
                <w:sz w:val="24"/>
              </w:rPr>
            </w:pPr>
            <w:r>
              <w:rPr>
                <w:sz w:val="24"/>
              </w:rPr>
              <w:t>电缆沟未充沙填实</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622"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156"/>
              <w:ind w:left="179"/>
              <w:rPr>
                <w:sz w:val="24"/>
              </w:rPr>
            </w:pPr>
            <w:r>
              <w:rPr>
                <w:sz w:val="24"/>
              </w:rPr>
              <w:t>CBCS-JY010</w:t>
            </w:r>
          </w:p>
        </w:tc>
        <w:tc>
          <w:tcPr>
            <w:tcW w:w="2693" w:type="dxa"/>
          </w:tcPr>
          <w:p>
            <w:pPr>
              <w:pStyle w:val="TableParagraph"/>
              <w:spacing w:line="310" w:lineRule="atLeast"/>
              <w:ind w:left="108" w:right="172"/>
              <w:rPr>
                <w:sz w:val="24"/>
              </w:rPr>
            </w:pPr>
            <w:r>
              <w:rPr>
                <w:sz w:val="24"/>
              </w:rPr>
              <w:t>钢制油罐未进行防雷接地，或接地点少于两处</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622"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156"/>
              <w:ind w:left="179"/>
              <w:rPr>
                <w:sz w:val="24"/>
              </w:rPr>
            </w:pPr>
            <w:r>
              <w:rPr>
                <w:sz w:val="24"/>
              </w:rPr>
              <w:t>CBCS-JY011</w:t>
            </w:r>
          </w:p>
        </w:tc>
        <w:tc>
          <w:tcPr>
            <w:tcW w:w="2693" w:type="dxa"/>
          </w:tcPr>
          <w:p>
            <w:pPr>
              <w:pStyle w:val="TableParagraph"/>
              <w:ind w:left="108"/>
              <w:rPr>
                <w:sz w:val="24"/>
              </w:rPr>
            </w:pPr>
            <w:r>
              <w:rPr>
                <w:sz w:val="24"/>
              </w:rPr>
              <w:t>加油站内防雷接地装置</w:t>
            </w:r>
          </w:p>
          <w:p>
            <w:pPr>
              <w:pStyle w:val="TableParagraph"/>
              <w:spacing w:line="289" w:lineRule="exact" w:before="5"/>
              <w:ind w:left="108"/>
              <w:rPr>
                <w:sz w:val="24"/>
              </w:rPr>
            </w:pPr>
            <w:r>
              <w:rPr>
                <w:sz w:val="24"/>
              </w:rPr>
              <w:t>不符合GB 50057的要求</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1556"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rPr>
                <w:rFonts w:ascii="Times New Roman"/>
                <w:sz w:val="24"/>
              </w:rPr>
            </w:pPr>
          </w:p>
          <w:p>
            <w:pPr>
              <w:pStyle w:val="TableParagraph"/>
              <w:spacing w:before="2"/>
              <w:rPr>
                <w:rFonts w:ascii="Times New Roman"/>
                <w:sz w:val="30"/>
              </w:rPr>
            </w:pPr>
          </w:p>
          <w:p>
            <w:pPr>
              <w:pStyle w:val="TableParagraph"/>
              <w:spacing w:before="1"/>
              <w:ind w:left="179"/>
              <w:rPr>
                <w:sz w:val="24"/>
              </w:rPr>
            </w:pPr>
            <w:r>
              <w:rPr>
                <w:sz w:val="24"/>
              </w:rPr>
              <w:t>CBCS-JY012</w:t>
            </w:r>
          </w:p>
        </w:tc>
        <w:tc>
          <w:tcPr>
            <w:tcW w:w="2693" w:type="dxa"/>
          </w:tcPr>
          <w:p>
            <w:pPr>
              <w:pStyle w:val="TableParagraph"/>
              <w:spacing w:line="242" w:lineRule="auto" w:before="2"/>
              <w:ind w:left="108" w:right="95"/>
              <w:rPr>
                <w:sz w:val="24"/>
              </w:rPr>
            </w:pPr>
            <w:r>
              <w:rPr>
                <w:sz w:val="24"/>
              </w:rPr>
              <w:t>在爆炸危险区域内的工艺管道上的法兰(连接</w:t>
            </w:r>
            <w:r>
              <w:rPr>
                <w:spacing w:val="-7"/>
                <w:sz w:val="24"/>
              </w:rPr>
              <w:t>螺栓少于五个)、胶管两</w:t>
            </w:r>
            <w:r>
              <w:rPr>
                <w:sz w:val="24"/>
              </w:rPr>
              <w:t>端等连接处未采用金属</w:t>
            </w:r>
          </w:p>
          <w:p>
            <w:pPr>
              <w:pStyle w:val="TableParagraph"/>
              <w:spacing w:line="288" w:lineRule="exact" w:before="3"/>
              <w:ind w:left="108"/>
              <w:rPr>
                <w:sz w:val="24"/>
              </w:rPr>
            </w:pPr>
            <w:r>
              <w:rPr>
                <w:sz w:val="24"/>
              </w:rPr>
              <w:t>线跨接</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933"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2"/>
              <w:rPr>
                <w:rFonts w:ascii="Times New Roman"/>
                <w:sz w:val="27"/>
              </w:rPr>
            </w:pPr>
          </w:p>
          <w:p>
            <w:pPr>
              <w:pStyle w:val="TableParagraph"/>
              <w:ind w:left="179"/>
              <w:rPr>
                <w:sz w:val="24"/>
              </w:rPr>
            </w:pPr>
            <w:r>
              <w:rPr>
                <w:sz w:val="24"/>
              </w:rPr>
              <w:t>CBCS-JY013</w:t>
            </w:r>
          </w:p>
        </w:tc>
        <w:tc>
          <w:tcPr>
            <w:tcW w:w="2693" w:type="dxa"/>
          </w:tcPr>
          <w:p>
            <w:pPr>
              <w:pStyle w:val="TableParagraph"/>
              <w:spacing w:line="242" w:lineRule="auto" w:before="1"/>
              <w:ind w:left="108" w:right="172"/>
              <w:rPr>
                <w:sz w:val="24"/>
              </w:rPr>
            </w:pPr>
            <w:r>
              <w:rPr>
                <w:sz w:val="24"/>
              </w:rPr>
              <w:t>加油站未设置可燃气体检测报警系统且未设置</w:t>
            </w:r>
          </w:p>
          <w:p>
            <w:pPr>
              <w:pStyle w:val="TableParagraph"/>
              <w:spacing w:line="289" w:lineRule="exact" w:before="3"/>
              <w:ind w:left="108"/>
              <w:rPr>
                <w:sz w:val="24"/>
              </w:rPr>
            </w:pPr>
            <w:r>
              <w:rPr>
                <w:sz w:val="24"/>
              </w:rPr>
              <w:t>紧急切断系统</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623" w:hRule="atLeast"/>
        </w:trPr>
        <w:tc>
          <w:tcPr>
            <w:tcW w:w="1101" w:type="dxa"/>
            <w:vMerge/>
            <w:tcBorders>
              <w:top w:val="nil"/>
            </w:tcBorders>
          </w:tcPr>
          <w:p>
            <w:pPr>
              <w:rPr>
                <w:sz w:val="2"/>
                <w:szCs w:val="2"/>
              </w:rPr>
            </w:pPr>
          </w:p>
        </w:tc>
        <w:tc>
          <w:tcPr>
            <w:tcW w:w="1134" w:type="dxa"/>
            <w:vMerge w:val="restart"/>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61"/>
              <w:ind w:left="207"/>
              <w:rPr>
                <w:sz w:val="24"/>
              </w:rPr>
            </w:pPr>
            <w:r>
              <w:rPr>
                <w:sz w:val="24"/>
              </w:rPr>
              <w:t>探伤室</w:t>
            </w:r>
          </w:p>
        </w:tc>
        <w:tc>
          <w:tcPr>
            <w:tcW w:w="1559" w:type="dxa"/>
          </w:tcPr>
          <w:p>
            <w:pPr>
              <w:pStyle w:val="TableParagraph"/>
              <w:spacing w:before="156"/>
              <w:ind w:left="179"/>
              <w:rPr>
                <w:sz w:val="24"/>
              </w:rPr>
            </w:pPr>
            <w:r>
              <w:rPr>
                <w:sz w:val="24"/>
              </w:rPr>
              <w:t>CBCS-TS001</w:t>
            </w:r>
          </w:p>
        </w:tc>
        <w:tc>
          <w:tcPr>
            <w:tcW w:w="2693" w:type="dxa"/>
          </w:tcPr>
          <w:p>
            <w:pPr>
              <w:pStyle w:val="TableParagraph"/>
              <w:spacing w:line="310" w:lineRule="atLeast"/>
              <w:ind w:left="108" w:right="292"/>
              <w:rPr>
                <w:sz w:val="24"/>
              </w:rPr>
            </w:pPr>
            <w:r>
              <w:rPr>
                <w:sz w:val="24"/>
              </w:rPr>
              <w:t>探伤室未安装门-机联锁装置和工作指示灯</w:t>
            </w:r>
          </w:p>
        </w:tc>
        <w:tc>
          <w:tcPr>
            <w:tcW w:w="1488" w:type="dxa"/>
            <w:vMerge w:val="restart"/>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61"/>
              <w:ind w:left="108"/>
              <w:rPr>
                <w:sz w:val="24"/>
              </w:rPr>
            </w:pPr>
            <w:r>
              <w:rPr>
                <w:sz w:val="24"/>
              </w:rPr>
              <w:t>CB/T 4297</w:t>
            </w:r>
          </w:p>
        </w:tc>
        <w:tc>
          <w:tcPr>
            <w:tcW w:w="1595" w:type="dxa"/>
            <w:vMerge w:val="restart"/>
          </w:tcPr>
          <w:p>
            <w:pPr>
              <w:pStyle w:val="TableParagraph"/>
              <w:rPr>
                <w:rFonts w:ascii="Times New Roman"/>
                <w:sz w:val="24"/>
              </w:rPr>
            </w:pPr>
          </w:p>
          <w:p>
            <w:pPr>
              <w:pStyle w:val="TableParagraph"/>
              <w:rPr>
                <w:rFonts w:ascii="Times New Roman"/>
                <w:sz w:val="24"/>
              </w:rPr>
            </w:pPr>
          </w:p>
          <w:p>
            <w:pPr>
              <w:pStyle w:val="TableParagraph"/>
              <w:spacing w:line="242" w:lineRule="auto" w:before="175"/>
              <w:ind w:left="108" w:right="34" w:hanging="63"/>
              <w:jc w:val="center"/>
              <w:rPr>
                <w:sz w:val="24"/>
              </w:rPr>
            </w:pPr>
            <w:r>
              <w:rPr>
                <w:sz w:val="24"/>
              </w:rPr>
              <w:t>同一次隐患 </w:t>
            </w:r>
            <w:r>
              <w:rPr>
                <w:spacing w:val="-3"/>
                <w:sz w:val="24"/>
              </w:rPr>
              <w:t>排查过程中， </w:t>
            </w:r>
            <w:r>
              <w:rPr>
                <w:sz w:val="24"/>
              </w:rPr>
              <w:t>企业发现任 意三项隐患 </w:t>
            </w:r>
            <w:r>
              <w:rPr>
                <w:spacing w:val="-11"/>
                <w:sz w:val="24"/>
              </w:rPr>
              <w:t>内容的，判定为重大生产 安全事故隐 患</w:t>
            </w:r>
          </w:p>
        </w:tc>
      </w:tr>
      <w:tr>
        <w:trPr>
          <w:trHeight w:val="543"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134"/>
              <w:ind w:left="253"/>
              <w:rPr>
                <w:sz w:val="21"/>
              </w:rPr>
            </w:pPr>
            <w:r>
              <w:rPr>
                <w:sz w:val="21"/>
              </w:rPr>
              <w:t>CBCS-TS002</w:t>
            </w:r>
          </w:p>
        </w:tc>
        <w:tc>
          <w:tcPr>
            <w:tcW w:w="2693" w:type="dxa"/>
          </w:tcPr>
          <w:p>
            <w:pPr>
              <w:pStyle w:val="TableParagraph"/>
              <w:spacing w:line="269" w:lineRule="exact"/>
              <w:ind w:left="108"/>
              <w:rPr>
                <w:sz w:val="21"/>
              </w:rPr>
            </w:pPr>
            <w:r>
              <w:rPr>
                <w:sz w:val="21"/>
              </w:rPr>
              <w:t>探伤室未设置紧急停止按</w:t>
            </w:r>
          </w:p>
          <w:p>
            <w:pPr>
              <w:pStyle w:val="TableParagraph"/>
              <w:spacing w:line="251" w:lineRule="exact" w:before="4"/>
              <w:ind w:left="108"/>
              <w:rPr>
                <w:sz w:val="21"/>
              </w:rPr>
            </w:pPr>
            <w:r>
              <w:rPr>
                <w:w w:val="99"/>
                <w:sz w:val="21"/>
              </w:rPr>
              <w:t>钮</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545"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136"/>
              <w:ind w:left="253"/>
              <w:rPr>
                <w:sz w:val="21"/>
              </w:rPr>
            </w:pPr>
            <w:r>
              <w:rPr>
                <w:sz w:val="21"/>
              </w:rPr>
              <w:t>CBCS-TS003</w:t>
            </w:r>
          </w:p>
        </w:tc>
        <w:tc>
          <w:tcPr>
            <w:tcW w:w="2693" w:type="dxa"/>
          </w:tcPr>
          <w:p>
            <w:pPr>
              <w:pStyle w:val="TableParagraph"/>
              <w:ind w:left="108"/>
              <w:rPr>
                <w:sz w:val="21"/>
              </w:rPr>
            </w:pPr>
            <w:r>
              <w:rPr>
                <w:sz w:val="21"/>
              </w:rPr>
              <w:t>探伤室入口处未设置声光</w:t>
            </w:r>
          </w:p>
          <w:p>
            <w:pPr>
              <w:pStyle w:val="TableParagraph"/>
              <w:spacing w:line="251" w:lineRule="exact" w:before="4"/>
              <w:ind w:left="108"/>
              <w:rPr>
                <w:sz w:val="21"/>
              </w:rPr>
            </w:pPr>
            <w:r>
              <w:rPr>
                <w:sz w:val="21"/>
              </w:rPr>
              <w:t>报警装置</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1089"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rPr>
                <w:rFonts w:ascii="Times New Roman"/>
                <w:sz w:val="20"/>
              </w:rPr>
            </w:pPr>
          </w:p>
          <w:p>
            <w:pPr>
              <w:pStyle w:val="TableParagraph"/>
              <w:spacing w:before="177"/>
              <w:ind w:left="253"/>
              <w:rPr>
                <w:sz w:val="21"/>
              </w:rPr>
            </w:pPr>
            <w:r>
              <w:rPr>
                <w:sz w:val="21"/>
              </w:rPr>
              <w:t>CBCS-TS004</w:t>
            </w:r>
          </w:p>
        </w:tc>
        <w:tc>
          <w:tcPr>
            <w:tcW w:w="2693" w:type="dxa"/>
          </w:tcPr>
          <w:p>
            <w:pPr>
              <w:pStyle w:val="TableParagraph"/>
              <w:spacing w:line="242" w:lineRule="auto"/>
              <w:ind w:left="108" w:right="97"/>
              <w:rPr>
                <w:sz w:val="21"/>
              </w:rPr>
            </w:pPr>
            <w:r>
              <w:rPr>
                <w:sz w:val="21"/>
              </w:rPr>
              <w:t>射线探伤室未配置固定式</w:t>
            </w:r>
            <w:r>
              <w:rPr>
                <w:spacing w:val="-8"/>
                <w:sz w:val="21"/>
              </w:rPr>
              <w:t>辐射检测系统，或固定式辐</w:t>
            </w:r>
            <w:r>
              <w:rPr>
                <w:sz w:val="21"/>
              </w:rPr>
              <w:t>射检测系统未与门-机联锁</w:t>
            </w:r>
          </w:p>
          <w:p>
            <w:pPr>
              <w:pStyle w:val="TableParagraph"/>
              <w:spacing w:line="251" w:lineRule="exact" w:before="2"/>
              <w:ind w:left="108"/>
              <w:rPr>
                <w:sz w:val="21"/>
              </w:rPr>
            </w:pPr>
            <w:r>
              <w:rPr>
                <w:sz w:val="21"/>
              </w:rPr>
              <w:t>相联系</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545"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136"/>
              <w:ind w:left="253"/>
              <w:rPr>
                <w:sz w:val="21"/>
              </w:rPr>
            </w:pPr>
            <w:r>
              <w:rPr>
                <w:sz w:val="21"/>
              </w:rPr>
              <w:t>CBCS-TS005</w:t>
            </w:r>
          </w:p>
        </w:tc>
        <w:tc>
          <w:tcPr>
            <w:tcW w:w="2693" w:type="dxa"/>
          </w:tcPr>
          <w:p>
            <w:pPr>
              <w:pStyle w:val="TableParagraph"/>
              <w:spacing w:line="270" w:lineRule="atLeast" w:before="1"/>
              <w:ind w:left="108" w:right="263"/>
              <w:rPr>
                <w:sz w:val="21"/>
              </w:rPr>
            </w:pPr>
            <w:r>
              <w:rPr>
                <w:sz w:val="21"/>
              </w:rPr>
              <w:t>照射状态指示装置未与射线探伤装置联锁</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545"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136"/>
              <w:ind w:left="253"/>
              <w:rPr>
                <w:sz w:val="21"/>
              </w:rPr>
            </w:pPr>
            <w:r>
              <w:rPr>
                <w:sz w:val="21"/>
              </w:rPr>
              <w:t>CBCS-TS006</w:t>
            </w:r>
          </w:p>
        </w:tc>
        <w:tc>
          <w:tcPr>
            <w:tcW w:w="2693" w:type="dxa"/>
          </w:tcPr>
          <w:p>
            <w:pPr>
              <w:pStyle w:val="TableParagraph"/>
              <w:spacing w:line="268" w:lineRule="exact"/>
              <w:ind w:left="108"/>
              <w:rPr>
                <w:sz w:val="21"/>
              </w:rPr>
            </w:pPr>
            <w:r>
              <w:rPr>
                <w:sz w:val="21"/>
              </w:rPr>
              <w:t>射线探伤室未与操作室分</w:t>
            </w:r>
          </w:p>
          <w:p>
            <w:pPr>
              <w:pStyle w:val="TableParagraph"/>
              <w:spacing w:line="252" w:lineRule="exact" w:before="4"/>
              <w:ind w:left="108"/>
              <w:rPr>
                <w:sz w:val="21"/>
              </w:rPr>
            </w:pPr>
            <w:r>
              <w:rPr>
                <w:w w:val="99"/>
                <w:sz w:val="21"/>
              </w:rPr>
              <w:t>开</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bl>
    <w:p>
      <w:pPr>
        <w:pStyle w:val="Heading3"/>
        <w:numPr>
          <w:ilvl w:val="1"/>
          <w:numId w:val="34"/>
        </w:numPr>
        <w:tabs>
          <w:tab w:pos="1002" w:val="left" w:leader="none"/>
        </w:tabs>
        <w:spacing w:line="240" w:lineRule="auto" w:before="15" w:after="0"/>
        <w:ind w:left="1001" w:right="0" w:hanging="644"/>
        <w:jc w:val="left"/>
      </w:pPr>
      <w:r>
        <w:rPr/>
        <w:t>船舶行业重点设备重大生产安全事故隐患综合判定标准</w:t>
      </w:r>
    </w:p>
    <w:p>
      <w:pPr>
        <w:pStyle w:val="BodyText"/>
        <w:spacing w:before="60"/>
        <w:ind w:left="996"/>
      </w:pPr>
      <w:r>
        <w:rPr/>
        <w:t>船舶行业重点设备重大生产安全事故隐患综合判定标准见表4。</w:t>
      </w:r>
    </w:p>
    <w:p>
      <w:pPr>
        <w:tabs>
          <w:tab w:pos="685" w:val="left" w:leader="none"/>
        </w:tabs>
        <w:spacing w:before="23"/>
        <w:ind w:left="86" w:right="0" w:firstLine="0"/>
        <w:jc w:val="center"/>
        <w:rPr>
          <w:sz w:val="24"/>
        </w:rPr>
      </w:pPr>
      <w:r>
        <w:rPr>
          <w:sz w:val="24"/>
        </w:rPr>
        <w:t>表4</w:t>
        <w:tab/>
        <w:t>船舶行业重点设备重大生产安全事故隐患综合判定标准</w:t>
      </w:r>
    </w:p>
    <w:p>
      <w:pPr>
        <w:pStyle w:val="BodyText"/>
        <w:spacing w:before="7"/>
        <w:ind w:left="0"/>
        <w:rPr>
          <w:sz w:val="9"/>
        </w:rPr>
      </w:pPr>
    </w:p>
    <w:tbl>
      <w:tblPr>
        <w:tblW w:w="0" w:type="auto"/>
        <w:jc w:val="left"/>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1"/>
        <w:gridCol w:w="1134"/>
        <w:gridCol w:w="1559"/>
        <w:gridCol w:w="2693"/>
        <w:gridCol w:w="1488"/>
        <w:gridCol w:w="1595"/>
      </w:tblGrid>
      <w:tr>
        <w:trPr>
          <w:trHeight w:val="934" w:hRule="atLeast"/>
        </w:trPr>
        <w:tc>
          <w:tcPr>
            <w:tcW w:w="1101" w:type="dxa"/>
          </w:tcPr>
          <w:p>
            <w:pPr>
              <w:pStyle w:val="TableParagraph"/>
              <w:spacing w:line="242" w:lineRule="auto" w:before="155"/>
              <w:ind w:left="429" w:right="179" w:hanging="240"/>
              <w:rPr>
                <w:sz w:val="24"/>
              </w:rPr>
            </w:pPr>
            <w:r>
              <w:rPr>
                <w:sz w:val="24"/>
              </w:rPr>
              <w:t>隐患项目</w:t>
            </w:r>
          </w:p>
        </w:tc>
        <w:tc>
          <w:tcPr>
            <w:tcW w:w="1134" w:type="dxa"/>
          </w:tcPr>
          <w:p>
            <w:pPr>
              <w:pStyle w:val="TableParagraph"/>
              <w:spacing w:line="242" w:lineRule="auto" w:before="155"/>
              <w:ind w:left="447" w:right="194" w:hanging="240"/>
              <w:rPr>
                <w:sz w:val="24"/>
              </w:rPr>
            </w:pPr>
            <w:r>
              <w:rPr>
                <w:sz w:val="24"/>
              </w:rPr>
              <w:t>隐患类别</w:t>
            </w:r>
          </w:p>
        </w:tc>
        <w:tc>
          <w:tcPr>
            <w:tcW w:w="1559" w:type="dxa"/>
          </w:tcPr>
          <w:p>
            <w:pPr>
              <w:pStyle w:val="TableParagraph"/>
              <w:spacing w:before="4"/>
              <w:rPr>
                <w:sz w:val="24"/>
              </w:rPr>
            </w:pPr>
          </w:p>
          <w:p>
            <w:pPr>
              <w:pStyle w:val="TableParagraph"/>
              <w:ind w:left="128" w:right="118"/>
              <w:jc w:val="center"/>
              <w:rPr>
                <w:sz w:val="24"/>
              </w:rPr>
            </w:pPr>
            <w:r>
              <w:rPr>
                <w:sz w:val="24"/>
              </w:rPr>
              <w:t>隐患编号</w:t>
            </w:r>
          </w:p>
        </w:tc>
        <w:tc>
          <w:tcPr>
            <w:tcW w:w="2693" w:type="dxa"/>
          </w:tcPr>
          <w:p>
            <w:pPr>
              <w:pStyle w:val="TableParagraph"/>
              <w:spacing w:before="4"/>
              <w:rPr>
                <w:sz w:val="24"/>
              </w:rPr>
            </w:pPr>
          </w:p>
          <w:p>
            <w:pPr>
              <w:pStyle w:val="TableParagraph"/>
              <w:ind w:left="864"/>
              <w:rPr>
                <w:sz w:val="24"/>
              </w:rPr>
            </w:pPr>
            <w:r>
              <w:rPr>
                <w:sz w:val="24"/>
              </w:rPr>
              <w:t>隐患内容</w:t>
            </w:r>
          </w:p>
        </w:tc>
        <w:tc>
          <w:tcPr>
            <w:tcW w:w="1488" w:type="dxa"/>
          </w:tcPr>
          <w:p>
            <w:pPr>
              <w:pStyle w:val="TableParagraph"/>
              <w:spacing w:before="4"/>
              <w:rPr>
                <w:sz w:val="24"/>
              </w:rPr>
            </w:pPr>
          </w:p>
          <w:p>
            <w:pPr>
              <w:pStyle w:val="TableParagraph"/>
              <w:ind w:left="484" w:right="474"/>
              <w:jc w:val="center"/>
              <w:rPr>
                <w:sz w:val="24"/>
              </w:rPr>
            </w:pPr>
            <w:r>
              <w:rPr>
                <w:sz w:val="24"/>
              </w:rPr>
              <w:t>参考</w:t>
            </w:r>
          </w:p>
        </w:tc>
        <w:tc>
          <w:tcPr>
            <w:tcW w:w="1595" w:type="dxa"/>
          </w:tcPr>
          <w:p>
            <w:pPr>
              <w:pStyle w:val="TableParagraph"/>
              <w:spacing w:line="242" w:lineRule="auto" w:before="2"/>
              <w:ind w:left="197" w:right="185"/>
              <w:jc w:val="center"/>
              <w:rPr>
                <w:sz w:val="24"/>
              </w:rPr>
            </w:pPr>
            <w:r>
              <w:rPr>
                <w:sz w:val="24"/>
              </w:rPr>
              <w:t>重大生产安全事故隐患</w:t>
            </w:r>
          </w:p>
          <w:p>
            <w:pPr>
              <w:pStyle w:val="TableParagraph"/>
              <w:spacing w:line="290" w:lineRule="exact"/>
              <w:ind w:left="194" w:right="185"/>
              <w:jc w:val="center"/>
              <w:rPr>
                <w:sz w:val="24"/>
              </w:rPr>
            </w:pPr>
            <w:r>
              <w:rPr>
                <w:sz w:val="24"/>
              </w:rPr>
              <w:t>判据</w:t>
            </w:r>
          </w:p>
        </w:tc>
      </w:tr>
      <w:tr>
        <w:trPr>
          <w:trHeight w:val="620" w:hRule="atLeast"/>
        </w:trPr>
        <w:tc>
          <w:tcPr>
            <w:tcW w:w="1101" w:type="dxa"/>
          </w:tcPr>
          <w:p>
            <w:pPr>
              <w:pStyle w:val="TableParagraph"/>
              <w:spacing w:before="1"/>
              <w:ind w:left="169" w:right="161"/>
              <w:jc w:val="center"/>
              <w:rPr>
                <w:sz w:val="24"/>
              </w:rPr>
            </w:pPr>
            <w:r>
              <w:rPr>
                <w:sz w:val="24"/>
              </w:rPr>
              <w:t>重点设</w:t>
            </w:r>
          </w:p>
          <w:p>
            <w:pPr>
              <w:pStyle w:val="TableParagraph"/>
              <w:spacing w:line="287" w:lineRule="exact" w:before="4"/>
              <w:ind w:left="8"/>
              <w:jc w:val="center"/>
              <w:rPr>
                <w:sz w:val="24"/>
              </w:rPr>
            </w:pPr>
            <w:r>
              <w:rPr>
                <w:sz w:val="24"/>
              </w:rPr>
              <w:t>备</w:t>
            </w:r>
          </w:p>
        </w:tc>
        <w:tc>
          <w:tcPr>
            <w:tcW w:w="1134" w:type="dxa"/>
          </w:tcPr>
          <w:p>
            <w:pPr>
              <w:pStyle w:val="TableParagraph"/>
              <w:spacing w:before="1"/>
              <w:ind w:left="187" w:right="177"/>
              <w:jc w:val="center"/>
              <w:rPr>
                <w:sz w:val="24"/>
              </w:rPr>
            </w:pPr>
            <w:r>
              <w:rPr>
                <w:sz w:val="24"/>
              </w:rPr>
              <w:t>压力容</w:t>
            </w:r>
          </w:p>
          <w:p>
            <w:pPr>
              <w:pStyle w:val="TableParagraph"/>
              <w:spacing w:line="287" w:lineRule="exact" w:before="4"/>
              <w:ind w:left="10"/>
              <w:jc w:val="center"/>
              <w:rPr>
                <w:sz w:val="24"/>
              </w:rPr>
            </w:pPr>
            <w:r>
              <w:rPr>
                <w:sz w:val="24"/>
              </w:rPr>
              <w:t>器</w:t>
            </w:r>
          </w:p>
        </w:tc>
        <w:tc>
          <w:tcPr>
            <w:tcW w:w="1559" w:type="dxa"/>
          </w:tcPr>
          <w:p>
            <w:pPr>
              <w:pStyle w:val="TableParagraph"/>
              <w:spacing w:before="157"/>
              <w:ind w:left="128" w:right="118"/>
              <w:jc w:val="center"/>
              <w:rPr>
                <w:sz w:val="24"/>
              </w:rPr>
            </w:pPr>
            <w:r>
              <w:rPr>
                <w:sz w:val="24"/>
              </w:rPr>
              <w:t>CBSB-RQ001</w:t>
            </w:r>
          </w:p>
        </w:tc>
        <w:tc>
          <w:tcPr>
            <w:tcW w:w="2693" w:type="dxa"/>
          </w:tcPr>
          <w:p>
            <w:pPr>
              <w:pStyle w:val="TableParagraph"/>
              <w:spacing w:before="1"/>
              <w:ind w:left="108"/>
              <w:rPr>
                <w:sz w:val="24"/>
              </w:rPr>
            </w:pPr>
            <w:r>
              <w:rPr>
                <w:sz w:val="24"/>
              </w:rPr>
              <w:t>压力容器未办理使用登</w:t>
            </w:r>
          </w:p>
          <w:p>
            <w:pPr>
              <w:pStyle w:val="TableParagraph"/>
              <w:spacing w:line="287" w:lineRule="exact" w:before="4"/>
              <w:ind w:left="108"/>
              <w:rPr>
                <w:sz w:val="24"/>
              </w:rPr>
            </w:pPr>
            <w:r>
              <w:rPr>
                <w:sz w:val="24"/>
              </w:rPr>
              <w:t>记</w:t>
            </w:r>
          </w:p>
        </w:tc>
        <w:tc>
          <w:tcPr>
            <w:tcW w:w="1488" w:type="dxa"/>
          </w:tcPr>
          <w:p>
            <w:pPr>
              <w:pStyle w:val="TableParagraph"/>
              <w:spacing w:before="157"/>
              <w:ind w:left="108"/>
              <w:rPr>
                <w:sz w:val="24"/>
              </w:rPr>
            </w:pPr>
            <w:r>
              <w:rPr>
                <w:sz w:val="24"/>
              </w:rPr>
              <w:t>TSG 21</w:t>
            </w:r>
          </w:p>
        </w:tc>
        <w:tc>
          <w:tcPr>
            <w:tcW w:w="1595" w:type="dxa"/>
          </w:tcPr>
          <w:p>
            <w:pPr>
              <w:pStyle w:val="TableParagraph"/>
              <w:spacing w:before="1"/>
              <w:ind w:left="108"/>
              <w:rPr>
                <w:sz w:val="24"/>
              </w:rPr>
            </w:pPr>
            <w:r>
              <w:rPr>
                <w:sz w:val="24"/>
              </w:rPr>
              <w:t>同一次隐患</w:t>
            </w:r>
          </w:p>
          <w:p>
            <w:pPr>
              <w:pStyle w:val="TableParagraph"/>
              <w:spacing w:line="287" w:lineRule="exact" w:before="4"/>
              <w:ind w:left="108"/>
              <w:rPr>
                <w:sz w:val="24"/>
              </w:rPr>
            </w:pPr>
            <w:r>
              <w:rPr>
                <w:sz w:val="24"/>
              </w:rPr>
              <w:t>排查过程中，</w:t>
            </w:r>
          </w:p>
        </w:tc>
      </w:tr>
    </w:tbl>
    <w:p>
      <w:pPr>
        <w:spacing w:after="0" w:line="287" w:lineRule="exact"/>
        <w:rPr>
          <w:sz w:val="24"/>
        </w:rPr>
        <w:sectPr>
          <w:pgSz w:w="11910" w:h="16840"/>
          <w:pgMar w:header="0" w:footer="1039" w:top="1580" w:bottom="1220" w:left="1060" w:right="860"/>
        </w:sectPr>
      </w:pPr>
    </w:p>
    <w:p>
      <w:pPr>
        <w:pStyle w:val="BodyText"/>
        <w:spacing w:before="8"/>
        <w:ind w:left="0"/>
        <w:rPr>
          <w:rFonts w:ascii="Times New Roman"/>
          <w:sz w:val="28"/>
        </w:rPr>
      </w:pPr>
    </w:p>
    <w:tbl>
      <w:tblPr>
        <w:tblW w:w="0" w:type="auto"/>
        <w:jc w:val="left"/>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1"/>
        <w:gridCol w:w="1134"/>
        <w:gridCol w:w="1559"/>
        <w:gridCol w:w="2693"/>
        <w:gridCol w:w="1488"/>
        <w:gridCol w:w="1595"/>
      </w:tblGrid>
      <w:tr>
        <w:trPr>
          <w:trHeight w:val="1555" w:hRule="atLeast"/>
        </w:trPr>
        <w:tc>
          <w:tcPr>
            <w:tcW w:w="1101" w:type="dxa"/>
            <w:vMerge w:val="restart"/>
          </w:tcPr>
          <w:p>
            <w:pPr>
              <w:pStyle w:val="TableParagraph"/>
              <w:rPr>
                <w:rFonts w:ascii="Times New Roman"/>
                <w:sz w:val="22"/>
              </w:rPr>
            </w:pPr>
          </w:p>
        </w:tc>
        <w:tc>
          <w:tcPr>
            <w:tcW w:w="1134" w:type="dxa"/>
            <w:vMerge w:val="restart"/>
          </w:tcPr>
          <w:p>
            <w:pPr>
              <w:pStyle w:val="TableParagraph"/>
              <w:rPr>
                <w:rFonts w:ascii="Times New Roman"/>
                <w:sz w:val="22"/>
              </w:rPr>
            </w:pPr>
          </w:p>
        </w:tc>
        <w:tc>
          <w:tcPr>
            <w:tcW w:w="1559" w:type="dxa"/>
          </w:tcPr>
          <w:p>
            <w:pPr>
              <w:pStyle w:val="TableParagraph"/>
              <w:rPr>
                <w:rFonts w:ascii="Times New Roman"/>
                <w:sz w:val="24"/>
              </w:rPr>
            </w:pPr>
          </w:p>
          <w:p>
            <w:pPr>
              <w:pStyle w:val="TableParagraph"/>
              <w:spacing w:before="3"/>
              <w:rPr>
                <w:rFonts w:ascii="Times New Roman"/>
                <w:sz w:val="30"/>
              </w:rPr>
            </w:pPr>
          </w:p>
          <w:p>
            <w:pPr>
              <w:pStyle w:val="TableParagraph"/>
              <w:ind w:left="179"/>
              <w:rPr>
                <w:sz w:val="24"/>
              </w:rPr>
            </w:pPr>
            <w:r>
              <w:rPr>
                <w:sz w:val="24"/>
              </w:rPr>
              <w:t>CBSB-RQ002</w:t>
            </w:r>
          </w:p>
        </w:tc>
        <w:tc>
          <w:tcPr>
            <w:tcW w:w="2693" w:type="dxa"/>
          </w:tcPr>
          <w:p>
            <w:pPr>
              <w:pStyle w:val="TableParagraph"/>
              <w:spacing w:line="242" w:lineRule="auto" w:before="2"/>
              <w:ind w:left="108" w:right="-29"/>
              <w:rPr>
                <w:sz w:val="24"/>
              </w:rPr>
            </w:pPr>
            <w:r>
              <w:rPr>
                <w:sz w:val="24"/>
              </w:rPr>
              <w:t>压力容器本体、接口部位、焊接接头等存在裂</w:t>
            </w:r>
            <w:r>
              <w:rPr>
                <w:spacing w:val="-8"/>
                <w:sz w:val="24"/>
              </w:rPr>
              <w:t>纹、变形、过热、泄漏、腐蚀、机械接触损伤等</w:t>
            </w:r>
          </w:p>
          <w:p>
            <w:pPr>
              <w:pStyle w:val="TableParagraph"/>
              <w:spacing w:line="288" w:lineRule="exact" w:before="3"/>
              <w:ind w:left="108"/>
              <w:rPr>
                <w:sz w:val="24"/>
              </w:rPr>
            </w:pPr>
            <w:r>
              <w:rPr>
                <w:sz w:val="24"/>
              </w:rPr>
              <w:t>现象</w:t>
            </w:r>
          </w:p>
        </w:tc>
        <w:tc>
          <w:tcPr>
            <w:tcW w:w="1488" w:type="dxa"/>
            <w:vMerge w:val="restart"/>
          </w:tcPr>
          <w:p>
            <w:pPr>
              <w:pStyle w:val="TableParagraph"/>
              <w:rPr>
                <w:rFonts w:ascii="Times New Roman"/>
                <w:sz w:val="22"/>
              </w:rPr>
            </w:pPr>
          </w:p>
        </w:tc>
        <w:tc>
          <w:tcPr>
            <w:tcW w:w="1595" w:type="dxa"/>
            <w:vMerge w:val="restart"/>
          </w:tcPr>
          <w:p>
            <w:pPr>
              <w:pStyle w:val="TableParagraph"/>
              <w:spacing w:line="242" w:lineRule="auto" w:before="2"/>
              <w:ind w:left="108" w:right="94"/>
              <w:jc w:val="both"/>
              <w:rPr>
                <w:sz w:val="24"/>
              </w:rPr>
            </w:pPr>
            <w:r>
              <w:rPr>
                <w:spacing w:val="32"/>
                <w:sz w:val="24"/>
              </w:rPr>
              <w:t>企业发现任意三项隐患</w:t>
            </w:r>
            <w:r>
              <w:rPr>
                <w:spacing w:val="-14"/>
                <w:sz w:val="24"/>
              </w:rPr>
              <w:t>内容的，判定</w:t>
            </w:r>
            <w:r>
              <w:rPr>
                <w:spacing w:val="32"/>
                <w:sz w:val="24"/>
              </w:rPr>
              <w:t>为重大生产安全事故隐</w:t>
            </w:r>
            <w:r>
              <w:rPr>
                <w:sz w:val="24"/>
              </w:rPr>
              <w:t>患</w:t>
            </w:r>
          </w:p>
        </w:tc>
      </w:tr>
      <w:tr>
        <w:trPr>
          <w:trHeight w:val="1245"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rPr>
                <w:rFonts w:ascii="Times New Roman"/>
                <w:sz w:val="24"/>
              </w:rPr>
            </w:pPr>
          </w:p>
          <w:p>
            <w:pPr>
              <w:pStyle w:val="TableParagraph"/>
              <w:spacing w:before="193"/>
              <w:ind w:left="179"/>
              <w:rPr>
                <w:sz w:val="24"/>
              </w:rPr>
            </w:pPr>
            <w:r>
              <w:rPr>
                <w:sz w:val="24"/>
              </w:rPr>
              <w:t>CBSB-RQ003</w:t>
            </w:r>
          </w:p>
        </w:tc>
        <w:tc>
          <w:tcPr>
            <w:tcW w:w="2693" w:type="dxa"/>
          </w:tcPr>
          <w:p>
            <w:pPr>
              <w:pStyle w:val="TableParagraph"/>
              <w:spacing w:line="242" w:lineRule="auto" w:before="1"/>
              <w:ind w:left="108" w:right="172"/>
              <w:rPr>
                <w:sz w:val="24"/>
              </w:rPr>
            </w:pPr>
            <w:r>
              <w:rPr>
                <w:sz w:val="24"/>
              </w:rPr>
              <w:t>压力容器支座支撑不牢固，连接处有松动、移</w:t>
            </w:r>
          </w:p>
          <w:p>
            <w:pPr>
              <w:pStyle w:val="TableParagraph"/>
              <w:spacing w:line="310" w:lineRule="atLeast"/>
              <w:ind w:left="108" w:right="172"/>
              <w:rPr>
                <w:sz w:val="24"/>
              </w:rPr>
            </w:pPr>
            <w:r>
              <w:rPr>
                <w:sz w:val="24"/>
              </w:rPr>
              <w:t>位、沉降、倾斜、裂纹等现象</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312"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line="291" w:lineRule="exact" w:before="1"/>
              <w:ind w:left="179"/>
              <w:rPr>
                <w:sz w:val="24"/>
              </w:rPr>
            </w:pPr>
            <w:r>
              <w:rPr>
                <w:sz w:val="24"/>
              </w:rPr>
              <w:t>CBSB-RQ004</w:t>
            </w:r>
          </w:p>
        </w:tc>
        <w:tc>
          <w:tcPr>
            <w:tcW w:w="2693" w:type="dxa"/>
          </w:tcPr>
          <w:p>
            <w:pPr>
              <w:pStyle w:val="TableParagraph"/>
              <w:spacing w:line="291" w:lineRule="exact" w:before="1"/>
              <w:ind w:left="108"/>
              <w:rPr>
                <w:sz w:val="24"/>
              </w:rPr>
            </w:pPr>
            <w:r>
              <w:rPr>
                <w:sz w:val="24"/>
              </w:rPr>
              <w:t>罐体无接地装置</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622"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157"/>
              <w:ind w:left="179"/>
              <w:rPr>
                <w:sz w:val="24"/>
              </w:rPr>
            </w:pPr>
            <w:r>
              <w:rPr>
                <w:sz w:val="24"/>
              </w:rPr>
              <w:t>CBSB-RQ005</w:t>
            </w:r>
          </w:p>
        </w:tc>
        <w:tc>
          <w:tcPr>
            <w:tcW w:w="2693" w:type="dxa"/>
          </w:tcPr>
          <w:p>
            <w:pPr>
              <w:pStyle w:val="TableParagraph"/>
              <w:spacing w:before="1"/>
              <w:ind w:left="108"/>
              <w:rPr>
                <w:sz w:val="24"/>
              </w:rPr>
            </w:pPr>
            <w:r>
              <w:rPr>
                <w:sz w:val="24"/>
              </w:rPr>
              <w:t>安全阀未在检验有效期</w:t>
            </w:r>
          </w:p>
          <w:p>
            <w:pPr>
              <w:pStyle w:val="TableParagraph"/>
              <w:spacing w:line="289" w:lineRule="exact" w:before="4"/>
              <w:ind w:left="108"/>
              <w:rPr>
                <w:sz w:val="24"/>
              </w:rPr>
            </w:pPr>
            <w:r>
              <w:rPr>
                <w:sz w:val="24"/>
              </w:rPr>
              <w:t>内且铅封不完好</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623"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156"/>
              <w:ind w:left="179"/>
              <w:rPr>
                <w:sz w:val="24"/>
              </w:rPr>
            </w:pPr>
            <w:r>
              <w:rPr>
                <w:sz w:val="24"/>
              </w:rPr>
              <w:t>CBSB-RQ006</w:t>
            </w:r>
          </w:p>
        </w:tc>
        <w:tc>
          <w:tcPr>
            <w:tcW w:w="2693" w:type="dxa"/>
          </w:tcPr>
          <w:p>
            <w:pPr>
              <w:pStyle w:val="TableParagraph"/>
              <w:spacing w:line="310" w:lineRule="atLeast"/>
              <w:ind w:left="108" w:right="172"/>
              <w:rPr>
                <w:sz w:val="24"/>
              </w:rPr>
            </w:pPr>
            <w:r>
              <w:rPr>
                <w:sz w:val="24"/>
              </w:rPr>
              <w:t>安装在安全阀下方的截止阀未常开且未加铅封</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1244"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rPr>
                <w:rFonts w:ascii="Times New Roman"/>
                <w:sz w:val="24"/>
              </w:rPr>
            </w:pPr>
          </w:p>
          <w:p>
            <w:pPr>
              <w:pStyle w:val="TableParagraph"/>
              <w:spacing w:before="190"/>
              <w:ind w:left="179"/>
              <w:rPr>
                <w:sz w:val="24"/>
              </w:rPr>
            </w:pPr>
            <w:r>
              <w:rPr>
                <w:sz w:val="24"/>
              </w:rPr>
              <w:t>CBSB-RQ007</w:t>
            </w:r>
          </w:p>
        </w:tc>
        <w:tc>
          <w:tcPr>
            <w:tcW w:w="2693" w:type="dxa"/>
          </w:tcPr>
          <w:p>
            <w:pPr>
              <w:pStyle w:val="TableParagraph"/>
              <w:spacing w:line="242" w:lineRule="auto"/>
              <w:ind w:left="108" w:right="172"/>
              <w:jc w:val="both"/>
              <w:rPr>
                <w:sz w:val="24"/>
              </w:rPr>
            </w:pPr>
            <w:r>
              <w:rPr>
                <w:sz w:val="24"/>
              </w:rPr>
              <w:t>单独爆破片作为泻压装置时爆破片与容器间的截止阀未常开且未加铅</w:t>
            </w:r>
          </w:p>
          <w:p>
            <w:pPr>
              <w:pStyle w:val="TableParagraph"/>
              <w:spacing w:line="291" w:lineRule="exact" w:before="2"/>
              <w:ind w:left="108"/>
              <w:rPr>
                <w:sz w:val="24"/>
              </w:rPr>
            </w:pPr>
            <w:r>
              <w:rPr>
                <w:sz w:val="24"/>
              </w:rPr>
              <w:t>封</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1555"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rPr>
                <w:rFonts w:ascii="Times New Roman"/>
                <w:sz w:val="24"/>
              </w:rPr>
            </w:pPr>
          </w:p>
          <w:p>
            <w:pPr>
              <w:pStyle w:val="TableParagraph"/>
              <w:spacing w:before="1"/>
              <w:rPr>
                <w:rFonts w:ascii="Times New Roman"/>
                <w:sz w:val="30"/>
              </w:rPr>
            </w:pPr>
          </w:p>
          <w:p>
            <w:pPr>
              <w:pStyle w:val="TableParagraph"/>
              <w:ind w:left="179"/>
              <w:rPr>
                <w:sz w:val="24"/>
              </w:rPr>
            </w:pPr>
            <w:r>
              <w:rPr>
                <w:sz w:val="24"/>
              </w:rPr>
              <w:t>CBSB-RQ008</w:t>
            </w:r>
          </w:p>
        </w:tc>
        <w:tc>
          <w:tcPr>
            <w:tcW w:w="2693" w:type="dxa"/>
          </w:tcPr>
          <w:p>
            <w:pPr>
              <w:pStyle w:val="TableParagraph"/>
              <w:spacing w:line="242" w:lineRule="auto" w:before="1"/>
              <w:ind w:left="108" w:right="172"/>
              <w:jc w:val="both"/>
              <w:rPr>
                <w:sz w:val="24"/>
              </w:rPr>
            </w:pPr>
            <w:r>
              <w:rPr>
                <w:sz w:val="24"/>
              </w:rPr>
              <w:t>对于盛装易燃介质、毒性介质的压力容器，安全阀或爆破片的排放口未装设导管，且未将排</w:t>
            </w:r>
          </w:p>
          <w:p>
            <w:pPr>
              <w:pStyle w:val="TableParagraph"/>
              <w:spacing w:line="289" w:lineRule="exact" w:before="3"/>
              <w:ind w:left="108"/>
              <w:rPr>
                <w:sz w:val="24"/>
              </w:rPr>
            </w:pPr>
            <w:r>
              <w:rPr>
                <w:sz w:val="24"/>
              </w:rPr>
              <w:t>放介质引至安全地点</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622"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156"/>
              <w:ind w:left="179"/>
              <w:rPr>
                <w:sz w:val="24"/>
              </w:rPr>
            </w:pPr>
            <w:r>
              <w:rPr>
                <w:sz w:val="24"/>
              </w:rPr>
              <w:t>CBSB-RQ009</w:t>
            </w:r>
          </w:p>
        </w:tc>
        <w:tc>
          <w:tcPr>
            <w:tcW w:w="2693" w:type="dxa"/>
          </w:tcPr>
          <w:p>
            <w:pPr>
              <w:pStyle w:val="TableParagraph"/>
              <w:spacing w:line="310" w:lineRule="atLeast"/>
              <w:ind w:left="108" w:right="172"/>
              <w:rPr>
                <w:sz w:val="24"/>
              </w:rPr>
            </w:pPr>
            <w:r>
              <w:rPr>
                <w:sz w:val="24"/>
              </w:rPr>
              <w:t>快开门式压力容器的安全连锁装置不完好</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623"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157"/>
              <w:ind w:left="179"/>
              <w:rPr>
                <w:sz w:val="24"/>
              </w:rPr>
            </w:pPr>
            <w:r>
              <w:rPr>
                <w:sz w:val="24"/>
              </w:rPr>
              <w:t>CBSB-RQ010</w:t>
            </w:r>
          </w:p>
        </w:tc>
        <w:tc>
          <w:tcPr>
            <w:tcW w:w="2693" w:type="dxa"/>
          </w:tcPr>
          <w:p>
            <w:pPr>
              <w:pStyle w:val="TableParagraph"/>
              <w:spacing w:before="1"/>
              <w:ind w:left="108"/>
              <w:rPr>
                <w:sz w:val="24"/>
              </w:rPr>
            </w:pPr>
            <w:r>
              <w:rPr>
                <w:sz w:val="24"/>
              </w:rPr>
              <w:t>压力表封签损坏且超过</w:t>
            </w:r>
          </w:p>
          <w:p>
            <w:pPr>
              <w:pStyle w:val="TableParagraph"/>
              <w:spacing w:line="290" w:lineRule="exact" w:before="5"/>
              <w:ind w:left="108"/>
              <w:rPr>
                <w:sz w:val="24"/>
              </w:rPr>
            </w:pPr>
            <w:r>
              <w:rPr>
                <w:sz w:val="24"/>
              </w:rPr>
              <w:t>检定有效期限</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1245"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rPr>
                <w:rFonts w:ascii="Times New Roman"/>
                <w:sz w:val="24"/>
              </w:rPr>
            </w:pPr>
          </w:p>
          <w:p>
            <w:pPr>
              <w:pStyle w:val="TableParagraph"/>
              <w:spacing w:before="191"/>
              <w:ind w:left="179"/>
              <w:rPr>
                <w:sz w:val="24"/>
              </w:rPr>
            </w:pPr>
            <w:r>
              <w:rPr>
                <w:sz w:val="24"/>
              </w:rPr>
              <w:t>CBSB-RQ011</w:t>
            </w:r>
          </w:p>
        </w:tc>
        <w:tc>
          <w:tcPr>
            <w:tcW w:w="2693" w:type="dxa"/>
          </w:tcPr>
          <w:p>
            <w:pPr>
              <w:pStyle w:val="TableParagraph"/>
              <w:spacing w:line="242" w:lineRule="auto" w:before="2"/>
              <w:ind w:left="108" w:right="172"/>
              <w:jc w:val="both"/>
              <w:rPr>
                <w:sz w:val="24"/>
              </w:rPr>
            </w:pPr>
            <w:r>
              <w:rPr>
                <w:sz w:val="24"/>
              </w:rPr>
              <w:t>用于易燃或毒性程度为极度、高度危害介质的液位计上未装设防泄漏</w:t>
            </w:r>
          </w:p>
          <w:p>
            <w:pPr>
              <w:pStyle w:val="TableParagraph"/>
              <w:spacing w:line="291" w:lineRule="exact"/>
              <w:ind w:left="108"/>
              <w:rPr>
                <w:sz w:val="24"/>
              </w:rPr>
            </w:pPr>
            <w:r>
              <w:rPr>
                <w:sz w:val="24"/>
              </w:rPr>
              <w:t>的保护装置</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622" w:hRule="atLeast"/>
        </w:trPr>
        <w:tc>
          <w:tcPr>
            <w:tcW w:w="1101" w:type="dxa"/>
            <w:vMerge/>
            <w:tcBorders>
              <w:top w:val="nil"/>
            </w:tcBorders>
          </w:tcPr>
          <w:p>
            <w:pPr>
              <w:rPr>
                <w:sz w:val="2"/>
                <w:szCs w:val="2"/>
              </w:rPr>
            </w:pPr>
          </w:p>
        </w:tc>
        <w:tc>
          <w:tcPr>
            <w:tcW w:w="1134" w:type="dxa"/>
            <w:vMerge w:val="restart"/>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line="242" w:lineRule="auto" w:before="139"/>
              <w:ind w:left="447" w:right="194" w:hanging="240"/>
              <w:rPr>
                <w:sz w:val="24"/>
              </w:rPr>
            </w:pPr>
            <w:r>
              <w:rPr>
                <w:sz w:val="24"/>
              </w:rPr>
              <w:t>起重设备</w:t>
            </w:r>
          </w:p>
        </w:tc>
        <w:tc>
          <w:tcPr>
            <w:tcW w:w="1559" w:type="dxa"/>
          </w:tcPr>
          <w:p>
            <w:pPr>
              <w:pStyle w:val="TableParagraph"/>
              <w:spacing w:before="155"/>
              <w:ind w:left="179"/>
              <w:rPr>
                <w:sz w:val="24"/>
              </w:rPr>
            </w:pPr>
            <w:r>
              <w:rPr>
                <w:sz w:val="24"/>
              </w:rPr>
              <w:t>CBSB-QZ001</w:t>
            </w:r>
          </w:p>
        </w:tc>
        <w:tc>
          <w:tcPr>
            <w:tcW w:w="2693" w:type="dxa"/>
          </w:tcPr>
          <w:p>
            <w:pPr>
              <w:pStyle w:val="TableParagraph"/>
              <w:spacing w:line="310" w:lineRule="atLeast"/>
              <w:ind w:left="108" w:right="172"/>
              <w:rPr>
                <w:sz w:val="24"/>
              </w:rPr>
            </w:pPr>
            <w:r>
              <w:rPr>
                <w:sz w:val="24"/>
              </w:rPr>
              <w:t>起重设备未办理使用登记</w:t>
            </w:r>
          </w:p>
        </w:tc>
        <w:tc>
          <w:tcPr>
            <w:tcW w:w="1488" w:type="dxa"/>
            <w:vMerge w:val="restart"/>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7"/>
              <w:rPr>
                <w:rFonts w:ascii="Times New Roman"/>
                <w:sz w:val="25"/>
              </w:rPr>
            </w:pPr>
          </w:p>
          <w:p>
            <w:pPr>
              <w:pStyle w:val="TableParagraph"/>
              <w:ind w:left="108"/>
              <w:rPr>
                <w:sz w:val="24"/>
              </w:rPr>
            </w:pPr>
            <w:r>
              <w:rPr>
                <w:sz w:val="24"/>
              </w:rPr>
              <w:t>CB 4288</w:t>
            </w:r>
          </w:p>
        </w:tc>
        <w:tc>
          <w:tcPr>
            <w:tcW w:w="1595" w:type="dxa"/>
            <w:vMerge w:val="restart"/>
          </w:tcPr>
          <w:p>
            <w:pPr>
              <w:pStyle w:val="TableParagraph"/>
              <w:rPr>
                <w:rFonts w:ascii="Times New Roman"/>
                <w:sz w:val="24"/>
              </w:rPr>
            </w:pPr>
          </w:p>
          <w:p>
            <w:pPr>
              <w:pStyle w:val="TableParagraph"/>
              <w:spacing w:before="10"/>
              <w:rPr>
                <w:rFonts w:ascii="Times New Roman"/>
                <w:sz w:val="26"/>
              </w:rPr>
            </w:pPr>
          </w:p>
          <w:p>
            <w:pPr>
              <w:pStyle w:val="TableParagraph"/>
              <w:spacing w:line="242" w:lineRule="auto"/>
              <w:ind w:left="108" w:right="34" w:hanging="63"/>
              <w:jc w:val="center"/>
              <w:rPr>
                <w:sz w:val="24"/>
              </w:rPr>
            </w:pPr>
            <w:r>
              <w:rPr>
                <w:sz w:val="24"/>
              </w:rPr>
              <w:t>同一次隐患 </w:t>
            </w:r>
            <w:r>
              <w:rPr>
                <w:spacing w:val="-3"/>
                <w:sz w:val="24"/>
              </w:rPr>
              <w:t>排查过程中， </w:t>
            </w:r>
            <w:r>
              <w:rPr>
                <w:sz w:val="24"/>
              </w:rPr>
              <w:t>企业发现任 意三项隐患 </w:t>
            </w:r>
            <w:r>
              <w:rPr>
                <w:spacing w:val="-11"/>
                <w:sz w:val="24"/>
              </w:rPr>
              <w:t>内容的，判定为重大生产 安全事故隐 患</w:t>
            </w:r>
          </w:p>
        </w:tc>
      </w:tr>
      <w:tr>
        <w:trPr>
          <w:trHeight w:val="272"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line="253" w:lineRule="exact"/>
              <w:ind w:left="253"/>
              <w:rPr>
                <w:sz w:val="21"/>
              </w:rPr>
            </w:pPr>
            <w:r>
              <w:rPr>
                <w:sz w:val="21"/>
              </w:rPr>
              <w:t>CBSB-QZ002</w:t>
            </w:r>
          </w:p>
        </w:tc>
        <w:tc>
          <w:tcPr>
            <w:tcW w:w="2693" w:type="dxa"/>
          </w:tcPr>
          <w:p>
            <w:pPr>
              <w:pStyle w:val="TableParagraph"/>
              <w:spacing w:line="253" w:lineRule="exact"/>
              <w:ind w:left="108"/>
              <w:rPr>
                <w:sz w:val="21"/>
              </w:rPr>
            </w:pPr>
            <w:r>
              <w:rPr>
                <w:sz w:val="21"/>
              </w:rPr>
              <w:t>起重设备未定期检验</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1088"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rPr>
                <w:rFonts w:ascii="Times New Roman"/>
                <w:sz w:val="20"/>
              </w:rPr>
            </w:pPr>
          </w:p>
          <w:p>
            <w:pPr>
              <w:pStyle w:val="TableParagraph"/>
              <w:spacing w:before="178"/>
              <w:ind w:left="253"/>
              <w:rPr>
                <w:sz w:val="21"/>
              </w:rPr>
            </w:pPr>
            <w:r>
              <w:rPr>
                <w:sz w:val="21"/>
              </w:rPr>
              <w:t>CBSB-QZ003</w:t>
            </w:r>
          </w:p>
        </w:tc>
        <w:tc>
          <w:tcPr>
            <w:tcW w:w="2693" w:type="dxa"/>
          </w:tcPr>
          <w:p>
            <w:pPr>
              <w:pStyle w:val="TableParagraph"/>
              <w:spacing w:line="242" w:lineRule="auto"/>
              <w:ind w:left="108" w:right="97"/>
              <w:rPr>
                <w:sz w:val="21"/>
              </w:rPr>
            </w:pPr>
            <w:r>
              <w:rPr>
                <w:sz w:val="21"/>
              </w:rPr>
              <w:t>起重设备未根据需要设置</w:t>
            </w:r>
            <w:r>
              <w:rPr>
                <w:spacing w:val="-7"/>
                <w:sz w:val="21"/>
              </w:rPr>
              <w:t>起升高度限位器、运行行程</w:t>
            </w:r>
            <w:r>
              <w:rPr>
                <w:spacing w:val="-8"/>
                <w:sz w:val="21"/>
              </w:rPr>
              <w:t>限位器、幅度限位器、幅度</w:t>
            </w:r>
          </w:p>
          <w:p>
            <w:pPr>
              <w:pStyle w:val="TableParagraph"/>
              <w:spacing w:line="253" w:lineRule="exact" w:before="1"/>
              <w:ind w:left="108"/>
              <w:rPr>
                <w:sz w:val="21"/>
              </w:rPr>
            </w:pPr>
            <w:r>
              <w:rPr>
                <w:sz w:val="21"/>
              </w:rPr>
              <w:t>指示器</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817"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7"/>
              <w:rPr>
                <w:rFonts w:ascii="Times New Roman"/>
                <w:sz w:val="23"/>
              </w:rPr>
            </w:pPr>
          </w:p>
          <w:p>
            <w:pPr>
              <w:pStyle w:val="TableParagraph"/>
              <w:ind w:left="253"/>
              <w:rPr>
                <w:sz w:val="21"/>
              </w:rPr>
            </w:pPr>
            <w:r>
              <w:rPr>
                <w:sz w:val="21"/>
              </w:rPr>
              <w:t>CBSB-QZ004</w:t>
            </w:r>
          </w:p>
        </w:tc>
        <w:tc>
          <w:tcPr>
            <w:tcW w:w="2693" w:type="dxa"/>
          </w:tcPr>
          <w:p>
            <w:pPr>
              <w:pStyle w:val="TableParagraph"/>
              <w:ind w:left="108"/>
              <w:rPr>
                <w:sz w:val="21"/>
              </w:rPr>
            </w:pPr>
            <w:r>
              <w:rPr>
                <w:sz w:val="21"/>
              </w:rPr>
              <w:t>起重设备未根据需要设置</w:t>
            </w:r>
          </w:p>
          <w:p>
            <w:pPr>
              <w:pStyle w:val="TableParagraph"/>
              <w:spacing w:line="270" w:lineRule="atLeast" w:before="1"/>
              <w:ind w:left="108" w:right="36"/>
              <w:rPr>
                <w:sz w:val="21"/>
              </w:rPr>
            </w:pPr>
            <w:r>
              <w:rPr>
                <w:sz w:val="21"/>
              </w:rPr>
              <w:t>起重限制器、起重力矩限制器、极限力矩限制装置</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r>
        <w:trPr>
          <w:trHeight w:val="815"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8"/>
              <w:rPr>
                <w:rFonts w:ascii="Times New Roman"/>
                <w:sz w:val="23"/>
              </w:rPr>
            </w:pPr>
          </w:p>
          <w:p>
            <w:pPr>
              <w:pStyle w:val="TableParagraph"/>
              <w:ind w:left="253"/>
              <w:rPr>
                <w:sz w:val="21"/>
              </w:rPr>
            </w:pPr>
            <w:r>
              <w:rPr>
                <w:sz w:val="21"/>
              </w:rPr>
              <w:t>CBSB-QZ005</w:t>
            </w:r>
          </w:p>
        </w:tc>
        <w:tc>
          <w:tcPr>
            <w:tcW w:w="2693" w:type="dxa"/>
          </w:tcPr>
          <w:p>
            <w:pPr>
              <w:pStyle w:val="TableParagraph"/>
              <w:spacing w:before="1"/>
              <w:ind w:left="108"/>
              <w:rPr>
                <w:sz w:val="21"/>
              </w:rPr>
            </w:pPr>
            <w:r>
              <w:rPr>
                <w:sz w:val="21"/>
              </w:rPr>
              <w:t>户外起重设备未根据需要</w:t>
            </w:r>
          </w:p>
          <w:p>
            <w:pPr>
              <w:pStyle w:val="TableParagraph"/>
              <w:spacing w:line="270" w:lineRule="atLeast" w:before="1"/>
              <w:ind w:left="108" w:right="263"/>
              <w:rPr>
                <w:sz w:val="21"/>
              </w:rPr>
            </w:pPr>
            <w:r>
              <w:rPr>
                <w:sz w:val="21"/>
              </w:rPr>
              <w:t>设置防倾翻和抗风防滑装置</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bl>
    <w:p>
      <w:pPr>
        <w:spacing w:after="0"/>
        <w:rPr>
          <w:sz w:val="2"/>
          <w:szCs w:val="2"/>
        </w:rPr>
        <w:sectPr>
          <w:pgSz w:w="11910" w:h="16840"/>
          <w:pgMar w:header="0" w:footer="1039" w:top="1580" w:bottom="1220" w:left="1060" w:right="860"/>
        </w:sectPr>
      </w:pPr>
    </w:p>
    <w:p>
      <w:pPr>
        <w:pStyle w:val="BodyText"/>
        <w:spacing w:before="8"/>
        <w:ind w:left="0"/>
        <w:rPr>
          <w:rFonts w:ascii="Times New Roman"/>
          <w:sz w:val="28"/>
        </w:rPr>
      </w:pPr>
    </w:p>
    <w:tbl>
      <w:tblPr>
        <w:tblW w:w="0" w:type="auto"/>
        <w:jc w:val="left"/>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1"/>
        <w:gridCol w:w="1134"/>
        <w:gridCol w:w="1559"/>
        <w:gridCol w:w="2693"/>
        <w:gridCol w:w="1488"/>
        <w:gridCol w:w="1595"/>
      </w:tblGrid>
      <w:tr>
        <w:trPr>
          <w:trHeight w:val="545" w:hRule="atLeast"/>
        </w:trPr>
        <w:tc>
          <w:tcPr>
            <w:tcW w:w="1101" w:type="dxa"/>
            <w:vMerge w:val="restart"/>
          </w:tcPr>
          <w:p>
            <w:pPr>
              <w:pStyle w:val="TableParagraph"/>
              <w:rPr>
                <w:rFonts w:ascii="Times New Roman"/>
                <w:sz w:val="24"/>
              </w:rPr>
            </w:pPr>
          </w:p>
        </w:tc>
        <w:tc>
          <w:tcPr>
            <w:tcW w:w="1134" w:type="dxa"/>
            <w:vMerge w:val="restart"/>
          </w:tcPr>
          <w:p>
            <w:pPr>
              <w:pStyle w:val="TableParagraph"/>
              <w:rPr>
                <w:rFonts w:ascii="Times New Roman"/>
                <w:sz w:val="24"/>
              </w:rPr>
            </w:pPr>
          </w:p>
        </w:tc>
        <w:tc>
          <w:tcPr>
            <w:tcW w:w="1559" w:type="dxa"/>
          </w:tcPr>
          <w:p>
            <w:pPr>
              <w:pStyle w:val="TableParagraph"/>
              <w:spacing w:before="135"/>
              <w:ind w:left="128" w:right="119"/>
              <w:jc w:val="center"/>
              <w:rPr>
                <w:sz w:val="21"/>
              </w:rPr>
            </w:pPr>
            <w:r>
              <w:rPr>
                <w:sz w:val="21"/>
              </w:rPr>
              <w:t>CBSB-QZ006</w:t>
            </w:r>
          </w:p>
        </w:tc>
        <w:tc>
          <w:tcPr>
            <w:tcW w:w="2693" w:type="dxa"/>
          </w:tcPr>
          <w:p>
            <w:pPr>
              <w:pStyle w:val="TableParagraph"/>
              <w:spacing w:before="1"/>
              <w:ind w:left="108"/>
              <w:rPr>
                <w:sz w:val="21"/>
              </w:rPr>
            </w:pPr>
            <w:r>
              <w:rPr>
                <w:sz w:val="21"/>
              </w:rPr>
              <w:t>起重设备未设连锁保护安</w:t>
            </w:r>
          </w:p>
          <w:p>
            <w:pPr>
              <w:pStyle w:val="TableParagraph"/>
              <w:spacing w:line="253" w:lineRule="exact" w:before="2"/>
              <w:ind w:left="108"/>
              <w:rPr>
                <w:sz w:val="21"/>
              </w:rPr>
            </w:pPr>
            <w:r>
              <w:rPr>
                <w:sz w:val="21"/>
              </w:rPr>
              <w:t>全装置</w:t>
            </w:r>
          </w:p>
        </w:tc>
        <w:tc>
          <w:tcPr>
            <w:tcW w:w="1488" w:type="dxa"/>
            <w:vMerge w:val="restart"/>
          </w:tcPr>
          <w:p>
            <w:pPr>
              <w:pStyle w:val="TableParagraph"/>
              <w:rPr>
                <w:rFonts w:ascii="Times New Roman"/>
                <w:sz w:val="24"/>
              </w:rPr>
            </w:pPr>
          </w:p>
        </w:tc>
        <w:tc>
          <w:tcPr>
            <w:tcW w:w="1595" w:type="dxa"/>
            <w:vMerge w:val="restart"/>
          </w:tcPr>
          <w:p>
            <w:pPr>
              <w:pStyle w:val="TableParagraph"/>
              <w:rPr>
                <w:rFonts w:ascii="Times New Roman"/>
                <w:sz w:val="24"/>
              </w:rPr>
            </w:pPr>
          </w:p>
        </w:tc>
      </w:tr>
      <w:tr>
        <w:trPr>
          <w:trHeight w:val="544"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135"/>
              <w:ind w:left="128" w:right="119"/>
              <w:jc w:val="center"/>
              <w:rPr>
                <w:sz w:val="21"/>
              </w:rPr>
            </w:pPr>
            <w:r>
              <w:rPr>
                <w:sz w:val="21"/>
              </w:rPr>
              <w:t>CBSB-QZ007</w:t>
            </w:r>
          </w:p>
        </w:tc>
        <w:tc>
          <w:tcPr>
            <w:tcW w:w="2693" w:type="dxa"/>
          </w:tcPr>
          <w:p>
            <w:pPr>
              <w:pStyle w:val="TableParagraph"/>
              <w:ind w:left="108"/>
              <w:rPr>
                <w:sz w:val="21"/>
              </w:rPr>
            </w:pPr>
            <w:r>
              <w:rPr>
                <w:sz w:val="21"/>
              </w:rPr>
              <w:t>起重设备主要受力构件变</w:t>
            </w:r>
          </w:p>
          <w:p>
            <w:pPr>
              <w:pStyle w:val="TableParagraph"/>
              <w:spacing w:line="252" w:lineRule="exact" w:before="2"/>
              <w:ind w:left="108"/>
              <w:rPr>
                <w:sz w:val="21"/>
              </w:rPr>
            </w:pPr>
            <w:r>
              <w:rPr>
                <w:sz w:val="21"/>
              </w:rPr>
              <w:t>形、损坏</w:t>
            </w:r>
          </w:p>
        </w:tc>
        <w:tc>
          <w:tcPr>
            <w:tcW w:w="1488" w:type="dxa"/>
            <w:vMerge/>
            <w:tcBorders>
              <w:top w:val="nil"/>
            </w:tcBorders>
          </w:tcPr>
          <w:p>
            <w:pPr>
              <w:rPr>
                <w:sz w:val="2"/>
                <w:szCs w:val="2"/>
              </w:rPr>
            </w:pPr>
          </w:p>
        </w:tc>
        <w:tc>
          <w:tcPr>
            <w:tcW w:w="1595" w:type="dxa"/>
            <w:vMerge/>
            <w:tcBorders>
              <w:top w:val="nil"/>
            </w:tcBorders>
          </w:tcPr>
          <w:p>
            <w:pPr>
              <w:rPr>
                <w:sz w:val="2"/>
                <w:szCs w:val="2"/>
              </w:rPr>
            </w:pPr>
          </w:p>
        </w:tc>
      </w:tr>
    </w:tbl>
    <w:p>
      <w:pPr>
        <w:pStyle w:val="Heading3"/>
        <w:numPr>
          <w:ilvl w:val="1"/>
          <w:numId w:val="34"/>
        </w:numPr>
        <w:tabs>
          <w:tab w:pos="1002" w:val="left" w:leader="none"/>
        </w:tabs>
        <w:spacing w:line="240" w:lineRule="auto" w:before="18" w:after="0"/>
        <w:ind w:left="1001" w:right="0" w:hanging="644"/>
        <w:jc w:val="left"/>
      </w:pPr>
      <w:r>
        <w:rPr/>
        <w:t>船舶行业明火作业重大生产安全事故隐患综合判定标准</w:t>
      </w:r>
    </w:p>
    <w:p>
      <w:pPr>
        <w:pStyle w:val="BodyText"/>
        <w:spacing w:before="57"/>
        <w:ind w:left="996"/>
      </w:pPr>
      <w:r>
        <w:rPr/>
        <w:t>船舶行业明火作业重大生产安全事故隐患综合判定标准见表5。</w:t>
      </w:r>
    </w:p>
    <w:p>
      <w:pPr>
        <w:tabs>
          <w:tab w:pos="685" w:val="left" w:leader="none"/>
        </w:tabs>
        <w:spacing w:before="23"/>
        <w:ind w:left="86" w:right="0" w:firstLine="0"/>
        <w:jc w:val="center"/>
        <w:rPr>
          <w:sz w:val="24"/>
        </w:rPr>
      </w:pPr>
      <w:r>
        <w:rPr>
          <w:sz w:val="24"/>
        </w:rPr>
        <w:t>表5</w:t>
        <w:tab/>
        <w:t>船舶行业明火作业重大生产安全事故隐患综合判定标准</w:t>
      </w:r>
    </w:p>
    <w:p>
      <w:pPr>
        <w:pStyle w:val="BodyText"/>
        <w:spacing w:before="8"/>
        <w:ind w:left="0"/>
        <w:rPr>
          <w:sz w:val="9"/>
        </w:rPr>
      </w:pPr>
    </w:p>
    <w:tbl>
      <w:tblPr>
        <w:tblW w:w="0" w:type="auto"/>
        <w:jc w:val="left"/>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1"/>
        <w:gridCol w:w="1134"/>
        <w:gridCol w:w="1559"/>
        <w:gridCol w:w="2693"/>
        <w:gridCol w:w="992"/>
        <w:gridCol w:w="2091"/>
      </w:tblGrid>
      <w:tr>
        <w:trPr>
          <w:trHeight w:val="622" w:hRule="atLeast"/>
        </w:trPr>
        <w:tc>
          <w:tcPr>
            <w:tcW w:w="1101" w:type="dxa"/>
          </w:tcPr>
          <w:p>
            <w:pPr>
              <w:pStyle w:val="TableParagraph"/>
              <w:spacing w:before="1"/>
              <w:ind w:left="169" w:right="161"/>
              <w:jc w:val="center"/>
              <w:rPr>
                <w:sz w:val="24"/>
              </w:rPr>
            </w:pPr>
            <w:r>
              <w:rPr>
                <w:sz w:val="24"/>
              </w:rPr>
              <w:t>隐患项</w:t>
            </w:r>
          </w:p>
          <w:p>
            <w:pPr>
              <w:pStyle w:val="TableParagraph"/>
              <w:spacing w:line="289" w:lineRule="exact" w:before="4"/>
              <w:ind w:left="8"/>
              <w:jc w:val="center"/>
              <w:rPr>
                <w:sz w:val="24"/>
              </w:rPr>
            </w:pPr>
            <w:r>
              <w:rPr>
                <w:sz w:val="24"/>
              </w:rPr>
              <w:t>目</w:t>
            </w:r>
          </w:p>
        </w:tc>
        <w:tc>
          <w:tcPr>
            <w:tcW w:w="1134" w:type="dxa"/>
          </w:tcPr>
          <w:p>
            <w:pPr>
              <w:pStyle w:val="TableParagraph"/>
              <w:spacing w:before="1"/>
              <w:ind w:left="187" w:right="177"/>
              <w:jc w:val="center"/>
              <w:rPr>
                <w:sz w:val="24"/>
              </w:rPr>
            </w:pPr>
            <w:r>
              <w:rPr>
                <w:sz w:val="24"/>
              </w:rPr>
              <w:t>隐患类</w:t>
            </w:r>
          </w:p>
          <w:p>
            <w:pPr>
              <w:pStyle w:val="TableParagraph"/>
              <w:spacing w:line="289" w:lineRule="exact" w:before="4"/>
              <w:ind w:left="10"/>
              <w:jc w:val="center"/>
              <w:rPr>
                <w:sz w:val="24"/>
              </w:rPr>
            </w:pPr>
            <w:r>
              <w:rPr>
                <w:sz w:val="24"/>
              </w:rPr>
              <w:t>别</w:t>
            </w:r>
          </w:p>
        </w:tc>
        <w:tc>
          <w:tcPr>
            <w:tcW w:w="1559" w:type="dxa"/>
          </w:tcPr>
          <w:p>
            <w:pPr>
              <w:pStyle w:val="TableParagraph"/>
              <w:spacing w:before="157"/>
              <w:ind w:left="128" w:right="118"/>
              <w:jc w:val="center"/>
              <w:rPr>
                <w:sz w:val="24"/>
              </w:rPr>
            </w:pPr>
            <w:r>
              <w:rPr>
                <w:sz w:val="24"/>
              </w:rPr>
              <w:t>隐患编号</w:t>
            </w:r>
          </w:p>
        </w:tc>
        <w:tc>
          <w:tcPr>
            <w:tcW w:w="2693" w:type="dxa"/>
          </w:tcPr>
          <w:p>
            <w:pPr>
              <w:pStyle w:val="TableParagraph"/>
              <w:spacing w:before="157"/>
              <w:ind w:left="864"/>
              <w:rPr>
                <w:sz w:val="24"/>
              </w:rPr>
            </w:pPr>
            <w:r>
              <w:rPr>
                <w:sz w:val="24"/>
              </w:rPr>
              <w:t>隐患内容</w:t>
            </w:r>
          </w:p>
        </w:tc>
        <w:tc>
          <w:tcPr>
            <w:tcW w:w="992" w:type="dxa"/>
          </w:tcPr>
          <w:p>
            <w:pPr>
              <w:pStyle w:val="TableParagraph"/>
              <w:spacing w:before="157"/>
              <w:ind w:left="254"/>
              <w:rPr>
                <w:sz w:val="24"/>
              </w:rPr>
            </w:pPr>
            <w:r>
              <w:rPr>
                <w:sz w:val="24"/>
              </w:rPr>
              <w:t>参考</w:t>
            </w:r>
          </w:p>
        </w:tc>
        <w:tc>
          <w:tcPr>
            <w:tcW w:w="2091" w:type="dxa"/>
          </w:tcPr>
          <w:p>
            <w:pPr>
              <w:pStyle w:val="TableParagraph"/>
              <w:spacing w:before="1"/>
              <w:ind w:left="183" w:right="177"/>
              <w:jc w:val="center"/>
              <w:rPr>
                <w:sz w:val="24"/>
              </w:rPr>
            </w:pPr>
            <w:r>
              <w:rPr>
                <w:sz w:val="24"/>
              </w:rPr>
              <w:t>重大生产安全事</w:t>
            </w:r>
          </w:p>
          <w:p>
            <w:pPr>
              <w:pStyle w:val="TableParagraph"/>
              <w:spacing w:line="289" w:lineRule="exact" w:before="4"/>
              <w:ind w:left="183" w:right="177"/>
              <w:jc w:val="center"/>
              <w:rPr>
                <w:sz w:val="24"/>
              </w:rPr>
            </w:pPr>
            <w:r>
              <w:rPr>
                <w:sz w:val="24"/>
              </w:rPr>
              <w:t>故隐患判据</w:t>
            </w:r>
          </w:p>
        </w:tc>
      </w:tr>
      <w:tr>
        <w:trPr>
          <w:trHeight w:val="622" w:hRule="atLeast"/>
        </w:trPr>
        <w:tc>
          <w:tcPr>
            <w:tcW w:w="1101" w:type="dxa"/>
            <w:vMerge w:val="restart"/>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2"/>
              </w:rPr>
            </w:pPr>
          </w:p>
          <w:p>
            <w:pPr>
              <w:pStyle w:val="TableParagraph"/>
              <w:spacing w:line="242" w:lineRule="auto"/>
              <w:ind w:left="429" w:right="179" w:hanging="240"/>
              <w:rPr>
                <w:sz w:val="24"/>
              </w:rPr>
            </w:pPr>
            <w:r>
              <w:rPr>
                <w:sz w:val="24"/>
              </w:rPr>
              <w:t>明火作业</w:t>
            </w:r>
          </w:p>
        </w:tc>
        <w:tc>
          <w:tcPr>
            <w:tcW w:w="1134" w:type="dxa"/>
            <w:vMerge w:val="restart"/>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line="242" w:lineRule="auto" w:before="200"/>
              <w:ind w:left="447" w:right="194" w:hanging="240"/>
              <w:rPr>
                <w:sz w:val="24"/>
              </w:rPr>
            </w:pPr>
            <w:r>
              <w:rPr>
                <w:sz w:val="24"/>
              </w:rPr>
              <w:t>基本条件</w:t>
            </w:r>
          </w:p>
        </w:tc>
        <w:tc>
          <w:tcPr>
            <w:tcW w:w="1559" w:type="dxa"/>
          </w:tcPr>
          <w:p>
            <w:pPr>
              <w:pStyle w:val="TableParagraph"/>
              <w:spacing w:before="156"/>
              <w:ind w:left="128" w:right="118"/>
              <w:jc w:val="center"/>
              <w:rPr>
                <w:sz w:val="24"/>
              </w:rPr>
            </w:pPr>
            <w:r>
              <w:rPr>
                <w:sz w:val="24"/>
              </w:rPr>
              <w:t>CBMH-JB001</w:t>
            </w:r>
          </w:p>
        </w:tc>
        <w:tc>
          <w:tcPr>
            <w:tcW w:w="2693" w:type="dxa"/>
          </w:tcPr>
          <w:p>
            <w:pPr>
              <w:pStyle w:val="TableParagraph"/>
              <w:spacing w:line="310" w:lineRule="atLeast"/>
              <w:ind w:left="108" w:right="172"/>
              <w:rPr>
                <w:sz w:val="24"/>
              </w:rPr>
            </w:pPr>
            <w:r>
              <w:rPr>
                <w:sz w:val="24"/>
              </w:rPr>
              <w:t>未办理危险作业许可审批手续</w:t>
            </w:r>
          </w:p>
        </w:tc>
        <w:tc>
          <w:tcPr>
            <w:tcW w:w="992" w:type="dxa"/>
            <w:vMerge w:val="restart"/>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2"/>
              </w:rPr>
            </w:pPr>
          </w:p>
          <w:p>
            <w:pPr>
              <w:pStyle w:val="TableParagraph"/>
              <w:spacing w:line="242" w:lineRule="auto"/>
              <w:ind w:left="108" w:right="374"/>
              <w:rPr>
                <w:sz w:val="24"/>
              </w:rPr>
            </w:pPr>
            <w:r>
              <w:rPr>
                <w:sz w:val="24"/>
              </w:rPr>
              <w:t>CB 4270</w:t>
            </w:r>
          </w:p>
        </w:tc>
        <w:tc>
          <w:tcPr>
            <w:tcW w:w="2091" w:type="dxa"/>
            <w:vMerge w:val="restart"/>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17"/>
              </w:rPr>
            </w:pPr>
          </w:p>
          <w:p>
            <w:pPr>
              <w:pStyle w:val="TableParagraph"/>
              <w:numPr>
                <w:ilvl w:val="0"/>
                <w:numId w:val="39"/>
              </w:numPr>
              <w:tabs>
                <w:tab w:pos="379" w:val="left" w:leader="none"/>
              </w:tabs>
              <w:spacing w:line="242" w:lineRule="auto" w:before="0" w:after="0"/>
              <w:ind w:left="107" w:right="51" w:firstLine="0"/>
              <w:jc w:val="both"/>
              <w:rPr>
                <w:sz w:val="24"/>
              </w:rPr>
            </w:pPr>
            <w:r>
              <w:rPr>
                <w:spacing w:val="25"/>
                <w:sz w:val="24"/>
              </w:rPr>
              <w:t>同一次隐患排</w:t>
            </w:r>
            <w:r>
              <w:rPr>
                <w:spacing w:val="5"/>
                <w:sz w:val="24"/>
              </w:rPr>
              <w:t>查过程中，同一作</w:t>
            </w:r>
            <w:r>
              <w:rPr>
                <w:spacing w:val="26"/>
                <w:sz w:val="24"/>
              </w:rPr>
              <w:t>业现场发现任意</w:t>
            </w:r>
            <w:r>
              <w:rPr>
                <w:spacing w:val="7"/>
                <w:sz w:val="24"/>
              </w:rPr>
              <w:t>一项基本条件+任</w:t>
            </w:r>
            <w:r>
              <w:rPr>
                <w:spacing w:val="26"/>
                <w:sz w:val="24"/>
              </w:rPr>
              <w:t>意两项隐患内容</w:t>
            </w:r>
            <w:r>
              <w:rPr>
                <w:spacing w:val="-5"/>
                <w:sz w:val="24"/>
              </w:rPr>
              <w:t>的，判定为重大生</w:t>
            </w:r>
            <w:r>
              <w:rPr>
                <w:spacing w:val="-7"/>
                <w:sz w:val="24"/>
              </w:rPr>
              <w:t>产安全事故隐患；</w:t>
            </w:r>
          </w:p>
          <w:p>
            <w:pPr>
              <w:pStyle w:val="TableParagraph"/>
              <w:numPr>
                <w:ilvl w:val="0"/>
                <w:numId w:val="39"/>
              </w:numPr>
              <w:tabs>
                <w:tab w:pos="379" w:val="left" w:leader="none"/>
              </w:tabs>
              <w:spacing w:line="242" w:lineRule="auto" w:before="6" w:after="0"/>
              <w:ind w:left="107" w:right="97" w:firstLine="0"/>
              <w:jc w:val="both"/>
              <w:rPr>
                <w:sz w:val="24"/>
              </w:rPr>
            </w:pPr>
            <w:r>
              <w:rPr>
                <w:spacing w:val="23"/>
                <w:sz w:val="24"/>
              </w:rPr>
              <w:t>同一次隐患排</w:t>
            </w:r>
            <w:r>
              <w:rPr>
                <w:spacing w:val="-10"/>
                <w:sz w:val="24"/>
              </w:rPr>
              <w:t>查过程中，不同作</w:t>
            </w:r>
            <w:r>
              <w:rPr>
                <w:spacing w:val="24"/>
                <w:sz w:val="24"/>
              </w:rPr>
              <w:t>业现场累计发现任意两项基本条</w:t>
            </w:r>
            <w:r>
              <w:rPr>
                <w:spacing w:val="-10"/>
                <w:sz w:val="24"/>
              </w:rPr>
              <w:t>件的，判定为重大</w:t>
            </w:r>
            <w:r>
              <w:rPr>
                <w:spacing w:val="24"/>
                <w:sz w:val="24"/>
              </w:rPr>
              <w:t>生产安全事故隐</w:t>
            </w:r>
            <w:r>
              <w:rPr>
                <w:sz w:val="24"/>
              </w:rPr>
              <w:t>患；</w:t>
            </w:r>
          </w:p>
          <w:p>
            <w:pPr>
              <w:pStyle w:val="TableParagraph"/>
              <w:numPr>
                <w:ilvl w:val="0"/>
                <w:numId w:val="39"/>
              </w:numPr>
              <w:tabs>
                <w:tab w:pos="379" w:val="left" w:leader="none"/>
              </w:tabs>
              <w:spacing w:line="242" w:lineRule="auto" w:before="5" w:after="0"/>
              <w:ind w:left="107" w:right="97" w:firstLine="0"/>
              <w:jc w:val="both"/>
              <w:rPr>
                <w:sz w:val="24"/>
              </w:rPr>
            </w:pPr>
            <w:r>
              <w:rPr>
                <w:spacing w:val="23"/>
                <w:sz w:val="24"/>
              </w:rPr>
              <w:t>同一次隐患排</w:t>
            </w:r>
            <w:r>
              <w:rPr>
                <w:spacing w:val="-10"/>
                <w:sz w:val="24"/>
              </w:rPr>
              <w:t>查过程中，不同作</w:t>
            </w:r>
            <w:r>
              <w:rPr>
                <w:spacing w:val="24"/>
                <w:sz w:val="24"/>
              </w:rPr>
              <w:t>业现场累计发现任意四项隐患内</w:t>
            </w:r>
            <w:r>
              <w:rPr>
                <w:spacing w:val="-10"/>
                <w:sz w:val="24"/>
              </w:rPr>
              <w:t>容的，判定为重大</w:t>
            </w:r>
            <w:r>
              <w:rPr>
                <w:spacing w:val="24"/>
                <w:sz w:val="24"/>
              </w:rPr>
              <w:t>生产安全事故隐</w:t>
            </w:r>
            <w:r>
              <w:rPr>
                <w:sz w:val="24"/>
              </w:rPr>
              <w:t>患</w:t>
            </w:r>
          </w:p>
        </w:tc>
      </w:tr>
      <w:tr>
        <w:trPr>
          <w:trHeight w:val="622"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157"/>
              <w:ind w:left="128" w:right="118"/>
              <w:jc w:val="center"/>
              <w:rPr>
                <w:sz w:val="24"/>
              </w:rPr>
            </w:pPr>
            <w:r>
              <w:rPr>
                <w:sz w:val="24"/>
              </w:rPr>
              <w:t>CBMH-JB002</w:t>
            </w:r>
          </w:p>
        </w:tc>
        <w:tc>
          <w:tcPr>
            <w:tcW w:w="2693" w:type="dxa"/>
          </w:tcPr>
          <w:p>
            <w:pPr>
              <w:pStyle w:val="TableParagraph"/>
              <w:spacing w:before="1"/>
              <w:ind w:left="108"/>
              <w:rPr>
                <w:sz w:val="24"/>
              </w:rPr>
            </w:pPr>
            <w:r>
              <w:rPr>
                <w:sz w:val="24"/>
              </w:rPr>
              <w:t>重点部位明火作业现场</w:t>
            </w:r>
          </w:p>
          <w:p>
            <w:pPr>
              <w:pStyle w:val="TableParagraph"/>
              <w:spacing w:line="289" w:lineRule="exact" w:before="4"/>
              <w:ind w:left="108"/>
              <w:rPr>
                <w:sz w:val="24"/>
              </w:rPr>
            </w:pPr>
            <w:r>
              <w:rPr>
                <w:sz w:val="24"/>
              </w:rPr>
              <w:t>无人监护</w:t>
            </w:r>
          </w:p>
        </w:tc>
        <w:tc>
          <w:tcPr>
            <w:tcW w:w="992" w:type="dxa"/>
            <w:vMerge/>
            <w:tcBorders>
              <w:top w:val="nil"/>
            </w:tcBorders>
          </w:tcPr>
          <w:p>
            <w:pPr>
              <w:rPr>
                <w:sz w:val="2"/>
                <w:szCs w:val="2"/>
              </w:rPr>
            </w:pPr>
          </w:p>
        </w:tc>
        <w:tc>
          <w:tcPr>
            <w:tcW w:w="2091" w:type="dxa"/>
            <w:vMerge/>
            <w:tcBorders>
              <w:top w:val="nil"/>
            </w:tcBorders>
          </w:tcPr>
          <w:p>
            <w:pPr>
              <w:rPr>
                <w:sz w:val="2"/>
                <w:szCs w:val="2"/>
              </w:rPr>
            </w:pPr>
          </w:p>
        </w:tc>
      </w:tr>
      <w:tr>
        <w:trPr>
          <w:trHeight w:val="622"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156"/>
              <w:ind w:left="128" w:right="118"/>
              <w:jc w:val="center"/>
              <w:rPr>
                <w:sz w:val="24"/>
              </w:rPr>
            </w:pPr>
            <w:r>
              <w:rPr>
                <w:sz w:val="24"/>
              </w:rPr>
              <w:t>CBMH-JB003</w:t>
            </w:r>
          </w:p>
        </w:tc>
        <w:tc>
          <w:tcPr>
            <w:tcW w:w="2693" w:type="dxa"/>
          </w:tcPr>
          <w:p>
            <w:pPr>
              <w:pStyle w:val="TableParagraph"/>
              <w:spacing w:line="310" w:lineRule="atLeast"/>
              <w:ind w:left="108" w:right="172"/>
              <w:rPr>
                <w:sz w:val="24"/>
              </w:rPr>
            </w:pPr>
            <w:r>
              <w:rPr>
                <w:sz w:val="24"/>
              </w:rPr>
              <w:t>明火作业人员未持证上岗</w:t>
            </w:r>
          </w:p>
        </w:tc>
        <w:tc>
          <w:tcPr>
            <w:tcW w:w="992" w:type="dxa"/>
            <w:vMerge/>
            <w:tcBorders>
              <w:top w:val="nil"/>
            </w:tcBorders>
          </w:tcPr>
          <w:p>
            <w:pPr>
              <w:rPr>
                <w:sz w:val="2"/>
                <w:szCs w:val="2"/>
              </w:rPr>
            </w:pPr>
          </w:p>
        </w:tc>
        <w:tc>
          <w:tcPr>
            <w:tcW w:w="2091" w:type="dxa"/>
            <w:vMerge/>
            <w:tcBorders>
              <w:top w:val="nil"/>
            </w:tcBorders>
          </w:tcPr>
          <w:p>
            <w:pPr>
              <w:rPr>
                <w:sz w:val="2"/>
                <w:szCs w:val="2"/>
              </w:rPr>
            </w:pPr>
          </w:p>
        </w:tc>
      </w:tr>
      <w:tr>
        <w:trPr>
          <w:trHeight w:val="1245"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rPr>
                <w:sz w:val="24"/>
              </w:rPr>
            </w:pPr>
          </w:p>
          <w:p>
            <w:pPr>
              <w:pStyle w:val="TableParagraph"/>
              <w:spacing w:before="159"/>
              <w:ind w:left="128" w:right="118"/>
              <w:jc w:val="center"/>
              <w:rPr>
                <w:sz w:val="24"/>
              </w:rPr>
            </w:pPr>
            <w:r>
              <w:rPr>
                <w:sz w:val="24"/>
              </w:rPr>
              <w:t>CBMH-JB004</w:t>
            </w:r>
          </w:p>
        </w:tc>
        <w:tc>
          <w:tcPr>
            <w:tcW w:w="2693" w:type="dxa"/>
          </w:tcPr>
          <w:p>
            <w:pPr>
              <w:pStyle w:val="TableParagraph"/>
              <w:spacing w:line="242" w:lineRule="auto"/>
              <w:ind w:left="108" w:right="172"/>
              <w:jc w:val="both"/>
              <w:rPr>
                <w:sz w:val="24"/>
              </w:rPr>
            </w:pPr>
            <w:r>
              <w:rPr>
                <w:sz w:val="24"/>
              </w:rPr>
              <w:t>作业现场生产调度不合理，存在与明火作业相冲突的作业，造成两种</w:t>
            </w:r>
          </w:p>
          <w:p>
            <w:pPr>
              <w:pStyle w:val="TableParagraph"/>
              <w:spacing w:line="291" w:lineRule="exact" w:before="2"/>
              <w:ind w:left="108"/>
              <w:rPr>
                <w:sz w:val="24"/>
              </w:rPr>
            </w:pPr>
            <w:r>
              <w:rPr>
                <w:sz w:val="24"/>
              </w:rPr>
              <w:t>或两种以上交叉作业</w:t>
            </w:r>
          </w:p>
        </w:tc>
        <w:tc>
          <w:tcPr>
            <w:tcW w:w="992" w:type="dxa"/>
            <w:vMerge/>
            <w:tcBorders>
              <w:top w:val="nil"/>
            </w:tcBorders>
          </w:tcPr>
          <w:p>
            <w:pPr>
              <w:rPr>
                <w:sz w:val="2"/>
                <w:szCs w:val="2"/>
              </w:rPr>
            </w:pPr>
          </w:p>
        </w:tc>
        <w:tc>
          <w:tcPr>
            <w:tcW w:w="2091" w:type="dxa"/>
            <w:vMerge/>
            <w:tcBorders>
              <w:top w:val="nil"/>
            </w:tcBorders>
          </w:tcPr>
          <w:p>
            <w:pPr>
              <w:rPr>
                <w:sz w:val="2"/>
                <w:szCs w:val="2"/>
              </w:rPr>
            </w:pPr>
          </w:p>
        </w:tc>
      </w:tr>
      <w:tr>
        <w:trPr>
          <w:trHeight w:val="1556"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rPr>
                <w:sz w:val="24"/>
              </w:rPr>
            </w:pPr>
          </w:p>
          <w:p>
            <w:pPr>
              <w:pStyle w:val="TableParagraph"/>
              <w:spacing w:before="7"/>
              <w:rPr>
                <w:sz w:val="24"/>
              </w:rPr>
            </w:pPr>
          </w:p>
          <w:p>
            <w:pPr>
              <w:pStyle w:val="TableParagraph"/>
              <w:ind w:left="128" w:right="118"/>
              <w:jc w:val="center"/>
              <w:rPr>
                <w:sz w:val="24"/>
              </w:rPr>
            </w:pPr>
            <w:r>
              <w:rPr>
                <w:sz w:val="24"/>
              </w:rPr>
              <w:t>CBMH-JB005</w:t>
            </w:r>
          </w:p>
        </w:tc>
        <w:tc>
          <w:tcPr>
            <w:tcW w:w="2693" w:type="dxa"/>
          </w:tcPr>
          <w:p>
            <w:pPr>
              <w:pStyle w:val="TableParagraph"/>
              <w:spacing w:line="242" w:lineRule="auto" w:before="1"/>
              <w:ind w:left="108" w:right="172"/>
              <w:jc w:val="both"/>
              <w:rPr>
                <w:sz w:val="24"/>
              </w:rPr>
            </w:pPr>
            <w:r>
              <w:rPr>
                <w:sz w:val="24"/>
              </w:rPr>
              <w:t>盛装过易燃易爆、有毒物质的各种容器或有限空间，作业前未经气体浓度检测或测量结果不</w:t>
            </w:r>
          </w:p>
          <w:p>
            <w:pPr>
              <w:pStyle w:val="TableParagraph"/>
              <w:spacing w:line="289" w:lineRule="exact" w:before="3"/>
              <w:ind w:left="108"/>
              <w:rPr>
                <w:sz w:val="24"/>
              </w:rPr>
            </w:pPr>
            <w:r>
              <w:rPr>
                <w:sz w:val="24"/>
              </w:rPr>
              <w:t>合格即实施作业</w:t>
            </w:r>
          </w:p>
        </w:tc>
        <w:tc>
          <w:tcPr>
            <w:tcW w:w="992" w:type="dxa"/>
            <w:vMerge/>
            <w:tcBorders>
              <w:top w:val="nil"/>
            </w:tcBorders>
          </w:tcPr>
          <w:p>
            <w:pPr>
              <w:rPr>
                <w:sz w:val="2"/>
                <w:szCs w:val="2"/>
              </w:rPr>
            </w:pPr>
          </w:p>
        </w:tc>
        <w:tc>
          <w:tcPr>
            <w:tcW w:w="2091" w:type="dxa"/>
            <w:vMerge/>
            <w:tcBorders>
              <w:top w:val="nil"/>
            </w:tcBorders>
          </w:tcPr>
          <w:p>
            <w:pPr>
              <w:rPr>
                <w:sz w:val="2"/>
                <w:szCs w:val="2"/>
              </w:rPr>
            </w:pPr>
          </w:p>
        </w:tc>
      </w:tr>
      <w:tr>
        <w:trPr>
          <w:trHeight w:val="1245" w:hRule="atLeast"/>
        </w:trPr>
        <w:tc>
          <w:tcPr>
            <w:tcW w:w="1101" w:type="dxa"/>
            <w:vMerge/>
            <w:tcBorders>
              <w:top w:val="nil"/>
            </w:tcBorders>
          </w:tcPr>
          <w:p>
            <w:pPr>
              <w:rPr>
                <w:sz w:val="2"/>
                <w:szCs w:val="2"/>
              </w:rPr>
            </w:pPr>
          </w:p>
        </w:tc>
        <w:tc>
          <w:tcPr>
            <w:tcW w:w="1134" w:type="dxa"/>
            <w:vMerge w:val="restart"/>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line="242" w:lineRule="auto" w:before="206"/>
              <w:ind w:left="447" w:right="194" w:hanging="240"/>
              <w:rPr>
                <w:sz w:val="24"/>
              </w:rPr>
            </w:pPr>
            <w:r>
              <w:rPr>
                <w:sz w:val="24"/>
              </w:rPr>
              <w:t>隐患内容</w:t>
            </w:r>
          </w:p>
        </w:tc>
        <w:tc>
          <w:tcPr>
            <w:tcW w:w="1559" w:type="dxa"/>
          </w:tcPr>
          <w:p>
            <w:pPr>
              <w:pStyle w:val="TableParagraph"/>
              <w:rPr>
                <w:sz w:val="24"/>
              </w:rPr>
            </w:pPr>
          </w:p>
          <w:p>
            <w:pPr>
              <w:pStyle w:val="TableParagraph"/>
              <w:spacing w:before="160"/>
              <w:ind w:left="128" w:right="118"/>
              <w:jc w:val="center"/>
              <w:rPr>
                <w:sz w:val="24"/>
              </w:rPr>
            </w:pPr>
            <w:r>
              <w:rPr>
                <w:sz w:val="24"/>
              </w:rPr>
              <w:t>CBMH-YH001</w:t>
            </w:r>
          </w:p>
        </w:tc>
        <w:tc>
          <w:tcPr>
            <w:tcW w:w="2693" w:type="dxa"/>
          </w:tcPr>
          <w:p>
            <w:pPr>
              <w:pStyle w:val="TableParagraph"/>
              <w:spacing w:line="242" w:lineRule="auto" w:before="2"/>
              <w:ind w:left="108" w:right="172"/>
              <w:jc w:val="both"/>
              <w:rPr>
                <w:sz w:val="24"/>
              </w:rPr>
            </w:pPr>
            <w:r>
              <w:rPr>
                <w:sz w:val="24"/>
              </w:rPr>
              <w:t>作业现场或附近存在易燃易爆物品，且未采取安全控制措施即实施作</w:t>
            </w:r>
          </w:p>
          <w:p>
            <w:pPr>
              <w:pStyle w:val="TableParagraph"/>
              <w:spacing w:line="291" w:lineRule="exact"/>
              <w:ind w:left="108"/>
              <w:rPr>
                <w:sz w:val="24"/>
              </w:rPr>
            </w:pPr>
            <w:r>
              <w:rPr>
                <w:sz w:val="24"/>
              </w:rPr>
              <w:t>业</w:t>
            </w:r>
          </w:p>
        </w:tc>
        <w:tc>
          <w:tcPr>
            <w:tcW w:w="992" w:type="dxa"/>
            <w:vMerge/>
            <w:tcBorders>
              <w:top w:val="nil"/>
            </w:tcBorders>
          </w:tcPr>
          <w:p>
            <w:pPr>
              <w:rPr>
                <w:sz w:val="2"/>
                <w:szCs w:val="2"/>
              </w:rPr>
            </w:pPr>
          </w:p>
        </w:tc>
        <w:tc>
          <w:tcPr>
            <w:tcW w:w="2091" w:type="dxa"/>
            <w:vMerge/>
            <w:tcBorders>
              <w:top w:val="nil"/>
            </w:tcBorders>
          </w:tcPr>
          <w:p>
            <w:pPr>
              <w:rPr>
                <w:sz w:val="2"/>
                <w:szCs w:val="2"/>
              </w:rPr>
            </w:pPr>
          </w:p>
        </w:tc>
      </w:tr>
      <w:tr>
        <w:trPr>
          <w:trHeight w:val="934"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4"/>
              <w:rPr>
                <w:sz w:val="24"/>
              </w:rPr>
            </w:pPr>
          </w:p>
          <w:p>
            <w:pPr>
              <w:pStyle w:val="TableParagraph"/>
              <w:ind w:left="128" w:right="118"/>
              <w:jc w:val="center"/>
              <w:rPr>
                <w:sz w:val="24"/>
              </w:rPr>
            </w:pPr>
            <w:r>
              <w:rPr>
                <w:sz w:val="24"/>
              </w:rPr>
              <w:t>CBMH-YH002</w:t>
            </w:r>
          </w:p>
        </w:tc>
        <w:tc>
          <w:tcPr>
            <w:tcW w:w="2693" w:type="dxa"/>
          </w:tcPr>
          <w:p>
            <w:pPr>
              <w:pStyle w:val="TableParagraph"/>
              <w:ind w:left="108"/>
              <w:rPr>
                <w:sz w:val="24"/>
              </w:rPr>
            </w:pPr>
            <w:r>
              <w:rPr>
                <w:sz w:val="24"/>
              </w:rPr>
              <w:t>不了解作业现场及周围</w:t>
            </w:r>
          </w:p>
          <w:p>
            <w:pPr>
              <w:pStyle w:val="TableParagraph"/>
              <w:spacing w:line="310" w:lineRule="atLeast" w:before="2"/>
              <w:ind w:left="108" w:right="172"/>
              <w:rPr>
                <w:sz w:val="24"/>
              </w:rPr>
            </w:pPr>
            <w:r>
              <w:rPr>
                <w:sz w:val="24"/>
              </w:rPr>
              <w:t>情况、不了解设备设施情况盲目实施作业</w:t>
            </w:r>
          </w:p>
        </w:tc>
        <w:tc>
          <w:tcPr>
            <w:tcW w:w="992" w:type="dxa"/>
            <w:vMerge/>
            <w:tcBorders>
              <w:top w:val="nil"/>
            </w:tcBorders>
          </w:tcPr>
          <w:p>
            <w:pPr>
              <w:rPr>
                <w:sz w:val="2"/>
                <w:szCs w:val="2"/>
              </w:rPr>
            </w:pPr>
          </w:p>
        </w:tc>
        <w:tc>
          <w:tcPr>
            <w:tcW w:w="2091" w:type="dxa"/>
            <w:vMerge/>
            <w:tcBorders>
              <w:top w:val="nil"/>
            </w:tcBorders>
          </w:tcPr>
          <w:p>
            <w:pPr>
              <w:rPr>
                <w:sz w:val="2"/>
                <w:szCs w:val="2"/>
              </w:rPr>
            </w:pPr>
          </w:p>
        </w:tc>
      </w:tr>
      <w:tr>
        <w:trPr>
          <w:trHeight w:val="621"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155"/>
              <w:ind w:left="128" w:right="118"/>
              <w:jc w:val="center"/>
              <w:rPr>
                <w:sz w:val="24"/>
              </w:rPr>
            </w:pPr>
            <w:r>
              <w:rPr>
                <w:sz w:val="24"/>
              </w:rPr>
              <w:t>CBMH-YH003</w:t>
            </w:r>
          </w:p>
        </w:tc>
        <w:tc>
          <w:tcPr>
            <w:tcW w:w="2693" w:type="dxa"/>
          </w:tcPr>
          <w:p>
            <w:pPr>
              <w:pStyle w:val="TableParagraph"/>
              <w:spacing w:before="1"/>
              <w:ind w:left="108"/>
              <w:rPr>
                <w:sz w:val="24"/>
              </w:rPr>
            </w:pPr>
            <w:r>
              <w:rPr>
                <w:sz w:val="24"/>
              </w:rPr>
              <w:t>作业现场防火措施落实</w:t>
            </w:r>
          </w:p>
          <w:p>
            <w:pPr>
              <w:pStyle w:val="TableParagraph"/>
              <w:spacing w:line="291" w:lineRule="exact" w:before="2"/>
              <w:ind w:left="108"/>
              <w:rPr>
                <w:sz w:val="24"/>
              </w:rPr>
            </w:pPr>
            <w:r>
              <w:rPr>
                <w:sz w:val="24"/>
              </w:rPr>
              <w:t>不到位</w:t>
            </w:r>
          </w:p>
        </w:tc>
        <w:tc>
          <w:tcPr>
            <w:tcW w:w="992" w:type="dxa"/>
            <w:vMerge/>
            <w:tcBorders>
              <w:top w:val="nil"/>
            </w:tcBorders>
          </w:tcPr>
          <w:p>
            <w:pPr>
              <w:rPr>
                <w:sz w:val="2"/>
                <w:szCs w:val="2"/>
              </w:rPr>
            </w:pPr>
          </w:p>
        </w:tc>
        <w:tc>
          <w:tcPr>
            <w:tcW w:w="2091" w:type="dxa"/>
            <w:vMerge/>
            <w:tcBorders>
              <w:top w:val="nil"/>
            </w:tcBorders>
          </w:tcPr>
          <w:p>
            <w:pPr>
              <w:rPr>
                <w:sz w:val="2"/>
                <w:szCs w:val="2"/>
              </w:rPr>
            </w:pPr>
          </w:p>
        </w:tc>
      </w:tr>
      <w:tr>
        <w:trPr>
          <w:trHeight w:val="934"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5"/>
              <w:rPr>
                <w:sz w:val="24"/>
              </w:rPr>
            </w:pPr>
          </w:p>
          <w:p>
            <w:pPr>
              <w:pStyle w:val="TableParagraph"/>
              <w:ind w:left="128" w:right="118"/>
              <w:jc w:val="center"/>
              <w:rPr>
                <w:sz w:val="24"/>
              </w:rPr>
            </w:pPr>
            <w:r>
              <w:rPr>
                <w:sz w:val="24"/>
              </w:rPr>
              <w:t>CBMH-YH004</w:t>
            </w:r>
          </w:p>
        </w:tc>
        <w:tc>
          <w:tcPr>
            <w:tcW w:w="2693" w:type="dxa"/>
          </w:tcPr>
          <w:p>
            <w:pPr>
              <w:pStyle w:val="TableParagraph"/>
              <w:spacing w:line="242" w:lineRule="auto" w:before="3"/>
              <w:ind w:left="108" w:right="172"/>
              <w:rPr>
                <w:sz w:val="24"/>
              </w:rPr>
            </w:pPr>
            <w:r>
              <w:rPr>
                <w:sz w:val="24"/>
              </w:rPr>
              <w:t>焊割设备(工具)不完好或气体胶管混接(含颜</w:t>
            </w:r>
          </w:p>
          <w:p>
            <w:pPr>
              <w:pStyle w:val="TableParagraph"/>
              <w:spacing w:line="289" w:lineRule="exact"/>
              <w:ind w:left="108"/>
              <w:rPr>
                <w:sz w:val="24"/>
              </w:rPr>
            </w:pPr>
            <w:r>
              <w:rPr>
                <w:sz w:val="24"/>
              </w:rPr>
              <w:t>色混乱)</w:t>
            </w:r>
          </w:p>
        </w:tc>
        <w:tc>
          <w:tcPr>
            <w:tcW w:w="992" w:type="dxa"/>
            <w:vMerge/>
            <w:tcBorders>
              <w:top w:val="nil"/>
            </w:tcBorders>
          </w:tcPr>
          <w:p>
            <w:pPr>
              <w:rPr>
                <w:sz w:val="2"/>
                <w:szCs w:val="2"/>
              </w:rPr>
            </w:pPr>
          </w:p>
        </w:tc>
        <w:tc>
          <w:tcPr>
            <w:tcW w:w="2091" w:type="dxa"/>
            <w:vMerge/>
            <w:tcBorders>
              <w:top w:val="nil"/>
            </w:tcBorders>
          </w:tcPr>
          <w:p>
            <w:pPr>
              <w:rPr>
                <w:sz w:val="2"/>
                <w:szCs w:val="2"/>
              </w:rPr>
            </w:pPr>
          </w:p>
        </w:tc>
      </w:tr>
      <w:tr>
        <w:trPr>
          <w:trHeight w:val="934"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4"/>
              <w:rPr>
                <w:sz w:val="24"/>
              </w:rPr>
            </w:pPr>
          </w:p>
          <w:p>
            <w:pPr>
              <w:pStyle w:val="TableParagraph"/>
              <w:ind w:left="128" w:right="118"/>
              <w:jc w:val="center"/>
              <w:rPr>
                <w:sz w:val="24"/>
              </w:rPr>
            </w:pPr>
            <w:r>
              <w:rPr>
                <w:sz w:val="24"/>
              </w:rPr>
              <w:t>CBMH-YH005</w:t>
            </w:r>
          </w:p>
        </w:tc>
        <w:tc>
          <w:tcPr>
            <w:tcW w:w="2693" w:type="dxa"/>
          </w:tcPr>
          <w:p>
            <w:pPr>
              <w:pStyle w:val="TableParagraph"/>
              <w:ind w:left="108"/>
              <w:rPr>
                <w:sz w:val="24"/>
              </w:rPr>
            </w:pPr>
            <w:r>
              <w:rPr>
                <w:sz w:val="24"/>
              </w:rPr>
              <w:t>作业结束未将氧气和可</w:t>
            </w:r>
          </w:p>
          <w:p>
            <w:pPr>
              <w:pStyle w:val="TableParagraph"/>
              <w:spacing w:line="310" w:lineRule="atLeast" w:before="2"/>
              <w:ind w:left="108" w:right="172"/>
              <w:rPr>
                <w:sz w:val="24"/>
              </w:rPr>
            </w:pPr>
            <w:r>
              <w:rPr>
                <w:sz w:val="24"/>
              </w:rPr>
              <w:t>燃气体胶管(割炬)带出舱外</w:t>
            </w:r>
          </w:p>
        </w:tc>
        <w:tc>
          <w:tcPr>
            <w:tcW w:w="992" w:type="dxa"/>
            <w:vMerge/>
            <w:tcBorders>
              <w:top w:val="nil"/>
            </w:tcBorders>
          </w:tcPr>
          <w:p>
            <w:pPr>
              <w:rPr>
                <w:sz w:val="2"/>
                <w:szCs w:val="2"/>
              </w:rPr>
            </w:pPr>
          </w:p>
        </w:tc>
        <w:tc>
          <w:tcPr>
            <w:tcW w:w="2091" w:type="dxa"/>
            <w:vMerge/>
            <w:tcBorders>
              <w:top w:val="nil"/>
            </w:tcBorders>
          </w:tcPr>
          <w:p>
            <w:pPr>
              <w:rPr>
                <w:sz w:val="2"/>
                <w:szCs w:val="2"/>
              </w:rPr>
            </w:pPr>
          </w:p>
        </w:tc>
      </w:tr>
      <w:tr>
        <w:trPr>
          <w:trHeight w:val="620"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155"/>
              <w:ind w:left="128" w:right="118"/>
              <w:jc w:val="center"/>
              <w:rPr>
                <w:sz w:val="24"/>
              </w:rPr>
            </w:pPr>
            <w:r>
              <w:rPr>
                <w:sz w:val="24"/>
              </w:rPr>
              <w:t>CBMH-YH006</w:t>
            </w:r>
          </w:p>
        </w:tc>
        <w:tc>
          <w:tcPr>
            <w:tcW w:w="2693" w:type="dxa"/>
          </w:tcPr>
          <w:p>
            <w:pPr>
              <w:pStyle w:val="TableParagraph"/>
              <w:spacing w:before="1"/>
              <w:ind w:left="108"/>
              <w:rPr>
                <w:sz w:val="24"/>
              </w:rPr>
            </w:pPr>
            <w:r>
              <w:rPr>
                <w:sz w:val="24"/>
              </w:rPr>
              <w:t>作业结束将氧气和可燃</w:t>
            </w:r>
          </w:p>
          <w:p>
            <w:pPr>
              <w:pStyle w:val="TableParagraph"/>
              <w:spacing w:line="289" w:lineRule="exact" w:before="2"/>
              <w:ind w:left="108"/>
              <w:rPr>
                <w:sz w:val="24"/>
              </w:rPr>
            </w:pPr>
            <w:r>
              <w:rPr>
                <w:sz w:val="24"/>
              </w:rPr>
              <w:t>气体胶管(割炬)存入封</w:t>
            </w:r>
          </w:p>
        </w:tc>
        <w:tc>
          <w:tcPr>
            <w:tcW w:w="992" w:type="dxa"/>
            <w:vMerge/>
            <w:tcBorders>
              <w:top w:val="nil"/>
            </w:tcBorders>
          </w:tcPr>
          <w:p>
            <w:pPr>
              <w:rPr>
                <w:sz w:val="2"/>
                <w:szCs w:val="2"/>
              </w:rPr>
            </w:pPr>
          </w:p>
        </w:tc>
        <w:tc>
          <w:tcPr>
            <w:tcW w:w="2091" w:type="dxa"/>
            <w:vMerge/>
            <w:tcBorders>
              <w:top w:val="nil"/>
            </w:tcBorders>
          </w:tcPr>
          <w:p>
            <w:pPr>
              <w:rPr>
                <w:sz w:val="2"/>
                <w:szCs w:val="2"/>
              </w:rPr>
            </w:pPr>
          </w:p>
        </w:tc>
      </w:tr>
    </w:tbl>
    <w:p>
      <w:pPr>
        <w:spacing w:after="0"/>
        <w:rPr>
          <w:sz w:val="2"/>
          <w:szCs w:val="2"/>
        </w:rPr>
        <w:sectPr>
          <w:pgSz w:w="11910" w:h="16840"/>
          <w:pgMar w:header="0" w:footer="1039" w:top="1580" w:bottom="1220" w:left="1060" w:right="860"/>
        </w:sectPr>
      </w:pPr>
    </w:p>
    <w:p>
      <w:pPr>
        <w:pStyle w:val="BodyText"/>
        <w:spacing w:before="9"/>
        <w:ind w:left="0"/>
        <w:rPr>
          <w:sz w:val="25"/>
        </w:rPr>
      </w:pPr>
    </w:p>
    <w:tbl>
      <w:tblPr>
        <w:tblW w:w="0" w:type="auto"/>
        <w:jc w:val="left"/>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1"/>
        <w:gridCol w:w="1134"/>
        <w:gridCol w:w="1559"/>
        <w:gridCol w:w="2693"/>
        <w:gridCol w:w="992"/>
        <w:gridCol w:w="2091"/>
      </w:tblGrid>
      <w:tr>
        <w:trPr>
          <w:trHeight w:val="310" w:hRule="atLeast"/>
        </w:trPr>
        <w:tc>
          <w:tcPr>
            <w:tcW w:w="1101" w:type="dxa"/>
            <w:vMerge w:val="restart"/>
          </w:tcPr>
          <w:p>
            <w:pPr>
              <w:pStyle w:val="TableParagraph"/>
              <w:rPr>
                <w:rFonts w:ascii="Times New Roman"/>
                <w:sz w:val="22"/>
              </w:rPr>
            </w:pPr>
          </w:p>
        </w:tc>
        <w:tc>
          <w:tcPr>
            <w:tcW w:w="1134" w:type="dxa"/>
            <w:vMerge w:val="restart"/>
          </w:tcPr>
          <w:p>
            <w:pPr>
              <w:pStyle w:val="TableParagraph"/>
              <w:rPr>
                <w:rFonts w:ascii="Times New Roman"/>
                <w:sz w:val="22"/>
              </w:rPr>
            </w:pPr>
          </w:p>
        </w:tc>
        <w:tc>
          <w:tcPr>
            <w:tcW w:w="1559" w:type="dxa"/>
          </w:tcPr>
          <w:p>
            <w:pPr>
              <w:pStyle w:val="TableParagraph"/>
              <w:rPr>
                <w:rFonts w:ascii="Times New Roman"/>
                <w:sz w:val="22"/>
              </w:rPr>
            </w:pPr>
          </w:p>
        </w:tc>
        <w:tc>
          <w:tcPr>
            <w:tcW w:w="2693" w:type="dxa"/>
          </w:tcPr>
          <w:p>
            <w:pPr>
              <w:pStyle w:val="TableParagraph"/>
              <w:spacing w:line="289" w:lineRule="exact" w:before="2"/>
              <w:ind w:left="108"/>
              <w:rPr>
                <w:sz w:val="24"/>
              </w:rPr>
            </w:pPr>
            <w:r>
              <w:rPr>
                <w:sz w:val="24"/>
              </w:rPr>
              <w:t>闭工具箱</w:t>
            </w:r>
          </w:p>
        </w:tc>
        <w:tc>
          <w:tcPr>
            <w:tcW w:w="992" w:type="dxa"/>
            <w:vMerge w:val="restart"/>
          </w:tcPr>
          <w:p>
            <w:pPr>
              <w:pStyle w:val="TableParagraph"/>
              <w:rPr>
                <w:rFonts w:ascii="Times New Roman"/>
                <w:sz w:val="22"/>
              </w:rPr>
            </w:pPr>
          </w:p>
        </w:tc>
        <w:tc>
          <w:tcPr>
            <w:tcW w:w="2091" w:type="dxa"/>
            <w:vMerge w:val="restart"/>
          </w:tcPr>
          <w:p>
            <w:pPr>
              <w:pStyle w:val="TableParagraph"/>
              <w:rPr>
                <w:rFonts w:ascii="Times New Roman"/>
                <w:sz w:val="22"/>
              </w:rPr>
            </w:pPr>
          </w:p>
        </w:tc>
      </w:tr>
      <w:tr>
        <w:trPr>
          <w:trHeight w:val="312"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line="289" w:lineRule="exact" w:before="3"/>
              <w:ind w:right="167"/>
              <w:jc w:val="right"/>
              <w:rPr>
                <w:sz w:val="24"/>
              </w:rPr>
            </w:pPr>
            <w:r>
              <w:rPr>
                <w:sz w:val="24"/>
              </w:rPr>
              <w:t>CBMH-YH007</w:t>
            </w:r>
          </w:p>
        </w:tc>
        <w:tc>
          <w:tcPr>
            <w:tcW w:w="2693" w:type="dxa"/>
          </w:tcPr>
          <w:p>
            <w:pPr>
              <w:pStyle w:val="TableParagraph"/>
              <w:spacing w:line="289" w:lineRule="exact" w:before="3"/>
              <w:ind w:left="108"/>
              <w:rPr>
                <w:sz w:val="24"/>
              </w:rPr>
            </w:pPr>
            <w:r>
              <w:rPr>
                <w:sz w:val="24"/>
              </w:rPr>
              <w:t>使用割炬进行照明</w:t>
            </w:r>
          </w:p>
        </w:tc>
        <w:tc>
          <w:tcPr>
            <w:tcW w:w="992" w:type="dxa"/>
            <w:vMerge/>
            <w:tcBorders>
              <w:top w:val="nil"/>
            </w:tcBorders>
          </w:tcPr>
          <w:p>
            <w:pPr>
              <w:rPr>
                <w:sz w:val="2"/>
                <w:szCs w:val="2"/>
              </w:rPr>
            </w:pPr>
          </w:p>
        </w:tc>
        <w:tc>
          <w:tcPr>
            <w:tcW w:w="2091" w:type="dxa"/>
            <w:vMerge/>
            <w:tcBorders>
              <w:top w:val="nil"/>
            </w:tcBorders>
          </w:tcPr>
          <w:p>
            <w:pPr>
              <w:rPr>
                <w:sz w:val="2"/>
                <w:szCs w:val="2"/>
              </w:rPr>
            </w:pPr>
          </w:p>
        </w:tc>
      </w:tr>
      <w:tr>
        <w:trPr>
          <w:trHeight w:val="932"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4"/>
              <w:rPr>
                <w:sz w:val="24"/>
              </w:rPr>
            </w:pPr>
          </w:p>
          <w:p>
            <w:pPr>
              <w:pStyle w:val="TableParagraph"/>
              <w:ind w:right="167"/>
              <w:jc w:val="right"/>
              <w:rPr>
                <w:sz w:val="24"/>
              </w:rPr>
            </w:pPr>
            <w:r>
              <w:rPr>
                <w:sz w:val="24"/>
              </w:rPr>
              <w:t>CBMH-YH008</w:t>
            </w:r>
          </w:p>
        </w:tc>
        <w:tc>
          <w:tcPr>
            <w:tcW w:w="2693" w:type="dxa"/>
          </w:tcPr>
          <w:p>
            <w:pPr>
              <w:pStyle w:val="TableParagraph"/>
              <w:spacing w:line="242" w:lineRule="auto"/>
              <w:ind w:left="108" w:right="172"/>
              <w:rPr>
                <w:sz w:val="24"/>
              </w:rPr>
            </w:pPr>
            <w:r>
              <w:rPr>
                <w:sz w:val="24"/>
              </w:rPr>
              <w:t>高处明火作业点火星所及范围内有易燃易爆物</w:t>
            </w:r>
          </w:p>
          <w:p>
            <w:pPr>
              <w:pStyle w:val="TableParagraph"/>
              <w:spacing w:line="289" w:lineRule="exact" w:before="3"/>
              <w:ind w:left="108"/>
              <w:rPr>
                <w:sz w:val="24"/>
              </w:rPr>
            </w:pPr>
            <w:r>
              <w:rPr>
                <w:sz w:val="24"/>
              </w:rPr>
              <w:t>品</w:t>
            </w:r>
          </w:p>
        </w:tc>
        <w:tc>
          <w:tcPr>
            <w:tcW w:w="992" w:type="dxa"/>
            <w:vMerge/>
            <w:tcBorders>
              <w:top w:val="nil"/>
            </w:tcBorders>
          </w:tcPr>
          <w:p>
            <w:pPr>
              <w:rPr>
                <w:sz w:val="2"/>
                <w:szCs w:val="2"/>
              </w:rPr>
            </w:pPr>
          </w:p>
        </w:tc>
        <w:tc>
          <w:tcPr>
            <w:tcW w:w="2091" w:type="dxa"/>
            <w:vMerge/>
            <w:tcBorders>
              <w:top w:val="nil"/>
            </w:tcBorders>
          </w:tcPr>
          <w:p>
            <w:pPr>
              <w:rPr>
                <w:sz w:val="2"/>
                <w:szCs w:val="2"/>
              </w:rPr>
            </w:pPr>
          </w:p>
        </w:tc>
      </w:tr>
    </w:tbl>
    <w:p>
      <w:pPr>
        <w:pStyle w:val="Heading3"/>
        <w:numPr>
          <w:ilvl w:val="1"/>
          <w:numId w:val="34"/>
        </w:numPr>
        <w:tabs>
          <w:tab w:pos="1162" w:val="left" w:leader="none"/>
          <w:tab w:pos="1163" w:val="left" w:leader="none"/>
        </w:tabs>
        <w:spacing w:line="240" w:lineRule="auto" w:before="16" w:after="0"/>
        <w:ind w:left="1162" w:right="0" w:hanging="805"/>
        <w:jc w:val="left"/>
      </w:pPr>
      <w:r>
        <w:rPr/>
        <w:t>船舶行业涂装作业重大生产安全事故隐患综合判定标准</w:t>
      </w:r>
    </w:p>
    <w:p>
      <w:pPr>
        <w:pStyle w:val="BodyText"/>
        <w:spacing w:before="60"/>
        <w:ind w:left="996"/>
      </w:pPr>
      <w:r>
        <w:rPr/>
        <w:t>船舶行业涂装作业重大生产安全事故隐患综合判定标准见表6。</w:t>
      </w:r>
    </w:p>
    <w:p>
      <w:pPr>
        <w:tabs>
          <w:tab w:pos="685" w:val="left" w:leader="none"/>
        </w:tabs>
        <w:spacing w:before="23"/>
        <w:ind w:left="86" w:right="0" w:firstLine="0"/>
        <w:jc w:val="center"/>
        <w:rPr>
          <w:sz w:val="24"/>
        </w:rPr>
      </w:pPr>
      <w:r>
        <w:rPr>
          <w:sz w:val="24"/>
        </w:rPr>
        <w:t>表6</w:t>
        <w:tab/>
        <w:t>船舶行业涂装作业重大生产安全事故隐患综合判定标准</w:t>
      </w:r>
    </w:p>
    <w:p>
      <w:pPr>
        <w:pStyle w:val="BodyText"/>
        <w:spacing w:before="7"/>
        <w:ind w:left="0"/>
        <w:rPr>
          <w:sz w:val="9"/>
        </w:rPr>
      </w:pPr>
    </w:p>
    <w:tbl>
      <w:tblPr>
        <w:tblW w:w="0" w:type="auto"/>
        <w:jc w:val="left"/>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1"/>
        <w:gridCol w:w="1134"/>
        <w:gridCol w:w="1559"/>
        <w:gridCol w:w="2693"/>
        <w:gridCol w:w="992"/>
        <w:gridCol w:w="2091"/>
      </w:tblGrid>
      <w:tr>
        <w:trPr>
          <w:trHeight w:val="622" w:hRule="atLeast"/>
        </w:trPr>
        <w:tc>
          <w:tcPr>
            <w:tcW w:w="1101" w:type="dxa"/>
          </w:tcPr>
          <w:p>
            <w:pPr>
              <w:pStyle w:val="TableParagraph"/>
              <w:spacing w:before="1"/>
              <w:ind w:left="169" w:right="161"/>
              <w:jc w:val="center"/>
              <w:rPr>
                <w:sz w:val="24"/>
              </w:rPr>
            </w:pPr>
            <w:r>
              <w:rPr>
                <w:sz w:val="24"/>
              </w:rPr>
              <w:t>隐患项</w:t>
            </w:r>
          </w:p>
          <w:p>
            <w:pPr>
              <w:pStyle w:val="TableParagraph"/>
              <w:spacing w:line="291" w:lineRule="exact" w:before="3"/>
              <w:ind w:left="8"/>
              <w:jc w:val="center"/>
              <w:rPr>
                <w:sz w:val="24"/>
              </w:rPr>
            </w:pPr>
            <w:r>
              <w:rPr>
                <w:sz w:val="24"/>
              </w:rPr>
              <w:t>目</w:t>
            </w:r>
          </w:p>
        </w:tc>
        <w:tc>
          <w:tcPr>
            <w:tcW w:w="1134" w:type="dxa"/>
          </w:tcPr>
          <w:p>
            <w:pPr>
              <w:pStyle w:val="TableParagraph"/>
              <w:spacing w:before="1"/>
              <w:ind w:left="187" w:right="177"/>
              <w:jc w:val="center"/>
              <w:rPr>
                <w:sz w:val="24"/>
              </w:rPr>
            </w:pPr>
            <w:r>
              <w:rPr>
                <w:sz w:val="24"/>
              </w:rPr>
              <w:t>隐患类</w:t>
            </w:r>
          </w:p>
          <w:p>
            <w:pPr>
              <w:pStyle w:val="TableParagraph"/>
              <w:spacing w:line="291" w:lineRule="exact" w:before="3"/>
              <w:ind w:left="10"/>
              <w:jc w:val="center"/>
              <w:rPr>
                <w:sz w:val="24"/>
              </w:rPr>
            </w:pPr>
            <w:r>
              <w:rPr>
                <w:sz w:val="24"/>
              </w:rPr>
              <w:t>别</w:t>
            </w:r>
          </w:p>
        </w:tc>
        <w:tc>
          <w:tcPr>
            <w:tcW w:w="1559" w:type="dxa"/>
          </w:tcPr>
          <w:p>
            <w:pPr>
              <w:pStyle w:val="TableParagraph"/>
              <w:spacing w:before="155"/>
              <w:ind w:left="299"/>
              <w:rPr>
                <w:sz w:val="24"/>
              </w:rPr>
            </w:pPr>
            <w:r>
              <w:rPr>
                <w:sz w:val="24"/>
              </w:rPr>
              <w:t>隐患编号</w:t>
            </w:r>
          </w:p>
        </w:tc>
        <w:tc>
          <w:tcPr>
            <w:tcW w:w="2693" w:type="dxa"/>
          </w:tcPr>
          <w:p>
            <w:pPr>
              <w:pStyle w:val="TableParagraph"/>
              <w:spacing w:before="155"/>
              <w:ind w:left="864"/>
              <w:rPr>
                <w:sz w:val="24"/>
              </w:rPr>
            </w:pPr>
            <w:r>
              <w:rPr>
                <w:sz w:val="24"/>
              </w:rPr>
              <w:t>隐患内容</w:t>
            </w:r>
          </w:p>
        </w:tc>
        <w:tc>
          <w:tcPr>
            <w:tcW w:w="992" w:type="dxa"/>
          </w:tcPr>
          <w:p>
            <w:pPr>
              <w:pStyle w:val="TableParagraph"/>
              <w:spacing w:before="155"/>
              <w:ind w:left="254"/>
              <w:rPr>
                <w:sz w:val="24"/>
              </w:rPr>
            </w:pPr>
            <w:r>
              <w:rPr>
                <w:sz w:val="24"/>
              </w:rPr>
              <w:t>参考</w:t>
            </w:r>
          </w:p>
        </w:tc>
        <w:tc>
          <w:tcPr>
            <w:tcW w:w="2091" w:type="dxa"/>
          </w:tcPr>
          <w:p>
            <w:pPr>
              <w:pStyle w:val="TableParagraph"/>
              <w:spacing w:before="1"/>
              <w:ind w:left="183" w:right="177"/>
              <w:jc w:val="center"/>
              <w:rPr>
                <w:sz w:val="24"/>
              </w:rPr>
            </w:pPr>
            <w:r>
              <w:rPr>
                <w:sz w:val="24"/>
              </w:rPr>
              <w:t>重大生产安全事</w:t>
            </w:r>
          </w:p>
          <w:p>
            <w:pPr>
              <w:pStyle w:val="TableParagraph"/>
              <w:spacing w:line="291" w:lineRule="exact" w:before="3"/>
              <w:ind w:left="183" w:right="177"/>
              <w:jc w:val="center"/>
              <w:rPr>
                <w:sz w:val="24"/>
              </w:rPr>
            </w:pPr>
            <w:r>
              <w:rPr>
                <w:sz w:val="24"/>
              </w:rPr>
              <w:t>故隐患判据</w:t>
            </w:r>
          </w:p>
        </w:tc>
      </w:tr>
      <w:tr>
        <w:trPr>
          <w:trHeight w:val="623" w:hRule="atLeast"/>
        </w:trPr>
        <w:tc>
          <w:tcPr>
            <w:tcW w:w="1101" w:type="dxa"/>
            <w:vMerge w:val="restart"/>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2"/>
              <w:rPr>
                <w:sz w:val="26"/>
              </w:rPr>
            </w:pPr>
          </w:p>
          <w:p>
            <w:pPr>
              <w:pStyle w:val="TableParagraph"/>
              <w:spacing w:line="242" w:lineRule="auto"/>
              <w:ind w:left="429" w:right="179" w:hanging="240"/>
              <w:rPr>
                <w:sz w:val="24"/>
              </w:rPr>
            </w:pPr>
            <w:r>
              <w:rPr>
                <w:sz w:val="24"/>
              </w:rPr>
              <w:t>涂装作业</w:t>
            </w:r>
          </w:p>
        </w:tc>
        <w:tc>
          <w:tcPr>
            <w:tcW w:w="1134" w:type="dxa"/>
            <w:vMerge w:val="restart"/>
          </w:tcPr>
          <w:p>
            <w:pPr>
              <w:pStyle w:val="TableParagraph"/>
              <w:rPr>
                <w:sz w:val="24"/>
              </w:rPr>
            </w:pPr>
          </w:p>
          <w:p>
            <w:pPr>
              <w:pStyle w:val="TableParagraph"/>
              <w:rPr>
                <w:sz w:val="24"/>
              </w:rPr>
            </w:pPr>
          </w:p>
          <w:p>
            <w:pPr>
              <w:pStyle w:val="TableParagraph"/>
              <w:rPr>
                <w:sz w:val="24"/>
              </w:rPr>
            </w:pPr>
          </w:p>
          <w:p>
            <w:pPr>
              <w:pStyle w:val="TableParagraph"/>
              <w:spacing w:before="11"/>
              <w:rPr>
                <w:sz w:val="24"/>
              </w:rPr>
            </w:pPr>
          </w:p>
          <w:p>
            <w:pPr>
              <w:pStyle w:val="TableParagraph"/>
              <w:spacing w:line="242" w:lineRule="auto"/>
              <w:ind w:left="447" w:right="194" w:hanging="240"/>
              <w:rPr>
                <w:sz w:val="24"/>
              </w:rPr>
            </w:pPr>
            <w:r>
              <w:rPr>
                <w:sz w:val="24"/>
              </w:rPr>
              <w:t>基本条件</w:t>
            </w:r>
          </w:p>
        </w:tc>
        <w:tc>
          <w:tcPr>
            <w:tcW w:w="1559" w:type="dxa"/>
          </w:tcPr>
          <w:p>
            <w:pPr>
              <w:pStyle w:val="TableParagraph"/>
              <w:spacing w:before="157"/>
              <w:ind w:left="179"/>
              <w:rPr>
                <w:sz w:val="24"/>
              </w:rPr>
            </w:pPr>
            <w:r>
              <w:rPr>
                <w:sz w:val="24"/>
              </w:rPr>
              <w:t>CBTZ-JB001</w:t>
            </w:r>
          </w:p>
        </w:tc>
        <w:tc>
          <w:tcPr>
            <w:tcW w:w="2693" w:type="dxa"/>
          </w:tcPr>
          <w:p>
            <w:pPr>
              <w:pStyle w:val="TableParagraph"/>
              <w:spacing w:before="1"/>
              <w:ind w:left="108"/>
              <w:rPr>
                <w:sz w:val="24"/>
              </w:rPr>
            </w:pPr>
            <w:r>
              <w:rPr>
                <w:sz w:val="24"/>
              </w:rPr>
              <w:t>未办理危险作业审批手</w:t>
            </w:r>
          </w:p>
          <w:p>
            <w:pPr>
              <w:pStyle w:val="TableParagraph"/>
              <w:spacing w:line="290" w:lineRule="exact" w:before="4"/>
              <w:ind w:left="108"/>
              <w:rPr>
                <w:sz w:val="24"/>
              </w:rPr>
            </w:pPr>
            <w:r>
              <w:rPr>
                <w:sz w:val="24"/>
              </w:rPr>
              <w:t>续</w:t>
            </w:r>
          </w:p>
        </w:tc>
        <w:tc>
          <w:tcPr>
            <w:tcW w:w="992" w:type="dxa"/>
            <w:vMerge w:val="restart"/>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2"/>
              <w:rPr>
                <w:sz w:val="26"/>
              </w:rPr>
            </w:pPr>
          </w:p>
          <w:p>
            <w:pPr>
              <w:pStyle w:val="TableParagraph"/>
              <w:spacing w:line="242" w:lineRule="auto"/>
              <w:ind w:left="108" w:right="374"/>
              <w:rPr>
                <w:sz w:val="24"/>
              </w:rPr>
            </w:pPr>
            <w:r>
              <w:rPr>
                <w:sz w:val="24"/>
              </w:rPr>
              <w:t>CB 3381</w:t>
            </w:r>
          </w:p>
        </w:tc>
        <w:tc>
          <w:tcPr>
            <w:tcW w:w="2091" w:type="dxa"/>
            <w:vMerge w:val="restart"/>
          </w:tcPr>
          <w:p>
            <w:pPr>
              <w:pStyle w:val="TableParagraph"/>
              <w:rPr>
                <w:sz w:val="24"/>
              </w:rPr>
            </w:pPr>
          </w:p>
          <w:p>
            <w:pPr>
              <w:pStyle w:val="TableParagraph"/>
              <w:rPr>
                <w:sz w:val="24"/>
              </w:rPr>
            </w:pPr>
          </w:p>
          <w:p>
            <w:pPr>
              <w:pStyle w:val="TableParagraph"/>
              <w:numPr>
                <w:ilvl w:val="0"/>
                <w:numId w:val="40"/>
              </w:numPr>
              <w:tabs>
                <w:tab w:pos="379" w:val="left" w:leader="none"/>
              </w:tabs>
              <w:spacing w:line="242" w:lineRule="auto" w:before="156" w:after="0"/>
              <w:ind w:left="107" w:right="51" w:firstLine="0"/>
              <w:jc w:val="both"/>
              <w:rPr>
                <w:sz w:val="24"/>
              </w:rPr>
            </w:pPr>
            <w:r>
              <w:rPr>
                <w:spacing w:val="25"/>
                <w:sz w:val="24"/>
              </w:rPr>
              <w:t>同一次隐患排</w:t>
            </w:r>
            <w:r>
              <w:rPr>
                <w:spacing w:val="5"/>
                <w:sz w:val="24"/>
              </w:rPr>
              <w:t>查过程中，同一作</w:t>
            </w:r>
            <w:r>
              <w:rPr>
                <w:spacing w:val="26"/>
                <w:sz w:val="24"/>
              </w:rPr>
              <w:t>业现场发现任意</w:t>
            </w:r>
            <w:r>
              <w:rPr>
                <w:spacing w:val="7"/>
                <w:sz w:val="24"/>
              </w:rPr>
              <w:t>一项基本条件+任</w:t>
            </w:r>
            <w:r>
              <w:rPr>
                <w:spacing w:val="26"/>
                <w:sz w:val="24"/>
              </w:rPr>
              <w:t>意两项隐患内容</w:t>
            </w:r>
            <w:r>
              <w:rPr>
                <w:spacing w:val="-5"/>
                <w:sz w:val="24"/>
              </w:rPr>
              <w:t>的，判定为重大生</w:t>
            </w:r>
            <w:r>
              <w:rPr>
                <w:spacing w:val="-7"/>
                <w:sz w:val="24"/>
              </w:rPr>
              <w:t>产安全事故隐患；</w:t>
            </w:r>
          </w:p>
          <w:p>
            <w:pPr>
              <w:pStyle w:val="TableParagraph"/>
              <w:numPr>
                <w:ilvl w:val="0"/>
                <w:numId w:val="40"/>
              </w:numPr>
              <w:tabs>
                <w:tab w:pos="379" w:val="left" w:leader="none"/>
              </w:tabs>
              <w:spacing w:line="242" w:lineRule="auto" w:before="3" w:after="0"/>
              <w:ind w:left="107" w:right="97" w:firstLine="0"/>
              <w:jc w:val="both"/>
              <w:rPr>
                <w:sz w:val="24"/>
              </w:rPr>
            </w:pPr>
            <w:r>
              <w:rPr>
                <w:spacing w:val="23"/>
                <w:sz w:val="24"/>
              </w:rPr>
              <w:t>同一次隐患排</w:t>
            </w:r>
            <w:r>
              <w:rPr>
                <w:spacing w:val="-10"/>
                <w:sz w:val="24"/>
              </w:rPr>
              <w:t>查过程中，不同作</w:t>
            </w:r>
            <w:r>
              <w:rPr>
                <w:spacing w:val="24"/>
                <w:sz w:val="24"/>
              </w:rPr>
              <w:t>业现场累计发现任意两项基本条</w:t>
            </w:r>
            <w:r>
              <w:rPr>
                <w:spacing w:val="-10"/>
                <w:sz w:val="24"/>
              </w:rPr>
              <w:t>件的，判定为重大</w:t>
            </w:r>
            <w:r>
              <w:rPr>
                <w:spacing w:val="24"/>
                <w:sz w:val="24"/>
              </w:rPr>
              <w:t>生产安全事故隐</w:t>
            </w:r>
            <w:r>
              <w:rPr>
                <w:sz w:val="24"/>
              </w:rPr>
              <w:t>患；</w:t>
            </w:r>
          </w:p>
          <w:p>
            <w:pPr>
              <w:pStyle w:val="TableParagraph"/>
              <w:numPr>
                <w:ilvl w:val="0"/>
                <w:numId w:val="40"/>
              </w:numPr>
              <w:tabs>
                <w:tab w:pos="379" w:val="left" w:leader="none"/>
              </w:tabs>
              <w:spacing w:line="242" w:lineRule="auto" w:before="5" w:after="0"/>
              <w:ind w:left="107" w:right="97" w:firstLine="0"/>
              <w:jc w:val="both"/>
              <w:rPr>
                <w:sz w:val="24"/>
              </w:rPr>
            </w:pPr>
            <w:r>
              <w:rPr>
                <w:spacing w:val="23"/>
                <w:sz w:val="24"/>
              </w:rPr>
              <w:t>同一次隐患排</w:t>
            </w:r>
            <w:r>
              <w:rPr>
                <w:spacing w:val="-10"/>
                <w:sz w:val="24"/>
              </w:rPr>
              <w:t>查过程中，不同作</w:t>
            </w:r>
            <w:r>
              <w:rPr>
                <w:spacing w:val="24"/>
                <w:sz w:val="24"/>
              </w:rPr>
              <w:t>业现场累计发现任意四项隐患内</w:t>
            </w:r>
            <w:r>
              <w:rPr>
                <w:spacing w:val="-10"/>
                <w:sz w:val="24"/>
              </w:rPr>
              <w:t>容的，判定为重大</w:t>
            </w:r>
            <w:r>
              <w:rPr>
                <w:spacing w:val="24"/>
                <w:sz w:val="24"/>
              </w:rPr>
              <w:t>生产安全事故隐</w:t>
            </w:r>
            <w:r>
              <w:rPr>
                <w:sz w:val="24"/>
              </w:rPr>
              <w:t>患</w:t>
            </w:r>
          </w:p>
        </w:tc>
      </w:tr>
      <w:tr>
        <w:trPr>
          <w:trHeight w:val="543"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135"/>
              <w:ind w:left="253"/>
              <w:rPr>
                <w:sz w:val="21"/>
              </w:rPr>
            </w:pPr>
            <w:r>
              <w:rPr>
                <w:sz w:val="21"/>
              </w:rPr>
              <w:t>CBTZ-JB002</w:t>
            </w:r>
          </w:p>
        </w:tc>
        <w:tc>
          <w:tcPr>
            <w:tcW w:w="2693" w:type="dxa"/>
          </w:tcPr>
          <w:p>
            <w:pPr>
              <w:pStyle w:val="TableParagraph"/>
              <w:ind w:left="108"/>
              <w:rPr>
                <w:sz w:val="21"/>
              </w:rPr>
            </w:pPr>
            <w:r>
              <w:rPr>
                <w:sz w:val="21"/>
              </w:rPr>
              <w:t>舱内涂装作业现场无人监</w:t>
            </w:r>
          </w:p>
          <w:p>
            <w:pPr>
              <w:pStyle w:val="TableParagraph"/>
              <w:spacing w:line="252" w:lineRule="exact" w:before="2"/>
              <w:ind w:left="108"/>
              <w:rPr>
                <w:sz w:val="21"/>
              </w:rPr>
            </w:pPr>
            <w:r>
              <w:rPr>
                <w:w w:val="99"/>
                <w:sz w:val="21"/>
              </w:rPr>
              <w:t>护</w:t>
            </w:r>
          </w:p>
        </w:tc>
        <w:tc>
          <w:tcPr>
            <w:tcW w:w="992" w:type="dxa"/>
            <w:vMerge/>
            <w:tcBorders>
              <w:top w:val="nil"/>
            </w:tcBorders>
          </w:tcPr>
          <w:p>
            <w:pPr>
              <w:rPr>
                <w:sz w:val="2"/>
                <w:szCs w:val="2"/>
              </w:rPr>
            </w:pPr>
          </w:p>
        </w:tc>
        <w:tc>
          <w:tcPr>
            <w:tcW w:w="2091" w:type="dxa"/>
            <w:vMerge/>
            <w:tcBorders>
              <w:top w:val="nil"/>
            </w:tcBorders>
          </w:tcPr>
          <w:p>
            <w:pPr>
              <w:rPr>
                <w:sz w:val="2"/>
                <w:szCs w:val="2"/>
              </w:rPr>
            </w:pPr>
          </w:p>
        </w:tc>
      </w:tr>
      <w:tr>
        <w:trPr>
          <w:trHeight w:val="545"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135"/>
              <w:ind w:left="253"/>
              <w:rPr>
                <w:sz w:val="21"/>
              </w:rPr>
            </w:pPr>
            <w:r>
              <w:rPr>
                <w:sz w:val="21"/>
              </w:rPr>
              <w:t>CBTZ-JB003</w:t>
            </w:r>
          </w:p>
        </w:tc>
        <w:tc>
          <w:tcPr>
            <w:tcW w:w="2693" w:type="dxa"/>
          </w:tcPr>
          <w:p>
            <w:pPr>
              <w:pStyle w:val="TableParagraph"/>
              <w:spacing w:before="1"/>
              <w:ind w:left="108"/>
              <w:rPr>
                <w:sz w:val="21"/>
              </w:rPr>
            </w:pPr>
            <w:r>
              <w:rPr>
                <w:w w:val="95"/>
                <w:sz w:val="21"/>
              </w:rPr>
              <w:t>涂装作业审批人员和气体</w:t>
            </w:r>
          </w:p>
          <w:p>
            <w:pPr>
              <w:pStyle w:val="TableParagraph"/>
              <w:spacing w:line="253" w:lineRule="exact" w:before="2"/>
              <w:ind w:left="108"/>
              <w:rPr>
                <w:sz w:val="21"/>
              </w:rPr>
            </w:pPr>
            <w:r>
              <w:rPr>
                <w:w w:val="95"/>
                <w:sz w:val="21"/>
              </w:rPr>
              <w:t>检测技术人员未持证上岗</w:t>
            </w:r>
          </w:p>
        </w:tc>
        <w:tc>
          <w:tcPr>
            <w:tcW w:w="992" w:type="dxa"/>
            <w:vMerge/>
            <w:tcBorders>
              <w:top w:val="nil"/>
            </w:tcBorders>
          </w:tcPr>
          <w:p>
            <w:pPr>
              <w:rPr>
                <w:sz w:val="2"/>
                <w:szCs w:val="2"/>
              </w:rPr>
            </w:pPr>
          </w:p>
        </w:tc>
        <w:tc>
          <w:tcPr>
            <w:tcW w:w="2091" w:type="dxa"/>
            <w:vMerge/>
            <w:tcBorders>
              <w:top w:val="nil"/>
            </w:tcBorders>
          </w:tcPr>
          <w:p>
            <w:pPr>
              <w:rPr>
                <w:sz w:val="2"/>
                <w:szCs w:val="2"/>
              </w:rPr>
            </w:pPr>
          </w:p>
        </w:tc>
      </w:tr>
      <w:tr>
        <w:trPr>
          <w:trHeight w:val="1361"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rPr>
                <w:sz w:val="20"/>
              </w:rPr>
            </w:pPr>
          </w:p>
          <w:p>
            <w:pPr>
              <w:pStyle w:val="TableParagraph"/>
              <w:spacing w:before="6"/>
              <w:rPr>
                <w:sz w:val="22"/>
              </w:rPr>
            </w:pPr>
          </w:p>
          <w:p>
            <w:pPr>
              <w:pStyle w:val="TableParagraph"/>
              <w:spacing w:before="1"/>
              <w:ind w:left="253"/>
              <w:rPr>
                <w:sz w:val="21"/>
              </w:rPr>
            </w:pPr>
            <w:r>
              <w:rPr>
                <w:sz w:val="21"/>
              </w:rPr>
              <w:t>CBTZ-JB004</w:t>
            </w:r>
          </w:p>
        </w:tc>
        <w:tc>
          <w:tcPr>
            <w:tcW w:w="2693" w:type="dxa"/>
          </w:tcPr>
          <w:p>
            <w:pPr>
              <w:pStyle w:val="TableParagraph"/>
              <w:spacing w:line="242" w:lineRule="auto"/>
              <w:ind w:left="108" w:right="54"/>
              <w:rPr>
                <w:sz w:val="21"/>
              </w:rPr>
            </w:pPr>
            <w:r>
              <w:rPr>
                <w:spacing w:val="-1"/>
                <w:sz w:val="21"/>
              </w:rPr>
              <w:t>作业现场生产调度不合理， </w:t>
            </w:r>
            <w:r>
              <w:rPr>
                <w:sz w:val="21"/>
              </w:rPr>
              <w:t>在涂装作业禁区内存在与 </w:t>
            </w:r>
            <w:r>
              <w:rPr>
                <w:spacing w:val="-4"/>
                <w:sz w:val="21"/>
              </w:rPr>
              <w:t>涂装作业相冲突的作业，造成两种或两种以上交叉作</w:t>
            </w:r>
          </w:p>
          <w:p>
            <w:pPr>
              <w:pStyle w:val="TableParagraph"/>
              <w:spacing w:line="252" w:lineRule="exact" w:before="2"/>
              <w:ind w:left="108"/>
              <w:rPr>
                <w:sz w:val="21"/>
              </w:rPr>
            </w:pPr>
            <w:r>
              <w:rPr>
                <w:w w:val="99"/>
                <w:sz w:val="21"/>
              </w:rPr>
              <w:t>业</w:t>
            </w:r>
          </w:p>
        </w:tc>
        <w:tc>
          <w:tcPr>
            <w:tcW w:w="992" w:type="dxa"/>
            <w:vMerge/>
            <w:tcBorders>
              <w:top w:val="nil"/>
            </w:tcBorders>
          </w:tcPr>
          <w:p>
            <w:pPr>
              <w:rPr>
                <w:sz w:val="2"/>
                <w:szCs w:val="2"/>
              </w:rPr>
            </w:pPr>
          </w:p>
        </w:tc>
        <w:tc>
          <w:tcPr>
            <w:tcW w:w="2091" w:type="dxa"/>
            <w:vMerge/>
            <w:tcBorders>
              <w:top w:val="nil"/>
            </w:tcBorders>
          </w:tcPr>
          <w:p>
            <w:pPr>
              <w:rPr>
                <w:sz w:val="2"/>
                <w:szCs w:val="2"/>
              </w:rPr>
            </w:pPr>
          </w:p>
        </w:tc>
      </w:tr>
      <w:tr>
        <w:trPr>
          <w:trHeight w:val="544" w:hRule="atLeast"/>
        </w:trPr>
        <w:tc>
          <w:tcPr>
            <w:tcW w:w="1101" w:type="dxa"/>
            <w:vMerge/>
            <w:tcBorders>
              <w:top w:val="nil"/>
            </w:tcBorders>
          </w:tcPr>
          <w:p>
            <w:pPr>
              <w:rPr>
                <w:sz w:val="2"/>
                <w:szCs w:val="2"/>
              </w:rPr>
            </w:pPr>
          </w:p>
        </w:tc>
        <w:tc>
          <w:tcPr>
            <w:tcW w:w="1134" w:type="dxa"/>
            <w:vMerge w:val="restart"/>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1"/>
              <w:rPr>
                <w:sz w:val="22"/>
              </w:rPr>
            </w:pPr>
          </w:p>
          <w:p>
            <w:pPr>
              <w:pStyle w:val="TableParagraph"/>
              <w:ind w:left="147"/>
              <w:rPr>
                <w:sz w:val="21"/>
              </w:rPr>
            </w:pPr>
            <w:r>
              <w:rPr>
                <w:sz w:val="21"/>
              </w:rPr>
              <w:t>隐患内容</w:t>
            </w:r>
          </w:p>
        </w:tc>
        <w:tc>
          <w:tcPr>
            <w:tcW w:w="1559" w:type="dxa"/>
          </w:tcPr>
          <w:p>
            <w:pPr>
              <w:pStyle w:val="TableParagraph"/>
              <w:spacing w:before="135"/>
              <w:ind w:left="253"/>
              <w:rPr>
                <w:sz w:val="21"/>
              </w:rPr>
            </w:pPr>
            <w:r>
              <w:rPr>
                <w:sz w:val="21"/>
              </w:rPr>
              <w:t>CBTZ-YH001</w:t>
            </w:r>
          </w:p>
        </w:tc>
        <w:tc>
          <w:tcPr>
            <w:tcW w:w="2693" w:type="dxa"/>
          </w:tcPr>
          <w:p>
            <w:pPr>
              <w:pStyle w:val="TableParagraph"/>
              <w:spacing w:before="1"/>
              <w:ind w:left="108"/>
              <w:rPr>
                <w:sz w:val="21"/>
              </w:rPr>
            </w:pPr>
            <w:r>
              <w:rPr>
                <w:sz w:val="21"/>
              </w:rPr>
              <w:t>作业现场未使用防爆的电</w:t>
            </w:r>
          </w:p>
          <w:p>
            <w:pPr>
              <w:pStyle w:val="TableParagraph"/>
              <w:spacing w:line="252" w:lineRule="exact" w:before="2"/>
              <w:ind w:left="108"/>
              <w:rPr>
                <w:sz w:val="21"/>
              </w:rPr>
            </w:pPr>
            <w:r>
              <w:rPr>
                <w:sz w:val="21"/>
              </w:rPr>
              <w:t>气设备、照明设施</w:t>
            </w:r>
          </w:p>
        </w:tc>
        <w:tc>
          <w:tcPr>
            <w:tcW w:w="992" w:type="dxa"/>
            <w:vMerge/>
            <w:tcBorders>
              <w:top w:val="nil"/>
            </w:tcBorders>
          </w:tcPr>
          <w:p>
            <w:pPr>
              <w:rPr>
                <w:sz w:val="2"/>
                <w:szCs w:val="2"/>
              </w:rPr>
            </w:pPr>
          </w:p>
        </w:tc>
        <w:tc>
          <w:tcPr>
            <w:tcW w:w="2091" w:type="dxa"/>
            <w:vMerge/>
            <w:tcBorders>
              <w:top w:val="nil"/>
            </w:tcBorders>
          </w:tcPr>
          <w:p>
            <w:pPr>
              <w:rPr>
                <w:sz w:val="2"/>
                <w:szCs w:val="2"/>
              </w:rPr>
            </w:pPr>
          </w:p>
        </w:tc>
      </w:tr>
      <w:tr>
        <w:trPr>
          <w:trHeight w:val="545"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135"/>
              <w:ind w:left="253"/>
              <w:rPr>
                <w:sz w:val="21"/>
              </w:rPr>
            </w:pPr>
            <w:r>
              <w:rPr>
                <w:sz w:val="21"/>
              </w:rPr>
              <w:t>CBTZ-YH002</w:t>
            </w:r>
          </w:p>
        </w:tc>
        <w:tc>
          <w:tcPr>
            <w:tcW w:w="2693" w:type="dxa"/>
          </w:tcPr>
          <w:p>
            <w:pPr>
              <w:pStyle w:val="TableParagraph"/>
              <w:spacing w:before="1"/>
              <w:ind w:left="108"/>
              <w:rPr>
                <w:sz w:val="21"/>
              </w:rPr>
            </w:pPr>
            <w:r>
              <w:rPr>
                <w:sz w:val="21"/>
              </w:rPr>
              <w:t>舱内涂装作业现场未有效</w:t>
            </w:r>
          </w:p>
          <w:p>
            <w:pPr>
              <w:pStyle w:val="TableParagraph"/>
              <w:spacing w:line="252" w:lineRule="exact" w:before="2"/>
              <w:ind w:left="108"/>
              <w:rPr>
                <w:sz w:val="21"/>
              </w:rPr>
            </w:pPr>
            <w:r>
              <w:rPr>
                <w:sz w:val="21"/>
              </w:rPr>
              <w:t>通风</w:t>
            </w:r>
          </w:p>
        </w:tc>
        <w:tc>
          <w:tcPr>
            <w:tcW w:w="992" w:type="dxa"/>
            <w:vMerge/>
            <w:tcBorders>
              <w:top w:val="nil"/>
            </w:tcBorders>
          </w:tcPr>
          <w:p>
            <w:pPr>
              <w:rPr>
                <w:sz w:val="2"/>
                <w:szCs w:val="2"/>
              </w:rPr>
            </w:pPr>
          </w:p>
        </w:tc>
        <w:tc>
          <w:tcPr>
            <w:tcW w:w="2091" w:type="dxa"/>
            <w:vMerge/>
            <w:tcBorders>
              <w:top w:val="nil"/>
            </w:tcBorders>
          </w:tcPr>
          <w:p>
            <w:pPr>
              <w:rPr>
                <w:sz w:val="2"/>
                <w:szCs w:val="2"/>
              </w:rPr>
            </w:pPr>
          </w:p>
        </w:tc>
      </w:tr>
      <w:tr>
        <w:trPr>
          <w:trHeight w:val="1088"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rPr>
                <w:sz w:val="20"/>
              </w:rPr>
            </w:pPr>
          </w:p>
          <w:p>
            <w:pPr>
              <w:pStyle w:val="TableParagraph"/>
              <w:spacing w:before="152"/>
              <w:ind w:left="253"/>
              <w:rPr>
                <w:sz w:val="21"/>
              </w:rPr>
            </w:pPr>
            <w:r>
              <w:rPr>
                <w:sz w:val="21"/>
              </w:rPr>
              <w:t>CBTZ-YH003</w:t>
            </w:r>
          </w:p>
        </w:tc>
        <w:tc>
          <w:tcPr>
            <w:tcW w:w="2693" w:type="dxa"/>
          </w:tcPr>
          <w:p>
            <w:pPr>
              <w:pStyle w:val="TableParagraph"/>
              <w:spacing w:line="242" w:lineRule="auto"/>
              <w:ind w:left="108" w:right="97"/>
              <w:rPr>
                <w:sz w:val="21"/>
              </w:rPr>
            </w:pPr>
            <w:r>
              <w:rPr>
                <w:sz w:val="21"/>
              </w:rPr>
              <w:t>油漆溶剂未履行上船登记</w:t>
            </w:r>
            <w:r>
              <w:rPr>
                <w:spacing w:val="-8"/>
                <w:sz w:val="21"/>
              </w:rPr>
              <w:t>手续，剩余涂料和溶剂未带</w:t>
            </w:r>
            <w:r>
              <w:rPr>
                <w:sz w:val="21"/>
              </w:rPr>
              <w:t>离作业现场或未放入指定</w:t>
            </w:r>
          </w:p>
          <w:p>
            <w:pPr>
              <w:pStyle w:val="TableParagraph"/>
              <w:spacing w:line="252" w:lineRule="exact" w:before="1"/>
              <w:ind w:left="108"/>
              <w:rPr>
                <w:sz w:val="21"/>
              </w:rPr>
            </w:pPr>
            <w:r>
              <w:rPr>
                <w:sz w:val="21"/>
              </w:rPr>
              <w:t>回收点</w:t>
            </w:r>
          </w:p>
        </w:tc>
        <w:tc>
          <w:tcPr>
            <w:tcW w:w="992" w:type="dxa"/>
            <w:vMerge/>
            <w:tcBorders>
              <w:top w:val="nil"/>
            </w:tcBorders>
          </w:tcPr>
          <w:p>
            <w:pPr>
              <w:rPr>
                <w:sz w:val="2"/>
                <w:szCs w:val="2"/>
              </w:rPr>
            </w:pPr>
          </w:p>
        </w:tc>
        <w:tc>
          <w:tcPr>
            <w:tcW w:w="2091" w:type="dxa"/>
            <w:vMerge/>
            <w:tcBorders>
              <w:top w:val="nil"/>
            </w:tcBorders>
          </w:tcPr>
          <w:p>
            <w:pPr>
              <w:rPr>
                <w:sz w:val="2"/>
                <w:szCs w:val="2"/>
              </w:rPr>
            </w:pPr>
          </w:p>
        </w:tc>
      </w:tr>
      <w:tr>
        <w:trPr>
          <w:trHeight w:val="545"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135"/>
              <w:ind w:left="253"/>
              <w:rPr>
                <w:sz w:val="21"/>
              </w:rPr>
            </w:pPr>
            <w:r>
              <w:rPr>
                <w:sz w:val="21"/>
              </w:rPr>
              <w:t>CBTZ-YH004</w:t>
            </w:r>
          </w:p>
        </w:tc>
        <w:tc>
          <w:tcPr>
            <w:tcW w:w="2693" w:type="dxa"/>
          </w:tcPr>
          <w:p>
            <w:pPr>
              <w:pStyle w:val="TableParagraph"/>
              <w:spacing w:before="1"/>
              <w:ind w:left="108"/>
              <w:rPr>
                <w:sz w:val="21"/>
              </w:rPr>
            </w:pPr>
            <w:r>
              <w:rPr>
                <w:sz w:val="21"/>
              </w:rPr>
              <w:t>作业现场违规使用可能产</w:t>
            </w:r>
          </w:p>
          <w:p>
            <w:pPr>
              <w:pStyle w:val="TableParagraph"/>
              <w:spacing w:line="253" w:lineRule="exact" w:before="2"/>
              <w:ind w:left="108"/>
              <w:rPr>
                <w:sz w:val="21"/>
              </w:rPr>
            </w:pPr>
            <w:r>
              <w:rPr>
                <w:sz w:val="21"/>
              </w:rPr>
              <w:t>生静电或火花的物品</w:t>
            </w:r>
          </w:p>
        </w:tc>
        <w:tc>
          <w:tcPr>
            <w:tcW w:w="992" w:type="dxa"/>
            <w:vMerge/>
            <w:tcBorders>
              <w:top w:val="nil"/>
            </w:tcBorders>
          </w:tcPr>
          <w:p>
            <w:pPr>
              <w:rPr>
                <w:sz w:val="2"/>
                <w:szCs w:val="2"/>
              </w:rPr>
            </w:pPr>
          </w:p>
        </w:tc>
        <w:tc>
          <w:tcPr>
            <w:tcW w:w="2091" w:type="dxa"/>
            <w:vMerge/>
            <w:tcBorders>
              <w:top w:val="nil"/>
            </w:tcBorders>
          </w:tcPr>
          <w:p>
            <w:pPr>
              <w:rPr>
                <w:sz w:val="2"/>
                <w:szCs w:val="2"/>
              </w:rPr>
            </w:pPr>
          </w:p>
        </w:tc>
      </w:tr>
      <w:tr>
        <w:trPr>
          <w:trHeight w:val="817"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4"/>
              <w:rPr>
                <w:sz w:val="21"/>
              </w:rPr>
            </w:pPr>
          </w:p>
          <w:p>
            <w:pPr>
              <w:pStyle w:val="TableParagraph"/>
              <w:spacing w:before="1"/>
              <w:ind w:left="253"/>
              <w:rPr>
                <w:sz w:val="21"/>
              </w:rPr>
            </w:pPr>
            <w:r>
              <w:rPr>
                <w:sz w:val="21"/>
              </w:rPr>
              <w:t>CBTZ-YH005</w:t>
            </w:r>
          </w:p>
        </w:tc>
        <w:tc>
          <w:tcPr>
            <w:tcW w:w="2693" w:type="dxa"/>
          </w:tcPr>
          <w:p>
            <w:pPr>
              <w:pStyle w:val="TableParagraph"/>
              <w:ind w:left="108"/>
              <w:rPr>
                <w:sz w:val="21"/>
              </w:rPr>
            </w:pPr>
            <w:r>
              <w:rPr>
                <w:sz w:val="21"/>
              </w:rPr>
              <w:t>喷漆软管存在断裂、泄露、</w:t>
            </w:r>
          </w:p>
          <w:p>
            <w:pPr>
              <w:pStyle w:val="TableParagraph"/>
              <w:spacing w:line="270" w:lineRule="atLeast" w:before="4"/>
              <w:ind w:left="108" w:right="36"/>
              <w:rPr>
                <w:sz w:val="21"/>
              </w:rPr>
            </w:pPr>
            <w:r>
              <w:rPr>
                <w:sz w:val="21"/>
              </w:rPr>
              <w:t>划破、膨胀、活接头损坏等情况</w:t>
            </w:r>
          </w:p>
        </w:tc>
        <w:tc>
          <w:tcPr>
            <w:tcW w:w="992" w:type="dxa"/>
            <w:vMerge/>
            <w:tcBorders>
              <w:top w:val="nil"/>
            </w:tcBorders>
          </w:tcPr>
          <w:p>
            <w:pPr>
              <w:rPr>
                <w:sz w:val="2"/>
                <w:szCs w:val="2"/>
              </w:rPr>
            </w:pPr>
          </w:p>
        </w:tc>
        <w:tc>
          <w:tcPr>
            <w:tcW w:w="2091" w:type="dxa"/>
            <w:vMerge/>
            <w:tcBorders>
              <w:top w:val="nil"/>
            </w:tcBorders>
          </w:tcPr>
          <w:p>
            <w:pPr>
              <w:rPr>
                <w:sz w:val="2"/>
                <w:szCs w:val="2"/>
              </w:rPr>
            </w:pPr>
          </w:p>
        </w:tc>
      </w:tr>
      <w:tr>
        <w:trPr>
          <w:trHeight w:val="817"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3"/>
              <w:rPr>
                <w:sz w:val="21"/>
              </w:rPr>
            </w:pPr>
          </w:p>
          <w:p>
            <w:pPr>
              <w:pStyle w:val="TableParagraph"/>
              <w:ind w:left="253"/>
              <w:rPr>
                <w:sz w:val="21"/>
              </w:rPr>
            </w:pPr>
            <w:r>
              <w:rPr>
                <w:sz w:val="21"/>
              </w:rPr>
              <w:t>CBTZ-YH006</w:t>
            </w:r>
          </w:p>
        </w:tc>
        <w:tc>
          <w:tcPr>
            <w:tcW w:w="2693" w:type="dxa"/>
          </w:tcPr>
          <w:p>
            <w:pPr>
              <w:pStyle w:val="TableParagraph"/>
              <w:spacing w:line="242" w:lineRule="auto" w:before="1"/>
              <w:ind w:left="108" w:right="263"/>
              <w:rPr>
                <w:sz w:val="21"/>
              </w:rPr>
            </w:pPr>
            <w:r>
              <w:rPr>
                <w:sz w:val="21"/>
              </w:rPr>
              <w:t>喷涂作业时喷漆软管扭结或软管的不锈钢接头未包</w:t>
            </w:r>
          </w:p>
          <w:p>
            <w:pPr>
              <w:pStyle w:val="TableParagraph"/>
              <w:spacing w:line="251" w:lineRule="exact" w:before="1"/>
              <w:ind w:left="108"/>
              <w:rPr>
                <w:sz w:val="21"/>
              </w:rPr>
            </w:pPr>
            <w:r>
              <w:rPr>
                <w:w w:val="99"/>
                <w:sz w:val="21"/>
              </w:rPr>
              <w:t>扎</w:t>
            </w:r>
          </w:p>
        </w:tc>
        <w:tc>
          <w:tcPr>
            <w:tcW w:w="992" w:type="dxa"/>
            <w:vMerge/>
            <w:tcBorders>
              <w:top w:val="nil"/>
            </w:tcBorders>
          </w:tcPr>
          <w:p>
            <w:pPr>
              <w:rPr>
                <w:sz w:val="2"/>
                <w:szCs w:val="2"/>
              </w:rPr>
            </w:pPr>
          </w:p>
        </w:tc>
        <w:tc>
          <w:tcPr>
            <w:tcW w:w="2091" w:type="dxa"/>
            <w:vMerge/>
            <w:tcBorders>
              <w:top w:val="nil"/>
            </w:tcBorders>
          </w:tcPr>
          <w:p>
            <w:pPr>
              <w:rPr>
                <w:sz w:val="2"/>
                <w:szCs w:val="2"/>
              </w:rPr>
            </w:pPr>
          </w:p>
        </w:tc>
      </w:tr>
      <w:tr>
        <w:trPr>
          <w:trHeight w:val="545"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137"/>
              <w:ind w:left="253"/>
              <w:rPr>
                <w:sz w:val="21"/>
              </w:rPr>
            </w:pPr>
            <w:r>
              <w:rPr>
                <w:sz w:val="21"/>
              </w:rPr>
              <w:t>CBTZ-YH007</w:t>
            </w:r>
          </w:p>
        </w:tc>
        <w:tc>
          <w:tcPr>
            <w:tcW w:w="2693" w:type="dxa"/>
          </w:tcPr>
          <w:p>
            <w:pPr>
              <w:pStyle w:val="TableParagraph"/>
              <w:ind w:left="108"/>
              <w:rPr>
                <w:sz w:val="21"/>
              </w:rPr>
            </w:pPr>
            <w:r>
              <w:rPr>
                <w:sz w:val="21"/>
              </w:rPr>
              <w:t>调漆搅拌机、喷漆泵等设备</w:t>
            </w:r>
          </w:p>
          <w:p>
            <w:pPr>
              <w:pStyle w:val="TableParagraph"/>
              <w:spacing w:line="251" w:lineRule="exact" w:before="4"/>
              <w:ind w:left="108"/>
              <w:rPr>
                <w:sz w:val="21"/>
              </w:rPr>
            </w:pPr>
            <w:r>
              <w:rPr>
                <w:sz w:val="21"/>
              </w:rPr>
              <w:t>未有效接地</w:t>
            </w:r>
          </w:p>
        </w:tc>
        <w:tc>
          <w:tcPr>
            <w:tcW w:w="992" w:type="dxa"/>
            <w:vMerge/>
            <w:tcBorders>
              <w:top w:val="nil"/>
            </w:tcBorders>
          </w:tcPr>
          <w:p>
            <w:pPr>
              <w:rPr>
                <w:sz w:val="2"/>
                <w:szCs w:val="2"/>
              </w:rPr>
            </w:pPr>
          </w:p>
        </w:tc>
        <w:tc>
          <w:tcPr>
            <w:tcW w:w="2091" w:type="dxa"/>
            <w:vMerge/>
            <w:tcBorders>
              <w:top w:val="nil"/>
            </w:tcBorders>
          </w:tcPr>
          <w:p>
            <w:pPr>
              <w:rPr>
                <w:sz w:val="2"/>
                <w:szCs w:val="2"/>
              </w:rPr>
            </w:pPr>
          </w:p>
        </w:tc>
      </w:tr>
    </w:tbl>
    <w:p>
      <w:pPr>
        <w:pStyle w:val="Heading3"/>
        <w:numPr>
          <w:ilvl w:val="1"/>
          <w:numId w:val="34"/>
        </w:numPr>
        <w:tabs>
          <w:tab w:pos="1002" w:val="left" w:leader="none"/>
        </w:tabs>
        <w:spacing w:line="240" w:lineRule="auto" w:before="16" w:after="0"/>
        <w:ind w:left="1001" w:right="0" w:hanging="644"/>
        <w:jc w:val="left"/>
      </w:pPr>
      <w:r>
        <w:rPr/>
        <w:t>船舶行业有限空间作业重大生产安全事故隐患综合判定标准</w:t>
      </w:r>
    </w:p>
    <w:p>
      <w:pPr>
        <w:spacing w:after="0" w:line="240" w:lineRule="auto"/>
        <w:jc w:val="left"/>
        <w:sectPr>
          <w:pgSz w:w="11910" w:h="16840"/>
          <w:pgMar w:header="0" w:footer="1039" w:top="1580" w:bottom="1300" w:left="1060" w:right="860"/>
        </w:sectPr>
      </w:pPr>
    </w:p>
    <w:p>
      <w:pPr>
        <w:pStyle w:val="BodyText"/>
        <w:ind w:left="0"/>
        <w:rPr>
          <w:rFonts w:ascii="Microsoft JhengHei"/>
          <w:b/>
          <w:sz w:val="22"/>
        </w:rPr>
      </w:pPr>
    </w:p>
    <w:p>
      <w:pPr>
        <w:pStyle w:val="BodyText"/>
        <w:spacing w:before="54"/>
        <w:ind w:left="996"/>
      </w:pPr>
      <w:r>
        <w:rPr/>
        <w:t>船舶行业有限空间作业重大生产安全事故隐患综合判定标准见</w:t>
      </w:r>
    </w:p>
    <w:p>
      <w:pPr>
        <w:pStyle w:val="BodyText"/>
        <w:spacing w:before="149"/>
        <w:ind w:left="358"/>
      </w:pPr>
      <w:r>
        <w:rPr/>
        <w:t>表7。</w:t>
      </w:r>
    </w:p>
    <w:p>
      <w:pPr>
        <w:tabs>
          <w:tab w:pos="685" w:val="left" w:leader="none"/>
        </w:tabs>
        <w:spacing w:before="23"/>
        <w:ind w:left="86" w:right="0" w:firstLine="0"/>
        <w:jc w:val="center"/>
        <w:rPr>
          <w:sz w:val="24"/>
        </w:rPr>
      </w:pPr>
      <w:r>
        <w:rPr>
          <w:sz w:val="24"/>
        </w:rPr>
        <w:t>表7</w:t>
        <w:tab/>
        <w:t>船舶行业有限空间作业重大生产安全事故隐患综合判定标准</w:t>
      </w:r>
    </w:p>
    <w:p>
      <w:pPr>
        <w:pStyle w:val="BodyText"/>
        <w:spacing w:before="7"/>
        <w:ind w:left="0"/>
        <w:rPr>
          <w:sz w:val="9"/>
        </w:rPr>
      </w:pPr>
    </w:p>
    <w:tbl>
      <w:tblPr>
        <w:tblW w:w="0" w:type="auto"/>
        <w:jc w:val="left"/>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1"/>
        <w:gridCol w:w="1134"/>
        <w:gridCol w:w="1559"/>
        <w:gridCol w:w="3260"/>
        <w:gridCol w:w="2517"/>
      </w:tblGrid>
      <w:tr>
        <w:trPr>
          <w:trHeight w:val="623" w:hRule="atLeast"/>
        </w:trPr>
        <w:tc>
          <w:tcPr>
            <w:tcW w:w="1101" w:type="dxa"/>
          </w:tcPr>
          <w:p>
            <w:pPr>
              <w:pStyle w:val="TableParagraph"/>
              <w:spacing w:before="2"/>
              <w:ind w:left="169" w:right="161"/>
              <w:jc w:val="center"/>
              <w:rPr>
                <w:sz w:val="24"/>
              </w:rPr>
            </w:pPr>
            <w:r>
              <w:rPr>
                <w:sz w:val="24"/>
              </w:rPr>
              <w:t>隐患项</w:t>
            </w:r>
          </w:p>
          <w:p>
            <w:pPr>
              <w:pStyle w:val="TableParagraph"/>
              <w:spacing w:line="289" w:lineRule="exact" w:before="4"/>
              <w:ind w:left="8"/>
              <w:jc w:val="center"/>
              <w:rPr>
                <w:sz w:val="24"/>
              </w:rPr>
            </w:pPr>
            <w:r>
              <w:rPr>
                <w:sz w:val="24"/>
              </w:rPr>
              <w:t>目</w:t>
            </w:r>
          </w:p>
        </w:tc>
        <w:tc>
          <w:tcPr>
            <w:tcW w:w="1134" w:type="dxa"/>
          </w:tcPr>
          <w:p>
            <w:pPr>
              <w:pStyle w:val="TableParagraph"/>
              <w:spacing w:before="2"/>
              <w:ind w:left="187" w:right="177"/>
              <w:jc w:val="center"/>
              <w:rPr>
                <w:sz w:val="24"/>
              </w:rPr>
            </w:pPr>
            <w:r>
              <w:rPr>
                <w:sz w:val="24"/>
              </w:rPr>
              <w:t>隐患类</w:t>
            </w:r>
          </w:p>
          <w:p>
            <w:pPr>
              <w:pStyle w:val="TableParagraph"/>
              <w:spacing w:line="289" w:lineRule="exact" w:before="4"/>
              <w:ind w:left="10"/>
              <w:jc w:val="center"/>
              <w:rPr>
                <w:sz w:val="24"/>
              </w:rPr>
            </w:pPr>
            <w:r>
              <w:rPr>
                <w:sz w:val="24"/>
              </w:rPr>
              <w:t>别</w:t>
            </w:r>
          </w:p>
        </w:tc>
        <w:tc>
          <w:tcPr>
            <w:tcW w:w="1559" w:type="dxa"/>
          </w:tcPr>
          <w:p>
            <w:pPr>
              <w:pStyle w:val="TableParagraph"/>
              <w:spacing w:before="157"/>
              <w:ind w:left="299"/>
              <w:rPr>
                <w:sz w:val="24"/>
              </w:rPr>
            </w:pPr>
            <w:r>
              <w:rPr>
                <w:sz w:val="24"/>
              </w:rPr>
              <w:t>隐患编号</w:t>
            </w:r>
          </w:p>
        </w:tc>
        <w:tc>
          <w:tcPr>
            <w:tcW w:w="3260" w:type="dxa"/>
          </w:tcPr>
          <w:p>
            <w:pPr>
              <w:pStyle w:val="TableParagraph"/>
              <w:spacing w:before="157"/>
              <w:ind w:left="188" w:right="178"/>
              <w:jc w:val="center"/>
              <w:rPr>
                <w:sz w:val="24"/>
              </w:rPr>
            </w:pPr>
            <w:r>
              <w:rPr>
                <w:sz w:val="24"/>
              </w:rPr>
              <w:t>隐患内容</w:t>
            </w:r>
          </w:p>
        </w:tc>
        <w:tc>
          <w:tcPr>
            <w:tcW w:w="2517" w:type="dxa"/>
          </w:tcPr>
          <w:p>
            <w:pPr>
              <w:pStyle w:val="TableParagraph"/>
              <w:spacing w:before="2"/>
              <w:ind w:left="157" w:right="150"/>
              <w:jc w:val="center"/>
              <w:rPr>
                <w:sz w:val="24"/>
              </w:rPr>
            </w:pPr>
            <w:r>
              <w:rPr>
                <w:sz w:val="24"/>
              </w:rPr>
              <w:t>重大生产安全事故隐</w:t>
            </w:r>
          </w:p>
          <w:p>
            <w:pPr>
              <w:pStyle w:val="TableParagraph"/>
              <w:spacing w:line="289" w:lineRule="exact" w:before="4"/>
              <w:ind w:left="157" w:right="150"/>
              <w:jc w:val="center"/>
              <w:rPr>
                <w:sz w:val="24"/>
              </w:rPr>
            </w:pPr>
            <w:r>
              <w:rPr>
                <w:sz w:val="24"/>
              </w:rPr>
              <w:t>患判据</w:t>
            </w:r>
          </w:p>
        </w:tc>
      </w:tr>
      <w:tr>
        <w:trPr>
          <w:trHeight w:val="310" w:hRule="atLeast"/>
        </w:trPr>
        <w:tc>
          <w:tcPr>
            <w:tcW w:w="1101" w:type="dxa"/>
            <w:vMerge w:val="restart"/>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
              <w:rPr>
                <w:sz w:val="26"/>
              </w:rPr>
            </w:pPr>
          </w:p>
          <w:p>
            <w:pPr>
              <w:pStyle w:val="TableParagraph"/>
              <w:spacing w:line="242" w:lineRule="auto"/>
              <w:ind w:left="189" w:right="179"/>
              <w:rPr>
                <w:sz w:val="24"/>
              </w:rPr>
            </w:pPr>
            <w:r>
              <w:rPr>
                <w:sz w:val="24"/>
              </w:rPr>
              <w:t>有限空间作业</w:t>
            </w:r>
          </w:p>
        </w:tc>
        <w:tc>
          <w:tcPr>
            <w:tcW w:w="1134" w:type="dxa"/>
            <w:vMerge w:val="restart"/>
          </w:tcPr>
          <w:p>
            <w:pPr>
              <w:pStyle w:val="TableParagraph"/>
              <w:spacing w:before="7"/>
              <w:rPr>
                <w:sz w:val="20"/>
              </w:rPr>
            </w:pPr>
          </w:p>
          <w:p>
            <w:pPr>
              <w:pStyle w:val="TableParagraph"/>
              <w:spacing w:line="242" w:lineRule="auto"/>
              <w:ind w:left="447" w:right="194" w:hanging="240"/>
              <w:rPr>
                <w:sz w:val="24"/>
              </w:rPr>
            </w:pPr>
            <w:r>
              <w:rPr>
                <w:sz w:val="24"/>
              </w:rPr>
              <w:t>基本条件</w:t>
            </w:r>
          </w:p>
        </w:tc>
        <w:tc>
          <w:tcPr>
            <w:tcW w:w="1559" w:type="dxa"/>
          </w:tcPr>
          <w:p>
            <w:pPr>
              <w:pStyle w:val="TableParagraph"/>
              <w:spacing w:line="291" w:lineRule="exact"/>
              <w:ind w:left="179"/>
              <w:rPr>
                <w:sz w:val="24"/>
              </w:rPr>
            </w:pPr>
            <w:r>
              <w:rPr>
                <w:sz w:val="24"/>
              </w:rPr>
              <w:t>CBYX-JB001</w:t>
            </w:r>
          </w:p>
        </w:tc>
        <w:tc>
          <w:tcPr>
            <w:tcW w:w="3260" w:type="dxa"/>
          </w:tcPr>
          <w:p>
            <w:pPr>
              <w:pStyle w:val="TableParagraph"/>
              <w:spacing w:line="291" w:lineRule="exact"/>
              <w:ind w:left="108"/>
              <w:rPr>
                <w:sz w:val="24"/>
              </w:rPr>
            </w:pPr>
            <w:r>
              <w:rPr>
                <w:sz w:val="24"/>
              </w:rPr>
              <w:t>未办理危险作业审批手续</w:t>
            </w:r>
          </w:p>
        </w:tc>
        <w:tc>
          <w:tcPr>
            <w:tcW w:w="2517" w:type="dxa"/>
            <w:vMerge w:val="restart"/>
          </w:tcPr>
          <w:p>
            <w:pPr>
              <w:pStyle w:val="TableParagraph"/>
              <w:numPr>
                <w:ilvl w:val="0"/>
                <w:numId w:val="41"/>
              </w:numPr>
              <w:tabs>
                <w:tab w:pos="365" w:val="left" w:leader="none"/>
              </w:tabs>
              <w:spacing w:line="242" w:lineRule="auto" w:before="0" w:after="0"/>
              <w:ind w:left="107" w:right="-15" w:firstLine="0"/>
              <w:jc w:val="left"/>
              <w:rPr>
                <w:sz w:val="24"/>
              </w:rPr>
            </w:pPr>
            <w:r>
              <w:rPr>
                <w:spacing w:val="14"/>
                <w:sz w:val="24"/>
              </w:rPr>
              <w:t>同一次隐患排查过</w:t>
            </w:r>
            <w:r>
              <w:rPr>
                <w:spacing w:val="-9"/>
                <w:sz w:val="24"/>
              </w:rPr>
              <w:t>程中，同一作业现场发现任意一项基本条件+ 任意两项隐患内容的， </w:t>
            </w:r>
            <w:r>
              <w:rPr>
                <w:spacing w:val="14"/>
                <w:sz w:val="24"/>
              </w:rPr>
              <w:t>判定为重大生产安全事故隐患；</w:t>
            </w:r>
          </w:p>
          <w:p>
            <w:pPr>
              <w:pStyle w:val="TableParagraph"/>
              <w:numPr>
                <w:ilvl w:val="0"/>
                <w:numId w:val="41"/>
              </w:numPr>
              <w:tabs>
                <w:tab w:pos="365" w:val="left" w:leader="none"/>
              </w:tabs>
              <w:spacing w:line="242" w:lineRule="auto" w:before="3" w:after="0"/>
              <w:ind w:left="107" w:right="95" w:firstLine="0"/>
              <w:jc w:val="both"/>
              <w:rPr>
                <w:sz w:val="24"/>
              </w:rPr>
            </w:pPr>
            <w:r>
              <w:rPr>
                <w:spacing w:val="14"/>
                <w:sz w:val="24"/>
              </w:rPr>
              <w:t>同一次隐患排查过</w:t>
            </w:r>
            <w:r>
              <w:rPr>
                <w:spacing w:val="-11"/>
                <w:sz w:val="24"/>
              </w:rPr>
              <w:t>程中，不同作业现场累</w:t>
            </w:r>
            <w:r>
              <w:rPr>
                <w:spacing w:val="12"/>
                <w:sz w:val="24"/>
              </w:rPr>
              <w:t>计发现任意两项基本</w:t>
            </w:r>
            <w:r>
              <w:rPr>
                <w:spacing w:val="-14"/>
                <w:sz w:val="24"/>
              </w:rPr>
              <w:t>条件的，判定为重大生</w:t>
            </w:r>
            <w:r>
              <w:rPr>
                <w:sz w:val="24"/>
              </w:rPr>
              <w:t>产安全事故隐患；</w:t>
            </w:r>
          </w:p>
          <w:p>
            <w:pPr>
              <w:pStyle w:val="TableParagraph"/>
              <w:numPr>
                <w:ilvl w:val="0"/>
                <w:numId w:val="41"/>
              </w:numPr>
              <w:tabs>
                <w:tab w:pos="365" w:val="left" w:leader="none"/>
              </w:tabs>
              <w:spacing w:line="242" w:lineRule="auto" w:before="5" w:after="0"/>
              <w:ind w:left="107" w:right="95" w:firstLine="0"/>
              <w:jc w:val="both"/>
              <w:rPr>
                <w:sz w:val="24"/>
              </w:rPr>
            </w:pPr>
            <w:r>
              <w:rPr>
                <w:spacing w:val="14"/>
                <w:sz w:val="24"/>
              </w:rPr>
              <w:t>同一次隐患排查过</w:t>
            </w:r>
            <w:r>
              <w:rPr>
                <w:spacing w:val="-11"/>
                <w:sz w:val="24"/>
              </w:rPr>
              <w:t>程中，不同作业现场累</w:t>
            </w:r>
            <w:r>
              <w:rPr>
                <w:spacing w:val="12"/>
                <w:sz w:val="24"/>
              </w:rPr>
              <w:t>计发现任意四项隐患</w:t>
            </w:r>
            <w:r>
              <w:rPr>
                <w:spacing w:val="-14"/>
                <w:sz w:val="24"/>
              </w:rPr>
              <w:t>内容的，判定为重大生</w:t>
            </w:r>
          </w:p>
          <w:p>
            <w:pPr>
              <w:pStyle w:val="TableParagraph"/>
              <w:spacing w:line="292" w:lineRule="exact" w:before="1"/>
              <w:ind w:left="107"/>
              <w:rPr>
                <w:sz w:val="24"/>
              </w:rPr>
            </w:pPr>
            <w:r>
              <w:rPr>
                <w:sz w:val="24"/>
              </w:rPr>
              <w:t>产安全事故隐患</w:t>
            </w:r>
          </w:p>
        </w:tc>
      </w:tr>
      <w:tr>
        <w:trPr>
          <w:trHeight w:val="272"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line="250" w:lineRule="exact" w:before="2"/>
              <w:ind w:left="253"/>
              <w:rPr>
                <w:sz w:val="21"/>
              </w:rPr>
            </w:pPr>
            <w:r>
              <w:rPr>
                <w:sz w:val="21"/>
              </w:rPr>
              <w:t>CBYX-JB002</w:t>
            </w:r>
          </w:p>
        </w:tc>
        <w:tc>
          <w:tcPr>
            <w:tcW w:w="3260" w:type="dxa"/>
          </w:tcPr>
          <w:p>
            <w:pPr>
              <w:pStyle w:val="TableParagraph"/>
              <w:spacing w:line="250" w:lineRule="exact" w:before="2"/>
              <w:ind w:left="108"/>
              <w:rPr>
                <w:sz w:val="21"/>
              </w:rPr>
            </w:pPr>
            <w:r>
              <w:rPr>
                <w:sz w:val="21"/>
              </w:rPr>
              <w:t>作业现场无人监护</w:t>
            </w:r>
          </w:p>
        </w:tc>
        <w:tc>
          <w:tcPr>
            <w:tcW w:w="2517" w:type="dxa"/>
            <w:vMerge/>
            <w:tcBorders>
              <w:top w:val="nil"/>
            </w:tcBorders>
          </w:tcPr>
          <w:p>
            <w:pPr>
              <w:rPr>
                <w:sz w:val="2"/>
                <w:szCs w:val="2"/>
              </w:rPr>
            </w:pPr>
          </w:p>
        </w:tc>
      </w:tr>
      <w:tr>
        <w:trPr>
          <w:trHeight w:val="545"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135"/>
              <w:ind w:left="253"/>
              <w:rPr>
                <w:sz w:val="21"/>
              </w:rPr>
            </w:pPr>
            <w:r>
              <w:rPr>
                <w:sz w:val="21"/>
              </w:rPr>
              <w:t>CBYX-JB003</w:t>
            </w:r>
          </w:p>
        </w:tc>
        <w:tc>
          <w:tcPr>
            <w:tcW w:w="3260" w:type="dxa"/>
          </w:tcPr>
          <w:p>
            <w:pPr>
              <w:pStyle w:val="TableParagraph"/>
              <w:ind w:left="108"/>
              <w:rPr>
                <w:sz w:val="21"/>
              </w:rPr>
            </w:pPr>
            <w:r>
              <w:rPr>
                <w:w w:val="95"/>
                <w:sz w:val="21"/>
              </w:rPr>
              <w:t>有限空间作业前未经气体浓度检</w:t>
            </w:r>
          </w:p>
          <w:p>
            <w:pPr>
              <w:pStyle w:val="TableParagraph"/>
              <w:spacing w:line="251" w:lineRule="exact" w:before="5"/>
              <w:ind w:left="108"/>
              <w:rPr>
                <w:sz w:val="21"/>
              </w:rPr>
            </w:pPr>
            <w:r>
              <w:rPr>
                <w:w w:val="95"/>
                <w:sz w:val="21"/>
              </w:rPr>
              <w:t>测或测量结果不合格即实施作业</w:t>
            </w:r>
          </w:p>
        </w:tc>
        <w:tc>
          <w:tcPr>
            <w:tcW w:w="2517" w:type="dxa"/>
            <w:vMerge/>
            <w:tcBorders>
              <w:top w:val="nil"/>
            </w:tcBorders>
          </w:tcPr>
          <w:p>
            <w:pPr>
              <w:rPr>
                <w:sz w:val="2"/>
                <w:szCs w:val="2"/>
              </w:rPr>
            </w:pPr>
          </w:p>
        </w:tc>
      </w:tr>
      <w:tr>
        <w:trPr>
          <w:trHeight w:val="545" w:hRule="atLeast"/>
        </w:trPr>
        <w:tc>
          <w:tcPr>
            <w:tcW w:w="1101" w:type="dxa"/>
            <w:vMerge/>
            <w:tcBorders>
              <w:top w:val="nil"/>
            </w:tcBorders>
          </w:tcPr>
          <w:p>
            <w:pPr>
              <w:rPr>
                <w:sz w:val="2"/>
                <w:szCs w:val="2"/>
              </w:rPr>
            </w:pPr>
          </w:p>
        </w:tc>
        <w:tc>
          <w:tcPr>
            <w:tcW w:w="1134" w:type="dxa"/>
            <w:vMerge w:val="restart"/>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7"/>
              <w:rPr>
                <w:sz w:val="18"/>
              </w:rPr>
            </w:pPr>
          </w:p>
          <w:p>
            <w:pPr>
              <w:pStyle w:val="TableParagraph"/>
              <w:spacing w:before="1"/>
              <w:ind w:left="147"/>
              <w:rPr>
                <w:sz w:val="21"/>
              </w:rPr>
            </w:pPr>
            <w:r>
              <w:rPr>
                <w:sz w:val="21"/>
              </w:rPr>
              <w:t>隐患内容</w:t>
            </w:r>
          </w:p>
        </w:tc>
        <w:tc>
          <w:tcPr>
            <w:tcW w:w="1559" w:type="dxa"/>
          </w:tcPr>
          <w:p>
            <w:pPr>
              <w:pStyle w:val="TableParagraph"/>
              <w:spacing w:before="136"/>
              <w:ind w:left="253"/>
              <w:rPr>
                <w:sz w:val="21"/>
              </w:rPr>
            </w:pPr>
            <w:r>
              <w:rPr>
                <w:sz w:val="21"/>
              </w:rPr>
              <w:t>CBYX-YH001</w:t>
            </w:r>
          </w:p>
        </w:tc>
        <w:tc>
          <w:tcPr>
            <w:tcW w:w="3260" w:type="dxa"/>
          </w:tcPr>
          <w:p>
            <w:pPr>
              <w:pStyle w:val="TableParagraph"/>
              <w:ind w:left="108"/>
              <w:rPr>
                <w:sz w:val="21"/>
              </w:rPr>
            </w:pPr>
            <w:r>
              <w:rPr>
                <w:sz w:val="21"/>
              </w:rPr>
              <w:t>未在作业场所设置明显安全警示</w:t>
            </w:r>
          </w:p>
          <w:p>
            <w:pPr>
              <w:pStyle w:val="TableParagraph"/>
              <w:spacing w:line="251" w:lineRule="exact" w:before="4"/>
              <w:ind w:left="108"/>
              <w:rPr>
                <w:sz w:val="21"/>
              </w:rPr>
            </w:pPr>
            <w:r>
              <w:rPr>
                <w:sz w:val="21"/>
              </w:rPr>
              <w:t>标志</w:t>
            </w:r>
          </w:p>
        </w:tc>
        <w:tc>
          <w:tcPr>
            <w:tcW w:w="2517" w:type="dxa"/>
            <w:vMerge/>
            <w:tcBorders>
              <w:top w:val="nil"/>
            </w:tcBorders>
          </w:tcPr>
          <w:p>
            <w:pPr>
              <w:rPr>
                <w:sz w:val="2"/>
                <w:szCs w:val="2"/>
              </w:rPr>
            </w:pPr>
          </w:p>
        </w:tc>
      </w:tr>
      <w:tr>
        <w:trPr>
          <w:trHeight w:val="816"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3"/>
              <w:rPr>
                <w:sz w:val="21"/>
              </w:rPr>
            </w:pPr>
          </w:p>
          <w:p>
            <w:pPr>
              <w:pStyle w:val="TableParagraph"/>
              <w:spacing w:before="1"/>
              <w:ind w:left="253"/>
              <w:rPr>
                <w:sz w:val="21"/>
              </w:rPr>
            </w:pPr>
            <w:r>
              <w:rPr>
                <w:sz w:val="21"/>
              </w:rPr>
              <w:t>CBYX-YH002</w:t>
            </w:r>
          </w:p>
        </w:tc>
        <w:tc>
          <w:tcPr>
            <w:tcW w:w="3260" w:type="dxa"/>
          </w:tcPr>
          <w:p>
            <w:pPr>
              <w:pStyle w:val="TableParagraph"/>
              <w:spacing w:line="268" w:lineRule="exact"/>
              <w:ind w:left="108"/>
              <w:rPr>
                <w:sz w:val="21"/>
              </w:rPr>
            </w:pPr>
            <w:r>
              <w:rPr>
                <w:sz w:val="21"/>
              </w:rPr>
              <w:t>无通风设备设施、无照明设备设</w:t>
            </w:r>
          </w:p>
          <w:p>
            <w:pPr>
              <w:pStyle w:val="TableParagraph"/>
              <w:spacing w:line="270" w:lineRule="atLeast" w:before="3"/>
              <w:ind w:left="108" w:right="201"/>
              <w:rPr>
                <w:sz w:val="21"/>
              </w:rPr>
            </w:pPr>
            <w:r>
              <w:rPr>
                <w:sz w:val="21"/>
              </w:rPr>
              <w:t>施或照明设备设施未采用安全电压</w:t>
            </w:r>
          </w:p>
        </w:tc>
        <w:tc>
          <w:tcPr>
            <w:tcW w:w="2517" w:type="dxa"/>
            <w:vMerge/>
            <w:tcBorders>
              <w:top w:val="nil"/>
            </w:tcBorders>
          </w:tcPr>
          <w:p>
            <w:pPr>
              <w:rPr>
                <w:sz w:val="2"/>
                <w:szCs w:val="2"/>
              </w:rPr>
            </w:pPr>
          </w:p>
        </w:tc>
      </w:tr>
      <w:tr>
        <w:trPr>
          <w:trHeight w:val="544"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134"/>
              <w:ind w:left="253"/>
              <w:rPr>
                <w:sz w:val="21"/>
              </w:rPr>
            </w:pPr>
            <w:r>
              <w:rPr>
                <w:sz w:val="21"/>
              </w:rPr>
              <w:t>CBYX-YH003</w:t>
            </w:r>
          </w:p>
        </w:tc>
        <w:tc>
          <w:tcPr>
            <w:tcW w:w="3260" w:type="dxa"/>
          </w:tcPr>
          <w:p>
            <w:pPr>
              <w:pStyle w:val="TableParagraph"/>
              <w:ind w:left="108"/>
              <w:rPr>
                <w:sz w:val="21"/>
              </w:rPr>
            </w:pPr>
            <w:r>
              <w:rPr>
                <w:sz w:val="21"/>
              </w:rPr>
              <w:t>通风设备设施、照明设备设施的</w:t>
            </w:r>
          </w:p>
          <w:p>
            <w:pPr>
              <w:pStyle w:val="TableParagraph"/>
              <w:spacing w:line="252" w:lineRule="exact" w:before="2"/>
              <w:ind w:left="108"/>
              <w:rPr>
                <w:sz w:val="21"/>
              </w:rPr>
            </w:pPr>
            <w:r>
              <w:rPr>
                <w:sz w:val="21"/>
              </w:rPr>
              <w:t>电线绝缘破损</w:t>
            </w:r>
          </w:p>
        </w:tc>
        <w:tc>
          <w:tcPr>
            <w:tcW w:w="2517" w:type="dxa"/>
            <w:vMerge/>
            <w:tcBorders>
              <w:top w:val="nil"/>
            </w:tcBorders>
          </w:tcPr>
          <w:p>
            <w:pPr>
              <w:rPr>
                <w:sz w:val="2"/>
                <w:szCs w:val="2"/>
              </w:rPr>
            </w:pPr>
          </w:p>
        </w:tc>
      </w:tr>
      <w:tr>
        <w:trPr>
          <w:trHeight w:val="545"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135"/>
              <w:ind w:left="253"/>
              <w:rPr>
                <w:sz w:val="21"/>
              </w:rPr>
            </w:pPr>
            <w:r>
              <w:rPr>
                <w:sz w:val="21"/>
              </w:rPr>
              <w:t>CBYX-YH004</w:t>
            </w:r>
          </w:p>
        </w:tc>
        <w:tc>
          <w:tcPr>
            <w:tcW w:w="3260" w:type="dxa"/>
          </w:tcPr>
          <w:p>
            <w:pPr>
              <w:pStyle w:val="TableParagraph"/>
              <w:ind w:left="108"/>
              <w:rPr>
                <w:sz w:val="21"/>
              </w:rPr>
            </w:pPr>
            <w:r>
              <w:rPr>
                <w:sz w:val="21"/>
              </w:rPr>
              <w:t>作业过程无持续有效的空气置换</w:t>
            </w:r>
          </w:p>
          <w:p>
            <w:pPr>
              <w:pStyle w:val="TableParagraph"/>
              <w:spacing w:line="253" w:lineRule="exact" w:before="3"/>
              <w:ind w:left="108"/>
              <w:rPr>
                <w:sz w:val="21"/>
              </w:rPr>
            </w:pPr>
            <w:r>
              <w:rPr>
                <w:sz w:val="21"/>
              </w:rPr>
              <w:t>措施</w:t>
            </w:r>
          </w:p>
        </w:tc>
        <w:tc>
          <w:tcPr>
            <w:tcW w:w="2517" w:type="dxa"/>
            <w:vMerge/>
            <w:tcBorders>
              <w:top w:val="nil"/>
            </w:tcBorders>
          </w:tcPr>
          <w:p>
            <w:pPr>
              <w:rPr>
                <w:sz w:val="2"/>
                <w:szCs w:val="2"/>
              </w:rPr>
            </w:pPr>
          </w:p>
        </w:tc>
      </w:tr>
      <w:tr>
        <w:trPr>
          <w:trHeight w:val="1330"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rPr>
                <w:sz w:val="20"/>
              </w:rPr>
            </w:pPr>
          </w:p>
          <w:p>
            <w:pPr>
              <w:pStyle w:val="TableParagraph"/>
              <w:spacing w:before="2"/>
              <w:rPr>
                <w:sz w:val="21"/>
              </w:rPr>
            </w:pPr>
          </w:p>
          <w:p>
            <w:pPr>
              <w:pStyle w:val="TableParagraph"/>
              <w:spacing w:before="1"/>
              <w:ind w:left="253"/>
              <w:rPr>
                <w:sz w:val="21"/>
              </w:rPr>
            </w:pPr>
            <w:r>
              <w:rPr>
                <w:sz w:val="21"/>
              </w:rPr>
              <w:t>CBYX-YH005</w:t>
            </w:r>
          </w:p>
        </w:tc>
        <w:tc>
          <w:tcPr>
            <w:tcW w:w="3260" w:type="dxa"/>
          </w:tcPr>
          <w:p>
            <w:pPr>
              <w:pStyle w:val="TableParagraph"/>
              <w:rPr>
                <w:sz w:val="20"/>
              </w:rPr>
            </w:pPr>
          </w:p>
          <w:p>
            <w:pPr>
              <w:pStyle w:val="TableParagraph"/>
              <w:spacing w:line="242" w:lineRule="auto" w:before="137"/>
              <w:ind w:left="108" w:right="201"/>
              <w:rPr>
                <w:sz w:val="21"/>
              </w:rPr>
            </w:pPr>
            <w:r>
              <w:rPr>
                <w:sz w:val="21"/>
              </w:rPr>
              <w:t>在密闭容器、设备等特殊场所内部作业时，随意关闭舱门或舱盖</w:t>
            </w:r>
          </w:p>
        </w:tc>
        <w:tc>
          <w:tcPr>
            <w:tcW w:w="2517" w:type="dxa"/>
            <w:vMerge/>
            <w:tcBorders>
              <w:top w:val="nil"/>
            </w:tcBorders>
          </w:tcPr>
          <w:p>
            <w:pPr>
              <w:rPr>
                <w:sz w:val="2"/>
                <w:szCs w:val="2"/>
              </w:rPr>
            </w:pPr>
          </w:p>
        </w:tc>
      </w:tr>
    </w:tbl>
    <w:p>
      <w:pPr>
        <w:pStyle w:val="Heading3"/>
        <w:numPr>
          <w:ilvl w:val="1"/>
          <w:numId w:val="34"/>
        </w:numPr>
        <w:tabs>
          <w:tab w:pos="1002" w:val="left" w:leader="none"/>
        </w:tabs>
        <w:spacing w:line="240" w:lineRule="auto" w:before="15" w:after="0"/>
        <w:ind w:left="1001" w:right="0" w:hanging="644"/>
        <w:jc w:val="left"/>
      </w:pPr>
      <w:r>
        <w:rPr/>
        <w:t>船舶行业高处作业重大生产安全事故隐患综合判定标准</w:t>
      </w:r>
    </w:p>
    <w:p>
      <w:pPr>
        <w:pStyle w:val="BodyText"/>
        <w:spacing w:before="60"/>
        <w:ind w:left="996"/>
      </w:pPr>
      <w:r>
        <w:rPr/>
        <w:t>船舶行业高处作业重大生产安全事故隐患综合判定标准见表8。</w:t>
      </w:r>
    </w:p>
    <w:p>
      <w:pPr>
        <w:pStyle w:val="BodyText"/>
        <w:spacing w:before="2"/>
        <w:ind w:left="0"/>
        <w:rPr>
          <w:sz w:val="26"/>
        </w:rPr>
      </w:pPr>
    </w:p>
    <w:p>
      <w:pPr>
        <w:tabs>
          <w:tab w:pos="685" w:val="left" w:leader="none"/>
        </w:tabs>
        <w:spacing w:before="0"/>
        <w:ind w:left="86" w:right="0" w:firstLine="0"/>
        <w:jc w:val="center"/>
        <w:rPr>
          <w:sz w:val="24"/>
        </w:rPr>
      </w:pPr>
      <w:r>
        <w:rPr>
          <w:sz w:val="24"/>
        </w:rPr>
        <w:t>表8</w:t>
        <w:tab/>
        <w:t>船舶行业高处作业重大生产安全事故隐患综合判定标准</w:t>
      </w:r>
    </w:p>
    <w:p>
      <w:pPr>
        <w:pStyle w:val="BodyText"/>
        <w:spacing w:before="6"/>
        <w:ind w:left="0"/>
        <w:rPr>
          <w:sz w:val="9"/>
        </w:rPr>
      </w:pPr>
    </w:p>
    <w:tbl>
      <w:tblPr>
        <w:tblW w:w="0" w:type="auto"/>
        <w:jc w:val="left"/>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1"/>
        <w:gridCol w:w="1134"/>
        <w:gridCol w:w="1559"/>
        <w:gridCol w:w="2693"/>
        <w:gridCol w:w="1134"/>
        <w:gridCol w:w="1949"/>
      </w:tblGrid>
      <w:tr>
        <w:trPr>
          <w:trHeight w:val="622" w:hRule="atLeast"/>
        </w:trPr>
        <w:tc>
          <w:tcPr>
            <w:tcW w:w="1101" w:type="dxa"/>
          </w:tcPr>
          <w:p>
            <w:pPr>
              <w:pStyle w:val="TableParagraph"/>
              <w:spacing w:line="310" w:lineRule="atLeast"/>
              <w:ind w:left="429" w:right="179" w:hanging="240"/>
              <w:rPr>
                <w:sz w:val="24"/>
              </w:rPr>
            </w:pPr>
            <w:r>
              <w:rPr>
                <w:sz w:val="24"/>
              </w:rPr>
              <w:t>隐患项目</w:t>
            </w:r>
          </w:p>
        </w:tc>
        <w:tc>
          <w:tcPr>
            <w:tcW w:w="1134" w:type="dxa"/>
          </w:tcPr>
          <w:p>
            <w:pPr>
              <w:pStyle w:val="TableParagraph"/>
              <w:spacing w:line="310" w:lineRule="atLeast"/>
              <w:ind w:left="447" w:right="194" w:hanging="240"/>
              <w:rPr>
                <w:sz w:val="24"/>
              </w:rPr>
            </w:pPr>
            <w:r>
              <w:rPr>
                <w:sz w:val="24"/>
              </w:rPr>
              <w:t>隐患类别</w:t>
            </w:r>
          </w:p>
        </w:tc>
        <w:tc>
          <w:tcPr>
            <w:tcW w:w="1559" w:type="dxa"/>
          </w:tcPr>
          <w:p>
            <w:pPr>
              <w:pStyle w:val="TableParagraph"/>
              <w:spacing w:before="156"/>
              <w:ind w:left="128" w:right="118"/>
              <w:jc w:val="center"/>
              <w:rPr>
                <w:sz w:val="24"/>
              </w:rPr>
            </w:pPr>
            <w:r>
              <w:rPr>
                <w:sz w:val="24"/>
              </w:rPr>
              <w:t>隐患编号</w:t>
            </w:r>
          </w:p>
        </w:tc>
        <w:tc>
          <w:tcPr>
            <w:tcW w:w="2693" w:type="dxa"/>
          </w:tcPr>
          <w:p>
            <w:pPr>
              <w:pStyle w:val="TableParagraph"/>
              <w:spacing w:before="156"/>
              <w:ind w:left="864"/>
              <w:rPr>
                <w:sz w:val="24"/>
              </w:rPr>
            </w:pPr>
            <w:r>
              <w:rPr>
                <w:sz w:val="24"/>
              </w:rPr>
              <w:t>隐患内容</w:t>
            </w:r>
          </w:p>
        </w:tc>
        <w:tc>
          <w:tcPr>
            <w:tcW w:w="1134" w:type="dxa"/>
          </w:tcPr>
          <w:p>
            <w:pPr>
              <w:pStyle w:val="TableParagraph"/>
              <w:spacing w:before="156"/>
              <w:ind w:left="326"/>
              <w:rPr>
                <w:sz w:val="24"/>
              </w:rPr>
            </w:pPr>
            <w:r>
              <w:rPr>
                <w:sz w:val="24"/>
              </w:rPr>
              <w:t>参考</w:t>
            </w:r>
          </w:p>
        </w:tc>
        <w:tc>
          <w:tcPr>
            <w:tcW w:w="1949" w:type="dxa"/>
          </w:tcPr>
          <w:p>
            <w:pPr>
              <w:pStyle w:val="TableParagraph"/>
              <w:spacing w:line="310" w:lineRule="atLeast"/>
              <w:ind w:left="373" w:right="123" w:hanging="240"/>
              <w:rPr>
                <w:sz w:val="24"/>
              </w:rPr>
            </w:pPr>
            <w:r>
              <w:rPr>
                <w:sz w:val="24"/>
              </w:rPr>
              <w:t>重大生产安全事故隐患判据</w:t>
            </w:r>
          </w:p>
        </w:tc>
      </w:tr>
      <w:tr>
        <w:trPr>
          <w:trHeight w:val="622" w:hRule="atLeast"/>
        </w:trPr>
        <w:tc>
          <w:tcPr>
            <w:tcW w:w="1101" w:type="dxa"/>
            <w:vMerge w:val="restart"/>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
              <w:rPr>
                <w:sz w:val="27"/>
              </w:rPr>
            </w:pPr>
          </w:p>
          <w:p>
            <w:pPr>
              <w:pStyle w:val="TableParagraph"/>
              <w:spacing w:line="242" w:lineRule="auto"/>
              <w:ind w:left="429" w:right="179" w:hanging="240"/>
              <w:rPr>
                <w:sz w:val="24"/>
              </w:rPr>
            </w:pPr>
            <w:r>
              <w:rPr>
                <w:sz w:val="24"/>
              </w:rPr>
              <w:t>高处作业</w:t>
            </w:r>
          </w:p>
        </w:tc>
        <w:tc>
          <w:tcPr>
            <w:tcW w:w="1134" w:type="dxa"/>
            <w:vMerge w:val="restart"/>
          </w:tcPr>
          <w:p>
            <w:pPr>
              <w:pStyle w:val="TableParagraph"/>
              <w:rPr>
                <w:sz w:val="24"/>
              </w:rPr>
            </w:pPr>
          </w:p>
          <w:p>
            <w:pPr>
              <w:pStyle w:val="TableParagraph"/>
              <w:rPr>
                <w:sz w:val="24"/>
              </w:rPr>
            </w:pPr>
          </w:p>
          <w:p>
            <w:pPr>
              <w:pStyle w:val="TableParagraph"/>
              <w:rPr>
                <w:sz w:val="24"/>
              </w:rPr>
            </w:pPr>
          </w:p>
          <w:p>
            <w:pPr>
              <w:pStyle w:val="TableParagraph"/>
              <w:spacing w:before="5"/>
              <w:rPr>
                <w:sz w:val="26"/>
              </w:rPr>
            </w:pPr>
          </w:p>
          <w:p>
            <w:pPr>
              <w:pStyle w:val="TableParagraph"/>
              <w:spacing w:line="242" w:lineRule="auto"/>
              <w:ind w:left="447" w:right="194" w:hanging="240"/>
              <w:rPr>
                <w:sz w:val="24"/>
              </w:rPr>
            </w:pPr>
            <w:r>
              <w:rPr>
                <w:sz w:val="24"/>
              </w:rPr>
              <w:t>基本条件</w:t>
            </w:r>
          </w:p>
        </w:tc>
        <w:tc>
          <w:tcPr>
            <w:tcW w:w="1559" w:type="dxa"/>
          </w:tcPr>
          <w:p>
            <w:pPr>
              <w:pStyle w:val="TableParagraph"/>
              <w:spacing w:before="157"/>
              <w:ind w:left="128" w:right="118"/>
              <w:jc w:val="center"/>
              <w:rPr>
                <w:sz w:val="24"/>
              </w:rPr>
            </w:pPr>
            <w:r>
              <w:rPr>
                <w:sz w:val="24"/>
              </w:rPr>
              <w:t>CBGC-JB001</w:t>
            </w:r>
          </w:p>
        </w:tc>
        <w:tc>
          <w:tcPr>
            <w:tcW w:w="2693" w:type="dxa"/>
          </w:tcPr>
          <w:p>
            <w:pPr>
              <w:pStyle w:val="TableParagraph"/>
              <w:spacing w:before="1"/>
              <w:ind w:left="108"/>
              <w:rPr>
                <w:sz w:val="24"/>
              </w:rPr>
            </w:pPr>
            <w:r>
              <w:rPr>
                <w:sz w:val="24"/>
              </w:rPr>
              <w:t>脚手架搭设、拆除作业</w:t>
            </w:r>
          </w:p>
          <w:p>
            <w:pPr>
              <w:pStyle w:val="TableParagraph"/>
              <w:spacing w:line="289" w:lineRule="exact" w:before="4"/>
              <w:ind w:left="108"/>
              <w:rPr>
                <w:sz w:val="24"/>
              </w:rPr>
            </w:pPr>
            <w:r>
              <w:rPr>
                <w:sz w:val="24"/>
              </w:rPr>
              <w:t>未办理作业申请手续</w:t>
            </w:r>
          </w:p>
        </w:tc>
        <w:tc>
          <w:tcPr>
            <w:tcW w:w="1134" w:type="dxa"/>
            <w:vMerge w:val="restart"/>
          </w:tcPr>
          <w:p>
            <w:pPr>
              <w:pStyle w:val="TableParagraph"/>
              <w:rPr>
                <w:sz w:val="24"/>
              </w:rPr>
            </w:pPr>
          </w:p>
          <w:p>
            <w:pPr>
              <w:pStyle w:val="TableParagraph"/>
              <w:rPr>
                <w:sz w:val="24"/>
              </w:rPr>
            </w:pPr>
          </w:p>
          <w:p>
            <w:pPr>
              <w:pStyle w:val="TableParagraph"/>
              <w:spacing w:before="5"/>
              <w:rPr>
                <w:sz w:val="26"/>
              </w:rPr>
            </w:pPr>
          </w:p>
          <w:p>
            <w:pPr>
              <w:pStyle w:val="TableParagraph"/>
              <w:numPr>
                <w:ilvl w:val="0"/>
                <w:numId w:val="42"/>
              </w:numPr>
              <w:tabs>
                <w:tab w:pos="349" w:val="left" w:leader="none"/>
              </w:tabs>
              <w:spacing w:line="240" w:lineRule="auto" w:before="1" w:after="0"/>
              <w:ind w:left="348" w:right="0" w:hanging="241"/>
              <w:jc w:val="left"/>
              <w:rPr>
                <w:sz w:val="24"/>
              </w:rPr>
            </w:pPr>
            <w:r>
              <w:rPr>
                <w:sz w:val="24"/>
              </w:rPr>
              <w:t>CB</w:t>
            </w:r>
          </w:p>
          <w:p>
            <w:pPr>
              <w:pStyle w:val="TableParagraph"/>
              <w:spacing w:before="4"/>
              <w:ind w:left="108"/>
              <w:rPr>
                <w:sz w:val="24"/>
              </w:rPr>
            </w:pPr>
            <w:r>
              <w:rPr>
                <w:sz w:val="24"/>
              </w:rPr>
              <w:t>4204</w:t>
            </w:r>
          </w:p>
          <w:p>
            <w:pPr>
              <w:pStyle w:val="TableParagraph"/>
              <w:numPr>
                <w:ilvl w:val="0"/>
                <w:numId w:val="42"/>
              </w:numPr>
              <w:tabs>
                <w:tab w:pos="349" w:val="left" w:leader="none"/>
              </w:tabs>
              <w:spacing w:line="240" w:lineRule="auto" w:before="2" w:after="0"/>
              <w:ind w:left="348" w:right="0" w:hanging="241"/>
              <w:jc w:val="left"/>
              <w:rPr>
                <w:sz w:val="24"/>
              </w:rPr>
            </w:pPr>
            <w:r>
              <w:rPr>
                <w:sz w:val="24"/>
              </w:rPr>
              <w:t>CB</w:t>
            </w:r>
          </w:p>
          <w:p>
            <w:pPr>
              <w:pStyle w:val="TableParagraph"/>
              <w:spacing w:before="5"/>
              <w:ind w:left="108"/>
              <w:rPr>
                <w:sz w:val="24"/>
              </w:rPr>
            </w:pPr>
            <w:r>
              <w:rPr>
                <w:sz w:val="24"/>
              </w:rPr>
              <w:t>4286</w:t>
            </w:r>
          </w:p>
          <w:p>
            <w:pPr>
              <w:pStyle w:val="TableParagraph"/>
              <w:numPr>
                <w:ilvl w:val="0"/>
                <w:numId w:val="42"/>
              </w:numPr>
              <w:tabs>
                <w:tab w:pos="349" w:val="left" w:leader="none"/>
              </w:tabs>
              <w:spacing w:line="240" w:lineRule="auto" w:before="4" w:after="0"/>
              <w:ind w:left="348" w:right="0" w:hanging="241"/>
              <w:jc w:val="left"/>
              <w:rPr>
                <w:sz w:val="24"/>
              </w:rPr>
            </w:pPr>
            <w:r>
              <w:rPr>
                <w:sz w:val="24"/>
              </w:rPr>
              <w:t>CB</w:t>
            </w:r>
          </w:p>
          <w:p>
            <w:pPr>
              <w:pStyle w:val="TableParagraph"/>
              <w:spacing w:before="2"/>
              <w:ind w:left="108"/>
              <w:rPr>
                <w:sz w:val="24"/>
              </w:rPr>
            </w:pPr>
            <w:r>
              <w:rPr>
                <w:sz w:val="24"/>
              </w:rPr>
              <w:t>3785</w:t>
            </w:r>
          </w:p>
        </w:tc>
        <w:tc>
          <w:tcPr>
            <w:tcW w:w="1949" w:type="dxa"/>
            <w:vMerge w:val="restart"/>
          </w:tcPr>
          <w:p>
            <w:pPr>
              <w:pStyle w:val="TableParagraph"/>
              <w:numPr>
                <w:ilvl w:val="0"/>
                <w:numId w:val="43"/>
              </w:numPr>
              <w:tabs>
                <w:tab w:pos="357" w:val="left" w:leader="none"/>
              </w:tabs>
              <w:spacing w:line="242" w:lineRule="auto" w:before="20" w:after="0"/>
              <w:ind w:left="107" w:right="97" w:firstLine="0"/>
              <w:jc w:val="both"/>
              <w:rPr>
                <w:sz w:val="24"/>
              </w:rPr>
            </w:pPr>
            <w:r>
              <w:rPr>
                <w:spacing w:val="3"/>
                <w:sz w:val="24"/>
              </w:rPr>
              <w:t>同一次隐患排查过程中，同一作业现场发现任意一项基本条件</w:t>
            </w:r>
          </w:p>
          <w:p>
            <w:pPr>
              <w:pStyle w:val="TableParagraph"/>
              <w:spacing w:line="242" w:lineRule="auto" w:before="3"/>
              <w:ind w:left="107" w:right="97"/>
              <w:jc w:val="both"/>
              <w:rPr>
                <w:sz w:val="24"/>
              </w:rPr>
            </w:pPr>
            <w:r>
              <w:rPr>
                <w:sz w:val="24"/>
              </w:rPr>
              <w:t>+ 任意两项隐患内容的，判定为重大生产安全事故隐患；</w:t>
            </w:r>
          </w:p>
          <w:p>
            <w:pPr>
              <w:pStyle w:val="TableParagraph"/>
              <w:numPr>
                <w:ilvl w:val="0"/>
                <w:numId w:val="43"/>
              </w:numPr>
              <w:tabs>
                <w:tab w:pos="357" w:val="left" w:leader="none"/>
              </w:tabs>
              <w:spacing w:line="242" w:lineRule="auto" w:before="4" w:after="0"/>
              <w:ind w:left="107" w:right="97" w:firstLine="0"/>
              <w:jc w:val="both"/>
              <w:rPr>
                <w:sz w:val="24"/>
              </w:rPr>
            </w:pPr>
            <w:r>
              <w:rPr>
                <w:spacing w:val="3"/>
                <w:sz w:val="24"/>
              </w:rPr>
              <w:t>同一次隐患排查过程中，不同作业现场累计发</w:t>
            </w:r>
          </w:p>
          <w:p>
            <w:pPr>
              <w:pStyle w:val="TableParagraph"/>
              <w:spacing w:before="2"/>
              <w:ind w:left="107"/>
              <w:rPr>
                <w:sz w:val="24"/>
              </w:rPr>
            </w:pPr>
            <w:r>
              <w:rPr>
                <w:sz w:val="24"/>
              </w:rPr>
              <w:t>现任意两项基本</w:t>
            </w:r>
          </w:p>
        </w:tc>
      </w:tr>
      <w:tr>
        <w:trPr>
          <w:trHeight w:val="933"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4"/>
              <w:rPr>
                <w:sz w:val="24"/>
              </w:rPr>
            </w:pPr>
          </w:p>
          <w:p>
            <w:pPr>
              <w:pStyle w:val="TableParagraph"/>
              <w:spacing w:before="1"/>
              <w:ind w:left="128" w:right="118"/>
              <w:jc w:val="center"/>
              <w:rPr>
                <w:sz w:val="24"/>
              </w:rPr>
            </w:pPr>
            <w:r>
              <w:rPr>
                <w:sz w:val="24"/>
              </w:rPr>
              <w:t>CBGC-JB002</w:t>
            </w:r>
          </w:p>
        </w:tc>
        <w:tc>
          <w:tcPr>
            <w:tcW w:w="2693" w:type="dxa"/>
          </w:tcPr>
          <w:p>
            <w:pPr>
              <w:pStyle w:val="TableParagraph"/>
              <w:spacing w:line="242" w:lineRule="auto" w:before="2"/>
              <w:ind w:left="108" w:right="172"/>
              <w:rPr>
                <w:sz w:val="24"/>
              </w:rPr>
            </w:pPr>
            <w:r>
              <w:rPr>
                <w:sz w:val="24"/>
              </w:rPr>
              <w:t>脚手架搭设完毕未经验收合格设置检验合格标</w:t>
            </w:r>
          </w:p>
          <w:p>
            <w:pPr>
              <w:pStyle w:val="TableParagraph"/>
              <w:spacing w:line="290" w:lineRule="exact" w:before="1"/>
              <w:ind w:left="108"/>
              <w:rPr>
                <w:sz w:val="24"/>
              </w:rPr>
            </w:pPr>
            <w:r>
              <w:rPr>
                <w:sz w:val="24"/>
              </w:rPr>
              <w:t>识牌即实施作业</w:t>
            </w:r>
          </w:p>
        </w:tc>
        <w:tc>
          <w:tcPr>
            <w:tcW w:w="1134" w:type="dxa"/>
            <w:vMerge/>
            <w:tcBorders>
              <w:top w:val="nil"/>
            </w:tcBorders>
          </w:tcPr>
          <w:p>
            <w:pPr>
              <w:rPr>
                <w:sz w:val="2"/>
                <w:szCs w:val="2"/>
              </w:rPr>
            </w:pPr>
          </w:p>
        </w:tc>
        <w:tc>
          <w:tcPr>
            <w:tcW w:w="1949" w:type="dxa"/>
            <w:vMerge/>
            <w:tcBorders>
              <w:top w:val="nil"/>
            </w:tcBorders>
          </w:tcPr>
          <w:p>
            <w:pPr>
              <w:rPr>
                <w:sz w:val="2"/>
                <w:szCs w:val="2"/>
              </w:rPr>
            </w:pPr>
          </w:p>
        </w:tc>
      </w:tr>
      <w:tr>
        <w:trPr>
          <w:trHeight w:val="934"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4"/>
              <w:rPr>
                <w:sz w:val="24"/>
              </w:rPr>
            </w:pPr>
          </w:p>
          <w:p>
            <w:pPr>
              <w:pStyle w:val="TableParagraph"/>
              <w:ind w:left="128" w:right="118"/>
              <w:jc w:val="center"/>
              <w:rPr>
                <w:sz w:val="24"/>
              </w:rPr>
            </w:pPr>
            <w:r>
              <w:rPr>
                <w:sz w:val="24"/>
              </w:rPr>
              <w:t>CBGC-JB003</w:t>
            </w:r>
          </w:p>
        </w:tc>
        <w:tc>
          <w:tcPr>
            <w:tcW w:w="2693" w:type="dxa"/>
          </w:tcPr>
          <w:p>
            <w:pPr>
              <w:pStyle w:val="TableParagraph"/>
              <w:spacing w:before="2"/>
              <w:ind w:left="108"/>
              <w:rPr>
                <w:sz w:val="24"/>
              </w:rPr>
            </w:pPr>
            <w:r>
              <w:rPr>
                <w:sz w:val="24"/>
              </w:rPr>
              <w:t>脚手架搭架人员、吊篮</w:t>
            </w:r>
          </w:p>
          <w:p>
            <w:pPr>
              <w:pStyle w:val="TableParagraph"/>
              <w:spacing w:line="310" w:lineRule="atLeast" w:before="2"/>
              <w:ind w:left="108" w:right="172"/>
              <w:rPr>
                <w:sz w:val="24"/>
              </w:rPr>
            </w:pPr>
            <w:r>
              <w:rPr>
                <w:sz w:val="24"/>
              </w:rPr>
              <w:t>和高空作业车操作人员未持证上岗</w:t>
            </w:r>
          </w:p>
        </w:tc>
        <w:tc>
          <w:tcPr>
            <w:tcW w:w="1134" w:type="dxa"/>
            <w:vMerge/>
            <w:tcBorders>
              <w:top w:val="nil"/>
            </w:tcBorders>
          </w:tcPr>
          <w:p>
            <w:pPr>
              <w:rPr>
                <w:sz w:val="2"/>
                <w:szCs w:val="2"/>
              </w:rPr>
            </w:pPr>
          </w:p>
        </w:tc>
        <w:tc>
          <w:tcPr>
            <w:tcW w:w="1949" w:type="dxa"/>
            <w:vMerge/>
            <w:tcBorders>
              <w:top w:val="nil"/>
            </w:tcBorders>
          </w:tcPr>
          <w:p>
            <w:pPr>
              <w:rPr>
                <w:sz w:val="2"/>
                <w:szCs w:val="2"/>
              </w:rPr>
            </w:pPr>
          </w:p>
        </w:tc>
      </w:tr>
      <w:tr>
        <w:trPr>
          <w:trHeight w:val="622"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157"/>
              <w:ind w:left="128" w:right="118"/>
              <w:jc w:val="center"/>
              <w:rPr>
                <w:sz w:val="24"/>
              </w:rPr>
            </w:pPr>
            <w:r>
              <w:rPr>
                <w:sz w:val="24"/>
              </w:rPr>
              <w:t>CBGC-JB004</w:t>
            </w:r>
          </w:p>
        </w:tc>
        <w:tc>
          <w:tcPr>
            <w:tcW w:w="2693" w:type="dxa"/>
          </w:tcPr>
          <w:p>
            <w:pPr>
              <w:pStyle w:val="TableParagraph"/>
              <w:spacing w:before="1"/>
              <w:ind w:left="108"/>
              <w:rPr>
                <w:sz w:val="24"/>
              </w:rPr>
            </w:pPr>
            <w:r>
              <w:rPr>
                <w:sz w:val="24"/>
              </w:rPr>
              <w:t>患有职业禁忌证者或饮</w:t>
            </w:r>
          </w:p>
          <w:p>
            <w:pPr>
              <w:pStyle w:val="TableParagraph"/>
              <w:spacing w:line="289" w:lineRule="exact" w:before="4"/>
              <w:ind w:left="108"/>
              <w:rPr>
                <w:sz w:val="24"/>
              </w:rPr>
            </w:pPr>
            <w:r>
              <w:rPr>
                <w:sz w:val="24"/>
              </w:rPr>
              <w:t>酒者从事高处作业</w:t>
            </w:r>
          </w:p>
        </w:tc>
        <w:tc>
          <w:tcPr>
            <w:tcW w:w="1134" w:type="dxa"/>
            <w:vMerge/>
            <w:tcBorders>
              <w:top w:val="nil"/>
            </w:tcBorders>
          </w:tcPr>
          <w:p>
            <w:pPr>
              <w:rPr>
                <w:sz w:val="2"/>
                <w:szCs w:val="2"/>
              </w:rPr>
            </w:pPr>
          </w:p>
        </w:tc>
        <w:tc>
          <w:tcPr>
            <w:tcW w:w="1949" w:type="dxa"/>
            <w:vMerge/>
            <w:tcBorders>
              <w:top w:val="nil"/>
            </w:tcBorders>
          </w:tcPr>
          <w:p>
            <w:pPr>
              <w:rPr>
                <w:sz w:val="2"/>
                <w:szCs w:val="2"/>
              </w:rPr>
            </w:pPr>
          </w:p>
        </w:tc>
      </w:tr>
      <w:tr>
        <w:trPr>
          <w:trHeight w:val="620" w:hRule="atLeast"/>
        </w:trPr>
        <w:tc>
          <w:tcPr>
            <w:tcW w:w="1101" w:type="dxa"/>
            <w:vMerge/>
            <w:tcBorders>
              <w:top w:val="nil"/>
            </w:tcBorders>
          </w:tcPr>
          <w:p>
            <w:pPr>
              <w:rPr>
                <w:sz w:val="2"/>
                <w:szCs w:val="2"/>
              </w:rPr>
            </w:pPr>
          </w:p>
        </w:tc>
        <w:tc>
          <w:tcPr>
            <w:tcW w:w="1134" w:type="dxa"/>
          </w:tcPr>
          <w:p>
            <w:pPr>
              <w:pStyle w:val="TableParagraph"/>
              <w:spacing w:line="310" w:lineRule="atLeast"/>
              <w:ind w:left="447" w:right="194" w:hanging="240"/>
              <w:rPr>
                <w:sz w:val="24"/>
              </w:rPr>
            </w:pPr>
            <w:r>
              <w:rPr>
                <w:sz w:val="24"/>
              </w:rPr>
              <w:t>隐患内容</w:t>
            </w:r>
          </w:p>
        </w:tc>
        <w:tc>
          <w:tcPr>
            <w:tcW w:w="1559" w:type="dxa"/>
          </w:tcPr>
          <w:p>
            <w:pPr>
              <w:pStyle w:val="TableParagraph"/>
              <w:spacing w:before="156"/>
              <w:ind w:left="128" w:right="118"/>
              <w:jc w:val="center"/>
              <w:rPr>
                <w:sz w:val="24"/>
              </w:rPr>
            </w:pPr>
            <w:r>
              <w:rPr>
                <w:sz w:val="24"/>
              </w:rPr>
              <w:t>CBGC-YH001</w:t>
            </w:r>
          </w:p>
        </w:tc>
        <w:tc>
          <w:tcPr>
            <w:tcW w:w="2693" w:type="dxa"/>
          </w:tcPr>
          <w:p>
            <w:pPr>
              <w:pStyle w:val="TableParagraph"/>
              <w:spacing w:line="310" w:lineRule="atLeast"/>
              <w:ind w:left="108" w:right="172"/>
              <w:rPr>
                <w:sz w:val="24"/>
              </w:rPr>
            </w:pPr>
            <w:r>
              <w:rPr>
                <w:sz w:val="24"/>
              </w:rPr>
              <w:t>高处作业未符合“有洞必有盖、有边必有栏，</w:t>
            </w:r>
          </w:p>
        </w:tc>
        <w:tc>
          <w:tcPr>
            <w:tcW w:w="1134" w:type="dxa"/>
            <w:vMerge/>
            <w:tcBorders>
              <w:top w:val="nil"/>
            </w:tcBorders>
          </w:tcPr>
          <w:p>
            <w:pPr>
              <w:rPr>
                <w:sz w:val="2"/>
                <w:szCs w:val="2"/>
              </w:rPr>
            </w:pPr>
          </w:p>
        </w:tc>
        <w:tc>
          <w:tcPr>
            <w:tcW w:w="1949" w:type="dxa"/>
            <w:vMerge/>
            <w:tcBorders>
              <w:top w:val="nil"/>
            </w:tcBorders>
          </w:tcPr>
          <w:p>
            <w:pPr>
              <w:rPr>
                <w:sz w:val="2"/>
                <w:szCs w:val="2"/>
              </w:rPr>
            </w:pPr>
          </w:p>
        </w:tc>
      </w:tr>
    </w:tbl>
    <w:p>
      <w:pPr>
        <w:spacing w:after="0"/>
        <w:rPr>
          <w:sz w:val="2"/>
          <w:szCs w:val="2"/>
        </w:rPr>
        <w:sectPr>
          <w:pgSz w:w="11910" w:h="16840"/>
          <w:pgMar w:header="0" w:footer="1039" w:top="1580" w:bottom="1300" w:left="1060" w:right="860"/>
        </w:sectPr>
      </w:pPr>
    </w:p>
    <w:p>
      <w:pPr>
        <w:pStyle w:val="BodyText"/>
        <w:spacing w:before="9"/>
        <w:ind w:left="0"/>
        <w:rPr>
          <w:sz w:val="25"/>
        </w:rPr>
      </w:pPr>
    </w:p>
    <w:tbl>
      <w:tblPr>
        <w:tblW w:w="0" w:type="auto"/>
        <w:jc w:val="left"/>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1"/>
        <w:gridCol w:w="1134"/>
        <w:gridCol w:w="1559"/>
        <w:gridCol w:w="2693"/>
        <w:gridCol w:w="1134"/>
        <w:gridCol w:w="1949"/>
      </w:tblGrid>
      <w:tr>
        <w:trPr>
          <w:trHeight w:val="305" w:hRule="atLeast"/>
        </w:trPr>
        <w:tc>
          <w:tcPr>
            <w:tcW w:w="1101" w:type="dxa"/>
            <w:vMerge w:val="restart"/>
          </w:tcPr>
          <w:p>
            <w:pPr>
              <w:pStyle w:val="TableParagraph"/>
              <w:rPr>
                <w:rFonts w:ascii="Times New Roman"/>
                <w:sz w:val="24"/>
              </w:rPr>
            </w:pPr>
          </w:p>
        </w:tc>
        <w:tc>
          <w:tcPr>
            <w:tcW w:w="1134" w:type="dxa"/>
            <w:vMerge w:val="restart"/>
          </w:tcPr>
          <w:p>
            <w:pPr>
              <w:pStyle w:val="TableParagraph"/>
              <w:rPr>
                <w:rFonts w:ascii="Times New Roman"/>
                <w:sz w:val="24"/>
              </w:rPr>
            </w:pPr>
          </w:p>
        </w:tc>
        <w:tc>
          <w:tcPr>
            <w:tcW w:w="1559" w:type="dxa"/>
            <w:vMerge w:val="restart"/>
          </w:tcPr>
          <w:p>
            <w:pPr>
              <w:pStyle w:val="TableParagraph"/>
              <w:rPr>
                <w:rFonts w:ascii="Times New Roman"/>
                <w:sz w:val="24"/>
              </w:rPr>
            </w:pPr>
          </w:p>
        </w:tc>
        <w:tc>
          <w:tcPr>
            <w:tcW w:w="2693" w:type="dxa"/>
            <w:tcBorders>
              <w:bottom w:val="nil"/>
            </w:tcBorders>
          </w:tcPr>
          <w:p>
            <w:pPr>
              <w:pStyle w:val="TableParagraph"/>
              <w:spacing w:line="284" w:lineRule="exact" w:before="2"/>
              <w:ind w:left="108" w:right="-29"/>
              <w:rPr>
                <w:sz w:val="24"/>
              </w:rPr>
            </w:pPr>
            <w:r>
              <w:rPr>
                <w:spacing w:val="-8"/>
                <w:sz w:val="24"/>
              </w:rPr>
              <w:t>洞、边无盖无栏必有网，</w:t>
            </w:r>
          </w:p>
        </w:tc>
        <w:tc>
          <w:tcPr>
            <w:tcW w:w="1134" w:type="dxa"/>
            <w:vMerge w:val="restart"/>
          </w:tcPr>
          <w:p>
            <w:pPr>
              <w:pStyle w:val="TableParagraph"/>
              <w:rPr>
                <w:rFonts w:ascii="Times New Roman"/>
                <w:sz w:val="24"/>
              </w:rPr>
            </w:pPr>
          </w:p>
        </w:tc>
        <w:tc>
          <w:tcPr>
            <w:tcW w:w="1949" w:type="dxa"/>
            <w:tcBorders>
              <w:bottom w:val="nil"/>
            </w:tcBorders>
          </w:tcPr>
          <w:p>
            <w:pPr>
              <w:pStyle w:val="TableParagraph"/>
              <w:spacing w:line="284" w:lineRule="exact" w:before="2"/>
              <w:ind w:left="107"/>
              <w:rPr>
                <w:sz w:val="24"/>
              </w:rPr>
            </w:pPr>
            <w:r>
              <w:rPr>
                <w:sz w:val="24"/>
              </w:rPr>
              <w:t>条件的，判定为</w:t>
            </w:r>
          </w:p>
        </w:tc>
      </w:tr>
      <w:tr>
        <w:trPr>
          <w:trHeight w:val="300"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vMerge/>
            <w:tcBorders>
              <w:top w:val="nil"/>
            </w:tcBorders>
          </w:tcPr>
          <w:p>
            <w:pPr>
              <w:rPr>
                <w:sz w:val="2"/>
                <w:szCs w:val="2"/>
              </w:rPr>
            </w:pPr>
          </w:p>
        </w:tc>
        <w:tc>
          <w:tcPr>
            <w:tcW w:w="2693" w:type="dxa"/>
            <w:tcBorders>
              <w:top w:val="nil"/>
              <w:bottom w:val="nil"/>
            </w:tcBorders>
          </w:tcPr>
          <w:p>
            <w:pPr>
              <w:pStyle w:val="TableParagraph"/>
              <w:spacing w:line="281" w:lineRule="exact"/>
              <w:ind w:left="108"/>
              <w:rPr>
                <w:sz w:val="24"/>
              </w:rPr>
            </w:pPr>
            <w:r>
              <w:rPr>
                <w:sz w:val="24"/>
              </w:rPr>
              <w:t>电梯口必有门联锁”的</w:t>
            </w:r>
          </w:p>
        </w:tc>
        <w:tc>
          <w:tcPr>
            <w:tcW w:w="1134" w:type="dxa"/>
            <w:vMerge/>
            <w:tcBorders>
              <w:top w:val="nil"/>
            </w:tcBorders>
          </w:tcPr>
          <w:p>
            <w:pPr>
              <w:rPr>
                <w:sz w:val="2"/>
                <w:szCs w:val="2"/>
              </w:rPr>
            </w:pPr>
          </w:p>
        </w:tc>
        <w:tc>
          <w:tcPr>
            <w:tcW w:w="1949" w:type="dxa"/>
            <w:tcBorders>
              <w:top w:val="nil"/>
              <w:bottom w:val="nil"/>
            </w:tcBorders>
          </w:tcPr>
          <w:p>
            <w:pPr>
              <w:pStyle w:val="TableParagraph"/>
              <w:spacing w:line="281" w:lineRule="exact"/>
              <w:ind w:left="107"/>
              <w:rPr>
                <w:sz w:val="24"/>
              </w:rPr>
            </w:pPr>
            <w:r>
              <w:rPr>
                <w:sz w:val="24"/>
              </w:rPr>
              <w:t>重大生产安全事</w:t>
            </w:r>
          </w:p>
        </w:tc>
      </w:tr>
      <w:tr>
        <w:trPr>
          <w:trHeight w:val="307"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vMerge/>
            <w:tcBorders>
              <w:top w:val="nil"/>
            </w:tcBorders>
          </w:tcPr>
          <w:p>
            <w:pPr>
              <w:rPr>
                <w:sz w:val="2"/>
                <w:szCs w:val="2"/>
              </w:rPr>
            </w:pPr>
          </w:p>
        </w:tc>
        <w:tc>
          <w:tcPr>
            <w:tcW w:w="2693" w:type="dxa"/>
            <w:tcBorders>
              <w:top w:val="nil"/>
            </w:tcBorders>
          </w:tcPr>
          <w:p>
            <w:pPr>
              <w:pStyle w:val="TableParagraph"/>
              <w:spacing w:line="287" w:lineRule="exact"/>
              <w:ind w:left="108"/>
              <w:rPr>
                <w:sz w:val="24"/>
              </w:rPr>
            </w:pPr>
            <w:r>
              <w:rPr>
                <w:sz w:val="24"/>
              </w:rPr>
              <w:t>规定</w:t>
            </w:r>
          </w:p>
        </w:tc>
        <w:tc>
          <w:tcPr>
            <w:tcW w:w="1134" w:type="dxa"/>
            <w:vMerge/>
            <w:tcBorders>
              <w:top w:val="nil"/>
            </w:tcBorders>
          </w:tcPr>
          <w:p>
            <w:pPr>
              <w:rPr>
                <w:sz w:val="2"/>
                <w:szCs w:val="2"/>
              </w:rPr>
            </w:pPr>
          </w:p>
        </w:tc>
        <w:tc>
          <w:tcPr>
            <w:tcW w:w="1949" w:type="dxa"/>
            <w:tcBorders>
              <w:top w:val="nil"/>
              <w:bottom w:val="nil"/>
            </w:tcBorders>
          </w:tcPr>
          <w:p>
            <w:pPr>
              <w:pStyle w:val="TableParagraph"/>
              <w:spacing w:line="287" w:lineRule="exact"/>
              <w:ind w:left="107"/>
              <w:rPr>
                <w:sz w:val="24"/>
              </w:rPr>
            </w:pPr>
            <w:r>
              <w:rPr>
                <w:sz w:val="24"/>
              </w:rPr>
              <w:t>故隐患；</w:t>
            </w:r>
          </w:p>
        </w:tc>
      </w:tr>
      <w:tr>
        <w:trPr>
          <w:trHeight w:val="301"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vMerge w:val="restart"/>
          </w:tcPr>
          <w:p>
            <w:pPr>
              <w:pStyle w:val="TableParagraph"/>
              <w:spacing w:before="155"/>
              <w:ind w:left="179"/>
              <w:rPr>
                <w:sz w:val="24"/>
              </w:rPr>
            </w:pPr>
            <w:r>
              <w:rPr>
                <w:sz w:val="24"/>
              </w:rPr>
              <w:t>CBGC-YH002</w:t>
            </w:r>
          </w:p>
        </w:tc>
        <w:tc>
          <w:tcPr>
            <w:tcW w:w="2693" w:type="dxa"/>
            <w:tcBorders>
              <w:bottom w:val="nil"/>
            </w:tcBorders>
          </w:tcPr>
          <w:p>
            <w:pPr>
              <w:pStyle w:val="TableParagraph"/>
              <w:spacing w:line="280" w:lineRule="exact" w:before="1"/>
              <w:ind w:left="108"/>
              <w:rPr>
                <w:sz w:val="24"/>
              </w:rPr>
            </w:pPr>
            <w:r>
              <w:rPr>
                <w:sz w:val="24"/>
              </w:rPr>
              <w:t>脚手架整体结构不符合</w:t>
            </w:r>
          </w:p>
        </w:tc>
        <w:tc>
          <w:tcPr>
            <w:tcW w:w="1134" w:type="dxa"/>
            <w:vMerge/>
            <w:tcBorders>
              <w:top w:val="nil"/>
            </w:tcBorders>
          </w:tcPr>
          <w:p>
            <w:pPr>
              <w:rPr>
                <w:sz w:val="2"/>
                <w:szCs w:val="2"/>
              </w:rPr>
            </w:pPr>
          </w:p>
        </w:tc>
        <w:tc>
          <w:tcPr>
            <w:tcW w:w="1949" w:type="dxa"/>
            <w:tcBorders>
              <w:top w:val="nil"/>
              <w:bottom w:val="nil"/>
            </w:tcBorders>
          </w:tcPr>
          <w:p>
            <w:pPr>
              <w:pStyle w:val="TableParagraph"/>
              <w:spacing w:line="282" w:lineRule="exact"/>
              <w:ind w:left="107"/>
              <w:rPr>
                <w:sz w:val="24"/>
              </w:rPr>
            </w:pPr>
            <w:r>
              <w:rPr>
                <w:sz w:val="24"/>
              </w:rPr>
              <w:t>3 同一次隐患排</w:t>
            </w:r>
          </w:p>
        </w:tc>
      </w:tr>
      <w:tr>
        <w:trPr>
          <w:trHeight w:val="310"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vMerge/>
            <w:tcBorders>
              <w:top w:val="nil"/>
            </w:tcBorders>
          </w:tcPr>
          <w:p>
            <w:pPr>
              <w:rPr>
                <w:sz w:val="2"/>
                <w:szCs w:val="2"/>
              </w:rPr>
            </w:pPr>
          </w:p>
        </w:tc>
        <w:tc>
          <w:tcPr>
            <w:tcW w:w="2693" w:type="dxa"/>
            <w:tcBorders>
              <w:top w:val="nil"/>
            </w:tcBorders>
          </w:tcPr>
          <w:p>
            <w:pPr>
              <w:pStyle w:val="TableParagraph"/>
              <w:spacing w:line="290" w:lineRule="exact"/>
              <w:ind w:left="108"/>
              <w:rPr>
                <w:sz w:val="24"/>
              </w:rPr>
            </w:pPr>
            <w:r>
              <w:rPr>
                <w:sz w:val="24"/>
              </w:rPr>
              <w:t>CB 4204的相关要求</w:t>
            </w:r>
          </w:p>
        </w:tc>
        <w:tc>
          <w:tcPr>
            <w:tcW w:w="1134" w:type="dxa"/>
            <w:vMerge/>
            <w:tcBorders>
              <w:top w:val="nil"/>
            </w:tcBorders>
          </w:tcPr>
          <w:p>
            <w:pPr>
              <w:rPr>
                <w:sz w:val="2"/>
                <w:szCs w:val="2"/>
              </w:rPr>
            </w:pPr>
          </w:p>
        </w:tc>
        <w:tc>
          <w:tcPr>
            <w:tcW w:w="1949" w:type="dxa"/>
            <w:tcBorders>
              <w:top w:val="nil"/>
              <w:bottom w:val="nil"/>
            </w:tcBorders>
          </w:tcPr>
          <w:p>
            <w:pPr>
              <w:pStyle w:val="TableParagraph"/>
              <w:spacing w:line="290" w:lineRule="exact"/>
              <w:ind w:left="107"/>
              <w:rPr>
                <w:sz w:val="24"/>
              </w:rPr>
            </w:pPr>
            <w:r>
              <w:rPr>
                <w:sz w:val="24"/>
              </w:rPr>
              <w:t>查过程中，不同</w:t>
            </w:r>
          </w:p>
        </w:tc>
      </w:tr>
      <w:tr>
        <w:trPr>
          <w:trHeight w:val="297"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Borders>
              <w:bottom w:val="nil"/>
            </w:tcBorders>
          </w:tcPr>
          <w:p>
            <w:pPr>
              <w:pStyle w:val="TableParagraph"/>
              <w:rPr>
                <w:rFonts w:ascii="Times New Roman"/>
                <w:sz w:val="22"/>
              </w:rPr>
            </w:pPr>
          </w:p>
        </w:tc>
        <w:tc>
          <w:tcPr>
            <w:tcW w:w="2693" w:type="dxa"/>
            <w:tcBorders>
              <w:bottom w:val="nil"/>
            </w:tcBorders>
          </w:tcPr>
          <w:p>
            <w:pPr>
              <w:pStyle w:val="TableParagraph"/>
              <w:spacing w:line="274" w:lineRule="exact" w:before="3"/>
              <w:ind w:left="108"/>
              <w:rPr>
                <w:sz w:val="24"/>
              </w:rPr>
            </w:pPr>
            <w:r>
              <w:rPr>
                <w:sz w:val="24"/>
              </w:rPr>
              <w:t>脚手架搭设(拆除)时作</w:t>
            </w:r>
          </w:p>
        </w:tc>
        <w:tc>
          <w:tcPr>
            <w:tcW w:w="1134" w:type="dxa"/>
            <w:vMerge/>
            <w:tcBorders>
              <w:top w:val="nil"/>
            </w:tcBorders>
          </w:tcPr>
          <w:p>
            <w:pPr>
              <w:rPr>
                <w:sz w:val="2"/>
                <w:szCs w:val="2"/>
              </w:rPr>
            </w:pPr>
          </w:p>
        </w:tc>
        <w:tc>
          <w:tcPr>
            <w:tcW w:w="1949" w:type="dxa"/>
            <w:tcBorders>
              <w:top w:val="nil"/>
              <w:bottom w:val="nil"/>
            </w:tcBorders>
          </w:tcPr>
          <w:p>
            <w:pPr>
              <w:pStyle w:val="TableParagraph"/>
              <w:spacing w:line="277" w:lineRule="exact"/>
              <w:ind w:left="107"/>
              <w:rPr>
                <w:sz w:val="24"/>
              </w:rPr>
            </w:pPr>
            <w:r>
              <w:rPr>
                <w:sz w:val="24"/>
              </w:rPr>
              <w:t>作业现场累计发</w:t>
            </w:r>
          </w:p>
        </w:tc>
      </w:tr>
      <w:tr>
        <w:trPr>
          <w:trHeight w:val="299"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Borders>
              <w:top w:val="nil"/>
              <w:bottom w:val="nil"/>
            </w:tcBorders>
          </w:tcPr>
          <w:p>
            <w:pPr>
              <w:pStyle w:val="TableParagraph"/>
              <w:spacing w:line="274" w:lineRule="exact" w:before="5"/>
              <w:ind w:right="167"/>
              <w:jc w:val="right"/>
              <w:rPr>
                <w:sz w:val="24"/>
              </w:rPr>
            </w:pPr>
            <w:r>
              <w:rPr>
                <w:sz w:val="24"/>
              </w:rPr>
              <w:t>CBGC-YH003</w:t>
            </w:r>
          </w:p>
        </w:tc>
        <w:tc>
          <w:tcPr>
            <w:tcW w:w="2693" w:type="dxa"/>
            <w:tcBorders>
              <w:top w:val="nil"/>
              <w:bottom w:val="nil"/>
            </w:tcBorders>
          </w:tcPr>
          <w:p>
            <w:pPr>
              <w:pStyle w:val="TableParagraph"/>
              <w:spacing w:line="274" w:lineRule="exact" w:before="5"/>
              <w:ind w:left="108"/>
              <w:rPr>
                <w:sz w:val="24"/>
              </w:rPr>
            </w:pPr>
            <w:r>
              <w:rPr>
                <w:sz w:val="24"/>
              </w:rPr>
              <w:t>业区域无人监护且未设</w:t>
            </w:r>
          </w:p>
        </w:tc>
        <w:tc>
          <w:tcPr>
            <w:tcW w:w="1134" w:type="dxa"/>
            <w:vMerge/>
            <w:tcBorders>
              <w:top w:val="nil"/>
            </w:tcBorders>
          </w:tcPr>
          <w:p>
            <w:pPr>
              <w:rPr>
                <w:sz w:val="2"/>
                <w:szCs w:val="2"/>
              </w:rPr>
            </w:pPr>
          </w:p>
        </w:tc>
        <w:tc>
          <w:tcPr>
            <w:tcW w:w="1949" w:type="dxa"/>
            <w:tcBorders>
              <w:top w:val="nil"/>
              <w:bottom w:val="nil"/>
            </w:tcBorders>
          </w:tcPr>
          <w:p>
            <w:pPr>
              <w:pStyle w:val="TableParagraph"/>
              <w:spacing w:line="280" w:lineRule="exact"/>
              <w:ind w:left="107"/>
              <w:rPr>
                <w:sz w:val="24"/>
              </w:rPr>
            </w:pPr>
            <w:r>
              <w:rPr>
                <w:sz w:val="24"/>
              </w:rPr>
              <w:t>现任意四项隐患</w:t>
            </w:r>
          </w:p>
        </w:tc>
      </w:tr>
      <w:tr>
        <w:trPr>
          <w:trHeight w:val="317"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Borders>
              <w:top w:val="nil"/>
            </w:tcBorders>
          </w:tcPr>
          <w:p>
            <w:pPr>
              <w:pStyle w:val="TableParagraph"/>
              <w:rPr>
                <w:rFonts w:ascii="Times New Roman"/>
                <w:sz w:val="24"/>
              </w:rPr>
            </w:pPr>
          </w:p>
        </w:tc>
        <w:tc>
          <w:tcPr>
            <w:tcW w:w="2693" w:type="dxa"/>
            <w:tcBorders>
              <w:top w:val="nil"/>
            </w:tcBorders>
          </w:tcPr>
          <w:p>
            <w:pPr>
              <w:pStyle w:val="TableParagraph"/>
              <w:spacing w:line="289" w:lineRule="exact" w:before="8"/>
              <w:ind w:left="108"/>
              <w:rPr>
                <w:sz w:val="24"/>
              </w:rPr>
            </w:pPr>
            <w:r>
              <w:rPr>
                <w:sz w:val="24"/>
              </w:rPr>
              <w:t>警戒区域(标识)</w:t>
            </w:r>
          </w:p>
        </w:tc>
        <w:tc>
          <w:tcPr>
            <w:tcW w:w="1134" w:type="dxa"/>
            <w:vMerge/>
            <w:tcBorders>
              <w:top w:val="nil"/>
            </w:tcBorders>
          </w:tcPr>
          <w:p>
            <w:pPr>
              <w:rPr>
                <w:sz w:val="2"/>
                <w:szCs w:val="2"/>
              </w:rPr>
            </w:pPr>
          </w:p>
        </w:tc>
        <w:tc>
          <w:tcPr>
            <w:tcW w:w="1949" w:type="dxa"/>
            <w:tcBorders>
              <w:top w:val="nil"/>
              <w:bottom w:val="nil"/>
            </w:tcBorders>
          </w:tcPr>
          <w:p>
            <w:pPr>
              <w:pStyle w:val="TableParagraph"/>
              <w:spacing w:line="294" w:lineRule="exact"/>
              <w:ind w:left="107"/>
              <w:rPr>
                <w:sz w:val="24"/>
              </w:rPr>
            </w:pPr>
            <w:r>
              <w:rPr>
                <w:sz w:val="24"/>
              </w:rPr>
              <w:t>内容的，判定为</w:t>
            </w:r>
          </w:p>
        </w:tc>
      </w:tr>
      <w:tr>
        <w:trPr>
          <w:trHeight w:val="291"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Borders>
              <w:bottom w:val="nil"/>
            </w:tcBorders>
          </w:tcPr>
          <w:p>
            <w:pPr>
              <w:pStyle w:val="TableParagraph"/>
              <w:rPr>
                <w:rFonts w:ascii="Times New Roman"/>
                <w:sz w:val="20"/>
              </w:rPr>
            </w:pPr>
          </w:p>
        </w:tc>
        <w:tc>
          <w:tcPr>
            <w:tcW w:w="2693" w:type="dxa"/>
            <w:tcBorders>
              <w:bottom w:val="nil"/>
            </w:tcBorders>
          </w:tcPr>
          <w:p>
            <w:pPr>
              <w:pStyle w:val="TableParagraph"/>
              <w:spacing w:line="269" w:lineRule="exact" w:before="2"/>
              <w:ind w:left="108"/>
              <w:rPr>
                <w:sz w:val="24"/>
              </w:rPr>
            </w:pPr>
            <w:r>
              <w:rPr>
                <w:sz w:val="24"/>
              </w:rPr>
              <w:t>船舶外挂型脚手架、船</w:t>
            </w:r>
          </w:p>
        </w:tc>
        <w:tc>
          <w:tcPr>
            <w:tcW w:w="1134" w:type="dxa"/>
            <w:vMerge/>
            <w:tcBorders>
              <w:top w:val="nil"/>
            </w:tcBorders>
          </w:tcPr>
          <w:p>
            <w:pPr>
              <w:rPr>
                <w:sz w:val="2"/>
                <w:szCs w:val="2"/>
              </w:rPr>
            </w:pPr>
          </w:p>
        </w:tc>
        <w:tc>
          <w:tcPr>
            <w:tcW w:w="1949" w:type="dxa"/>
            <w:tcBorders>
              <w:top w:val="nil"/>
              <w:bottom w:val="nil"/>
            </w:tcBorders>
          </w:tcPr>
          <w:p>
            <w:pPr>
              <w:pStyle w:val="TableParagraph"/>
              <w:spacing w:line="272" w:lineRule="exact"/>
              <w:ind w:left="107"/>
              <w:rPr>
                <w:sz w:val="24"/>
              </w:rPr>
            </w:pPr>
            <w:r>
              <w:rPr>
                <w:sz w:val="24"/>
              </w:rPr>
              <w:t>重大生产安全事</w:t>
            </w:r>
          </w:p>
        </w:tc>
      </w:tr>
      <w:tr>
        <w:trPr>
          <w:trHeight w:val="315"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Borders>
              <w:top w:val="nil"/>
              <w:bottom w:val="nil"/>
            </w:tcBorders>
          </w:tcPr>
          <w:p>
            <w:pPr>
              <w:pStyle w:val="TableParagraph"/>
              <w:rPr>
                <w:rFonts w:ascii="Times New Roman"/>
                <w:sz w:val="22"/>
              </w:rPr>
            </w:pPr>
          </w:p>
        </w:tc>
        <w:tc>
          <w:tcPr>
            <w:tcW w:w="2693" w:type="dxa"/>
            <w:tcBorders>
              <w:top w:val="nil"/>
              <w:bottom w:val="nil"/>
            </w:tcBorders>
          </w:tcPr>
          <w:p>
            <w:pPr>
              <w:pStyle w:val="TableParagraph"/>
              <w:spacing w:line="285" w:lineRule="exact" w:before="10"/>
              <w:ind w:left="108"/>
              <w:rPr>
                <w:sz w:val="24"/>
              </w:rPr>
            </w:pPr>
            <w:r>
              <w:rPr>
                <w:sz w:val="24"/>
              </w:rPr>
              <w:t>舶艏艉部线型变化较大</w:t>
            </w:r>
          </w:p>
        </w:tc>
        <w:tc>
          <w:tcPr>
            <w:tcW w:w="1134" w:type="dxa"/>
            <w:vMerge/>
            <w:tcBorders>
              <w:top w:val="nil"/>
            </w:tcBorders>
          </w:tcPr>
          <w:p>
            <w:pPr>
              <w:rPr>
                <w:sz w:val="2"/>
                <w:szCs w:val="2"/>
              </w:rPr>
            </w:pPr>
          </w:p>
        </w:tc>
        <w:tc>
          <w:tcPr>
            <w:tcW w:w="1949" w:type="dxa"/>
            <w:tcBorders>
              <w:top w:val="nil"/>
              <w:bottom w:val="nil"/>
            </w:tcBorders>
          </w:tcPr>
          <w:p>
            <w:pPr>
              <w:pStyle w:val="TableParagraph"/>
              <w:spacing w:line="289" w:lineRule="exact"/>
              <w:ind w:left="107"/>
              <w:rPr>
                <w:sz w:val="24"/>
              </w:rPr>
            </w:pPr>
            <w:r>
              <w:rPr>
                <w:sz w:val="24"/>
              </w:rPr>
              <w:t>故隐患</w:t>
            </w:r>
          </w:p>
        </w:tc>
      </w:tr>
      <w:tr>
        <w:trPr>
          <w:trHeight w:val="301"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Borders>
              <w:top w:val="nil"/>
              <w:bottom w:val="nil"/>
            </w:tcBorders>
          </w:tcPr>
          <w:p>
            <w:pPr>
              <w:pStyle w:val="TableParagraph"/>
              <w:spacing w:line="282" w:lineRule="exact"/>
              <w:ind w:right="167"/>
              <w:jc w:val="right"/>
              <w:rPr>
                <w:sz w:val="24"/>
              </w:rPr>
            </w:pPr>
            <w:r>
              <w:rPr>
                <w:sz w:val="24"/>
              </w:rPr>
              <w:t>CBGC-YH004</w:t>
            </w:r>
          </w:p>
        </w:tc>
        <w:tc>
          <w:tcPr>
            <w:tcW w:w="2693" w:type="dxa"/>
            <w:tcBorders>
              <w:top w:val="nil"/>
              <w:bottom w:val="nil"/>
            </w:tcBorders>
          </w:tcPr>
          <w:p>
            <w:pPr>
              <w:pStyle w:val="TableParagraph"/>
              <w:spacing w:line="282" w:lineRule="exact"/>
              <w:ind w:left="108"/>
              <w:rPr>
                <w:sz w:val="24"/>
              </w:rPr>
            </w:pPr>
            <w:r>
              <w:rPr>
                <w:sz w:val="24"/>
              </w:rPr>
              <w:t>部位、上下通道等易发</w:t>
            </w:r>
          </w:p>
        </w:tc>
        <w:tc>
          <w:tcPr>
            <w:tcW w:w="1134" w:type="dxa"/>
            <w:vMerge/>
            <w:tcBorders>
              <w:top w:val="nil"/>
            </w:tcBorders>
          </w:tcPr>
          <w:p>
            <w:pPr>
              <w:rPr>
                <w:sz w:val="2"/>
                <w:szCs w:val="2"/>
              </w:rPr>
            </w:pPr>
          </w:p>
        </w:tc>
        <w:tc>
          <w:tcPr>
            <w:tcW w:w="1949" w:type="dxa"/>
            <w:tcBorders>
              <w:top w:val="nil"/>
              <w:bottom w:val="nil"/>
            </w:tcBorders>
          </w:tcPr>
          <w:p>
            <w:pPr>
              <w:pStyle w:val="TableParagraph"/>
              <w:rPr>
                <w:rFonts w:ascii="Times New Roman"/>
                <w:sz w:val="22"/>
              </w:rPr>
            </w:pPr>
          </w:p>
        </w:tc>
      </w:tr>
      <w:tr>
        <w:trPr>
          <w:trHeight w:val="302"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Borders>
              <w:top w:val="nil"/>
              <w:bottom w:val="nil"/>
            </w:tcBorders>
          </w:tcPr>
          <w:p>
            <w:pPr>
              <w:pStyle w:val="TableParagraph"/>
              <w:rPr>
                <w:rFonts w:ascii="Times New Roman"/>
                <w:sz w:val="22"/>
              </w:rPr>
            </w:pPr>
          </w:p>
        </w:tc>
        <w:tc>
          <w:tcPr>
            <w:tcW w:w="2693" w:type="dxa"/>
            <w:tcBorders>
              <w:top w:val="nil"/>
              <w:bottom w:val="nil"/>
            </w:tcBorders>
          </w:tcPr>
          <w:p>
            <w:pPr>
              <w:pStyle w:val="TableParagraph"/>
              <w:spacing w:line="282" w:lineRule="exact"/>
              <w:ind w:left="108"/>
              <w:rPr>
                <w:sz w:val="24"/>
              </w:rPr>
            </w:pPr>
            <w:r>
              <w:rPr>
                <w:sz w:val="24"/>
              </w:rPr>
              <w:t>生坠落部位未悬挂安全</w:t>
            </w:r>
          </w:p>
        </w:tc>
        <w:tc>
          <w:tcPr>
            <w:tcW w:w="1134" w:type="dxa"/>
            <w:vMerge/>
            <w:tcBorders>
              <w:top w:val="nil"/>
            </w:tcBorders>
          </w:tcPr>
          <w:p>
            <w:pPr>
              <w:rPr>
                <w:sz w:val="2"/>
                <w:szCs w:val="2"/>
              </w:rPr>
            </w:pPr>
          </w:p>
        </w:tc>
        <w:tc>
          <w:tcPr>
            <w:tcW w:w="1949" w:type="dxa"/>
            <w:tcBorders>
              <w:top w:val="nil"/>
              <w:bottom w:val="nil"/>
            </w:tcBorders>
          </w:tcPr>
          <w:p>
            <w:pPr>
              <w:pStyle w:val="TableParagraph"/>
              <w:rPr>
                <w:rFonts w:ascii="Times New Roman"/>
                <w:sz w:val="22"/>
              </w:rPr>
            </w:pPr>
          </w:p>
        </w:tc>
      </w:tr>
      <w:tr>
        <w:trPr>
          <w:trHeight w:val="305"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Borders>
              <w:top w:val="nil"/>
            </w:tcBorders>
          </w:tcPr>
          <w:p>
            <w:pPr>
              <w:pStyle w:val="TableParagraph"/>
              <w:rPr>
                <w:rFonts w:ascii="Times New Roman"/>
                <w:sz w:val="22"/>
              </w:rPr>
            </w:pPr>
          </w:p>
        </w:tc>
        <w:tc>
          <w:tcPr>
            <w:tcW w:w="2693" w:type="dxa"/>
            <w:tcBorders>
              <w:top w:val="nil"/>
            </w:tcBorders>
          </w:tcPr>
          <w:p>
            <w:pPr>
              <w:pStyle w:val="TableParagraph"/>
              <w:spacing w:line="285" w:lineRule="exact"/>
              <w:ind w:left="108"/>
              <w:rPr>
                <w:sz w:val="24"/>
              </w:rPr>
            </w:pPr>
            <w:r>
              <w:rPr>
                <w:sz w:val="24"/>
              </w:rPr>
              <w:t>网</w:t>
            </w:r>
          </w:p>
        </w:tc>
        <w:tc>
          <w:tcPr>
            <w:tcW w:w="1134" w:type="dxa"/>
            <w:vMerge/>
            <w:tcBorders>
              <w:top w:val="nil"/>
            </w:tcBorders>
          </w:tcPr>
          <w:p>
            <w:pPr>
              <w:rPr>
                <w:sz w:val="2"/>
                <w:szCs w:val="2"/>
              </w:rPr>
            </w:pPr>
          </w:p>
        </w:tc>
        <w:tc>
          <w:tcPr>
            <w:tcW w:w="1949" w:type="dxa"/>
            <w:tcBorders>
              <w:top w:val="nil"/>
              <w:bottom w:val="nil"/>
            </w:tcBorders>
          </w:tcPr>
          <w:p>
            <w:pPr>
              <w:pStyle w:val="TableParagraph"/>
              <w:rPr>
                <w:rFonts w:ascii="Times New Roman"/>
                <w:sz w:val="22"/>
              </w:rPr>
            </w:pPr>
          </w:p>
        </w:tc>
      </w:tr>
      <w:tr>
        <w:trPr>
          <w:trHeight w:val="305"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Borders>
              <w:bottom w:val="nil"/>
            </w:tcBorders>
          </w:tcPr>
          <w:p>
            <w:pPr>
              <w:pStyle w:val="TableParagraph"/>
              <w:rPr>
                <w:rFonts w:ascii="Times New Roman"/>
                <w:sz w:val="22"/>
              </w:rPr>
            </w:pPr>
          </w:p>
        </w:tc>
        <w:tc>
          <w:tcPr>
            <w:tcW w:w="2693" w:type="dxa"/>
            <w:tcBorders>
              <w:bottom w:val="nil"/>
            </w:tcBorders>
          </w:tcPr>
          <w:p>
            <w:pPr>
              <w:pStyle w:val="TableParagraph"/>
              <w:spacing w:line="285" w:lineRule="exact" w:before="1"/>
              <w:ind w:left="108"/>
              <w:rPr>
                <w:sz w:val="24"/>
              </w:rPr>
            </w:pPr>
            <w:r>
              <w:rPr>
                <w:sz w:val="24"/>
              </w:rPr>
              <w:t>下方没有工作平台、悬</w:t>
            </w:r>
          </w:p>
        </w:tc>
        <w:tc>
          <w:tcPr>
            <w:tcW w:w="1134" w:type="dxa"/>
            <w:vMerge/>
            <w:tcBorders>
              <w:top w:val="nil"/>
            </w:tcBorders>
          </w:tcPr>
          <w:p>
            <w:pPr>
              <w:rPr>
                <w:sz w:val="2"/>
                <w:szCs w:val="2"/>
              </w:rPr>
            </w:pPr>
          </w:p>
        </w:tc>
        <w:tc>
          <w:tcPr>
            <w:tcW w:w="1949" w:type="dxa"/>
            <w:tcBorders>
              <w:top w:val="nil"/>
              <w:bottom w:val="nil"/>
            </w:tcBorders>
          </w:tcPr>
          <w:p>
            <w:pPr>
              <w:pStyle w:val="TableParagraph"/>
              <w:rPr>
                <w:rFonts w:ascii="Times New Roman"/>
                <w:sz w:val="22"/>
              </w:rPr>
            </w:pPr>
          </w:p>
        </w:tc>
      </w:tr>
      <w:tr>
        <w:trPr>
          <w:trHeight w:val="301"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Borders>
              <w:top w:val="nil"/>
              <w:bottom w:val="nil"/>
            </w:tcBorders>
          </w:tcPr>
          <w:p>
            <w:pPr>
              <w:pStyle w:val="TableParagraph"/>
              <w:spacing w:line="282" w:lineRule="exact"/>
              <w:ind w:right="167"/>
              <w:jc w:val="right"/>
              <w:rPr>
                <w:sz w:val="24"/>
              </w:rPr>
            </w:pPr>
            <w:r>
              <w:rPr>
                <w:sz w:val="24"/>
              </w:rPr>
              <w:t>CBGC-YH005</w:t>
            </w:r>
          </w:p>
        </w:tc>
        <w:tc>
          <w:tcPr>
            <w:tcW w:w="2693" w:type="dxa"/>
            <w:tcBorders>
              <w:top w:val="nil"/>
              <w:bottom w:val="nil"/>
            </w:tcBorders>
          </w:tcPr>
          <w:p>
            <w:pPr>
              <w:pStyle w:val="TableParagraph"/>
              <w:spacing w:line="282" w:lineRule="exact"/>
              <w:ind w:left="108"/>
              <w:rPr>
                <w:sz w:val="24"/>
              </w:rPr>
            </w:pPr>
            <w:r>
              <w:rPr>
                <w:sz w:val="24"/>
              </w:rPr>
              <w:t>空的脚手架，下方未水</w:t>
            </w:r>
          </w:p>
        </w:tc>
        <w:tc>
          <w:tcPr>
            <w:tcW w:w="1134" w:type="dxa"/>
            <w:vMerge/>
            <w:tcBorders>
              <w:top w:val="nil"/>
            </w:tcBorders>
          </w:tcPr>
          <w:p>
            <w:pPr>
              <w:rPr>
                <w:sz w:val="2"/>
                <w:szCs w:val="2"/>
              </w:rPr>
            </w:pPr>
          </w:p>
        </w:tc>
        <w:tc>
          <w:tcPr>
            <w:tcW w:w="1949" w:type="dxa"/>
            <w:tcBorders>
              <w:top w:val="nil"/>
              <w:bottom w:val="nil"/>
            </w:tcBorders>
          </w:tcPr>
          <w:p>
            <w:pPr>
              <w:pStyle w:val="TableParagraph"/>
              <w:rPr>
                <w:rFonts w:ascii="Times New Roman"/>
                <w:sz w:val="22"/>
              </w:rPr>
            </w:pPr>
          </w:p>
        </w:tc>
      </w:tr>
      <w:tr>
        <w:trPr>
          <w:trHeight w:val="306"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Borders>
              <w:top w:val="nil"/>
            </w:tcBorders>
          </w:tcPr>
          <w:p>
            <w:pPr>
              <w:pStyle w:val="TableParagraph"/>
              <w:rPr>
                <w:rFonts w:ascii="Times New Roman"/>
                <w:sz w:val="22"/>
              </w:rPr>
            </w:pPr>
          </w:p>
        </w:tc>
        <w:tc>
          <w:tcPr>
            <w:tcW w:w="2693" w:type="dxa"/>
            <w:tcBorders>
              <w:top w:val="nil"/>
            </w:tcBorders>
          </w:tcPr>
          <w:p>
            <w:pPr>
              <w:pStyle w:val="TableParagraph"/>
              <w:spacing w:line="286" w:lineRule="exact"/>
              <w:ind w:left="108"/>
              <w:rPr>
                <w:sz w:val="24"/>
              </w:rPr>
            </w:pPr>
            <w:r>
              <w:rPr>
                <w:sz w:val="24"/>
              </w:rPr>
              <w:t>平设置安全网</w:t>
            </w:r>
          </w:p>
        </w:tc>
        <w:tc>
          <w:tcPr>
            <w:tcW w:w="1134" w:type="dxa"/>
            <w:vMerge/>
            <w:tcBorders>
              <w:top w:val="nil"/>
            </w:tcBorders>
          </w:tcPr>
          <w:p>
            <w:pPr>
              <w:rPr>
                <w:sz w:val="2"/>
                <w:szCs w:val="2"/>
              </w:rPr>
            </w:pPr>
          </w:p>
        </w:tc>
        <w:tc>
          <w:tcPr>
            <w:tcW w:w="1949" w:type="dxa"/>
            <w:tcBorders>
              <w:top w:val="nil"/>
              <w:bottom w:val="nil"/>
            </w:tcBorders>
          </w:tcPr>
          <w:p>
            <w:pPr>
              <w:pStyle w:val="TableParagraph"/>
              <w:rPr>
                <w:rFonts w:ascii="Times New Roman"/>
                <w:sz w:val="22"/>
              </w:rPr>
            </w:pPr>
          </w:p>
        </w:tc>
      </w:tr>
      <w:tr>
        <w:trPr>
          <w:trHeight w:val="306"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vMerge w:val="restart"/>
          </w:tcPr>
          <w:p>
            <w:pPr>
              <w:pStyle w:val="TableParagraph"/>
              <w:spacing w:before="156"/>
              <w:ind w:left="179"/>
              <w:rPr>
                <w:sz w:val="24"/>
              </w:rPr>
            </w:pPr>
            <w:r>
              <w:rPr>
                <w:sz w:val="24"/>
              </w:rPr>
              <w:t>CBGC-YH006</w:t>
            </w:r>
          </w:p>
        </w:tc>
        <w:tc>
          <w:tcPr>
            <w:tcW w:w="2693" w:type="dxa"/>
            <w:tcBorders>
              <w:bottom w:val="nil"/>
            </w:tcBorders>
          </w:tcPr>
          <w:p>
            <w:pPr>
              <w:pStyle w:val="TableParagraph"/>
              <w:spacing w:line="284" w:lineRule="exact" w:before="3"/>
              <w:ind w:left="108"/>
              <w:rPr>
                <w:sz w:val="24"/>
              </w:rPr>
            </w:pPr>
            <w:r>
              <w:rPr>
                <w:sz w:val="24"/>
              </w:rPr>
              <w:t>搭架单位未定期对脚手</w:t>
            </w:r>
          </w:p>
        </w:tc>
        <w:tc>
          <w:tcPr>
            <w:tcW w:w="1134" w:type="dxa"/>
            <w:vMerge/>
            <w:tcBorders>
              <w:top w:val="nil"/>
            </w:tcBorders>
          </w:tcPr>
          <w:p>
            <w:pPr>
              <w:rPr>
                <w:sz w:val="2"/>
                <w:szCs w:val="2"/>
              </w:rPr>
            </w:pPr>
          </w:p>
        </w:tc>
        <w:tc>
          <w:tcPr>
            <w:tcW w:w="1949" w:type="dxa"/>
            <w:tcBorders>
              <w:top w:val="nil"/>
              <w:bottom w:val="nil"/>
            </w:tcBorders>
          </w:tcPr>
          <w:p>
            <w:pPr>
              <w:pStyle w:val="TableParagraph"/>
              <w:rPr>
                <w:rFonts w:ascii="Times New Roman"/>
                <w:sz w:val="22"/>
              </w:rPr>
            </w:pPr>
          </w:p>
        </w:tc>
      </w:tr>
      <w:tr>
        <w:trPr>
          <w:trHeight w:val="306"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vMerge/>
            <w:tcBorders>
              <w:top w:val="nil"/>
            </w:tcBorders>
          </w:tcPr>
          <w:p>
            <w:pPr>
              <w:rPr>
                <w:sz w:val="2"/>
                <w:szCs w:val="2"/>
              </w:rPr>
            </w:pPr>
          </w:p>
        </w:tc>
        <w:tc>
          <w:tcPr>
            <w:tcW w:w="2693" w:type="dxa"/>
            <w:tcBorders>
              <w:top w:val="nil"/>
            </w:tcBorders>
          </w:tcPr>
          <w:p>
            <w:pPr>
              <w:pStyle w:val="TableParagraph"/>
              <w:spacing w:line="287" w:lineRule="exact"/>
              <w:ind w:left="108"/>
              <w:rPr>
                <w:sz w:val="24"/>
              </w:rPr>
            </w:pPr>
            <w:r>
              <w:rPr>
                <w:sz w:val="24"/>
              </w:rPr>
              <w:t>架进行巡回检查</w:t>
            </w:r>
          </w:p>
        </w:tc>
        <w:tc>
          <w:tcPr>
            <w:tcW w:w="1134" w:type="dxa"/>
            <w:vMerge/>
            <w:tcBorders>
              <w:top w:val="nil"/>
            </w:tcBorders>
          </w:tcPr>
          <w:p>
            <w:pPr>
              <w:rPr>
                <w:sz w:val="2"/>
                <w:szCs w:val="2"/>
              </w:rPr>
            </w:pPr>
          </w:p>
        </w:tc>
        <w:tc>
          <w:tcPr>
            <w:tcW w:w="1949" w:type="dxa"/>
            <w:tcBorders>
              <w:top w:val="nil"/>
              <w:bottom w:val="nil"/>
            </w:tcBorders>
          </w:tcPr>
          <w:p>
            <w:pPr>
              <w:pStyle w:val="TableParagraph"/>
              <w:rPr>
                <w:rFonts w:ascii="Times New Roman"/>
                <w:sz w:val="22"/>
              </w:rPr>
            </w:pPr>
          </w:p>
        </w:tc>
      </w:tr>
      <w:tr>
        <w:trPr>
          <w:trHeight w:val="304"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Borders>
              <w:bottom w:val="nil"/>
            </w:tcBorders>
          </w:tcPr>
          <w:p>
            <w:pPr>
              <w:pStyle w:val="TableParagraph"/>
              <w:rPr>
                <w:rFonts w:ascii="Times New Roman"/>
                <w:sz w:val="22"/>
              </w:rPr>
            </w:pPr>
          </w:p>
        </w:tc>
        <w:tc>
          <w:tcPr>
            <w:tcW w:w="2693" w:type="dxa"/>
            <w:tcBorders>
              <w:bottom w:val="nil"/>
            </w:tcBorders>
          </w:tcPr>
          <w:p>
            <w:pPr>
              <w:pStyle w:val="TableParagraph"/>
              <w:spacing w:line="284" w:lineRule="exact" w:before="1"/>
              <w:ind w:left="108"/>
              <w:rPr>
                <w:sz w:val="24"/>
              </w:rPr>
            </w:pPr>
            <w:r>
              <w:rPr>
                <w:sz w:val="24"/>
              </w:rPr>
              <w:t>高处作业现场照明照度</w:t>
            </w:r>
          </w:p>
        </w:tc>
        <w:tc>
          <w:tcPr>
            <w:tcW w:w="1134" w:type="dxa"/>
            <w:vMerge/>
            <w:tcBorders>
              <w:top w:val="nil"/>
            </w:tcBorders>
          </w:tcPr>
          <w:p>
            <w:pPr>
              <w:rPr>
                <w:sz w:val="2"/>
                <w:szCs w:val="2"/>
              </w:rPr>
            </w:pPr>
          </w:p>
        </w:tc>
        <w:tc>
          <w:tcPr>
            <w:tcW w:w="1949" w:type="dxa"/>
            <w:tcBorders>
              <w:top w:val="nil"/>
              <w:bottom w:val="nil"/>
            </w:tcBorders>
          </w:tcPr>
          <w:p>
            <w:pPr>
              <w:pStyle w:val="TableParagraph"/>
              <w:rPr>
                <w:rFonts w:ascii="Times New Roman"/>
                <w:sz w:val="22"/>
              </w:rPr>
            </w:pPr>
          </w:p>
        </w:tc>
      </w:tr>
      <w:tr>
        <w:trPr>
          <w:trHeight w:val="301"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Borders>
              <w:top w:val="nil"/>
              <w:bottom w:val="nil"/>
            </w:tcBorders>
          </w:tcPr>
          <w:p>
            <w:pPr>
              <w:pStyle w:val="TableParagraph"/>
              <w:spacing w:line="282" w:lineRule="exact"/>
              <w:ind w:right="167"/>
              <w:jc w:val="right"/>
              <w:rPr>
                <w:sz w:val="24"/>
              </w:rPr>
            </w:pPr>
            <w:r>
              <w:rPr>
                <w:sz w:val="24"/>
              </w:rPr>
              <w:t>CBGC-YH007</w:t>
            </w:r>
          </w:p>
        </w:tc>
        <w:tc>
          <w:tcPr>
            <w:tcW w:w="2693" w:type="dxa"/>
            <w:tcBorders>
              <w:top w:val="nil"/>
              <w:bottom w:val="nil"/>
            </w:tcBorders>
          </w:tcPr>
          <w:p>
            <w:pPr>
              <w:pStyle w:val="TableParagraph"/>
              <w:spacing w:line="282" w:lineRule="exact"/>
              <w:ind w:left="108"/>
              <w:rPr>
                <w:sz w:val="24"/>
              </w:rPr>
            </w:pPr>
            <w:r>
              <w:rPr>
                <w:sz w:val="24"/>
              </w:rPr>
              <w:t>不符合CB 3785的相关要</w:t>
            </w:r>
          </w:p>
        </w:tc>
        <w:tc>
          <w:tcPr>
            <w:tcW w:w="1134" w:type="dxa"/>
            <w:vMerge/>
            <w:tcBorders>
              <w:top w:val="nil"/>
            </w:tcBorders>
          </w:tcPr>
          <w:p>
            <w:pPr>
              <w:rPr>
                <w:sz w:val="2"/>
                <w:szCs w:val="2"/>
              </w:rPr>
            </w:pPr>
          </w:p>
        </w:tc>
        <w:tc>
          <w:tcPr>
            <w:tcW w:w="1949" w:type="dxa"/>
            <w:tcBorders>
              <w:top w:val="nil"/>
              <w:bottom w:val="nil"/>
            </w:tcBorders>
          </w:tcPr>
          <w:p>
            <w:pPr>
              <w:pStyle w:val="TableParagraph"/>
              <w:rPr>
                <w:rFonts w:ascii="Times New Roman"/>
                <w:sz w:val="22"/>
              </w:rPr>
            </w:pPr>
          </w:p>
        </w:tc>
      </w:tr>
      <w:tr>
        <w:trPr>
          <w:trHeight w:val="306"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Borders>
              <w:top w:val="nil"/>
            </w:tcBorders>
          </w:tcPr>
          <w:p>
            <w:pPr>
              <w:pStyle w:val="TableParagraph"/>
              <w:rPr>
                <w:rFonts w:ascii="Times New Roman"/>
                <w:sz w:val="22"/>
              </w:rPr>
            </w:pPr>
          </w:p>
        </w:tc>
        <w:tc>
          <w:tcPr>
            <w:tcW w:w="2693" w:type="dxa"/>
            <w:tcBorders>
              <w:top w:val="nil"/>
            </w:tcBorders>
          </w:tcPr>
          <w:p>
            <w:pPr>
              <w:pStyle w:val="TableParagraph"/>
              <w:spacing w:line="286" w:lineRule="exact"/>
              <w:ind w:left="108"/>
              <w:rPr>
                <w:sz w:val="24"/>
              </w:rPr>
            </w:pPr>
            <w:r>
              <w:rPr>
                <w:sz w:val="24"/>
              </w:rPr>
              <w:t>求</w:t>
            </w:r>
          </w:p>
        </w:tc>
        <w:tc>
          <w:tcPr>
            <w:tcW w:w="1134" w:type="dxa"/>
            <w:vMerge/>
            <w:tcBorders>
              <w:top w:val="nil"/>
            </w:tcBorders>
          </w:tcPr>
          <w:p>
            <w:pPr>
              <w:rPr>
                <w:sz w:val="2"/>
                <w:szCs w:val="2"/>
              </w:rPr>
            </w:pPr>
          </w:p>
        </w:tc>
        <w:tc>
          <w:tcPr>
            <w:tcW w:w="1949" w:type="dxa"/>
            <w:tcBorders>
              <w:top w:val="nil"/>
            </w:tcBorders>
          </w:tcPr>
          <w:p>
            <w:pPr>
              <w:pStyle w:val="TableParagraph"/>
              <w:rPr>
                <w:rFonts w:ascii="Times New Roman"/>
                <w:sz w:val="22"/>
              </w:rPr>
            </w:pPr>
          </w:p>
        </w:tc>
      </w:tr>
      <w:tr>
        <w:trPr>
          <w:trHeight w:val="305"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vMerge w:val="restart"/>
          </w:tcPr>
          <w:p>
            <w:pPr>
              <w:pStyle w:val="TableParagraph"/>
              <w:spacing w:before="157"/>
              <w:ind w:left="179"/>
              <w:rPr>
                <w:sz w:val="24"/>
              </w:rPr>
            </w:pPr>
            <w:r>
              <w:rPr>
                <w:sz w:val="24"/>
              </w:rPr>
              <w:t>CBGC-YH008</w:t>
            </w:r>
          </w:p>
        </w:tc>
        <w:tc>
          <w:tcPr>
            <w:tcW w:w="2693" w:type="dxa"/>
            <w:tcBorders>
              <w:bottom w:val="nil"/>
            </w:tcBorders>
          </w:tcPr>
          <w:p>
            <w:pPr>
              <w:pStyle w:val="TableParagraph"/>
              <w:spacing w:line="285" w:lineRule="exact" w:before="1"/>
              <w:ind w:left="108"/>
              <w:rPr>
                <w:sz w:val="24"/>
              </w:rPr>
            </w:pPr>
            <w:r>
              <w:rPr>
                <w:sz w:val="24"/>
              </w:rPr>
              <w:t>高空作业车或高空作业</w:t>
            </w:r>
          </w:p>
        </w:tc>
        <w:tc>
          <w:tcPr>
            <w:tcW w:w="1134" w:type="dxa"/>
            <w:vMerge w:val="restart"/>
          </w:tcPr>
          <w:p>
            <w:pPr>
              <w:pStyle w:val="TableParagraph"/>
              <w:rPr>
                <w:rFonts w:ascii="Times New Roman"/>
                <w:sz w:val="24"/>
              </w:rPr>
            </w:pPr>
          </w:p>
        </w:tc>
        <w:tc>
          <w:tcPr>
            <w:tcW w:w="1949" w:type="dxa"/>
            <w:vMerge w:val="restart"/>
          </w:tcPr>
          <w:p>
            <w:pPr>
              <w:pStyle w:val="TableParagraph"/>
              <w:rPr>
                <w:rFonts w:ascii="Times New Roman"/>
                <w:sz w:val="24"/>
              </w:rPr>
            </w:pPr>
          </w:p>
        </w:tc>
      </w:tr>
      <w:tr>
        <w:trPr>
          <w:trHeight w:val="307"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vMerge/>
            <w:tcBorders>
              <w:top w:val="nil"/>
            </w:tcBorders>
          </w:tcPr>
          <w:p>
            <w:pPr>
              <w:rPr>
                <w:sz w:val="2"/>
                <w:szCs w:val="2"/>
              </w:rPr>
            </w:pPr>
          </w:p>
        </w:tc>
        <w:tc>
          <w:tcPr>
            <w:tcW w:w="2693" w:type="dxa"/>
            <w:tcBorders>
              <w:top w:val="nil"/>
            </w:tcBorders>
          </w:tcPr>
          <w:p>
            <w:pPr>
              <w:pStyle w:val="TableParagraph"/>
              <w:spacing w:line="287" w:lineRule="exact"/>
              <w:ind w:left="108"/>
              <w:rPr>
                <w:sz w:val="24"/>
              </w:rPr>
            </w:pPr>
            <w:r>
              <w:rPr>
                <w:sz w:val="24"/>
              </w:rPr>
              <w:t>吊篮安全装置失效</w:t>
            </w:r>
          </w:p>
        </w:tc>
        <w:tc>
          <w:tcPr>
            <w:tcW w:w="1134" w:type="dxa"/>
            <w:vMerge/>
            <w:tcBorders>
              <w:top w:val="nil"/>
            </w:tcBorders>
          </w:tcPr>
          <w:p>
            <w:pPr>
              <w:rPr>
                <w:sz w:val="2"/>
                <w:szCs w:val="2"/>
              </w:rPr>
            </w:pPr>
          </w:p>
        </w:tc>
        <w:tc>
          <w:tcPr>
            <w:tcW w:w="1949" w:type="dxa"/>
            <w:vMerge/>
            <w:tcBorders>
              <w:top w:val="nil"/>
            </w:tcBorders>
          </w:tcPr>
          <w:p>
            <w:pPr>
              <w:rPr>
                <w:sz w:val="2"/>
                <w:szCs w:val="2"/>
              </w:rPr>
            </w:pPr>
          </w:p>
        </w:tc>
      </w:tr>
      <w:tr>
        <w:trPr>
          <w:trHeight w:val="305"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Borders>
              <w:bottom w:val="nil"/>
            </w:tcBorders>
          </w:tcPr>
          <w:p>
            <w:pPr>
              <w:pStyle w:val="TableParagraph"/>
              <w:rPr>
                <w:rFonts w:ascii="Times New Roman"/>
                <w:sz w:val="22"/>
              </w:rPr>
            </w:pPr>
          </w:p>
        </w:tc>
        <w:tc>
          <w:tcPr>
            <w:tcW w:w="2693" w:type="dxa"/>
            <w:tcBorders>
              <w:bottom w:val="nil"/>
            </w:tcBorders>
          </w:tcPr>
          <w:p>
            <w:pPr>
              <w:pStyle w:val="TableParagraph"/>
              <w:spacing w:line="284" w:lineRule="exact" w:before="1"/>
              <w:ind w:left="108"/>
              <w:rPr>
                <w:sz w:val="24"/>
              </w:rPr>
            </w:pPr>
            <w:r>
              <w:rPr>
                <w:sz w:val="24"/>
              </w:rPr>
              <w:t>高空作业车平台未加装</w:t>
            </w:r>
          </w:p>
        </w:tc>
        <w:tc>
          <w:tcPr>
            <w:tcW w:w="1134" w:type="dxa"/>
            <w:vMerge w:val="restart"/>
          </w:tcPr>
          <w:p>
            <w:pPr>
              <w:pStyle w:val="TableParagraph"/>
              <w:rPr>
                <w:rFonts w:ascii="Times New Roman"/>
                <w:sz w:val="24"/>
              </w:rPr>
            </w:pPr>
          </w:p>
        </w:tc>
        <w:tc>
          <w:tcPr>
            <w:tcW w:w="1949" w:type="dxa"/>
            <w:vMerge w:val="restart"/>
          </w:tcPr>
          <w:p>
            <w:pPr>
              <w:pStyle w:val="TableParagraph"/>
              <w:rPr>
                <w:rFonts w:ascii="Times New Roman"/>
                <w:sz w:val="24"/>
              </w:rPr>
            </w:pPr>
          </w:p>
        </w:tc>
      </w:tr>
      <w:tr>
        <w:trPr>
          <w:trHeight w:val="300"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Borders>
              <w:top w:val="nil"/>
              <w:bottom w:val="nil"/>
            </w:tcBorders>
          </w:tcPr>
          <w:p>
            <w:pPr>
              <w:pStyle w:val="TableParagraph"/>
              <w:spacing w:line="281" w:lineRule="exact"/>
              <w:ind w:right="167"/>
              <w:jc w:val="right"/>
              <w:rPr>
                <w:sz w:val="24"/>
              </w:rPr>
            </w:pPr>
            <w:r>
              <w:rPr>
                <w:sz w:val="24"/>
              </w:rPr>
              <w:t>CBGC-YH009</w:t>
            </w:r>
          </w:p>
        </w:tc>
        <w:tc>
          <w:tcPr>
            <w:tcW w:w="2693" w:type="dxa"/>
            <w:tcBorders>
              <w:top w:val="nil"/>
              <w:bottom w:val="nil"/>
            </w:tcBorders>
          </w:tcPr>
          <w:p>
            <w:pPr>
              <w:pStyle w:val="TableParagraph"/>
              <w:spacing w:line="281" w:lineRule="exact"/>
              <w:ind w:left="108"/>
              <w:rPr>
                <w:sz w:val="24"/>
              </w:rPr>
            </w:pPr>
            <w:r>
              <w:rPr>
                <w:sz w:val="24"/>
              </w:rPr>
              <w:t>限位保险杠或限位保险</w:t>
            </w:r>
          </w:p>
        </w:tc>
        <w:tc>
          <w:tcPr>
            <w:tcW w:w="1134" w:type="dxa"/>
            <w:vMerge/>
            <w:tcBorders>
              <w:top w:val="nil"/>
            </w:tcBorders>
          </w:tcPr>
          <w:p>
            <w:pPr>
              <w:rPr>
                <w:sz w:val="2"/>
                <w:szCs w:val="2"/>
              </w:rPr>
            </w:pPr>
          </w:p>
        </w:tc>
        <w:tc>
          <w:tcPr>
            <w:tcW w:w="1949" w:type="dxa"/>
            <w:vMerge/>
            <w:tcBorders>
              <w:top w:val="nil"/>
            </w:tcBorders>
          </w:tcPr>
          <w:p>
            <w:pPr>
              <w:rPr>
                <w:sz w:val="2"/>
                <w:szCs w:val="2"/>
              </w:rPr>
            </w:pPr>
          </w:p>
        </w:tc>
      </w:tr>
      <w:tr>
        <w:trPr>
          <w:trHeight w:val="307"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Borders>
              <w:top w:val="nil"/>
            </w:tcBorders>
          </w:tcPr>
          <w:p>
            <w:pPr>
              <w:pStyle w:val="TableParagraph"/>
              <w:rPr>
                <w:rFonts w:ascii="Times New Roman"/>
                <w:sz w:val="22"/>
              </w:rPr>
            </w:pPr>
          </w:p>
        </w:tc>
        <w:tc>
          <w:tcPr>
            <w:tcW w:w="2693" w:type="dxa"/>
            <w:tcBorders>
              <w:top w:val="nil"/>
            </w:tcBorders>
          </w:tcPr>
          <w:p>
            <w:pPr>
              <w:pStyle w:val="TableParagraph"/>
              <w:spacing w:line="288" w:lineRule="exact"/>
              <w:ind w:left="108"/>
              <w:rPr>
                <w:sz w:val="24"/>
              </w:rPr>
            </w:pPr>
            <w:r>
              <w:rPr>
                <w:sz w:val="24"/>
              </w:rPr>
              <w:t>杠顶部高度小于1900 mm</w:t>
            </w:r>
          </w:p>
        </w:tc>
        <w:tc>
          <w:tcPr>
            <w:tcW w:w="1134" w:type="dxa"/>
            <w:vMerge/>
            <w:tcBorders>
              <w:top w:val="nil"/>
            </w:tcBorders>
          </w:tcPr>
          <w:p>
            <w:pPr>
              <w:rPr>
                <w:sz w:val="2"/>
                <w:szCs w:val="2"/>
              </w:rPr>
            </w:pPr>
          </w:p>
        </w:tc>
        <w:tc>
          <w:tcPr>
            <w:tcW w:w="1949" w:type="dxa"/>
            <w:vMerge/>
            <w:tcBorders>
              <w:top w:val="nil"/>
            </w:tcBorders>
          </w:tcPr>
          <w:p>
            <w:pPr>
              <w:rPr>
                <w:sz w:val="2"/>
                <w:szCs w:val="2"/>
              </w:rPr>
            </w:pPr>
          </w:p>
        </w:tc>
      </w:tr>
    </w:tbl>
    <w:p>
      <w:pPr>
        <w:pStyle w:val="Heading3"/>
        <w:numPr>
          <w:ilvl w:val="1"/>
          <w:numId w:val="34"/>
        </w:numPr>
        <w:tabs>
          <w:tab w:pos="1002" w:val="left" w:leader="none"/>
        </w:tabs>
        <w:spacing w:line="240" w:lineRule="auto" w:before="17" w:after="0"/>
        <w:ind w:left="1001" w:right="0" w:hanging="644"/>
        <w:jc w:val="left"/>
      </w:pPr>
      <w:r>
        <w:rPr/>
        <w:t>船舶行业起重作业重 大生产安全事故隐患综合判定标准</w:t>
      </w:r>
    </w:p>
    <w:p>
      <w:pPr>
        <w:pStyle w:val="BodyText"/>
        <w:spacing w:before="57"/>
        <w:ind w:left="996"/>
      </w:pPr>
      <w:r>
        <w:rPr/>
        <w:t>船舶行业高处作业重大生产安全事故隐患综合判定标准见表9。</w:t>
      </w:r>
    </w:p>
    <w:p>
      <w:pPr>
        <w:tabs>
          <w:tab w:pos="685" w:val="left" w:leader="none"/>
        </w:tabs>
        <w:spacing w:before="143"/>
        <w:ind w:left="86" w:right="0" w:firstLine="0"/>
        <w:jc w:val="center"/>
        <w:rPr>
          <w:sz w:val="24"/>
        </w:rPr>
      </w:pPr>
      <w:r>
        <w:rPr>
          <w:sz w:val="24"/>
        </w:rPr>
        <w:t>表9</w:t>
        <w:tab/>
        <w:t>船舶行业起重作业重大生产安全事故隐患综合判定标准</w:t>
      </w:r>
    </w:p>
    <w:p>
      <w:pPr>
        <w:pStyle w:val="BodyText"/>
        <w:spacing w:before="8"/>
        <w:ind w:left="0"/>
        <w:rPr>
          <w:sz w:val="9"/>
        </w:rPr>
      </w:pPr>
    </w:p>
    <w:tbl>
      <w:tblPr>
        <w:tblW w:w="0" w:type="auto"/>
        <w:jc w:val="left"/>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1"/>
        <w:gridCol w:w="1134"/>
        <w:gridCol w:w="1559"/>
        <w:gridCol w:w="2693"/>
        <w:gridCol w:w="1134"/>
        <w:gridCol w:w="1949"/>
      </w:tblGrid>
      <w:tr>
        <w:trPr>
          <w:trHeight w:val="622" w:hRule="atLeast"/>
        </w:trPr>
        <w:tc>
          <w:tcPr>
            <w:tcW w:w="1101" w:type="dxa"/>
          </w:tcPr>
          <w:p>
            <w:pPr>
              <w:pStyle w:val="TableParagraph"/>
              <w:spacing w:before="1"/>
              <w:ind w:left="169" w:right="161"/>
              <w:jc w:val="center"/>
              <w:rPr>
                <w:sz w:val="24"/>
              </w:rPr>
            </w:pPr>
            <w:r>
              <w:rPr>
                <w:sz w:val="24"/>
              </w:rPr>
              <w:t>隐患项</w:t>
            </w:r>
          </w:p>
          <w:p>
            <w:pPr>
              <w:pStyle w:val="TableParagraph"/>
              <w:spacing w:line="289" w:lineRule="exact" w:before="4"/>
              <w:ind w:left="8"/>
              <w:jc w:val="center"/>
              <w:rPr>
                <w:sz w:val="24"/>
              </w:rPr>
            </w:pPr>
            <w:r>
              <w:rPr>
                <w:sz w:val="24"/>
              </w:rPr>
              <w:t>目</w:t>
            </w:r>
          </w:p>
        </w:tc>
        <w:tc>
          <w:tcPr>
            <w:tcW w:w="1134" w:type="dxa"/>
          </w:tcPr>
          <w:p>
            <w:pPr>
              <w:pStyle w:val="TableParagraph"/>
              <w:spacing w:before="1"/>
              <w:ind w:left="187" w:right="177"/>
              <w:jc w:val="center"/>
              <w:rPr>
                <w:sz w:val="24"/>
              </w:rPr>
            </w:pPr>
            <w:r>
              <w:rPr>
                <w:sz w:val="24"/>
              </w:rPr>
              <w:t>隐患类</w:t>
            </w:r>
          </w:p>
          <w:p>
            <w:pPr>
              <w:pStyle w:val="TableParagraph"/>
              <w:spacing w:line="289" w:lineRule="exact" w:before="4"/>
              <w:ind w:left="10"/>
              <w:jc w:val="center"/>
              <w:rPr>
                <w:sz w:val="24"/>
              </w:rPr>
            </w:pPr>
            <w:r>
              <w:rPr>
                <w:sz w:val="24"/>
              </w:rPr>
              <w:t>别</w:t>
            </w:r>
          </w:p>
        </w:tc>
        <w:tc>
          <w:tcPr>
            <w:tcW w:w="1559" w:type="dxa"/>
          </w:tcPr>
          <w:p>
            <w:pPr>
              <w:pStyle w:val="TableParagraph"/>
              <w:spacing w:before="157"/>
              <w:ind w:left="128" w:right="118"/>
              <w:jc w:val="center"/>
              <w:rPr>
                <w:sz w:val="24"/>
              </w:rPr>
            </w:pPr>
            <w:r>
              <w:rPr>
                <w:sz w:val="24"/>
              </w:rPr>
              <w:t>隐患编号</w:t>
            </w:r>
          </w:p>
        </w:tc>
        <w:tc>
          <w:tcPr>
            <w:tcW w:w="2693" w:type="dxa"/>
          </w:tcPr>
          <w:p>
            <w:pPr>
              <w:pStyle w:val="TableParagraph"/>
              <w:spacing w:before="157"/>
              <w:ind w:left="864"/>
              <w:rPr>
                <w:sz w:val="24"/>
              </w:rPr>
            </w:pPr>
            <w:r>
              <w:rPr>
                <w:sz w:val="24"/>
              </w:rPr>
              <w:t>隐患内容</w:t>
            </w:r>
          </w:p>
        </w:tc>
        <w:tc>
          <w:tcPr>
            <w:tcW w:w="1134" w:type="dxa"/>
          </w:tcPr>
          <w:p>
            <w:pPr>
              <w:pStyle w:val="TableParagraph"/>
              <w:spacing w:before="157"/>
              <w:ind w:left="326"/>
              <w:rPr>
                <w:sz w:val="24"/>
              </w:rPr>
            </w:pPr>
            <w:r>
              <w:rPr>
                <w:sz w:val="24"/>
              </w:rPr>
              <w:t>参考</w:t>
            </w:r>
          </w:p>
        </w:tc>
        <w:tc>
          <w:tcPr>
            <w:tcW w:w="1949" w:type="dxa"/>
          </w:tcPr>
          <w:p>
            <w:pPr>
              <w:pStyle w:val="TableParagraph"/>
              <w:spacing w:before="1"/>
              <w:ind w:left="113" w:right="105"/>
              <w:jc w:val="center"/>
              <w:rPr>
                <w:sz w:val="24"/>
              </w:rPr>
            </w:pPr>
            <w:r>
              <w:rPr>
                <w:sz w:val="24"/>
              </w:rPr>
              <w:t>重大生产安全事</w:t>
            </w:r>
          </w:p>
          <w:p>
            <w:pPr>
              <w:pStyle w:val="TableParagraph"/>
              <w:spacing w:line="289" w:lineRule="exact" w:before="4"/>
              <w:ind w:left="113" w:right="105"/>
              <w:jc w:val="center"/>
              <w:rPr>
                <w:sz w:val="24"/>
              </w:rPr>
            </w:pPr>
            <w:r>
              <w:rPr>
                <w:sz w:val="24"/>
              </w:rPr>
              <w:t>故隐患判据</w:t>
            </w:r>
          </w:p>
        </w:tc>
      </w:tr>
      <w:tr>
        <w:trPr>
          <w:trHeight w:val="622" w:hRule="atLeast"/>
        </w:trPr>
        <w:tc>
          <w:tcPr>
            <w:tcW w:w="1101" w:type="dxa"/>
            <w:vMerge w:val="restart"/>
          </w:tcPr>
          <w:p>
            <w:pPr>
              <w:pStyle w:val="TableParagraph"/>
              <w:rPr>
                <w:sz w:val="24"/>
              </w:rPr>
            </w:pPr>
          </w:p>
          <w:p>
            <w:pPr>
              <w:pStyle w:val="TableParagraph"/>
              <w:rPr>
                <w:sz w:val="24"/>
              </w:rPr>
            </w:pPr>
          </w:p>
          <w:p>
            <w:pPr>
              <w:pStyle w:val="TableParagraph"/>
              <w:rPr>
                <w:sz w:val="24"/>
              </w:rPr>
            </w:pPr>
          </w:p>
          <w:p>
            <w:pPr>
              <w:pStyle w:val="TableParagraph"/>
              <w:spacing w:line="242" w:lineRule="auto" w:before="184"/>
              <w:ind w:left="429" w:right="179" w:hanging="240"/>
              <w:rPr>
                <w:sz w:val="24"/>
              </w:rPr>
            </w:pPr>
            <w:r>
              <w:rPr>
                <w:sz w:val="24"/>
              </w:rPr>
              <w:t>起重作业</w:t>
            </w:r>
          </w:p>
        </w:tc>
        <w:tc>
          <w:tcPr>
            <w:tcW w:w="1134" w:type="dxa"/>
            <w:vMerge w:val="restart"/>
          </w:tcPr>
          <w:p>
            <w:pPr>
              <w:pStyle w:val="TableParagraph"/>
              <w:rPr>
                <w:sz w:val="24"/>
              </w:rPr>
            </w:pPr>
          </w:p>
          <w:p>
            <w:pPr>
              <w:pStyle w:val="TableParagraph"/>
              <w:rPr>
                <w:sz w:val="24"/>
              </w:rPr>
            </w:pPr>
          </w:p>
          <w:p>
            <w:pPr>
              <w:pStyle w:val="TableParagraph"/>
              <w:rPr>
                <w:sz w:val="24"/>
              </w:rPr>
            </w:pPr>
          </w:p>
          <w:p>
            <w:pPr>
              <w:pStyle w:val="TableParagraph"/>
              <w:spacing w:line="242" w:lineRule="auto" w:before="184"/>
              <w:ind w:left="447" w:right="194" w:hanging="240"/>
              <w:rPr>
                <w:sz w:val="24"/>
              </w:rPr>
            </w:pPr>
            <w:r>
              <w:rPr>
                <w:sz w:val="24"/>
              </w:rPr>
              <w:t>基本条件</w:t>
            </w:r>
          </w:p>
        </w:tc>
        <w:tc>
          <w:tcPr>
            <w:tcW w:w="1559" w:type="dxa"/>
          </w:tcPr>
          <w:p>
            <w:pPr>
              <w:pStyle w:val="TableParagraph"/>
              <w:spacing w:before="156"/>
              <w:ind w:left="128" w:right="118"/>
              <w:jc w:val="center"/>
              <w:rPr>
                <w:sz w:val="24"/>
              </w:rPr>
            </w:pPr>
            <w:r>
              <w:rPr>
                <w:sz w:val="24"/>
              </w:rPr>
              <w:t>CBQZ-JB001</w:t>
            </w:r>
          </w:p>
        </w:tc>
        <w:tc>
          <w:tcPr>
            <w:tcW w:w="2693" w:type="dxa"/>
          </w:tcPr>
          <w:p>
            <w:pPr>
              <w:pStyle w:val="TableParagraph"/>
              <w:spacing w:line="310" w:lineRule="atLeast"/>
              <w:ind w:left="108" w:right="172"/>
              <w:rPr>
                <w:sz w:val="24"/>
              </w:rPr>
            </w:pPr>
            <w:r>
              <w:rPr>
                <w:sz w:val="24"/>
              </w:rPr>
              <w:t>重大件吊装未办理危险作业审批许可手续</w:t>
            </w:r>
          </w:p>
        </w:tc>
        <w:tc>
          <w:tcPr>
            <w:tcW w:w="1134" w:type="dxa"/>
            <w:vMerge w:val="restart"/>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ind w:left="108"/>
              <w:rPr>
                <w:sz w:val="24"/>
              </w:rPr>
            </w:pPr>
            <w:r>
              <w:rPr>
                <w:sz w:val="24"/>
              </w:rPr>
              <w:t>CB 3660</w:t>
            </w:r>
          </w:p>
        </w:tc>
        <w:tc>
          <w:tcPr>
            <w:tcW w:w="1949" w:type="dxa"/>
            <w:vMerge w:val="restart"/>
          </w:tcPr>
          <w:p>
            <w:pPr>
              <w:pStyle w:val="TableParagraph"/>
              <w:numPr>
                <w:ilvl w:val="0"/>
                <w:numId w:val="44"/>
              </w:numPr>
              <w:tabs>
                <w:tab w:pos="357" w:val="left" w:leader="none"/>
              </w:tabs>
              <w:spacing w:line="242" w:lineRule="auto" w:before="17" w:after="0"/>
              <w:ind w:left="107" w:right="97" w:firstLine="0"/>
              <w:jc w:val="both"/>
              <w:rPr>
                <w:sz w:val="24"/>
              </w:rPr>
            </w:pPr>
            <w:r>
              <w:rPr>
                <w:spacing w:val="3"/>
                <w:sz w:val="24"/>
              </w:rPr>
              <w:t>同一次隐患排查过程中，同一作业现场发现任意一项基本条件</w:t>
            </w:r>
          </w:p>
          <w:p>
            <w:pPr>
              <w:pStyle w:val="TableParagraph"/>
              <w:spacing w:line="242" w:lineRule="auto" w:before="1"/>
              <w:ind w:left="107" w:right="97"/>
              <w:jc w:val="both"/>
              <w:rPr>
                <w:sz w:val="24"/>
              </w:rPr>
            </w:pPr>
            <w:r>
              <w:rPr>
                <w:sz w:val="24"/>
              </w:rPr>
              <w:t>+ 任意两项隐患内容的，判定为重大生产安全事故隐患；</w:t>
            </w:r>
          </w:p>
          <w:p>
            <w:pPr>
              <w:pStyle w:val="TableParagraph"/>
              <w:numPr>
                <w:ilvl w:val="0"/>
                <w:numId w:val="44"/>
              </w:numPr>
              <w:tabs>
                <w:tab w:pos="357" w:val="left" w:leader="none"/>
              </w:tabs>
              <w:spacing w:line="304" w:lineRule="exact" w:before="3" w:after="0"/>
              <w:ind w:left="356" w:right="0" w:hanging="250"/>
              <w:jc w:val="both"/>
              <w:rPr>
                <w:sz w:val="24"/>
              </w:rPr>
            </w:pPr>
            <w:r>
              <w:rPr>
                <w:spacing w:val="5"/>
                <w:sz w:val="24"/>
              </w:rPr>
              <w:t>同一次隐患排</w:t>
            </w:r>
          </w:p>
        </w:tc>
      </w:tr>
      <w:tr>
        <w:trPr>
          <w:trHeight w:val="622"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156"/>
              <w:ind w:left="128" w:right="118"/>
              <w:jc w:val="center"/>
              <w:rPr>
                <w:sz w:val="24"/>
              </w:rPr>
            </w:pPr>
            <w:r>
              <w:rPr>
                <w:sz w:val="24"/>
              </w:rPr>
              <w:t>CBQZ-JB002</w:t>
            </w:r>
          </w:p>
        </w:tc>
        <w:tc>
          <w:tcPr>
            <w:tcW w:w="2693" w:type="dxa"/>
          </w:tcPr>
          <w:p>
            <w:pPr>
              <w:pStyle w:val="TableParagraph"/>
              <w:ind w:left="108"/>
              <w:rPr>
                <w:sz w:val="24"/>
              </w:rPr>
            </w:pPr>
            <w:r>
              <w:rPr>
                <w:sz w:val="24"/>
              </w:rPr>
              <w:t>起重作业相关人员未持</w:t>
            </w:r>
          </w:p>
          <w:p>
            <w:pPr>
              <w:pStyle w:val="TableParagraph"/>
              <w:spacing w:line="289" w:lineRule="exact" w:before="5"/>
              <w:ind w:left="108"/>
              <w:rPr>
                <w:sz w:val="24"/>
              </w:rPr>
            </w:pPr>
            <w:r>
              <w:rPr>
                <w:sz w:val="24"/>
              </w:rPr>
              <w:t>证上岗</w:t>
            </w:r>
          </w:p>
        </w:tc>
        <w:tc>
          <w:tcPr>
            <w:tcW w:w="1134" w:type="dxa"/>
            <w:vMerge/>
            <w:tcBorders>
              <w:top w:val="nil"/>
            </w:tcBorders>
          </w:tcPr>
          <w:p>
            <w:pPr>
              <w:rPr>
                <w:sz w:val="2"/>
                <w:szCs w:val="2"/>
              </w:rPr>
            </w:pPr>
          </w:p>
        </w:tc>
        <w:tc>
          <w:tcPr>
            <w:tcW w:w="1949" w:type="dxa"/>
            <w:vMerge/>
            <w:tcBorders>
              <w:top w:val="nil"/>
            </w:tcBorders>
          </w:tcPr>
          <w:p>
            <w:pPr>
              <w:rPr>
                <w:sz w:val="2"/>
                <w:szCs w:val="2"/>
              </w:rPr>
            </w:pPr>
          </w:p>
        </w:tc>
      </w:tr>
      <w:tr>
        <w:trPr>
          <w:trHeight w:val="933"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4"/>
              <w:rPr>
                <w:sz w:val="24"/>
              </w:rPr>
            </w:pPr>
          </w:p>
          <w:p>
            <w:pPr>
              <w:pStyle w:val="TableParagraph"/>
              <w:ind w:left="128" w:right="118"/>
              <w:jc w:val="center"/>
              <w:rPr>
                <w:sz w:val="24"/>
              </w:rPr>
            </w:pPr>
            <w:r>
              <w:rPr>
                <w:sz w:val="24"/>
              </w:rPr>
              <w:t>CBQZ-JB003</w:t>
            </w:r>
          </w:p>
        </w:tc>
        <w:tc>
          <w:tcPr>
            <w:tcW w:w="2693" w:type="dxa"/>
          </w:tcPr>
          <w:p>
            <w:pPr>
              <w:pStyle w:val="TableParagraph"/>
              <w:spacing w:line="242" w:lineRule="auto" w:before="2"/>
              <w:ind w:left="108" w:right="172"/>
              <w:rPr>
                <w:sz w:val="24"/>
              </w:rPr>
            </w:pPr>
            <w:r>
              <w:rPr>
                <w:sz w:val="24"/>
              </w:rPr>
              <w:t>起重指挥信号不明，多人操作时未指定专人指</w:t>
            </w:r>
          </w:p>
          <w:p>
            <w:pPr>
              <w:pStyle w:val="TableParagraph"/>
              <w:spacing w:line="290" w:lineRule="exact" w:before="1"/>
              <w:ind w:left="108"/>
              <w:rPr>
                <w:sz w:val="24"/>
              </w:rPr>
            </w:pPr>
            <w:r>
              <w:rPr>
                <w:sz w:val="24"/>
              </w:rPr>
              <w:t>挥</w:t>
            </w:r>
          </w:p>
        </w:tc>
        <w:tc>
          <w:tcPr>
            <w:tcW w:w="1134" w:type="dxa"/>
            <w:vMerge/>
            <w:tcBorders>
              <w:top w:val="nil"/>
            </w:tcBorders>
          </w:tcPr>
          <w:p>
            <w:pPr>
              <w:rPr>
                <w:sz w:val="2"/>
                <w:szCs w:val="2"/>
              </w:rPr>
            </w:pPr>
          </w:p>
        </w:tc>
        <w:tc>
          <w:tcPr>
            <w:tcW w:w="1949" w:type="dxa"/>
            <w:vMerge/>
            <w:tcBorders>
              <w:top w:val="nil"/>
            </w:tcBorders>
          </w:tcPr>
          <w:p>
            <w:pPr>
              <w:rPr>
                <w:sz w:val="2"/>
                <w:szCs w:val="2"/>
              </w:rPr>
            </w:pPr>
          </w:p>
        </w:tc>
      </w:tr>
      <w:tr>
        <w:trPr>
          <w:trHeight w:val="621"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157"/>
              <w:ind w:left="128" w:right="118"/>
              <w:jc w:val="center"/>
              <w:rPr>
                <w:sz w:val="24"/>
              </w:rPr>
            </w:pPr>
            <w:r>
              <w:rPr>
                <w:sz w:val="24"/>
              </w:rPr>
              <w:t>CBQZ-JB004</w:t>
            </w:r>
          </w:p>
        </w:tc>
        <w:tc>
          <w:tcPr>
            <w:tcW w:w="2693" w:type="dxa"/>
          </w:tcPr>
          <w:p>
            <w:pPr>
              <w:pStyle w:val="TableParagraph"/>
              <w:spacing w:before="1"/>
              <w:ind w:left="108"/>
              <w:rPr>
                <w:sz w:val="24"/>
              </w:rPr>
            </w:pPr>
            <w:r>
              <w:rPr>
                <w:sz w:val="24"/>
              </w:rPr>
              <w:t>重大件吊装、联吊或抬</w:t>
            </w:r>
          </w:p>
          <w:p>
            <w:pPr>
              <w:pStyle w:val="TableParagraph"/>
              <w:spacing w:line="287" w:lineRule="exact" w:before="5"/>
              <w:ind w:left="108"/>
              <w:rPr>
                <w:sz w:val="24"/>
              </w:rPr>
            </w:pPr>
            <w:r>
              <w:rPr>
                <w:sz w:val="24"/>
              </w:rPr>
              <w:t>吊无吊装工艺方案</w:t>
            </w:r>
          </w:p>
        </w:tc>
        <w:tc>
          <w:tcPr>
            <w:tcW w:w="1134" w:type="dxa"/>
            <w:vMerge/>
            <w:tcBorders>
              <w:top w:val="nil"/>
            </w:tcBorders>
          </w:tcPr>
          <w:p>
            <w:pPr>
              <w:rPr>
                <w:sz w:val="2"/>
                <w:szCs w:val="2"/>
              </w:rPr>
            </w:pPr>
          </w:p>
        </w:tc>
        <w:tc>
          <w:tcPr>
            <w:tcW w:w="1949" w:type="dxa"/>
            <w:vMerge/>
            <w:tcBorders>
              <w:top w:val="nil"/>
            </w:tcBorders>
          </w:tcPr>
          <w:p>
            <w:pPr>
              <w:rPr>
                <w:sz w:val="2"/>
                <w:szCs w:val="2"/>
              </w:rPr>
            </w:pPr>
          </w:p>
        </w:tc>
      </w:tr>
    </w:tbl>
    <w:p>
      <w:pPr>
        <w:spacing w:after="0"/>
        <w:rPr>
          <w:sz w:val="2"/>
          <w:szCs w:val="2"/>
        </w:rPr>
        <w:sectPr>
          <w:pgSz w:w="11910" w:h="16840"/>
          <w:pgMar w:header="0" w:footer="1039" w:top="1580" w:bottom="1300" w:left="1060" w:right="860"/>
        </w:sectPr>
      </w:pPr>
    </w:p>
    <w:p>
      <w:pPr>
        <w:pStyle w:val="BodyText"/>
        <w:spacing w:before="9"/>
        <w:ind w:left="0"/>
        <w:rPr>
          <w:sz w:val="25"/>
        </w:rPr>
      </w:pPr>
    </w:p>
    <w:tbl>
      <w:tblPr>
        <w:tblW w:w="0" w:type="auto"/>
        <w:jc w:val="left"/>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1"/>
        <w:gridCol w:w="1134"/>
        <w:gridCol w:w="1559"/>
        <w:gridCol w:w="2693"/>
        <w:gridCol w:w="1134"/>
        <w:gridCol w:w="1949"/>
      </w:tblGrid>
      <w:tr>
        <w:trPr>
          <w:trHeight w:val="934" w:hRule="atLeast"/>
        </w:trPr>
        <w:tc>
          <w:tcPr>
            <w:tcW w:w="1101" w:type="dxa"/>
            <w:vMerge w:val="restart"/>
          </w:tcPr>
          <w:p>
            <w:pPr>
              <w:pStyle w:val="TableParagraph"/>
              <w:rPr>
                <w:rFonts w:ascii="Times New Roman"/>
                <w:sz w:val="24"/>
              </w:rPr>
            </w:pPr>
          </w:p>
        </w:tc>
        <w:tc>
          <w:tcPr>
            <w:tcW w:w="1134" w:type="dxa"/>
            <w:vMerge w:val="restart"/>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line="242" w:lineRule="auto" w:before="176"/>
              <w:ind w:left="447" w:right="194" w:hanging="240"/>
              <w:rPr>
                <w:sz w:val="24"/>
              </w:rPr>
            </w:pPr>
            <w:r>
              <w:rPr>
                <w:sz w:val="24"/>
              </w:rPr>
              <w:t>隐患内容</w:t>
            </w:r>
          </w:p>
        </w:tc>
        <w:tc>
          <w:tcPr>
            <w:tcW w:w="1559" w:type="dxa"/>
          </w:tcPr>
          <w:p>
            <w:pPr>
              <w:pStyle w:val="TableParagraph"/>
              <w:spacing w:before="4"/>
              <w:rPr>
                <w:sz w:val="24"/>
              </w:rPr>
            </w:pPr>
          </w:p>
          <w:p>
            <w:pPr>
              <w:pStyle w:val="TableParagraph"/>
              <w:ind w:right="167"/>
              <w:jc w:val="right"/>
              <w:rPr>
                <w:sz w:val="24"/>
              </w:rPr>
            </w:pPr>
            <w:r>
              <w:rPr>
                <w:sz w:val="24"/>
              </w:rPr>
              <w:t>CBQZ-YH001</w:t>
            </w:r>
          </w:p>
        </w:tc>
        <w:tc>
          <w:tcPr>
            <w:tcW w:w="2693" w:type="dxa"/>
          </w:tcPr>
          <w:p>
            <w:pPr>
              <w:pStyle w:val="TableParagraph"/>
              <w:spacing w:line="242" w:lineRule="auto" w:before="2"/>
              <w:ind w:left="108" w:right="172"/>
              <w:rPr>
                <w:sz w:val="24"/>
              </w:rPr>
            </w:pPr>
            <w:r>
              <w:rPr>
                <w:sz w:val="24"/>
              </w:rPr>
              <w:t>起重钢丝绳、吊索具未定期检查、未张贴检查</w:t>
            </w:r>
          </w:p>
          <w:p>
            <w:pPr>
              <w:pStyle w:val="TableParagraph"/>
              <w:spacing w:line="290" w:lineRule="exact" w:before="1"/>
              <w:ind w:left="108"/>
              <w:rPr>
                <w:sz w:val="24"/>
              </w:rPr>
            </w:pPr>
            <w:r>
              <w:rPr>
                <w:sz w:val="24"/>
              </w:rPr>
              <w:t>标识</w:t>
            </w:r>
          </w:p>
        </w:tc>
        <w:tc>
          <w:tcPr>
            <w:tcW w:w="1134" w:type="dxa"/>
            <w:vMerge w:val="restart"/>
          </w:tcPr>
          <w:p>
            <w:pPr>
              <w:pStyle w:val="TableParagraph"/>
              <w:rPr>
                <w:rFonts w:ascii="Times New Roman"/>
                <w:sz w:val="24"/>
              </w:rPr>
            </w:pPr>
          </w:p>
        </w:tc>
        <w:tc>
          <w:tcPr>
            <w:tcW w:w="1949" w:type="dxa"/>
            <w:vMerge w:val="restart"/>
          </w:tcPr>
          <w:p>
            <w:pPr>
              <w:pStyle w:val="TableParagraph"/>
              <w:spacing w:line="242" w:lineRule="auto" w:before="2"/>
              <w:ind w:left="107" w:right="97"/>
              <w:jc w:val="both"/>
              <w:rPr>
                <w:sz w:val="24"/>
              </w:rPr>
            </w:pPr>
            <w:r>
              <w:rPr>
                <w:sz w:val="24"/>
              </w:rPr>
              <w:t>查过程中，不同作业现场累计发现任意两项基本条件的，判定为重大生产安全事故隐患；</w:t>
            </w:r>
          </w:p>
          <w:p>
            <w:pPr>
              <w:pStyle w:val="TableParagraph"/>
              <w:spacing w:line="242" w:lineRule="auto" w:before="4"/>
              <w:ind w:left="107" w:right="97"/>
              <w:jc w:val="both"/>
              <w:rPr>
                <w:sz w:val="24"/>
              </w:rPr>
            </w:pPr>
            <w:r>
              <w:rPr>
                <w:sz w:val="24"/>
              </w:rPr>
              <w:t>3 同一次隐患排查过程中，不同作业现场累计发现任意四项隐患内容的，判定为重大生产安全事</w:t>
            </w:r>
          </w:p>
          <w:p>
            <w:pPr>
              <w:pStyle w:val="TableParagraph"/>
              <w:spacing w:line="289" w:lineRule="exact" w:before="4"/>
              <w:ind w:left="107"/>
              <w:rPr>
                <w:sz w:val="24"/>
              </w:rPr>
            </w:pPr>
            <w:r>
              <w:rPr>
                <w:sz w:val="24"/>
              </w:rPr>
              <w:t>故隐患</w:t>
            </w:r>
          </w:p>
        </w:tc>
      </w:tr>
      <w:tr>
        <w:trPr>
          <w:trHeight w:val="1245"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rPr>
                <w:sz w:val="24"/>
              </w:rPr>
            </w:pPr>
          </w:p>
          <w:p>
            <w:pPr>
              <w:pStyle w:val="TableParagraph"/>
              <w:spacing w:before="159"/>
              <w:ind w:right="167"/>
              <w:jc w:val="right"/>
              <w:rPr>
                <w:sz w:val="24"/>
              </w:rPr>
            </w:pPr>
            <w:r>
              <w:rPr>
                <w:sz w:val="24"/>
              </w:rPr>
              <w:t>CBQZ-YH002</w:t>
            </w:r>
          </w:p>
        </w:tc>
        <w:tc>
          <w:tcPr>
            <w:tcW w:w="2693" w:type="dxa"/>
          </w:tcPr>
          <w:p>
            <w:pPr>
              <w:pStyle w:val="TableParagraph"/>
              <w:spacing w:line="242" w:lineRule="auto" w:before="1"/>
              <w:ind w:left="108" w:right="172"/>
              <w:jc w:val="both"/>
              <w:rPr>
                <w:sz w:val="24"/>
              </w:rPr>
            </w:pPr>
            <w:r>
              <w:rPr>
                <w:sz w:val="24"/>
              </w:rPr>
              <w:t>起重吊耳(吊码或吊环) 强度和设置位置术经设计、定位，且未经专人</w:t>
            </w:r>
          </w:p>
          <w:p>
            <w:pPr>
              <w:pStyle w:val="TableParagraph"/>
              <w:spacing w:line="290" w:lineRule="exact" w:before="2"/>
              <w:ind w:left="108"/>
              <w:rPr>
                <w:sz w:val="24"/>
              </w:rPr>
            </w:pPr>
            <w:r>
              <w:rPr>
                <w:sz w:val="24"/>
              </w:rPr>
              <w:t>焊接检验</w:t>
            </w:r>
          </w:p>
        </w:tc>
        <w:tc>
          <w:tcPr>
            <w:tcW w:w="1134" w:type="dxa"/>
            <w:vMerge/>
            <w:tcBorders>
              <w:top w:val="nil"/>
            </w:tcBorders>
          </w:tcPr>
          <w:p>
            <w:pPr>
              <w:rPr>
                <w:sz w:val="2"/>
                <w:szCs w:val="2"/>
              </w:rPr>
            </w:pPr>
          </w:p>
        </w:tc>
        <w:tc>
          <w:tcPr>
            <w:tcW w:w="1949" w:type="dxa"/>
            <w:vMerge/>
            <w:tcBorders>
              <w:top w:val="nil"/>
            </w:tcBorders>
          </w:tcPr>
          <w:p>
            <w:pPr>
              <w:rPr>
                <w:sz w:val="2"/>
                <w:szCs w:val="2"/>
              </w:rPr>
            </w:pPr>
          </w:p>
        </w:tc>
      </w:tr>
      <w:tr>
        <w:trPr>
          <w:trHeight w:val="621"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155"/>
              <w:ind w:right="167"/>
              <w:jc w:val="right"/>
              <w:rPr>
                <w:sz w:val="24"/>
              </w:rPr>
            </w:pPr>
            <w:r>
              <w:rPr>
                <w:sz w:val="24"/>
              </w:rPr>
              <w:t>CBQZ-YH003</w:t>
            </w:r>
          </w:p>
        </w:tc>
        <w:tc>
          <w:tcPr>
            <w:tcW w:w="2693" w:type="dxa"/>
          </w:tcPr>
          <w:p>
            <w:pPr>
              <w:pStyle w:val="TableParagraph"/>
              <w:spacing w:before="2"/>
              <w:ind w:left="108" w:right="-29"/>
              <w:rPr>
                <w:sz w:val="24"/>
              </w:rPr>
            </w:pPr>
            <w:r>
              <w:rPr>
                <w:spacing w:val="-8"/>
                <w:sz w:val="24"/>
              </w:rPr>
              <w:t>违反起重作业“十不吊”</w:t>
            </w:r>
          </w:p>
          <w:p>
            <w:pPr>
              <w:pStyle w:val="TableParagraph"/>
              <w:spacing w:line="291" w:lineRule="exact" w:before="2"/>
              <w:ind w:left="108"/>
              <w:rPr>
                <w:sz w:val="24"/>
              </w:rPr>
            </w:pPr>
            <w:r>
              <w:rPr>
                <w:sz w:val="24"/>
              </w:rPr>
              <w:t>的规定</w:t>
            </w:r>
          </w:p>
        </w:tc>
        <w:tc>
          <w:tcPr>
            <w:tcW w:w="1134" w:type="dxa"/>
            <w:vMerge/>
            <w:tcBorders>
              <w:top w:val="nil"/>
            </w:tcBorders>
          </w:tcPr>
          <w:p>
            <w:pPr>
              <w:rPr>
                <w:sz w:val="2"/>
                <w:szCs w:val="2"/>
              </w:rPr>
            </w:pPr>
          </w:p>
        </w:tc>
        <w:tc>
          <w:tcPr>
            <w:tcW w:w="1949" w:type="dxa"/>
            <w:vMerge/>
            <w:tcBorders>
              <w:top w:val="nil"/>
            </w:tcBorders>
          </w:tcPr>
          <w:p>
            <w:pPr>
              <w:rPr>
                <w:sz w:val="2"/>
                <w:szCs w:val="2"/>
              </w:rPr>
            </w:pPr>
          </w:p>
        </w:tc>
      </w:tr>
      <w:tr>
        <w:trPr>
          <w:trHeight w:val="1215"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3"/>
              <w:rPr>
                <w:sz w:val="35"/>
              </w:rPr>
            </w:pPr>
          </w:p>
          <w:p>
            <w:pPr>
              <w:pStyle w:val="TableParagraph"/>
              <w:ind w:right="167"/>
              <w:jc w:val="right"/>
              <w:rPr>
                <w:sz w:val="24"/>
              </w:rPr>
            </w:pPr>
            <w:r>
              <w:rPr>
                <w:sz w:val="24"/>
              </w:rPr>
              <w:t>CBQZ-YH004</w:t>
            </w:r>
          </w:p>
        </w:tc>
        <w:tc>
          <w:tcPr>
            <w:tcW w:w="2693" w:type="dxa"/>
          </w:tcPr>
          <w:p>
            <w:pPr>
              <w:pStyle w:val="TableParagraph"/>
              <w:spacing w:line="242" w:lineRule="auto" w:before="142"/>
              <w:ind w:left="108" w:right="172"/>
              <w:jc w:val="both"/>
              <w:rPr>
                <w:sz w:val="24"/>
              </w:rPr>
            </w:pPr>
            <w:r>
              <w:rPr>
                <w:sz w:val="24"/>
              </w:rPr>
              <w:t>钢板夹、磁性吊具的使用不符合CB 3660 的相关要求</w:t>
            </w:r>
          </w:p>
        </w:tc>
        <w:tc>
          <w:tcPr>
            <w:tcW w:w="1134" w:type="dxa"/>
            <w:vMerge/>
            <w:tcBorders>
              <w:top w:val="nil"/>
            </w:tcBorders>
          </w:tcPr>
          <w:p>
            <w:pPr>
              <w:rPr>
                <w:sz w:val="2"/>
                <w:szCs w:val="2"/>
              </w:rPr>
            </w:pPr>
          </w:p>
        </w:tc>
        <w:tc>
          <w:tcPr>
            <w:tcW w:w="1949" w:type="dxa"/>
            <w:vMerge/>
            <w:tcBorders>
              <w:top w:val="nil"/>
            </w:tcBorders>
          </w:tcPr>
          <w:p>
            <w:pPr>
              <w:rPr>
                <w:sz w:val="2"/>
                <w:szCs w:val="2"/>
              </w:rPr>
            </w:pPr>
          </w:p>
        </w:tc>
      </w:tr>
      <w:tr>
        <w:trPr>
          <w:trHeight w:val="1557" w:hRule="atLeast"/>
        </w:trPr>
        <w:tc>
          <w:tcPr>
            <w:tcW w:w="9570" w:type="dxa"/>
            <w:gridSpan w:val="6"/>
          </w:tcPr>
          <w:p>
            <w:pPr>
              <w:pStyle w:val="TableParagraph"/>
              <w:spacing w:line="242" w:lineRule="auto" w:before="2"/>
              <w:ind w:left="108" w:right="97"/>
              <w:jc w:val="both"/>
              <w:rPr>
                <w:sz w:val="24"/>
              </w:rPr>
            </w:pPr>
            <w:r>
              <w:rPr>
                <w:spacing w:val="-4"/>
                <w:sz w:val="24"/>
              </w:rPr>
              <w:t>注：起重作业“十不吊”：超负荷不吊；无专人指挥、重量不明、视线不清、指挥信号不明确不吊；安全装置失灵，机械设备有异声或故障不吊；捆绑、吊挂不牢或不平衡而可能滑动不吊；吊挂重物直接进行加工时未落实安全措施不吊；歪拉斜品、物件的利边快口未加衬垫不吊；易燃易爆等危险物品无安全措施不吊；物件被压住或情况不明不吊；吊物上</w:t>
            </w:r>
          </w:p>
          <w:p>
            <w:pPr>
              <w:pStyle w:val="TableParagraph"/>
              <w:spacing w:line="289" w:lineRule="exact" w:before="3"/>
              <w:ind w:left="108"/>
              <w:rPr>
                <w:sz w:val="24"/>
              </w:rPr>
            </w:pPr>
            <w:r>
              <w:rPr>
                <w:sz w:val="24"/>
              </w:rPr>
              <w:t>站人或有浮动物件不吊；露天起重机遇6级以上大风、暴雨等恶劣天气不吊。</w:t>
            </w:r>
          </w:p>
        </w:tc>
      </w:tr>
    </w:tbl>
    <w:p>
      <w:pPr>
        <w:pStyle w:val="Heading3"/>
        <w:numPr>
          <w:ilvl w:val="1"/>
          <w:numId w:val="34"/>
        </w:numPr>
        <w:tabs>
          <w:tab w:pos="1002" w:val="left" w:leader="none"/>
        </w:tabs>
        <w:spacing w:line="240" w:lineRule="auto" w:before="16" w:after="0"/>
        <w:ind w:left="1001" w:right="0" w:hanging="644"/>
        <w:jc w:val="left"/>
      </w:pPr>
      <w:r>
        <w:rPr/>
        <w:t>船舶行业电气作业重大生产安全事故隐患综合判定标准</w:t>
      </w:r>
    </w:p>
    <w:p>
      <w:pPr>
        <w:tabs>
          <w:tab w:pos="805" w:val="left" w:leader="none"/>
        </w:tabs>
        <w:spacing w:before="51"/>
        <w:ind w:left="86" w:right="0" w:firstLine="0"/>
        <w:jc w:val="center"/>
        <w:rPr>
          <w:sz w:val="24"/>
        </w:rPr>
      </w:pPr>
      <w:r>
        <w:rPr>
          <w:sz w:val="24"/>
        </w:rPr>
        <w:t>表10</w:t>
        <w:tab/>
        <w:t>船舶行业电气作业重大生产安全事故隐患综合判定标准</w:t>
      </w:r>
    </w:p>
    <w:p>
      <w:pPr>
        <w:pStyle w:val="BodyText"/>
        <w:spacing w:before="8"/>
        <w:ind w:left="0"/>
        <w:rPr>
          <w:sz w:val="9"/>
        </w:rPr>
      </w:pPr>
    </w:p>
    <w:tbl>
      <w:tblPr>
        <w:tblW w:w="0" w:type="auto"/>
        <w:jc w:val="left"/>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1"/>
        <w:gridCol w:w="1134"/>
        <w:gridCol w:w="1559"/>
        <w:gridCol w:w="2693"/>
        <w:gridCol w:w="1134"/>
        <w:gridCol w:w="1949"/>
      </w:tblGrid>
      <w:tr>
        <w:trPr>
          <w:trHeight w:val="622" w:hRule="atLeast"/>
        </w:trPr>
        <w:tc>
          <w:tcPr>
            <w:tcW w:w="1101" w:type="dxa"/>
          </w:tcPr>
          <w:p>
            <w:pPr>
              <w:pStyle w:val="TableParagraph"/>
              <w:spacing w:before="1"/>
              <w:ind w:left="169" w:right="161"/>
              <w:jc w:val="center"/>
              <w:rPr>
                <w:sz w:val="24"/>
              </w:rPr>
            </w:pPr>
            <w:r>
              <w:rPr>
                <w:sz w:val="24"/>
              </w:rPr>
              <w:t>隐患项</w:t>
            </w:r>
          </w:p>
          <w:p>
            <w:pPr>
              <w:pStyle w:val="TableParagraph"/>
              <w:spacing w:line="289" w:lineRule="exact" w:before="4"/>
              <w:ind w:left="8"/>
              <w:jc w:val="center"/>
              <w:rPr>
                <w:sz w:val="24"/>
              </w:rPr>
            </w:pPr>
            <w:r>
              <w:rPr>
                <w:sz w:val="24"/>
              </w:rPr>
              <w:t>目</w:t>
            </w:r>
          </w:p>
        </w:tc>
        <w:tc>
          <w:tcPr>
            <w:tcW w:w="1134" w:type="dxa"/>
          </w:tcPr>
          <w:p>
            <w:pPr>
              <w:pStyle w:val="TableParagraph"/>
              <w:spacing w:before="1"/>
              <w:ind w:left="187" w:right="177"/>
              <w:jc w:val="center"/>
              <w:rPr>
                <w:sz w:val="24"/>
              </w:rPr>
            </w:pPr>
            <w:r>
              <w:rPr>
                <w:sz w:val="24"/>
              </w:rPr>
              <w:t>隐患类</w:t>
            </w:r>
          </w:p>
          <w:p>
            <w:pPr>
              <w:pStyle w:val="TableParagraph"/>
              <w:spacing w:line="289" w:lineRule="exact" w:before="4"/>
              <w:ind w:left="10"/>
              <w:jc w:val="center"/>
              <w:rPr>
                <w:sz w:val="24"/>
              </w:rPr>
            </w:pPr>
            <w:r>
              <w:rPr>
                <w:sz w:val="24"/>
              </w:rPr>
              <w:t>别</w:t>
            </w:r>
          </w:p>
        </w:tc>
        <w:tc>
          <w:tcPr>
            <w:tcW w:w="1559" w:type="dxa"/>
          </w:tcPr>
          <w:p>
            <w:pPr>
              <w:pStyle w:val="TableParagraph"/>
              <w:spacing w:before="157"/>
              <w:ind w:left="128" w:right="118"/>
              <w:jc w:val="center"/>
              <w:rPr>
                <w:sz w:val="24"/>
              </w:rPr>
            </w:pPr>
            <w:r>
              <w:rPr>
                <w:sz w:val="24"/>
              </w:rPr>
              <w:t>隐患编号</w:t>
            </w:r>
          </w:p>
        </w:tc>
        <w:tc>
          <w:tcPr>
            <w:tcW w:w="2693" w:type="dxa"/>
          </w:tcPr>
          <w:p>
            <w:pPr>
              <w:pStyle w:val="TableParagraph"/>
              <w:spacing w:before="157"/>
              <w:ind w:left="864"/>
              <w:rPr>
                <w:sz w:val="24"/>
              </w:rPr>
            </w:pPr>
            <w:r>
              <w:rPr>
                <w:sz w:val="24"/>
              </w:rPr>
              <w:t>隐患内容</w:t>
            </w:r>
          </w:p>
        </w:tc>
        <w:tc>
          <w:tcPr>
            <w:tcW w:w="1134" w:type="dxa"/>
          </w:tcPr>
          <w:p>
            <w:pPr>
              <w:pStyle w:val="TableParagraph"/>
              <w:spacing w:before="157"/>
              <w:ind w:left="326"/>
              <w:rPr>
                <w:sz w:val="24"/>
              </w:rPr>
            </w:pPr>
            <w:r>
              <w:rPr>
                <w:sz w:val="24"/>
              </w:rPr>
              <w:t>参考</w:t>
            </w:r>
          </w:p>
        </w:tc>
        <w:tc>
          <w:tcPr>
            <w:tcW w:w="1949" w:type="dxa"/>
          </w:tcPr>
          <w:p>
            <w:pPr>
              <w:pStyle w:val="TableParagraph"/>
              <w:spacing w:before="1"/>
              <w:ind w:left="113" w:right="105"/>
              <w:jc w:val="center"/>
              <w:rPr>
                <w:sz w:val="24"/>
              </w:rPr>
            </w:pPr>
            <w:r>
              <w:rPr>
                <w:sz w:val="24"/>
              </w:rPr>
              <w:t>重大生产安全事</w:t>
            </w:r>
          </w:p>
          <w:p>
            <w:pPr>
              <w:pStyle w:val="TableParagraph"/>
              <w:spacing w:line="289" w:lineRule="exact" w:before="4"/>
              <w:ind w:left="113" w:right="105"/>
              <w:jc w:val="center"/>
              <w:rPr>
                <w:sz w:val="24"/>
              </w:rPr>
            </w:pPr>
            <w:r>
              <w:rPr>
                <w:sz w:val="24"/>
              </w:rPr>
              <w:t>故隐患判据</w:t>
            </w:r>
          </w:p>
        </w:tc>
      </w:tr>
      <w:tr>
        <w:trPr>
          <w:trHeight w:val="933" w:hRule="atLeast"/>
        </w:trPr>
        <w:tc>
          <w:tcPr>
            <w:tcW w:w="1101" w:type="dxa"/>
            <w:vMerge w:val="restart"/>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1"/>
              <w:rPr>
                <w:sz w:val="16"/>
              </w:rPr>
            </w:pPr>
          </w:p>
          <w:p>
            <w:pPr>
              <w:pStyle w:val="TableParagraph"/>
              <w:spacing w:line="242" w:lineRule="auto"/>
              <w:ind w:left="429" w:right="179" w:hanging="240"/>
              <w:rPr>
                <w:sz w:val="24"/>
              </w:rPr>
            </w:pPr>
            <w:r>
              <w:rPr>
                <w:sz w:val="24"/>
              </w:rPr>
              <w:t>电气作业</w:t>
            </w:r>
          </w:p>
        </w:tc>
        <w:tc>
          <w:tcPr>
            <w:tcW w:w="1134" w:type="dxa"/>
            <w:vMerge w:val="restart"/>
          </w:tcPr>
          <w:p>
            <w:pPr>
              <w:pStyle w:val="TableParagraph"/>
              <w:rPr>
                <w:sz w:val="24"/>
              </w:rPr>
            </w:pPr>
          </w:p>
          <w:p>
            <w:pPr>
              <w:pStyle w:val="TableParagraph"/>
              <w:rPr>
                <w:sz w:val="24"/>
              </w:rPr>
            </w:pPr>
          </w:p>
          <w:p>
            <w:pPr>
              <w:pStyle w:val="TableParagraph"/>
              <w:spacing w:before="10"/>
              <w:rPr>
                <w:sz w:val="25"/>
              </w:rPr>
            </w:pPr>
          </w:p>
          <w:p>
            <w:pPr>
              <w:pStyle w:val="TableParagraph"/>
              <w:spacing w:line="242" w:lineRule="auto"/>
              <w:ind w:left="447" w:right="194" w:hanging="240"/>
              <w:rPr>
                <w:sz w:val="24"/>
              </w:rPr>
            </w:pPr>
            <w:r>
              <w:rPr>
                <w:sz w:val="24"/>
              </w:rPr>
              <w:t>基本条件</w:t>
            </w:r>
          </w:p>
        </w:tc>
        <w:tc>
          <w:tcPr>
            <w:tcW w:w="1559" w:type="dxa"/>
          </w:tcPr>
          <w:p>
            <w:pPr>
              <w:pStyle w:val="TableParagraph"/>
              <w:spacing w:before="4"/>
              <w:rPr>
                <w:sz w:val="24"/>
              </w:rPr>
            </w:pPr>
          </w:p>
          <w:p>
            <w:pPr>
              <w:pStyle w:val="TableParagraph"/>
              <w:ind w:left="128" w:right="118"/>
              <w:jc w:val="center"/>
              <w:rPr>
                <w:sz w:val="24"/>
              </w:rPr>
            </w:pPr>
            <w:r>
              <w:rPr>
                <w:sz w:val="24"/>
              </w:rPr>
              <w:t>CBDQ-JB001</w:t>
            </w:r>
          </w:p>
        </w:tc>
        <w:tc>
          <w:tcPr>
            <w:tcW w:w="2693" w:type="dxa"/>
          </w:tcPr>
          <w:p>
            <w:pPr>
              <w:pStyle w:val="TableParagraph"/>
              <w:spacing w:line="242" w:lineRule="auto" w:before="2"/>
              <w:ind w:left="108" w:right="172"/>
              <w:rPr>
                <w:sz w:val="24"/>
              </w:rPr>
            </w:pPr>
            <w:r>
              <w:rPr>
                <w:sz w:val="24"/>
              </w:rPr>
              <w:t>临时用电未办理危险作业审批许可手续；送变</w:t>
            </w:r>
          </w:p>
          <w:p>
            <w:pPr>
              <w:pStyle w:val="TableParagraph"/>
              <w:spacing w:line="290" w:lineRule="exact" w:before="1"/>
              <w:ind w:left="108"/>
              <w:rPr>
                <w:sz w:val="24"/>
              </w:rPr>
            </w:pPr>
            <w:r>
              <w:rPr>
                <w:sz w:val="24"/>
              </w:rPr>
              <w:t>电未执行工作票制度</w:t>
            </w:r>
          </w:p>
        </w:tc>
        <w:tc>
          <w:tcPr>
            <w:tcW w:w="1134" w:type="dxa"/>
            <w:vMerge w:val="restart"/>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9"/>
              </w:rPr>
            </w:pPr>
          </w:p>
          <w:p>
            <w:pPr>
              <w:pStyle w:val="TableParagraph"/>
              <w:ind w:left="108"/>
              <w:rPr>
                <w:sz w:val="24"/>
              </w:rPr>
            </w:pPr>
            <w:r>
              <w:rPr>
                <w:sz w:val="24"/>
              </w:rPr>
              <w:t>CB 3786</w:t>
            </w:r>
          </w:p>
        </w:tc>
        <w:tc>
          <w:tcPr>
            <w:tcW w:w="1949" w:type="dxa"/>
            <w:vMerge w:val="restart"/>
          </w:tcPr>
          <w:p>
            <w:pPr>
              <w:pStyle w:val="TableParagraph"/>
              <w:numPr>
                <w:ilvl w:val="0"/>
                <w:numId w:val="45"/>
              </w:numPr>
              <w:tabs>
                <w:tab w:pos="357" w:val="left" w:leader="none"/>
              </w:tabs>
              <w:spacing w:line="242" w:lineRule="auto" w:before="31" w:after="0"/>
              <w:ind w:left="107" w:right="97" w:firstLine="0"/>
              <w:jc w:val="both"/>
              <w:rPr>
                <w:sz w:val="24"/>
              </w:rPr>
            </w:pPr>
            <w:r>
              <w:rPr>
                <w:spacing w:val="3"/>
                <w:sz w:val="24"/>
              </w:rPr>
              <w:t>同一次隐患排查过程中，同一作业现场发现任意一项基本条件</w:t>
            </w:r>
          </w:p>
          <w:p>
            <w:pPr>
              <w:pStyle w:val="TableParagraph"/>
              <w:spacing w:line="242" w:lineRule="auto" w:before="3"/>
              <w:ind w:left="107" w:right="97"/>
              <w:jc w:val="both"/>
              <w:rPr>
                <w:sz w:val="24"/>
              </w:rPr>
            </w:pPr>
            <w:r>
              <w:rPr>
                <w:sz w:val="24"/>
              </w:rPr>
              <w:t>+ 任意两项隐患内容的，判定为重大生产安全事故隐患；</w:t>
            </w:r>
          </w:p>
          <w:p>
            <w:pPr>
              <w:pStyle w:val="TableParagraph"/>
              <w:numPr>
                <w:ilvl w:val="0"/>
                <w:numId w:val="45"/>
              </w:numPr>
              <w:tabs>
                <w:tab w:pos="357" w:val="left" w:leader="none"/>
              </w:tabs>
              <w:spacing w:line="242" w:lineRule="auto" w:before="1" w:after="0"/>
              <w:ind w:left="107" w:right="97" w:firstLine="0"/>
              <w:jc w:val="both"/>
              <w:rPr>
                <w:sz w:val="24"/>
              </w:rPr>
            </w:pPr>
            <w:r>
              <w:rPr>
                <w:spacing w:val="3"/>
                <w:sz w:val="24"/>
              </w:rPr>
              <w:t>同一次隐患排查过程中，不同作业现场累计发现任意两项基本条件的，判定为重大生产安全事</w:t>
            </w:r>
            <w:r>
              <w:rPr>
                <w:sz w:val="24"/>
              </w:rPr>
              <w:t>故隐患；</w:t>
            </w:r>
          </w:p>
          <w:p>
            <w:pPr>
              <w:pStyle w:val="TableParagraph"/>
              <w:numPr>
                <w:ilvl w:val="0"/>
                <w:numId w:val="45"/>
              </w:numPr>
              <w:tabs>
                <w:tab w:pos="357" w:val="left" w:leader="none"/>
              </w:tabs>
              <w:spacing w:line="242" w:lineRule="auto" w:before="5" w:after="0"/>
              <w:ind w:left="107" w:right="97" w:firstLine="0"/>
              <w:jc w:val="both"/>
              <w:rPr>
                <w:sz w:val="24"/>
              </w:rPr>
            </w:pPr>
            <w:r>
              <w:rPr>
                <w:spacing w:val="3"/>
                <w:sz w:val="24"/>
              </w:rPr>
              <w:t>同一次隐患排查过程中，不同作业现场累计发现任意四项隐患</w:t>
            </w:r>
          </w:p>
        </w:tc>
      </w:tr>
      <w:tr>
        <w:trPr>
          <w:trHeight w:val="622"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158"/>
              <w:ind w:left="128" w:right="118"/>
              <w:jc w:val="center"/>
              <w:rPr>
                <w:sz w:val="24"/>
              </w:rPr>
            </w:pPr>
            <w:r>
              <w:rPr>
                <w:sz w:val="24"/>
              </w:rPr>
              <w:t>CBDQ-JB002</w:t>
            </w:r>
          </w:p>
        </w:tc>
        <w:tc>
          <w:tcPr>
            <w:tcW w:w="2693" w:type="dxa"/>
          </w:tcPr>
          <w:p>
            <w:pPr>
              <w:pStyle w:val="TableParagraph"/>
              <w:spacing w:before="1"/>
              <w:ind w:left="108"/>
              <w:rPr>
                <w:sz w:val="24"/>
              </w:rPr>
            </w:pPr>
            <w:r>
              <w:rPr>
                <w:sz w:val="24"/>
              </w:rPr>
              <w:t>电气作业人员未持证上</w:t>
            </w:r>
          </w:p>
          <w:p>
            <w:pPr>
              <w:pStyle w:val="TableParagraph"/>
              <w:spacing w:line="289" w:lineRule="exact" w:before="5"/>
              <w:ind w:left="108"/>
              <w:rPr>
                <w:sz w:val="24"/>
              </w:rPr>
            </w:pPr>
            <w:r>
              <w:rPr>
                <w:sz w:val="24"/>
              </w:rPr>
              <w:t>岗</w:t>
            </w:r>
          </w:p>
        </w:tc>
        <w:tc>
          <w:tcPr>
            <w:tcW w:w="1134" w:type="dxa"/>
            <w:vMerge/>
            <w:tcBorders>
              <w:top w:val="nil"/>
            </w:tcBorders>
          </w:tcPr>
          <w:p>
            <w:pPr>
              <w:rPr>
                <w:sz w:val="2"/>
                <w:szCs w:val="2"/>
              </w:rPr>
            </w:pPr>
          </w:p>
        </w:tc>
        <w:tc>
          <w:tcPr>
            <w:tcW w:w="1949" w:type="dxa"/>
            <w:vMerge/>
            <w:tcBorders>
              <w:top w:val="nil"/>
            </w:tcBorders>
          </w:tcPr>
          <w:p>
            <w:pPr>
              <w:rPr>
                <w:sz w:val="2"/>
                <w:szCs w:val="2"/>
              </w:rPr>
            </w:pPr>
          </w:p>
        </w:tc>
      </w:tr>
      <w:tr>
        <w:trPr>
          <w:trHeight w:val="933"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4"/>
              <w:rPr>
                <w:sz w:val="24"/>
              </w:rPr>
            </w:pPr>
          </w:p>
          <w:p>
            <w:pPr>
              <w:pStyle w:val="TableParagraph"/>
              <w:ind w:left="128" w:right="118"/>
              <w:jc w:val="center"/>
              <w:rPr>
                <w:sz w:val="24"/>
              </w:rPr>
            </w:pPr>
            <w:r>
              <w:rPr>
                <w:sz w:val="24"/>
              </w:rPr>
              <w:t>CBDQ-JB003</w:t>
            </w:r>
          </w:p>
        </w:tc>
        <w:tc>
          <w:tcPr>
            <w:tcW w:w="2693" w:type="dxa"/>
          </w:tcPr>
          <w:p>
            <w:pPr>
              <w:pStyle w:val="TableParagraph"/>
              <w:spacing w:line="242" w:lineRule="auto"/>
              <w:ind w:left="108" w:right="172"/>
              <w:rPr>
                <w:sz w:val="24"/>
              </w:rPr>
            </w:pPr>
            <w:r>
              <w:rPr>
                <w:sz w:val="24"/>
              </w:rPr>
              <w:t>带负荷进行拉闸操作或校验(修理)电气设备时</w:t>
            </w:r>
          </w:p>
          <w:p>
            <w:pPr>
              <w:pStyle w:val="TableParagraph"/>
              <w:spacing w:line="289" w:lineRule="exact" w:before="3"/>
              <w:ind w:left="108"/>
              <w:rPr>
                <w:sz w:val="24"/>
              </w:rPr>
            </w:pPr>
            <w:r>
              <w:rPr>
                <w:sz w:val="24"/>
              </w:rPr>
              <w:t>未设置警示标志</w:t>
            </w:r>
          </w:p>
        </w:tc>
        <w:tc>
          <w:tcPr>
            <w:tcW w:w="1134" w:type="dxa"/>
            <w:vMerge/>
            <w:tcBorders>
              <w:top w:val="nil"/>
            </w:tcBorders>
          </w:tcPr>
          <w:p>
            <w:pPr>
              <w:rPr>
                <w:sz w:val="2"/>
                <w:szCs w:val="2"/>
              </w:rPr>
            </w:pPr>
          </w:p>
        </w:tc>
        <w:tc>
          <w:tcPr>
            <w:tcW w:w="1949" w:type="dxa"/>
            <w:vMerge/>
            <w:tcBorders>
              <w:top w:val="nil"/>
            </w:tcBorders>
          </w:tcPr>
          <w:p>
            <w:pPr>
              <w:rPr>
                <w:sz w:val="2"/>
                <w:szCs w:val="2"/>
              </w:rPr>
            </w:pPr>
          </w:p>
        </w:tc>
      </w:tr>
      <w:tr>
        <w:trPr>
          <w:trHeight w:val="933" w:hRule="atLeast"/>
        </w:trPr>
        <w:tc>
          <w:tcPr>
            <w:tcW w:w="1101" w:type="dxa"/>
            <w:vMerge/>
            <w:tcBorders>
              <w:top w:val="nil"/>
            </w:tcBorders>
          </w:tcPr>
          <w:p>
            <w:pPr>
              <w:rPr>
                <w:sz w:val="2"/>
                <w:szCs w:val="2"/>
              </w:rPr>
            </w:pPr>
          </w:p>
        </w:tc>
        <w:tc>
          <w:tcPr>
            <w:tcW w:w="1134" w:type="dxa"/>
            <w:vMerge w:val="restart"/>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line="242" w:lineRule="auto" w:before="186"/>
              <w:ind w:left="447" w:right="194" w:hanging="240"/>
              <w:rPr>
                <w:sz w:val="24"/>
              </w:rPr>
            </w:pPr>
            <w:r>
              <w:rPr>
                <w:sz w:val="24"/>
              </w:rPr>
              <w:t>隐患内容</w:t>
            </w:r>
          </w:p>
        </w:tc>
        <w:tc>
          <w:tcPr>
            <w:tcW w:w="1559" w:type="dxa"/>
          </w:tcPr>
          <w:p>
            <w:pPr>
              <w:pStyle w:val="TableParagraph"/>
              <w:spacing w:before="4"/>
              <w:rPr>
                <w:sz w:val="24"/>
              </w:rPr>
            </w:pPr>
          </w:p>
          <w:p>
            <w:pPr>
              <w:pStyle w:val="TableParagraph"/>
              <w:ind w:left="128" w:right="118"/>
              <w:jc w:val="center"/>
              <w:rPr>
                <w:sz w:val="24"/>
              </w:rPr>
            </w:pPr>
            <w:r>
              <w:rPr>
                <w:sz w:val="24"/>
              </w:rPr>
              <w:t>CBDQ-YH001</w:t>
            </w:r>
          </w:p>
        </w:tc>
        <w:tc>
          <w:tcPr>
            <w:tcW w:w="2693" w:type="dxa"/>
          </w:tcPr>
          <w:p>
            <w:pPr>
              <w:pStyle w:val="TableParagraph"/>
              <w:spacing w:line="242" w:lineRule="auto" w:before="2"/>
              <w:ind w:left="108" w:right="172"/>
              <w:rPr>
                <w:sz w:val="24"/>
              </w:rPr>
            </w:pPr>
            <w:r>
              <w:rPr>
                <w:sz w:val="24"/>
              </w:rPr>
              <w:t>电线接头及电气线路拆除后其线头外露且未做</w:t>
            </w:r>
          </w:p>
          <w:p>
            <w:pPr>
              <w:pStyle w:val="TableParagraph"/>
              <w:spacing w:line="290" w:lineRule="exact" w:before="1"/>
              <w:ind w:left="108"/>
              <w:rPr>
                <w:sz w:val="24"/>
              </w:rPr>
            </w:pPr>
            <w:r>
              <w:rPr>
                <w:sz w:val="24"/>
              </w:rPr>
              <w:t>绝缘保护</w:t>
            </w:r>
          </w:p>
        </w:tc>
        <w:tc>
          <w:tcPr>
            <w:tcW w:w="1134" w:type="dxa"/>
            <w:vMerge/>
            <w:tcBorders>
              <w:top w:val="nil"/>
            </w:tcBorders>
          </w:tcPr>
          <w:p>
            <w:pPr>
              <w:rPr>
                <w:sz w:val="2"/>
                <w:szCs w:val="2"/>
              </w:rPr>
            </w:pPr>
          </w:p>
        </w:tc>
        <w:tc>
          <w:tcPr>
            <w:tcW w:w="1949" w:type="dxa"/>
            <w:vMerge/>
            <w:tcBorders>
              <w:top w:val="nil"/>
            </w:tcBorders>
          </w:tcPr>
          <w:p>
            <w:pPr>
              <w:rPr>
                <w:sz w:val="2"/>
                <w:szCs w:val="2"/>
              </w:rPr>
            </w:pPr>
          </w:p>
        </w:tc>
      </w:tr>
      <w:tr>
        <w:trPr>
          <w:trHeight w:val="1245"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rPr>
                <w:sz w:val="24"/>
              </w:rPr>
            </w:pPr>
          </w:p>
          <w:p>
            <w:pPr>
              <w:pStyle w:val="TableParagraph"/>
              <w:spacing w:before="160"/>
              <w:ind w:left="128" w:right="118"/>
              <w:jc w:val="center"/>
              <w:rPr>
                <w:sz w:val="24"/>
              </w:rPr>
            </w:pPr>
            <w:r>
              <w:rPr>
                <w:sz w:val="24"/>
              </w:rPr>
              <w:t>CBDQ-YH002</w:t>
            </w:r>
          </w:p>
        </w:tc>
        <w:tc>
          <w:tcPr>
            <w:tcW w:w="2693" w:type="dxa"/>
          </w:tcPr>
          <w:p>
            <w:pPr>
              <w:pStyle w:val="TableParagraph"/>
              <w:spacing w:line="242" w:lineRule="auto" w:before="2"/>
              <w:ind w:left="108" w:right="172"/>
              <w:jc w:val="both"/>
              <w:rPr>
                <w:sz w:val="24"/>
              </w:rPr>
            </w:pPr>
            <w:r>
              <w:rPr>
                <w:sz w:val="24"/>
              </w:rPr>
              <w:t>供电箱、供电柜、用电设备、照明灯具不带电的金属部分未与供电系</w:t>
            </w:r>
          </w:p>
          <w:p>
            <w:pPr>
              <w:pStyle w:val="TableParagraph"/>
              <w:spacing w:line="290" w:lineRule="exact" w:before="1"/>
              <w:ind w:left="108"/>
              <w:rPr>
                <w:sz w:val="24"/>
              </w:rPr>
            </w:pPr>
            <w:r>
              <w:rPr>
                <w:sz w:val="24"/>
              </w:rPr>
              <w:t>统的零线可靠连接</w:t>
            </w:r>
          </w:p>
        </w:tc>
        <w:tc>
          <w:tcPr>
            <w:tcW w:w="1134" w:type="dxa"/>
            <w:vMerge/>
            <w:tcBorders>
              <w:top w:val="nil"/>
            </w:tcBorders>
          </w:tcPr>
          <w:p>
            <w:pPr>
              <w:rPr>
                <w:sz w:val="2"/>
                <w:szCs w:val="2"/>
              </w:rPr>
            </w:pPr>
          </w:p>
        </w:tc>
        <w:tc>
          <w:tcPr>
            <w:tcW w:w="1949" w:type="dxa"/>
            <w:vMerge/>
            <w:tcBorders>
              <w:top w:val="nil"/>
            </w:tcBorders>
          </w:tcPr>
          <w:p>
            <w:pPr>
              <w:rPr>
                <w:sz w:val="2"/>
                <w:szCs w:val="2"/>
              </w:rPr>
            </w:pPr>
          </w:p>
        </w:tc>
      </w:tr>
      <w:tr>
        <w:trPr>
          <w:trHeight w:val="622"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158"/>
              <w:ind w:left="128" w:right="118"/>
              <w:jc w:val="center"/>
              <w:rPr>
                <w:sz w:val="24"/>
              </w:rPr>
            </w:pPr>
            <w:r>
              <w:rPr>
                <w:sz w:val="24"/>
              </w:rPr>
              <w:t>CBDQ-YH003</w:t>
            </w:r>
          </w:p>
        </w:tc>
        <w:tc>
          <w:tcPr>
            <w:tcW w:w="2693" w:type="dxa"/>
          </w:tcPr>
          <w:p>
            <w:pPr>
              <w:pStyle w:val="TableParagraph"/>
              <w:spacing w:before="2"/>
              <w:ind w:left="108"/>
              <w:rPr>
                <w:sz w:val="24"/>
              </w:rPr>
            </w:pPr>
            <w:r>
              <w:rPr>
                <w:sz w:val="24"/>
              </w:rPr>
              <w:t>使用裸灯头及不封闭的</w:t>
            </w:r>
          </w:p>
          <w:p>
            <w:pPr>
              <w:pStyle w:val="TableParagraph"/>
              <w:spacing w:line="289" w:lineRule="exact" w:before="4"/>
              <w:ind w:left="108"/>
              <w:rPr>
                <w:sz w:val="24"/>
              </w:rPr>
            </w:pPr>
            <w:r>
              <w:rPr>
                <w:sz w:val="24"/>
              </w:rPr>
              <w:t>碘钨灯作照明</w:t>
            </w:r>
          </w:p>
        </w:tc>
        <w:tc>
          <w:tcPr>
            <w:tcW w:w="1134" w:type="dxa"/>
            <w:vMerge/>
            <w:tcBorders>
              <w:top w:val="nil"/>
            </w:tcBorders>
          </w:tcPr>
          <w:p>
            <w:pPr>
              <w:rPr>
                <w:sz w:val="2"/>
                <w:szCs w:val="2"/>
              </w:rPr>
            </w:pPr>
          </w:p>
        </w:tc>
        <w:tc>
          <w:tcPr>
            <w:tcW w:w="1949" w:type="dxa"/>
            <w:vMerge/>
            <w:tcBorders>
              <w:top w:val="nil"/>
            </w:tcBorders>
          </w:tcPr>
          <w:p>
            <w:pPr>
              <w:rPr>
                <w:sz w:val="2"/>
                <w:szCs w:val="2"/>
              </w:rPr>
            </w:pPr>
          </w:p>
        </w:tc>
      </w:tr>
      <w:tr>
        <w:trPr>
          <w:trHeight w:val="620"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Pr>
          <w:p>
            <w:pPr>
              <w:pStyle w:val="TableParagraph"/>
              <w:spacing w:before="156"/>
              <w:ind w:left="128" w:right="118"/>
              <w:jc w:val="center"/>
              <w:rPr>
                <w:sz w:val="24"/>
              </w:rPr>
            </w:pPr>
            <w:r>
              <w:rPr>
                <w:sz w:val="24"/>
              </w:rPr>
              <w:t>CBDQ-YH004</w:t>
            </w:r>
          </w:p>
        </w:tc>
        <w:tc>
          <w:tcPr>
            <w:tcW w:w="2693" w:type="dxa"/>
          </w:tcPr>
          <w:p>
            <w:pPr>
              <w:pStyle w:val="TableParagraph"/>
              <w:ind w:left="108"/>
              <w:rPr>
                <w:sz w:val="24"/>
              </w:rPr>
            </w:pPr>
            <w:r>
              <w:rPr>
                <w:sz w:val="24"/>
              </w:rPr>
              <w:t>手持电动工具绝缘防护</w:t>
            </w:r>
          </w:p>
          <w:p>
            <w:pPr>
              <w:pStyle w:val="TableParagraph"/>
              <w:spacing w:line="288" w:lineRule="exact" w:before="4"/>
              <w:ind w:left="108"/>
              <w:rPr>
                <w:sz w:val="24"/>
              </w:rPr>
            </w:pPr>
            <w:r>
              <w:rPr>
                <w:sz w:val="24"/>
              </w:rPr>
              <w:t>损坏</w:t>
            </w:r>
          </w:p>
        </w:tc>
        <w:tc>
          <w:tcPr>
            <w:tcW w:w="1134" w:type="dxa"/>
            <w:vMerge/>
            <w:tcBorders>
              <w:top w:val="nil"/>
            </w:tcBorders>
          </w:tcPr>
          <w:p>
            <w:pPr>
              <w:rPr>
                <w:sz w:val="2"/>
                <w:szCs w:val="2"/>
              </w:rPr>
            </w:pPr>
          </w:p>
        </w:tc>
        <w:tc>
          <w:tcPr>
            <w:tcW w:w="1949" w:type="dxa"/>
            <w:vMerge/>
            <w:tcBorders>
              <w:top w:val="nil"/>
            </w:tcBorders>
          </w:tcPr>
          <w:p>
            <w:pPr>
              <w:rPr>
                <w:sz w:val="2"/>
                <w:szCs w:val="2"/>
              </w:rPr>
            </w:pPr>
          </w:p>
        </w:tc>
      </w:tr>
    </w:tbl>
    <w:p>
      <w:pPr>
        <w:spacing w:after="0"/>
        <w:rPr>
          <w:sz w:val="2"/>
          <w:szCs w:val="2"/>
        </w:rPr>
        <w:sectPr>
          <w:pgSz w:w="11910" w:h="16840"/>
          <w:pgMar w:header="0" w:footer="1039" w:top="1580" w:bottom="1300" w:left="1060" w:right="860"/>
        </w:sectPr>
      </w:pPr>
    </w:p>
    <w:p>
      <w:pPr>
        <w:pStyle w:val="BodyText"/>
        <w:spacing w:before="8"/>
        <w:ind w:left="0"/>
        <w:rPr>
          <w:rFonts w:ascii="Times New Roman"/>
          <w:sz w:val="28"/>
        </w:rPr>
      </w:pPr>
      <w:bookmarkStart w:name="水电站大坝工程隐患治理监督管理办法" w:id="40"/>
      <w:bookmarkEnd w:id="40"/>
      <w:r>
        <w:rPr/>
      </w:r>
      <w:r>
        <w:rPr>
          <w:rFonts w:ascii="Times New Roman"/>
          <w:sz w:val="28"/>
        </w:rPr>
      </w:r>
    </w:p>
    <w:tbl>
      <w:tblPr>
        <w:tblW w:w="0" w:type="auto"/>
        <w:jc w:val="left"/>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1"/>
        <w:gridCol w:w="1134"/>
        <w:gridCol w:w="1559"/>
        <w:gridCol w:w="2693"/>
        <w:gridCol w:w="1134"/>
        <w:gridCol w:w="1949"/>
      </w:tblGrid>
      <w:tr>
        <w:trPr>
          <w:trHeight w:val="305" w:hRule="atLeast"/>
        </w:trPr>
        <w:tc>
          <w:tcPr>
            <w:tcW w:w="1101" w:type="dxa"/>
            <w:vMerge w:val="restart"/>
          </w:tcPr>
          <w:p>
            <w:pPr>
              <w:pStyle w:val="TableParagraph"/>
              <w:rPr>
                <w:rFonts w:ascii="Times New Roman"/>
                <w:sz w:val="22"/>
              </w:rPr>
            </w:pPr>
          </w:p>
        </w:tc>
        <w:tc>
          <w:tcPr>
            <w:tcW w:w="1134" w:type="dxa"/>
            <w:vMerge w:val="restart"/>
          </w:tcPr>
          <w:p>
            <w:pPr>
              <w:pStyle w:val="TableParagraph"/>
              <w:rPr>
                <w:rFonts w:ascii="Times New Roman"/>
                <w:sz w:val="22"/>
              </w:rPr>
            </w:pPr>
          </w:p>
        </w:tc>
        <w:tc>
          <w:tcPr>
            <w:tcW w:w="1559" w:type="dxa"/>
            <w:tcBorders>
              <w:bottom w:val="nil"/>
            </w:tcBorders>
          </w:tcPr>
          <w:p>
            <w:pPr>
              <w:pStyle w:val="TableParagraph"/>
              <w:rPr>
                <w:rFonts w:ascii="Times New Roman"/>
                <w:sz w:val="22"/>
              </w:rPr>
            </w:pPr>
          </w:p>
        </w:tc>
        <w:tc>
          <w:tcPr>
            <w:tcW w:w="2693" w:type="dxa"/>
            <w:tcBorders>
              <w:bottom w:val="nil"/>
            </w:tcBorders>
          </w:tcPr>
          <w:p>
            <w:pPr>
              <w:pStyle w:val="TableParagraph"/>
              <w:spacing w:line="284" w:lineRule="exact" w:before="2"/>
              <w:ind w:left="108"/>
              <w:rPr>
                <w:sz w:val="24"/>
              </w:rPr>
            </w:pPr>
            <w:r>
              <w:rPr>
                <w:sz w:val="24"/>
              </w:rPr>
              <w:t>上船电源线电压不小于</w:t>
            </w:r>
          </w:p>
        </w:tc>
        <w:tc>
          <w:tcPr>
            <w:tcW w:w="1134" w:type="dxa"/>
            <w:vMerge w:val="restart"/>
          </w:tcPr>
          <w:p>
            <w:pPr>
              <w:pStyle w:val="TableParagraph"/>
              <w:rPr>
                <w:rFonts w:ascii="Times New Roman"/>
                <w:sz w:val="22"/>
              </w:rPr>
            </w:pPr>
          </w:p>
        </w:tc>
        <w:tc>
          <w:tcPr>
            <w:tcW w:w="1949" w:type="dxa"/>
            <w:tcBorders>
              <w:bottom w:val="nil"/>
            </w:tcBorders>
          </w:tcPr>
          <w:p>
            <w:pPr>
              <w:pStyle w:val="TableParagraph"/>
              <w:spacing w:line="284" w:lineRule="exact" w:before="2"/>
              <w:ind w:left="107"/>
              <w:rPr>
                <w:sz w:val="24"/>
              </w:rPr>
            </w:pPr>
            <w:r>
              <w:rPr>
                <w:sz w:val="24"/>
              </w:rPr>
              <w:t>内容的，判定为</w:t>
            </w:r>
          </w:p>
        </w:tc>
      </w:tr>
      <w:tr>
        <w:trPr>
          <w:trHeight w:val="612"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Borders>
              <w:top w:val="nil"/>
              <w:bottom w:val="nil"/>
            </w:tcBorders>
          </w:tcPr>
          <w:p>
            <w:pPr>
              <w:pStyle w:val="TableParagraph"/>
              <w:spacing w:before="152"/>
              <w:ind w:right="167"/>
              <w:jc w:val="right"/>
              <w:rPr>
                <w:sz w:val="24"/>
              </w:rPr>
            </w:pPr>
            <w:r>
              <w:rPr>
                <w:sz w:val="24"/>
              </w:rPr>
              <w:t>CBDQ-YH005</w:t>
            </w:r>
          </w:p>
        </w:tc>
        <w:tc>
          <w:tcPr>
            <w:tcW w:w="2693" w:type="dxa"/>
            <w:tcBorders>
              <w:top w:val="nil"/>
              <w:bottom w:val="nil"/>
            </w:tcBorders>
          </w:tcPr>
          <w:p>
            <w:pPr>
              <w:pStyle w:val="TableParagraph"/>
              <w:spacing w:line="304" w:lineRule="exact"/>
              <w:ind w:left="108"/>
              <w:rPr>
                <w:sz w:val="24"/>
              </w:rPr>
            </w:pPr>
            <w:r>
              <w:rPr>
                <w:sz w:val="24"/>
              </w:rPr>
              <w:t>220V时，未采用绝缘完</w:t>
            </w:r>
          </w:p>
          <w:p>
            <w:pPr>
              <w:pStyle w:val="TableParagraph"/>
              <w:spacing w:line="285" w:lineRule="exact" w:before="4"/>
              <w:ind w:left="108"/>
              <w:rPr>
                <w:sz w:val="24"/>
              </w:rPr>
            </w:pPr>
            <w:r>
              <w:rPr>
                <w:sz w:val="24"/>
              </w:rPr>
              <w:t>好的橡套电线，或与氧</w:t>
            </w:r>
          </w:p>
        </w:tc>
        <w:tc>
          <w:tcPr>
            <w:tcW w:w="1134" w:type="dxa"/>
            <w:vMerge/>
            <w:tcBorders>
              <w:top w:val="nil"/>
            </w:tcBorders>
          </w:tcPr>
          <w:p>
            <w:pPr>
              <w:rPr>
                <w:sz w:val="2"/>
                <w:szCs w:val="2"/>
              </w:rPr>
            </w:pPr>
          </w:p>
        </w:tc>
        <w:tc>
          <w:tcPr>
            <w:tcW w:w="1949" w:type="dxa"/>
            <w:tcBorders>
              <w:top w:val="nil"/>
              <w:bottom w:val="nil"/>
            </w:tcBorders>
          </w:tcPr>
          <w:p>
            <w:pPr>
              <w:pStyle w:val="TableParagraph"/>
              <w:spacing w:line="304" w:lineRule="exact"/>
              <w:ind w:left="107"/>
              <w:rPr>
                <w:sz w:val="24"/>
              </w:rPr>
            </w:pPr>
            <w:r>
              <w:rPr>
                <w:sz w:val="24"/>
              </w:rPr>
              <w:t>重大生产安全事</w:t>
            </w:r>
          </w:p>
          <w:p>
            <w:pPr>
              <w:pStyle w:val="TableParagraph"/>
              <w:spacing w:line="285" w:lineRule="exact" w:before="4"/>
              <w:ind w:left="107"/>
              <w:rPr>
                <w:sz w:val="24"/>
              </w:rPr>
            </w:pPr>
            <w:r>
              <w:rPr>
                <w:sz w:val="24"/>
              </w:rPr>
              <w:t>故隐患</w:t>
            </w:r>
          </w:p>
        </w:tc>
      </w:tr>
      <w:tr>
        <w:trPr>
          <w:trHeight w:val="306"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Borders>
              <w:top w:val="nil"/>
            </w:tcBorders>
          </w:tcPr>
          <w:p>
            <w:pPr>
              <w:pStyle w:val="TableParagraph"/>
              <w:rPr>
                <w:rFonts w:ascii="Times New Roman"/>
                <w:sz w:val="22"/>
              </w:rPr>
            </w:pPr>
          </w:p>
        </w:tc>
        <w:tc>
          <w:tcPr>
            <w:tcW w:w="2693" w:type="dxa"/>
            <w:tcBorders>
              <w:top w:val="nil"/>
            </w:tcBorders>
          </w:tcPr>
          <w:p>
            <w:pPr>
              <w:pStyle w:val="TableParagraph"/>
              <w:spacing w:line="286" w:lineRule="exact"/>
              <w:ind w:left="108"/>
              <w:rPr>
                <w:sz w:val="24"/>
              </w:rPr>
            </w:pPr>
            <w:r>
              <w:rPr>
                <w:sz w:val="24"/>
              </w:rPr>
              <w:t>气(乙炔)皮带同道架设</w:t>
            </w:r>
          </w:p>
        </w:tc>
        <w:tc>
          <w:tcPr>
            <w:tcW w:w="1134" w:type="dxa"/>
            <w:vMerge/>
            <w:tcBorders>
              <w:top w:val="nil"/>
            </w:tcBorders>
          </w:tcPr>
          <w:p>
            <w:pPr>
              <w:rPr>
                <w:sz w:val="2"/>
                <w:szCs w:val="2"/>
              </w:rPr>
            </w:pPr>
          </w:p>
        </w:tc>
        <w:tc>
          <w:tcPr>
            <w:tcW w:w="1949" w:type="dxa"/>
            <w:tcBorders>
              <w:top w:val="nil"/>
              <w:bottom w:val="nil"/>
            </w:tcBorders>
          </w:tcPr>
          <w:p>
            <w:pPr>
              <w:pStyle w:val="TableParagraph"/>
              <w:rPr>
                <w:rFonts w:ascii="Times New Roman"/>
                <w:sz w:val="22"/>
              </w:rPr>
            </w:pPr>
          </w:p>
        </w:tc>
      </w:tr>
      <w:tr>
        <w:trPr>
          <w:trHeight w:val="306"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Borders>
              <w:bottom w:val="nil"/>
            </w:tcBorders>
          </w:tcPr>
          <w:p>
            <w:pPr>
              <w:pStyle w:val="TableParagraph"/>
              <w:rPr>
                <w:rFonts w:ascii="Times New Roman"/>
                <w:sz w:val="22"/>
              </w:rPr>
            </w:pPr>
          </w:p>
        </w:tc>
        <w:tc>
          <w:tcPr>
            <w:tcW w:w="2693" w:type="dxa"/>
            <w:tcBorders>
              <w:bottom w:val="nil"/>
            </w:tcBorders>
          </w:tcPr>
          <w:p>
            <w:pPr>
              <w:pStyle w:val="TableParagraph"/>
              <w:spacing w:line="284" w:lineRule="exact" w:before="2"/>
              <w:ind w:left="108"/>
              <w:rPr>
                <w:sz w:val="24"/>
              </w:rPr>
            </w:pPr>
            <w:r>
              <w:rPr>
                <w:sz w:val="24"/>
              </w:rPr>
              <w:t>电焊机无可靠的保护接</w:t>
            </w:r>
          </w:p>
        </w:tc>
        <w:tc>
          <w:tcPr>
            <w:tcW w:w="1134" w:type="dxa"/>
            <w:vMerge/>
            <w:tcBorders>
              <w:top w:val="nil"/>
            </w:tcBorders>
          </w:tcPr>
          <w:p>
            <w:pPr>
              <w:rPr>
                <w:sz w:val="2"/>
                <w:szCs w:val="2"/>
              </w:rPr>
            </w:pPr>
          </w:p>
        </w:tc>
        <w:tc>
          <w:tcPr>
            <w:tcW w:w="1949" w:type="dxa"/>
            <w:tcBorders>
              <w:top w:val="nil"/>
              <w:bottom w:val="nil"/>
            </w:tcBorders>
          </w:tcPr>
          <w:p>
            <w:pPr>
              <w:pStyle w:val="TableParagraph"/>
              <w:rPr>
                <w:rFonts w:ascii="Times New Roman"/>
                <w:sz w:val="22"/>
              </w:rPr>
            </w:pPr>
          </w:p>
        </w:tc>
      </w:tr>
      <w:tr>
        <w:trPr>
          <w:trHeight w:val="612"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Borders>
              <w:top w:val="nil"/>
              <w:bottom w:val="nil"/>
            </w:tcBorders>
          </w:tcPr>
          <w:p>
            <w:pPr>
              <w:pStyle w:val="TableParagraph"/>
              <w:spacing w:before="152"/>
              <w:ind w:right="167"/>
              <w:jc w:val="right"/>
              <w:rPr>
                <w:sz w:val="24"/>
              </w:rPr>
            </w:pPr>
            <w:r>
              <w:rPr>
                <w:sz w:val="24"/>
              </w:rPr>
              <w:t>CBDQ-YH006</w:t>
            </w:r>
          </w:p>
        </w:tc>
        <w:tc>
          <w:tcPr>
            <w:tcW w:w="2693" w:type="dxa"/>
            <w:tcBorders>
              <w:top w:val="nil"/>
              <w:bottom w:val="nil"/>
            </w:tcBorders>
          </w:tcPr>
          <w:p>
            <w:pPr>
              <w:pStyle w:val="TableParagraph"/>
              <w:spacing w:line="304" w:lineRule="exact"/>
              <w:ind w:left="108"/>
              <w:rPr>
                <w:sz w:val="24"/>
              </w:rPr>
            </w:pPr>
            <w:r>
              <w:rPr>
                <w:sz w:val="24"/>
              </w:rPr>
              <w:t>地无保护接零装置；电</w:t>
            </w:r>
          </w:p>
          <w:p>
            <w:pPr>
              <w:pStyle w:val="TableParagraph"/>
              <w:spacing w:line="285" w:lineRule="exact" w:before="4"/>
              <w:ind w:left="108"/>
              <w:rPr>
                <w:sz w:val="24"/>
              </w:rPr>
            </w:pPr>
            <w:r>
              <w:rPr>
                <w:sz w:val="24"/>
              </w:rPr>
              <w:t>焊机裸露带电部分无安</w:t>
            </w:r>
          </w:p>
        </w:tc>
        <w:tc>
          <w:tcPr>
            <w:tcW w:w="1134" w:type="dxa"/>
            <w:vMerge/>
            <w:tcBorders>
              <w:top w:val="nil"/>
            </w:tcBorders>
          </w:tcPr>
          <w:p>
            <w:pPr>
              <w:rPr>
                <w:sz w:val="2"/>
                <w:szCs w:val="2"/>
              </w:rPr>
            </w:pPr>
          </w:p>
        </w:tc>
        <w:tc>
          <w:tcPr>
            <w:tcW w:w="1949" w:type="dxa"/>
            <w:tcBorders>
              <w:top w:val="nil"/>
              <w:bottom w:val="nil"/>
            </w:tcBorders>
          </w:tcPr>
          <w:p>
            <w:pPr>
              <w:pStyle w:val="TableParagraph"/>
              <w:rPr>
                <w:rFonts w:ascii="Times New Roman"/>
                <w:sz w:val="22"/>
              </w:rPr>
            </w:pPr>
          </w:p>
        </w:tc>
      </w:tr>
      <w:tr>
        <w:trPr>
          <w:trHeight w:val="306" w:hRule="atLeast"/>
        </w:trPr>
        <w:tc>
          <w:tcPr>
            <w:tcW w:w="1101" w:type="dxa"/>
            <w:vMerge/>
            <w:tcBorders>
              <w:top w:val="nil"/>
            </w:tcBorders>
          </w:tcPr>
          <w:p>
            <w:pPr>
              <w:rPr>
                <w:sz w:val="2"/>
                <w:szCs w:val="2"/>
              </w:rPr>
            </w:pPr>
          </w:p>
        </w:tc>
        <w:tc>
          <w:tcPr>
            <w:tcW w:w="1134" w:type="dxa"/>
            <w:vMerge/>
            <w:tcBorders>
              <w:top w:val="nil"/>
            </w:tcBorders>
          </w:tcPr>
          <w:p>
            <w:pPr>
              <w:rPr>
                <w:sz w:val="2"/>
                <w:szCs w:val="2"/>
              </w:rPr>
            </w:pPr>
          </w:p>
        </w:tc>
        <w:tc>
          <w:tcPr>
            <w:tcW w:w="1559" w:type="dxa"/>
            <w:tcBorders>
              <w:top w:val="nil"/>
            </w:tcBorders>
          </w:tcPr>
          <w:p>
            <w:pPr>
              <w:pStyle w:val="TableParagraph"/>
              <w:rPr>
                <w:rFonts w:ascii="Times New Roman"/>
                <w:sz w:val="22"/>
              </w:rPr>
            </w:pPr>
          </w:p>
        </w:tc>
        <w:tc>
          <w:tcPr>
            <w:tcW w:w="2693" w:type="dxa"/>
            <w:tcBorders>
              <w:top w:val="nil"/>
            </w:tcBorders>
          </w:tcPr>
          <w:p>
            <w:pPr>
              <w:pStyle w:val="TableParagraph"/>
              <w:spacing w:line="286" w:lineRule="exact"/>
              <w:ind w:left="108"/>
              <w:rPr>
                <w:sz w:val="24"/>
              </w:rPr>
            </w:pPr>
            <w:r>
              <w:rPr>
                <w:sz w:val="24"/>
              </w:rPr>
              <w:t>全防护罩</w:t>
            </w:r>
          </w:p>
        </w:tc>
        <w:tc>
          <w:tcPr>
            <w:tcW w:w="1134" w:type="dxa"/>
            <w:vMerge/>
            <w:tcBorders>
              <w:top w:val="nil"/>
            </w:tcBorders>
          </w:tcPr>
          <w:p>
            <w:pPr>
              <w:rPr>
                <w:sz w:val="2"/>
                <w:szCs w:val="2"/>
              </w:rPr>
            </w:pPr>
          </w:p>
        </w:tc>
        <w:tc>
          <w:tcPr>
            <w:tcW w:w="1949" w:type="dxa"/>
            <w:tcBorders>
              <w:top w:val="nil"/>
            </w:tcBorders>
          </w:tcPr>
          <w:p>
            <w:pPr>
              <w:pStyle w:val="TableParagraph"/>
              <w:rPr>
                <w:rFonts w:ascii="Times New Roman"/>
                <w:sz w:val="22"/>
              </w:rPr>
            </w:pPr>
          </w:p>
        </w:tc>
      </w:tr>
    </w:tbl>
    <w:p>
      <w:pPr>
        <w:spacing w:after="0"/>
        <w:rPr>
          <w:rFonts w:ascii="Times New Roman"/>
          <w:sz w:val="22"/>
        </w:rPr>
        <w:sectPr>
          <w:pgSz w:w="11910" w:h="16840"/>
          <w:pgMar w:header="0" w:footer="1039" w:top="1580" w:bottom="1220" w:left="1060" w:right="860"/>
        </w:sectPr>
      </w:pPr>
    </w:p>
    <w:p>
      <w:pPr>
        <w:pStyle w:val="BodyText"/>
        <w:ind w:left="0"/>
        <w:rPr>
          <w:rFonts w:ascii="Times New Roman"/>
          <w:sz w:val="20"/>
        </w:rPr>
      </w:pPr>
    </w:p>
    <w:p>
      <w:pPr>
        <w:pStyle w:val="BodyText"/>
        <w:ind w:left="0"/>
        <w:rPr>
          <w:rFonts w:ascii="Times New Roman"/>
          <w:sz w:val="20"/>
        </w:rPr>
      </w:pPr>
    </w:p>
    <w:p>
      <w:pPr>
        <w:pStyle w:val="BodyText"/>
        <w:spacing w:before="5"/>
        <w:ind w:left="0"/>
        <w:rPr>
          <w:rFonts w:ascii="Times New Roman"/>
          <w:sz w:val="27"/>
        </w:rPr>
      </w:pPr>
    </w:p>
    <w:p>
      <w:pPr>
        <w:pStyle w:val="Heading2"/>
        <w:ind w:left="722" w:right="402"/>
      </w:pPr>
      <w:bookmarkStart w:name="_bookmark20" w:id="41"/>
      <w:bookmarkEnd w:id="41"/>
      <w:r>
        <w:rPr/>
      </w:r>
      <w:r>
        <w:rPr/>
        <w:t>水电站大坝工程隐患治理监督管理办法</w:t>
      </w:r>
    </w:p>
    <w:p>
      <w:pPr>
        <w:pStyle w:val="BodyText"/>
        <w:spacing w:before="11"/>
        <w:ind w:left="0"/>
        <w:rPr>
          <w:sz w:val="39"/>
        </w:rPr>
      </w:pPr>
    </w:p>
    <w:p>
      <w:pPr>
        <w:pStyle w:val="BodyText"/>
        <w:tabs>
          <w:tab w:pos="1362" w:val="left" w:leader="none"/>
        </w:tabs>
        <w:spacing w:before="1"/>
        <w:ind w:left="83"/>
        <w:jc w:val="center"/>
        <w:rPr>
          <w:rFonts w:ascii="黑体" w:eastAsia="黑体" w:hint="eastAsia"/>
        </w:rPr>
      </w:pPr>
      <w:r>
        <w:rPr>
          <w:rFonts w:ascii="黑体" w:eastAsia="黑体" w:hint="eastAsia"/>
        </w:rPr>
        <w:t>第一章</w:t>
        <w:tab/>
        <w:t>总则</w:t>
      </w:r>
    </w:p>
    <w:p>
      <w:pPr>
        <w:pStyle w:val="BodyText"/>
        <w:tabs>
          <w:tab w:pos="2292" w:val="left" w:leader="none"/>
        </w:tabs>
        <w:spacing w:line="271" w:lineRule="auto" w:before="163"/>
        <w:ind w:left="358" w:right="112" w:firstLine="638"/>
      </w:pPr>
      <w:r>
        <w:rPr>
          <w:rFonts w:ascii="Microsoft JhengHei" w:eastAsia="Microsoft JhengHei" w:hint="eastAsia"/>
          <w:b/>
          <w:spacing w:val="5"/>
        </w:rPr>
        <w:t>第一</w:t>
      </w:r>
      <w:r>
        <w:rPr>
          <w:rFonts w:ascii="Microsoft JhengHei" w:eastAsia="Microsoft JhengHei" w:hint="eastAsia"/>
          <w:b/>
        </w:rPr>
        <w:t>条</w:t>
        <w:tab/>
      </w:r>
      <w:r>
        <w:rPr/>
        <w:t>为</w:t>
      </w:r>
      <w:r>
        <w:rPr>
          <w:spacing w:val="5"/>
        </w:rPr>
        <w:t>了</w:t>
      </w:r>
      <w:r>
        <w:rPr/>
        <w:t>加</w:t>
      </w:r>
      <w:r>
        <w:rPr>
          <w:spacing w:val="5"/>
        </w:rPr>
        <w:t>强</w:t>
      </w:r>
      <w:r>
        <w:rPr/>
        <w:t>水电</w:t>
      </w:r>
      <w:r>
        <w:rPr>
          <w:spacing w:val="5"/>
        </w:rPr>
        <w:t>站</w:t>
      </w:r>
      <w:r>
        <w:rPr/>
        <w:t>大</w:t>
      </w:r>
      <w:r>
        <w:rPr>
          <w:spacing w:val="5"/>
        </w:rPr>
        <w:t>坝</w:t>
      </w:r>
      <w:r>
        <w:rPr/>
        <w:t>运</w:t>
      </w:r>
      <w:r>
        <w:rPr>
          <w:spacing w:val="5"/>
        </w:rPr>
        <w:t>行</w:t>
      </w:r>
      <w:r>
        <w:rPr/>
        <w:t>安全</w:t>
      </w:r>
      <w:r>
        <w:rPr>
          <w:spacing w:val="5"/>
        </w:rPr>
        <w:t>监</w:t>
      </w:r>
      <w:r>
        <w:rPr/>
        <w:t>督</w:t>
      </w:r>
      <w:r>
        <w:rPr>
          <w:spacing w:val="5"/>
        </w:rPr>
        <w:t>管</w:t>
      </w:r>
      <w:r>
        <w:rPr/>
        <w:t>理，</w:t>
      </w:r>
      <w:r>
        <w:rPr>
          <w:spacing w:val="5"/>
        </w:rPr>
        <w:t>规</w:t>
      </w:r>
      <w:r>
        <w:rPr/>
        <w:t>范</w:t>
      </w:r>
      <w:r>
        <w:rPr>
          <w:spacing w:val="5"/>
        </w:rPr>
        <w:t>水</w:t>
      </w:r>
      <w:r>
        <w:rPr/>
        <w:t>电站</w:t>
      </w:r>
      <w:r>
        <w:rPr>
          <w:w w:val="95"/>
        </w:rPr>
        <w:t>大坝工程隐患的排查治理工作</w:t>
      </w:r>
      <w:r>
        <w:rPr>
          <w:spacing w:val="-41"/>
          <w:w w:val="95"/>
        </w:rPr>
        <w:t>，</w:t>
      </w:r>
      <w:r>
        <w:rPr>
          <w:w w:val="95"/>
        </w:rPr>
        <w:t>根</w:t>
      </w:r>
      <w:r>
        <w:rPr>
          <w:spacing w:val="-43"/>
          <w:w w:val="95"/>
        </w:rPr>
        <w:t>据</w:t>
      </w:r>
      <w:r>
        <w:rPr>
          <w:w w:val="95"/>
        </w:rPr>
        <w:t>《中华人民共和国安全生产法》</w:t>
      </w:r>
    </w:p>
    <w:p>
      <w:pPr>
        <w:pStyle w:val="BodyText"/>
        <w:spacing w:line="326" w:lineRule="auto" w:before="98"/>
        <w:ind w:left="358" w:right="274"/>
      </w:pPr>
      <w:r>
        <w:rPr>
          <w:w w:val="95"/>
        </w:rPr>
        <w:t>《水库大坝安全管理条例</w:t>
      </w:r>
      <w:r>
        <w:rPr>
          <w:spacing w:val="-17"/>
          <w:w w:val="95"/>
        </w:rPr>
        <w:t>》《水电站大坝运行安全监督管理规定》等  </w:t>
      </w:r>
      <w:r>
        <w:rPr>
          <w:spacing w:val="-17"/>
        </w:rPr>
        <w:t>法律、法规和规章，制订本办法。</w:t>
      </w:r>
    </w:p>
    <w:p>
      <w:pPr>
        <w:pStyle w:val="BodyText"/>
        <w:tabs>
          <w:tab w:pos="1295" w:val="left" w:leader="none"/>
        </w:tabs>
        <w:spacing w:line="486" w:lineRule="exact"/>
        <w:ind w:left="0" w:right="275"/>
        <w:jc w:val="right"/>
      </w:pPr>
      <w:r>
        <w:rPr>
          <w:rFonts w:ascii="Microsoft JhengHei" w:eastAsia="Microsoft JhengHei" w:hint="eastAsia"/>
          <w:b/>
          <w:spacing w:val="5"/>
        </w:rPr>
        <w:t>第二</w:t>
      </w:r>
      <w:r>
        <w:rPr>
          <w:rFonts w:ascii="Microsoft JhengHei" w:eastAsia="Microsoft JhengHei" w:hint="eastAsia"/>
          <w:b/>
        </w:rPr>
        <w:t>条</w:t>
        <w:tab/>
      </w:r>
      <w:r>
        <w:rPr/>
        <w:t>本</w:t>
      </w:r>
      <w:r>
        <w:rPr>
          <w:spacing w:val="5"/>
        </w:rPr>
        <w:t>办</w:t>
      </w:r>
      <w:r>
        <w:rPr/>
        <w:t>法</w:t>
      </w:r>
      <w:r>
        <w:rPr>
          <w:spacing w:val="5"/>
        </w:rPr>
        <w:t>适</w:t>
      </w:r>
      <w:r>
        <w:rPr/>
        <w:t>用于</w:t>
      </w:r>
      <w:r>
        <w:rPr>
          <w:spacing w:val="5"/>
        </w:rPr>
        <w:t>按</w:t>
      </w:r>
      <w:r>
        <w:rPr/>
        <w:t>照</w:t>
      </w:r>
      <w:r>
        <w:rPr>
          <w:spacing w:val="5"/>
        </w:rPr>
        <w:t>《</w:t>
      </w:r>
      <w:r>
        <w:rPr/>
        <w:t>水</w:t>
      </w:r>
      <w:r>
        <w:rPr>
          <w:spacing w:val="5"/>
        </w:rPr>
        <w:t>电</w:t>
      </w:r>
      <w:r>
        <w:rPr/>
        <w:t>站大</w:t>
      </w:r>
      <w:r>
        <w:rPr>
          <w:spacing w:val="5"/>
        </w:rPr>
        <w:t>坝</w:t>
      </w:r>
      <w:r>
        <w:rPr/>
        <w:t>运</w:t>
      </w:r>
      <w:r>
        <w:rPr>
          <w:spacing w:val="5"/>
        </w:rPr>
        <w:t>行</w:t>
      </w:r>
      <w:r>
        <w:rPr/>
        <w:t>安全</w:t>
      </w:r>
      <w:r>
        <w:rPr>
          <w:spacing w:val="5"/>
        </w:rPr>
        <w:t>监</w:t>
      </w:r>
      <w:r>
        <w:rPr/>
        <w:t>督</w:t>
      </w:r>
      <w:r>
        <w:rPr>
          <w:spacing w:val="5"/>
        </w:rPr>
        <w:t>管</w:t>
      </w:r>
      <w:r>
        <w:rPr/>
        <w:t>理规</w:t>
      </w:r>
    </w:p>
    <w:p>
      <w:pPr>
        <w:pStyle w:val="BodyText"/>
        <w:tabs>
          <w:tab w:pos="2292" w:val="left" w:leader="none"/>
        </w:tabs>
        <w:spacing w:line="266" w:lineRule="auto" w:before="79"/>
        <w:ind w:left="996" w:right="186" w:hanging="639"/>
        <w:jc w:val="right"/>
      </w:pPr>
      <w:r>
        <w:rPr>
          <w:w w:val="95"/>
        </w:rPr>
        <w:t>定》纳入国家能源局监督管理范围的水电站大坝（以下简称大坝</w:t>
      </w:r>
      <w:r>
        <w:rPr>
          <w:spacing w:val="-159"/>
          <w:w w:val="95"/>
        </w:rPr>
        <w:t>）</w:t>
      </w:r>
      <w:r>
        <w:rPr>
          <w:w w:val="95"/>
        </w:rPr>
        <w:t>。 </w:t>
      </w:r>
      <w:r>
        <w:rPr>
          <w:rFonts w:ascii="Microsoft JhengHei" w:eastAsia="Microsoft JhengHei" w:hint="eastAsia"/>
          <w:b/>
          <w:spacing w:val="5"/>
        </w:rPr>
        <w:t>第三</w:t>
      </w:r>
      <w:r>
        <w:rPr>
          <w:rFonts w:ascii="Microsoft JhengHei" w:eastAsia="Microsoft JhengHei" w:hint="eastAsia"/>
          <w:b/>
        </w:rPr>
        <w:t>条</w:t>
        <w:tab/>
      </w:r>
      <w:r>
        <w:rPr/>
        <w:t>电</w:t>
      </w:r>
      <w:r>
        <w:rPr>
          <w:spacing w:val="5"/>
        </w:rPr>
        <w:t>力</w:t>
      </w:r>
      <w:r>
        <w:rPr/>
        <w:t>企</w:t>
      </w:r>
      <w:r>
        <w:rPr>
          <w:spacing w:val="5"/>
        </w:rPr>
        <w:t>业</w:t>
      </w:r>
      <w:r>
        <w:rPr/>
        <w:t>是大</w:t>
      </w:r>
      <w:r>
        <w:rPr>
          <w:spacing w:val="5"/>
        </w:rPr>
        <w:t>坝</w:t>
      </w:r>
      <w:r>
        <w:rPr/>
        <w:t>工</w:t>
      </w:r>
      <w:r>
        <w:rPr>
          <w:spacing w:val="5"/>
        </w:rPr>
        <w:t>程</w:t>
      </w:r>
      <w:r>
        <w:rPr/>
        <w:t>隐</w:t>
      </w:r>
      <w:r>
        <w:rPr>
          <w:spacing w:val="5"/>
        </w:rPr>
        <w:t>患</w:t>
      </w:r>
      <w:r>
        <w:rPr/>
        <w:t>排查</w:t>
      </w:r>
      <w:r>
        <w:rPr>
          <w:spacing w:val="5"/>
        </w:rPr>
        <w:t>治</w:t>
      </w:r>
      <w:r>
        <w:rPr/>
        <w:t>理</w:t>
      </w:r>
      <w:r>
        <w:rPr>
          <w:spacing w:val="5"/>
        </w:rPr>
        <w:t>的</w:t>
      </w:r>
      <w:r>
        <w:rPr/>
        <w:t>责任</w:t>
      </w:r>
      <w:r>
        <w:rPr>
          <w:spacing w:val="5"/>
        </w:rPr>
        <w:t>主</w:t>
      </w:r>
      <w:r>
        <w:rPr/>
        <w:t>体</w:t>
      </w:r>
      <w:r>
        <w:rPr>
          <w:spacing w:val="5"/>
        </w:rPr>
        <w:t>，</w:t>
      </w:r>
      <w:r>
        <w:rPr/>
        <w:t>其主</w:t>
      </w:r>
    </w:p>
    <w:p>
      <w:pPr>
        <w:pStyle w:val="BodyText"/>
        <w:spacing w:before="10"/>
        <w:ind w:left="358"/>
      </w:pPr>
      <w:r>
        <w:rPr/>
        <w:t>要负责人为大坝工程隐患排查治理的第一责任人。</w:t>
      </w:r>
    </w:p>
    <w:p>
      <w:pPr>
        <w:pStyle w:val="BodyText"/>
        <w:spacing w:line="326" w:lineRule="auto" w:before="152"/>
        <w:ind w:left="358" w:right="275" w:firstLine="638"/>
      </w:pPr>
      <w:r>
        <w:rPr/>
        <w:t>电力企业应当明确大坝工程隐患排查治理的目标和任务，制定隐患治理计划和治理方案，落实人、财、物、技术等资源保障。</w:t>
      </w:r>
    </w:p>
    <w:p>
      <w:pPr>
        <w:pStyle w:val="BodyText"/>
        <w:tabs>
          <w:tab w:pos="2292" w:val="left" w:leader="none"/>
        </w:tabs>
        <w:spacing w:line="486" w:lineRule="exact"/>
        <w:ind w:left="996"/>
      </w:pPr>
      <w:r>
        <w:rPr>
          <w:rFonts w:ascii="Microsoft JhengHei" w:eastAsia="Microsoft JhengHei" w:hint="eastAsia"/>
          <w:b/>
          <w:spacing w:val="5"/>
        </w:rPr>
        <w:t>第四</w:t>
      </w:r>
      <w:r>
        <w:rPr>
          <w:rFonts w:ascii="Microsoft JhengHei" w:eastAsia="Microsoft JhengHei" w:hint="eastAsia"/>
          <w:b/>
        </w:rPr>
        <w:t>条</w:t>
        <w:tab/>
      </w:r>
      <w:r>
        <w:rPr/>
        <w:t>国</w:t>
      </w:r>
      <w:r>
        <w:rPr>
          <w:spacing w:val="5"/>
        </w:rPr>
        <w:t>家</w:t>
      </w:r>
      <w:r>
        <w:rPr/>
        <w:t>能</w:t>
      </w:r>
      <w:r>
        <w:rPr>
          <w:spacing w:val="5"/>
        </w:rPr>
        <w:t>源</w:t>
      </w:r>
      <w:r>
        <w:rPr/>
        <w:t>局对</w:t>
      </w:r>
      <w:r>
        <w:rPr>
          <w:spacing w:val="5"/>
        </w:rPr>
        <w:t>大</w:t>
      </w:r>
      <w:r>
        <w:rPr/>
        <w:t>坝</w:t>
      </w:r>
      <w:r>
        <w:rPr>
          <w:spacing w:val="5"/>
        </w:rPr>
        <w:t>工</w:t>
      </w:r>
      <w:r>
        <w:rPr/>
        <w:t>程</w:t>
      </w:r>
      <w:r>
        <w:rPr>
          <w:spacing w:val="5"/>
        </w:rPr>
        <w:t>隐</w:t>
      </w:r>
      <w:r>
        <w:rPr/>
        <w:t>患治</w:t>
      </w:r>
      <w:r>
        <w:rPr>
          <w:spacing w:val="5"/>
        </w:rPr>
        <w:t>理</w:t>
      </w:r>
      <w:r>
        <w:rPr/>
        <w:t>实</w:t>
      </w:r>
      <w:r>
        <w:rPr>
          <w:spacing w:val="5"/>
        </w:rPr>
        <w:t>施</w:t>
      </w:r>
      <w:r>
        <w:rPr/>
        <w:t>综合</w:t>
      </w:r>
      <w:r>
        <w:rPr>
          <w:spacing w:val="5"/>
        </w:rPr>
        <w:t>监</w:t>
      </w:r>
      <w:r>
        <w:rPr/>
        <w:t>督</w:t>
      </w:r>
      <w:r>
        <w:rPr>
          <w:spacing w:val="5"/>
        </w:rPr>
        <w:t>管</w:t>
      </w:r>
      <w:r>
        <w:rPr/>
        <w:t>理。</w:t>
      </w:r>
    </w:p>
    <w:p>
      <w:pPr>
        <w:pStyle w:val="BodyText"/>
        <w:spacing w:line="328" w:lineRule="auto" w:before="79"/>
        <w:ind w:left="358" w:right="273"/>
        <w:jc w:val="both"/>
      </w:pPr>
      <w:r>
        <w:rPr/>
        <w:t>国家能源局派出机构（以下简称派出机构）对辖区内大坝工程隐患治理实施监督管理。承担水电站项目核准和电力运行管理的地方各级电力管理等有关部门（以下简称地方电力管理部门）依照国家法律法规和有关规定，对本行政区域内大坝工程隐患治理履行地方管理责任。国家能源局大坝安全监察中心（以下简称大坝中心）对大坝工程隐患治理提供技术监督和管理保障。</w:t>
      </w:r>
    </w:p>
    <w:p>
      <w:pPr>
        <w:pStyle w:val="BodyText"/>
        <w:spacing w:line="473" w:lineRule="exact"/>
        <w:ind w:left="996"/>
        <w:jc w:val="both"/>
      </w:pPr>
      <w:r>
        <w:rPr>
          <w:rFonts w:ascii="Microsoft JhengHei" w:eastAsia="Microsoft JhengHei" w:hint="eastAsia"/>
          <w:b/>
        </w:rPr>
        <w:t>第五条 </w:t>
      </w:r>
      <w:r>
        <w:rPr/>
        <w:t>大坝工程隐患按照其危害严重程度，分为特别重大、</w:t>
      </w:r>
    </w:p>
    <w:p>
      <w:pPr>
        <w:pStyle w:val="BodyText"/>
        <w:spacing w:before="76"/>
        <w:ind w:left="358"/>
      </w:pPr>
      <w:r>
        <w:rPr/>
        <w:t>重大、较大、一般等四级。</w:t>
      </w:r>
    </w:p>
    <w:p>
      <w:pPr>
        <w:pStyle w:val="BodyText"/>
        <w:spacing w:before="149"/>
        <w:ind w:left="996"/>
      </w:pPr>
      <w:r>
        <w:rPr/>
        <w:t>大坝较大以上（含较大，下同）工程隐患的治理应当进行专项</w:t>
      </w:r>
    </w:p>
    <w:p>
      <w:pPr>
        <w:spacing w:after="0"/>
        <w:sectPr>
          <w:footerReference w:type="default" r:id="rId21"/>
          <w:pgSz w:w="11910" w:h="16840"/>
          <w:pgMar w:footer="1039" w:header="0" w:top="1580" w:bottom="1220" w:left="1060" w:right="860"/>
          <w:pgNumType w:start="120"/>
        </w:sectPr>
      </w:pPr>
    </w:p>
    <w:p>
      <w:pPr>
        <w:pStyle w:val="BodyText"/>
        <w:ind w:left="0"/>
        <w:rPr>
          <w:sz w:val="20"/>
        </w:rPr>
      </w:pPr>
    </w:p>
    <w:p>
      <w:pPr>
        <w:pStyle w:val="BodyText"/>
        <w:spacing w:before="202"/>
        <w:ind w:left="358"/>
      </w:pPr>
      <w:r>
        <w:rPr/>
        <w:t>设计、专项审查、专项施工和专项验收。</w:t>
      </w:r>
    </w:p>
    <w:p>
      <w:pPr>
        <w:pStyle w:val="BodyText"/>
        <w:tabs>
          <w:tab w:pos="1364" w:val="left" w:leader="none"/>
        </w:tabs>
        <w:spacing w:before="270"/>
        <w:ind w:left="83"/>
        <w:jc w:val="center"/>
        <w:rPr>
          <w:rFonts w:ascii="黑体" w:eastAsia="黑体" w:hint="eastAsia"/>
        </w:rPr>
      </w:pPr>
      <w:r>
        <w:rPr>
          <w:rFonts w:ascii="黑体" w:eastAsia="黑体" w:hint="eastAsia"/>
        </w:rPr>
        <w:t>第二章</w:t>
        <w:tab/>
        <w:t>隐患确认</w:t>
      </w:r>
    </w:p>
    <w:p>
      <w:pPr>
        <w:pStyle w:val="BodyText"/>
        <w:tabs>
          <w:tab w:pos="2292" w:val="left" w:leader="none"/>
        </w:tabs>
        <w:spacing w:line="297" w:lineRule="auto" w:before="38"/>
        <w:ind w:left="358" w:right="273" w:firstLine="638"/>
      </w:pPr>
      <w:r>
        <w:rPr>
          <w:rFonts w:ascii="Microsoft JhengHei" w:eastAsia="Microsoft JhengHei" w:hint="eastAsia"/>
          <w:b/>
          <w:spacing w:val="5"/>
        </w:rPr>
        <w:t>第六</w:t>
      </w:r>
      <w:r>
        <w:rPr>
          <w:rFonts w:ascii="Microsoft JhengHei" w:eastAsia="Microsoft JhengHei" w:hint="eastAsia"/>
          <w:b/>
        </w:rPr>
        <w:t>条</w:t>
        <w:tab/>
      </w:r>
      <w:r>
        <w:rPr/>
        <w:t>大</w:t>
      </w:r>
      <w:r>
        <w:rPr>
          <w:spacing w:val="5"/>
        </w:rPr>
        <w:t>坝</w:t>
      </w:r>
      <w:r>
        <w:rPr/>
        <w:t>特</w:t>
      </w:r>
      <w:r>
        <w:rPr>
          <w:spacing w:val="5"/>
        </w:rPr>
        <w:t>别</w:t>
      </w:r>
      <w:r>
        <w:rPr/>
        <w:t>重大</w:t>
      </w:r>
      <w:r>
        <w:rPr>
          <w:spacing w:val="5"/>
        </w:rPr>
        <w:t>工</w:t>
      </w:r>
      <w:r>
        <w:rPr/>
        <w:t>程</w:t>
      </w:r>
      <w:r>
        <w:rPr>
          <w:spacing w:val="5"/>
        </w:rPr>
        <w:t>隐</w:t>
      </w:r>
      <w:r>
        <w:rPr/>
        <w:t>患</w:t>
      </w:r>
      <w:r>
        <w:rPr>
          <w:spacing w:val="5"/>
        </w:rPr>
        <w:t>，</w:t>
      </w:r>
      <w:r>
        <w:rPr/>
        <w:t>是指</w:t>
      </w:r>
      <w:r>
        <w:rPr>
          <w:spacing w:val="5"/>
        </w:rPr>
        <w:t>大</w:t>
      </w:r>
      <w:r>
        <w:rPr/>
        <w:t>坝</w:t>
      </w:r>
      <w:r>
        <w:rPr>
          <w:spacing w:val="5"/>
        </w:rPr>
        <w:t>存</w:t>
      </w:r>
      <w:r>
        <w:rPr/>
        <w:t>在以</w:t>
      </w:r>
      <w:r>
        <w:rPr>
          <w:spacing w:val="5"/>
        </w:rPr>
        <w:t>下</w:t>
      </w:r>
      <w:r>
        <w:rPr/>
        <w:t>一</w:t>
      </w:r>
      <w:r>
        <w:rPr>
          <w:spacing w:val="5"/>
        </w:rPr>
        <w:t>种</w:t>
      </w:r>
      <w:r>
        <w:rPr/>
        <w:t>或者多</w:t>
      </w:r>
      <w:r>
        <w:rPr>
          <w:spacing w:val="5"/>
        </w:rPr>
        <w:t>种</w:t>
      </w:r>
      <w:r>
        <w:rPr/>
        <w:t>工</w:t>
      </w:r>
      <w:r>
        <w:rPr>
          <w:spacing w:val="5"/>
        </w:rPr>
        <w:t>程</w:t>
      </w:r>
      <w:r>
        <w:rPr/>
        <w:t>问</w:t>
      </w:r>
      <w:r>
        <w:rPr>
          <w:spacing w:val="5"/>
        </w:rPr>
        <w:t>题</w:t>
      </w:r>
      <w:r>
        <w:rPr/>
        <w:t>、缺</w:t>
      </w:r>
      <w:r>
        <w:rPr>
          <w:spacing w:val="5"/>
        </w:rPr>
        <w:t>陷</w:t>
      </w:r>
      <w:r>
        <w:rPr/>
        <w:t>，</w:t>
      </w:r>
      <w:r>
        <w:rPr>
          <w:spacing w:val="5"/>
        </w:rPr>
        <w:t>并</w:t>
      </w:r>
      <w:r>
        <w:rPr/>
        <w:t>且</w:t>
      </w:r>
      <w:r>
        <w:rPr>
          <w:spacing w:val="5"/>
        </w:rPr>
        <w:t>经</w:t>
      </w:r>
      <w:r>
        <w:rPr/>
        <w:t>过</w:t>
      </w:r>
      <w:r>
        <w:rPr>
          <w:spacing w:val="5"/>
        </w:rPr>
        <w:t>分</w:t>
      </w:r>
      <w:r>
        <w:rPr/>
        <w:t>析论</w:t>
      </w:r>
      <w:r>
        <w:rPr>
          <w:spacing w:val="5"/>
        </w:rPr>
        <w:t>证</w:t>
      </w:r>
      <w:r>
        <w:rPr/>
        <w:t>，</w:t>
      </w:r>
      <w:r>
        <w:rPr>
          <w:spacing w:val="5"/>
        </w:rPr>
        <w:t>即</w:t>
      </w:r>
      <w:r>
        <w:rPr/>
        <w:t>使</w:t>
      </w:r>
      <w:r>
        <w:rPr>
          <w:spacing w:val="5"/>
        </w:rPr>
        <w:t>在</w:t>
      </w:r>
      <w:r>
        <w:rPr/>
        <w:t>采取</w:t>
      </w:r>
      <w:r>
        <w:rPr>
          <w:spacing w:val="5"/>
        </w:rPr>
        <w:t>控</w:t>
      </w:r>
      <w:r>
        <w:rPr/>
        <w:t>制</w:t>
      </w:r>
      <w:r>
        <w:rPr>
          <w:spacing w:val="5"/>
        </w:rPr>
        <w:t>水</w:t>
      </w:r>
      <w:r>
        <w:rPr/>
        <w:t>库运</w:t>
      </w:r>
    </w:p>
    <w:p>
      <w:pPr>
        <w:pStyle w:val="BodyText"/>
        <w:spacing w:line="364" w:lineRule="auto" w:before="114"/>
        <w:ind w:left="358" w:right="273"/>
      </w:pPr>
      <w:r>
        <w:rPr/>
        <w:t>行水位措施、尽最大可能降低水库水位的条件下，在设防标准内仍然可能导致溃坝或者漫坝的情形：</w:t>
      </w:r>
    </w:p>
    <w:p>
      <w:pPr>
        <w:pStyle w:val="BodyText"/>
        <w:spacing w:line="409" w:lineRule="exact"/>
        <w:ind w:left="996"/>
      </w:pPr>
      <w:r>
        <w:rPr/>
        <w:t>（一）防洪能力严重不足；</w:t>
      </w:r>
    </w:p>
    <w:p>
      <w:pPr>
        <w:pStyle w:val="BodyText"/>
        <w:spacing w:before="211"/>
        <w:ind w:left="996"/>
      </w:pPr>
      <w:r>
        <w:rPr/>
        <w:t>（二）大坝整体稳定性不足；</w:t>
      </w:r>
    </w:p>
    <w:p>
      <w:pPr>
        <w:pStyle w:val="BodyText"/>
        <w:spacing w:before="212"/>
        <w:ind w:left="996"/>
      </w:pPr>
      <w:r>
        <w:rPr/>
        <w:t>（三）存在影响大坝运行安全的坝体贯穿性裂缝；</w:t>
      </w:r>
    </w:p>
    <w:p>
      <w:pPr>
        <w:pStyle w:val="BodyText"/>
        <w:spacing w:before="214"/>
        <w:ind w:left="996"/>
      </w:pPr>
      <w:r>
        <w:rPr/>
        <w:t>（四）坝体、坝基、坝肩渗漏严重或者渗透稳定性不足；</w:t>
      </w:r>
    </w:p>
    <w:p>
      <w:pPr>
        <w:pStyle w:val="BodyText"/>
        <w:spacing w:before="211"/>
        <w:ind w:left="996"/>
      </w:pPr>
      <w:r>
        <w:rPr/>
        <w:t>（五）泄洪消能建筑物严重损坏或者严重淤堵；</w:t>
      </w:r>
    </w:p>
    <w:p>
      <w:pPr>
        <w:pStyle w:val="BodyText"/>
        <w:spacing w:before="212"/>
        <w:ind w:left="996"/>
      </w:pPr>
      <w:r>
        <w:rPr/>
        <w:t>（六）泄水闸门、启闭机无法安全运行；</w:t>
      </w:r>
    </w:p>
    <w:p>
      <w:pPr>
        <w:pStyle w:val="BodyText"/>
        <w:spacing w:before="214"/>
        <w:ind w:left="996"/>
      </w:pPr>
      <w:r>
        <w:rPr>
          <w:w w:val="95"/>
        </w:rPr>
        <w:t>（七）枢纽区存在影响大坝运行安全的严重地质灾害；</w:t>
      </w:r>
    </w:p>
    <w:p>
      <w:pPr>
        <w:pStyle w:val="BodyText"/>
        <w:spacing w:before="212"/>
        <w:ind w:left="996"/>
      </w:pPr>
      <w:r>
        <w:rPr>
          <w:w w:val="95"/>
        </w:rPr>
        <w:t>（八）严重影响大坝运行安全的其他工程问题、缺陷。</w:t>
      </w:r>
    </w:p>
    <w:p>
      <w:pPr>
        <w:pStyle w:val="BodyText"/>
        <w:spacing w:line="364" w:lineRule="auto" w:before="214"/>
        <w:ind w:left="358" w:right="273" w:firstLine="638"/>
        <w:jc w:val="both"/>
      </w:pPr>
      <w:r>
        <w:rPr/>
        <w:t>大坝重大工程隐患，是指大坝存在本条第一款规定的一种或者多种工程问题、缺陷，并且经过分析论证，在采取控制水库运行术位措施、尽最大可能降低水库水位的条件下，在设防标准内一般不会导致溃坝或者漫坝的情形。</w:t>
      </w:r>
    </w:p>
    <w:p>
      <w:pPr>
        <w:pStyle w:val="BodyText"/>
        <w:spacing w:line="364" w:lineRule="auto"/>
        <w:ind w:left="358" w:right="273" w:firstLine="638"/>
        <w:jc w:val="both"/>
      </w:pPr>
      <w:r>
        <w:rPr/>
        <w:t>大坝较大工程隐患，是指大坝存在本条第一款规定的一种或者多种工程问题、缺陷，并且经过分析论证，无需采取控制水库水位措施，在设防标准内一般不会导致溃坝或者漫坝的情形。</w:t>
      </w:r>
    </w:p>
    <w:p>
      <w:pPr>
        <w:spacing w:after="0" w:line="364" w:lineRule="auto"/>
        <w:jc w:val="both"/>
        <w:sectPr>
          <w:pgSz w:w="11910" w:h="16840"/>
          <w:pgMar w:header="0" w:footer="1039" w:top="1580" w:bottom="1300" w:left="1060" w:right="860"/>
        </w:sectPr>
      </w:pPr>
    </w:p>
    <w:p>
      <w:pPr>
        <w:pStyle w:val="BodyText"/>
        <w:spacing w:before="8"/>
        <w:ind w:left="0"/>
        <w:rPr>
          <w:sz w:val="21"/>
        </w:rPr>
      </w:pPr>
    </w:p>
    <w:p>
      <w:pPr>
        <w:pStyle w:val="BodyText"/>
        <w:spacing w:line="364" w:lineRule="auto" w:before="54"/>
        <w:ind w:left="358" w:right="273" w:firstLine="638"/>
        <w:jc w:val="both"/>
      </w:pPr>
      <w:r>
        <w:rPr/>
        <w:t>大坝一般工程隐患，是指大坝存在工程问题、缺陷，已经或者可能影响大坝运行安全，但其危害尚未达到较大工程隐患严重程度的情形。</w:t>
      </w:r>
    </w:p>
    <w:p>
      <w:pPr>
        <w:pStyle w:val="BodyText"/>
        <w:spacing w:line="480" w:lineRule="exact"/>
        <w:ind w:left="996"/>
        <w:jc w:val="both"/>
      </w:pPr>
      <w:r>
        <w:rPr>
          <w:rFonts w:ascii="Microsoft JhengHei" w:eastAsia="Microsoft JhengHei" w:hint="eastAsia"/>
          <w:b/>
        </w:rPr>
        <w:t>第七条 </w:t>
      </w:r>
      <w:r>
        <w:rPr/>
        <w:t>大坝工程隐患，可由电力企业自查确认，也可由派出</w:t>
      </w:r>
    </w:p>
    <w:p>
      <w:pPr>
        <w:pStyle w:val="BodyText"/>
        <w:spacing w:line="364" w:lineRule="auto" w:before="142"/>
        <w:ind w:left="358" w:right="273"/>
        <w:jc w:val="both"/>
      </w:pPr>
      <w:r>
        <w:rPr/>
        <w:t>机构、地方电力管理部门、大坝中心在日常监督管理或者大坝安全定期检查、特种检查等工作中确认。确认标准按照本办法第六条以及电力安全隐患监督管理相关规定执行。</w:t>
      </w:r>
    </w:p>
    <w:p>
      <w:pPr>
        <w:pStyle w:val="BodyText"/>
        <w:spacing w:line="480" w:lineRule="exact"/>
        <w:ind w:left="996"/>
        <w:jc w:val="both"/>
      </w:pPr>
      <w:r>
        <w:rPr>
          <w:rFonts w:ascii="Microsoft JhengHei" w:eastAsia="Microsoft JhengHei" w:hint="eastAsia"/>
          <w:b/>
        </w:rPr>
        <w:t>第八条 </w:t>
      </w:r>
      <w:r>
        <w:rPr/>
        <w:t>大坝工程隐患确认时间，是指电力企业自查确认的时</w:t>
      </w:r>
    </w:p>
    <w:p>
      <w:pPr>
        <w:pStyle w:val="BodyText"/>
        <w:spacing w:line="364" w:lineRule="auto" w:before="138"/>
        <w:ind w:left="358" w:right="273"/>
        <w:jc w:val="both"/>
      </w:pPr>
      <w:r>
        <w:rPr/>
        <w:t>间；派出机构、地方电力管理部门在监督管理过程中提出明确意见的时间；大坝中心印发大坝安全定期检查、特种检查审查意见的时间，以及提出大坝其他工程隐患督查意见的时间。</w:t>
      </w:r>
    </w:p>
    <w:p>
      <w:pPr>
        <w:pStyle w:val="BodyText"/>
        <w:spacing w:line="480" w:lineRule="exact"/>
        <w:ind w:left="996"/>
        <w:jc w:val="both"/>
      </w:pPr>
      <w:r>
        <w:rPr>
          <w:rFonts w:ascii="Microsoft JhengHei" w:eastAsia="Microsoft JhengHei" w:hint="eastAsia"/>
          <w:b/>
        </w:rPr>
        <w:t>第九条 </w:t>
      </w:r>
      <w:r>
        <w:rPr/>
        <w:t>电力企业对自查确认的大坝较大以上工程隐患，应当</w:t>
      </w:r>
    </w:p>
    <w:p>
      <w:pPr>
        <w:pStyle w:val="BodyText"/>
        <w:spacing w:line="364" w:lineRule="auto" w:before="142"/>
        <w:ind w:left="358" w:right="273"/>
        <w:jc w:val="both"/>
      </w:pPr>
      <w:r>
        <w:rPr/>
        <w:t>立即书面报告派出机构、地方电力管理部门以及大坝中心。派出机构、地方电力管理部门以及大坝中心对各自确认的大坝较大以上工程隐患，除了应当及时通知电力企业之外，还应当同时相互抄送告知。</w:t>
      </w:r>
    </w:p>
    <w:p>
      <w:pPr>
        <w:pStyle w:val="BodyText"/>
        <w:spacing w:line="364" w:lineRule="auto"/>
        <w:ind w:left="358" w:right="275" w:firstLine="638"/>
      </w:pPr>
      <w:r>
        <w:rPr/>
        <w:t>大坝较大以上工程隐患涉及防汛、环保、航运等事项的，隐患确认单位还应当同时告知地方政府相关主管部门。</w:t>
      </w:r>
    </w:p>
    <w:p>
      <w:pPr>
        <w:pStyle w:val="BodyText"/>
        <w:tabs>
          <w:tab w:pos="1364" w:val="left" w:leader="none"/>
        </w:tabs>
        <w:spacing w:before="242"/>
        <w:ind w:left="83"/>
        <w:jc w:val="center"/>
        <w:rPr>
          <w:rFonts w:ascii="黑体" w:eastAsia="黑体" w:hint="eastAsia"/>
        </w:rPr>
      </w:pPr>
      <w:r>
        <w:rPr>
          <w:rFonts w:ascii="黑体" w:eastAsia="黑体" w:hint="eastAsia"/>
        </w:rPr>
        <w:t>第三章</w:t>
        <w:tab/>
        <w:t>隐患治理</w:t>
      </w:r>
    </w:p>
    <w:p>
      <w:pPr>
        <w:pStyle w:val="BodyText"/>
        <w:tabs>
          <w:tab w:pos="2292" w:val="left" w:leader="none"/>
        </w:tabs>
        <w:spacing w:line="297" w:lineRule="auto" w:before="39"/>
        <w:ind w:left="358" w:right="273" w:firstLine="638"/>
      </w:pPr>
      <w:r>
        <w:rPr>
          <w:rFonts w:ascii="Microsoft JhengHei" w:eastAsia="Microsoft JhengHei" w:hint="eastAsia"/>
          <w:b/>
          <w:spacing w:val="5"/>
        </w:rPr>
        <w:t>第十</w:t>
      </w:r>
      <w:r>
        <w:rPr>
          <w:rFonts w:ascii="Microsoft JhengHei" w:eastAsia="Microsoft JhengHei" w:hint="eastAsia"/>
          <w:b/>
        </w:rPr>
        <w:t>条</w:t>
        <w:tab/>
      </w:r>
      <w:r>
        <w:rPr/>
        <w:t>大</w:t>
      </w:r>
      <w:r>
        <w:rPr>
          <w:spacing w:val="5"/>
        </w:rPr>
        <w:t>坝</w:t>
      </w:r>
      <w:r>
        <w:rPr/>
        <w:t>工</w:t>
      </w:r>
      <w:r>
        <w:rPr>
          <w:spacing w:val="5"/>
        </w:rPr>
        <w:t>程</w:t>
      </w:r>
      <w:r>
        <w:rPr/>
        <w:t>隐患</w:t>
      </w:r>
      <w:r>
        <w:rPr>
          <w:spacing w:val="5"/>
        </w:rPr>
        <w:t>确</w:t>
      </w:r>
      <w:r>
        <w:rPr/>
        <w:t>认</w:t>
      </w:r>
      <w:r>
        <w:rPr>
          <w:spacing w:val="5"/>
        </w:rPr>
        <w:t>之</w:t>
      </w:r>
      <w:r>
        <w:rPr/>
        <w:t>日</w:t>
      </w:r>
      <w:r>
        <w:rPr>
          <w:spacing w:val="5"/>
        </w:rPr>
        <w:t>起</w:t>
      </w:r>
      <w:r>
        <w:rPr/>
        <w:t>的两</w:t>
      </w:r>
      <w:r>
        <w:rPr>
          <w:spacing w:val="5"/>
        </w:rPr>
        <w:t>个</w:t>
      </w:r>
      <w:r>
        <w:rPr/>
        <w:t>月</w:t>
      </w:r>
      <w:r>
        <w:rPr>
          <w:spacing w:val="5"/>
        </w:rPr>
        <w:t>内</w:t>
      </w:r>
      <w:r>
        <w:rPr/>
        <w:t>，电</w:t>
      </w:r>
      <w:r>
        <w:rPr>
          <w:spacing w:val="5"/>
        </w:rPr>
        <w:t>力</w:t>
      </w:r>
      <w:r>
        <w:rPr/>
        <w:t>企</w:t>
      </w:r>
      <w:r>
        <w:rPr>
          <w:spacing w:val="5"/>
        </w:rPr>
        <w:t>业</w:t>
      </w:r>
      <w:r>
        <w:rPr/>
        <w:t>应当将</w:t>
      </w:r>
      <w:r>
        <w:rPr>
          <w:spacing w:val="5"/>
        </w:rPr>
        <w:t>隐</w:t>
      </w:r>
      <w:r>
        <w:rPr/>
        <w:t>患</w:t>
      </w:r>
      <w:r>
        <w:rPr>
          <w:spacing w:val="5"/>
        </w:rPr>
        <w:t>治</w:t>
      </w:r>
      <w:r>
        <w:rPr/>
        <w:t>理</w:t>
      </w:r>
      <w:r>
        <w:rPr>
          <w:spacing w:val="5"/>
        </w:rPr>
        <w:t>计</w:t>
      </w:r>
      <w:r>
        <w:rPr/>
        <w:t>划报</w:t>
      </w:r>
      <w:r>
        <w:rPr>
          <w:spacing w:val="5"/>
        </w:rPr>
        <w:t>送</w:t>
      </w:r>
      <w:r>
        <w:rPr/>
        <w:t>大</w:t>
      </w:r>
      <w:r>
        <w:rPr>
          <w:spacing w:val="5"/>
        </w:rPr>
        <w:t>坝</w:t>
      </w:r>
      <w:r>
        <w:rPr/>
        <w:t>中</w:t>
      </w:r>
      <w:r>
        <w:rPr>
          <w:spacing w:val="5"/>
        </w:rPr>
        <w:t>心</w:t>
      </w:r>
      <w:r>
        <w:rPr/>
        <w:t>；</w:t>
      </w:r>
      <w:r>
        <w:rPr>
          <w:spacing w:val="5"/>
        </w:rPr>
        <w:t>对</w:t>
      </w:r>
      <w:r>
        <w:rPr/>
        <w:t>于较</w:t>
      </w:r>
      <w:r>
        <w:rPr>
          <w:spacing w:val="5"/>
        </w:rPr>
        <w:t>大</w:t>
      </w:r>
      <w:r>
        <w:rPr/>
        <w:t>以</w:t>
      </w:r>
      <w:r>
        <w:rPr>
          <w:spacing w:val="5"/>
        </w:rPr>
        <w:t>上</w:t>
      </w:r>
      <w:r>
        <w:rPr/>
        <w:t>的</w:t>
      </w:r>
      <w:r>
        <w:rPr>
          <w:spacing w:val="5"/>
        </w:rPr>
        <w:t>工</w:t>
      </w:r>
      <w:r>
        <w:rPr/>
        <w:t>程隐</w:t>
      </w:r>
      <w:r>
        <w:rPr>
          <w:spacing w:val="5"/>
        </w:rPr>
        <w:t>患</w:t>
      </w:r>
      <w:r>
        <w:rPr/>
        <w:t>，</w:t>
      </w:r>
      <w:r>
        <w:rPr>
          <w:spacing w:val="5"/>
        </w:rPr>
        <w:t>电</w:t>
      </w:r>
      <w:r>
        <w:rPr/>
        <w:t>力企</w:t>
      </w:r>
    </w:p>
    <w:p>
      <w:pPr>
        <w:spacing w:after="0" w:line="297" w:lineRule="auto"/>
        <w:sectPr>
          <w:pgSz w:w="11910" w:h="16840"/>
          <w:pgMar w:header="0" w:footer="1039" w:top="1580" w:bottom="1300" w:left="1060" w:right="860"/>
        </w:sectPr>
      </w:pPr>
    </w:p>
    <w:p>
      <w:pPr>
        <w:pStyle w:val="BodyText"/>
        <w:spacing w:before="8"/>
        <w:ind w:left="0"/>
        <w:rPr>
          <w:sz w:val="21"/>
        </w:rPr>
      </w:pPr>
    </w:p>
    <w:p>
      <w:pPr>
        <w:pStyle w:val="BodyText"/>
        <w:spacing w:before="54"/>
        <w:ind w:left="358"/>
      </w:pPr>
      <w:r>
        <w:rPr/>
        <w:t>业还应当将治理计划报送派出机构和地方电力管理部门。</w:t>
      </w:r>
    </w:p>
    <w:p>
      <w:pPr>
        <w:pStyle w:val="BodyText"/>
        <w:tabs>
          <w:tab w:pos="2616" w:val="left" w:leader="none"/>
        </w:tabs>
        <w:spacing w:line="297" w:lineRule="auto" w:before="109"/>
        <w:ind w:left="358" w:right="112" w:firstLine="638"/>
      </w:pPr>
      <w:r>
        <w:rPr>
          <w:rFonts w:ascii="Microsoft JhengHei" w:eastAsia="Microsoft JhengHei" w:hint="eastAsia"/>
          <w:b/>
          <w:spacing w:val="5"/>
        </w:rPr>
        <w:t>第十一</w:t>
      </w:r>
      <w:r>
        <w:rPr>
          <w:rFonts w:ascii="Microsoft JhengHei" w:eastAsia="Microsoft JhengHei" w:hint="eastAsia"/>
          <w:b/>
        </w:rPr>
        <w:t>条</w:t>
        <w:tab/>
      </w:r>
      <w:r>
        <w:rPr/>
        <w:t>电</w:t>
      </w:r>
      <w:r>
        <w:rPr>
          <w:spacing w:val="5"/>
        </w:rPr>
        <w:t>力</w:t>
      </w:r>
      <w:r>
        <w:rPr/>
        <w:t>企</w:t>
      </w:r>
      <w:r>
        <w:rPr>
          <w:spacing w:val="5"/>
        </w:rPr>
        <w:t>业</w:t>
      </w:r>
      <w:r>
        <w:rPr/>
        <w:t>应当</w:t>
      </w:r>
      <w:r>
        <w:rPr>
          <w:spacing w:val="5"/>
        </w:rPr>
        <w:t>委</w:t>
      </w:r>
      <w:r>
        <w:rPr/>
        <w:t>托</w:t>
      </w:r>
      <w:r>
        <w:rPr>
          <w:spacing w:val="5"/>
        </w:rPr>
        <w:t>大</w:t>
      </w:r>
      <w:r>
        <w:rPr/>
        <w:t>坝原</w:t>
      </w:r>
      <w:r>
        <w:rPr>
          <w:spacing w:val="5"/>
        </w:rPr>
        <w:t>设</w:t>
      </w:r>
      <w:r>
        <w:rPr/>
        <w:t>计</w:t>
      </w:r>
      <w:r>
        <w:rPr>
          <w:spacing w:val="5"/>
        </w:rPr>
        <w:t>单</w:t>
      </w:r>
      <w:r>
        <w:rPr/>
        <w:t>位或</w:t>
      </w:r>
      <w:r>
        <w:rPr>
          <w:spacing w:val="5"/>
        </w:rPr>
        <w:t>者</w:t>
      </w:r>
      <w:r>
        <w:rPr/>
        <w:t>具</w:t>
      </w:r>
      <w:r>
        <w:rPr>
          <w:spacing w:val="5"/>
        </w:rPr>
        <w:t>有</w:t>
      </w:r>
      <w:r>
        <w:rPr/>
        <w:t>相应资质的设计单位</w:t>
      </w:r>
      <w:r>
        <w:rPr>
          <w:spacing w:val="-87"/>
        </w:rPr>
        <w:t>，</w:t>
      </w:r>
      <w:r>
        <w:rPr/>
        <w:t>对大坝较大以上工程隐患的治理方案进行专项设计。</w:t>
      </w:r>
    </w:p>
    <w:p>
      <w:pPr>
        <w:pStyle w:val="BodyText"/>
        <w:tabs>
          <w:tab w:pos="2616" w:val="left" w:leader="none"/>
        </w:tabs>
        <w:spacing w:before="5"/>
        <w:ind w:left="358" w:firstLine="638"/>
      </w:pPr>
      <w:r>
        <w:rPr>
          <w:rFonts w:ascii="Microsoft JhengHei" w:eastAsia="Microsoft JhengHei" w:hint="eastAsia"/>
          <w:b/>
          <w:spacing w:val="5"/>
        </w:rPr>
        <w:t>第十二</w:t>
      </w:r>
      <w:r>
        <w:rPr>
          <w:rFonts w:ascii="Microsoft JhengHei" w:eastAsia="Microsoft JhengHei" w:hint="eastAsia"/>
          <w:b/>
        </w:rPr>
        <w:t>条</w:t>
        <w:tab/>
      </w:r>
      <w:r>
        <w:rPr/>
        <w:t>电</w:t>
      </w:r>
      <w:r>
        <w:rPr>
          <w:spacing w:val="5"/>
        </w:rPr>
        <w:t>力</w:t>
      </w:r>
      <w:r>
        <w:rPr/>
        <w:t>企</w:t>
      </w:r>
      <w:r>
        <w:rPr>
          <w:spacing w:val="5"/>
        </w:rPr>
        <w:t>业</w:t>
      </w:r>
      <w:r>
        <w:rPr/>
        <w:t>应当</w:t>
      </w:r>
      <w:r>
        <w:rPr>
          <w:spacing w:val="5"/>
        </w:rPr>
        <w:t>委</w:t>
      </w:r>
      <w:r>
        <w:rPr/>
        <w:t>托</w:t>
      </w:r>
      <w:r>
        <w:rPr>
          <w:spacing w:val="5"/>
        </w:rPr>
        <w:t>大</w:t>
      </w:r>
      <w:r>
        <w:rPr/>
        <w:t>坝设</w:t>
      </w:r>
      <w:r>
        <w:rPr>
          <w:spacing w:val="5"/>
        </w:rPr>
        <w:t>计</w:t>
      </w:r>
      <w:r>
        <w:rPr/>
        <w:t>方</w:t>
      </w:r>
      <w:r>
        <w:rPr>
          <w:spacing w:val="5"/>
        </w:rPr>
        <w:t>案</w:t>
      </w:r>
      <w:r>
        <w:rPr/>
        <w:t>的原</w:t>
      </w:r>
      <w:r>
        <w:rPr>
          <w:spacing w:val="5"/>
        </w:rPr>
        <w:t>审</w:t>
      </w:r>
      <w:r>
        <w:rPr/>
        <w:t>查</w:t>
      </w:r>
      <w:r>
        <w:rPr>
          <w:spacing w:val="5"/>
        </w:rPr>
        <w:t>单</w:t>
      </w:r>
      <w:r>
        <w:rPr/>
        <w:t>位或者</w:t>
      </w:r>
    </w:p>
    <w:p>
      <w:pPr>
        <w:pStyle w:val="BodyText"/>
        <w:spacing w:line="364" w:lineRule="auto" w:before="141"/>
        <w:ind w:left="358" w:right="273"/>
      </w:pPr>
      <w:r>
        <w:rPr/>
        <w:t>具有相应资质的审查单位，对大坝较大以上工程隐患的治理方案进行专项审查。</w:t>
      </w:r>
    </w:p>
    <w:p>
      <w:pPr>
        <w:pStyle w:val="BodyText"/>
        <w:spacing w:line="482" w:lineRule="exact"/>
        <w:ind w:left="996"/>
        <w:jc w:val="both"/>
      </w:pPr>
      <w:r>
        <w:rPr>
          <w:rFonts w:ascii="Microsoft JhengHei" w:eastAsia="Microsoft JhengHei" w:hint="eastAsia"/>
          <w:b/>
        </w:rPr>
        <w:t>第十三条 </w:t>
      </w:r>
      <w:r>
        <w:rPr/>
        <w:t>大坝较大以上工程隐患治理方案专项审查通过后的</w:t>
      </w:r>
    </w:p>
    <w:p>
      <w:pPr>
        <w:pStyle w:val="BodyText"/>
        <w:spacing w:line="364" w:lineRule="auto" w:before="139"/>
        <w:ind w:left="358" w:right="273"/>
        <w:jc w:val="both"/>
      </w:pPr>
      <w:r>
        <w:rPr/>
        <w:t>一个月内，电力企业应当将通过审查或者按照审查意见修改后的治理方案报请大坝中心开展安全性评审。通过安全性评审后，电力企业应当将治理方案报送派出机构和地方电力管理部门。</w:t>
      </w:r>
    </w:p>
    <w:p>
      <w:pPr>
        <w:pStyle w:val="BodyText"/>
        <w:spacing w:line="480" w:lineRule="exact"/>
        <w:ind w:left="996"/>
        <w:jc w:val="both"/>
      </w:pPr>
      <w:r>
        <w:rPr>
          <w:rFonts w:ascii="Microsoft JhengHei" w:eastAsia="Microsoft JhengHei" w:hint="eastAsia"/>
          <w:b/>
        </w:rPr>
        <w:t>第十四条 </w:t>
      </w:r>
      <w:r>
        <w:rPr/>
        <w:t>大坝较大以上工程隐患的治理方案涉及大坝原设计</w:t>
      </w:r>
    </w:p>
    <w:p>
      <w:pPr>
        <w:pStyle w:val="BodyText"/>
        <w:spacing w:line="364" w:lineRule="auto" w:before="139"/>
        <w:ind w:left="358" w:right="274"/>
      </w:pPr>
      <w:r>
        <w:rPr>
          <w:spacing w:val="-15"/>
          <w:w w:val="95"/>
        </w:rPr>
        <w:t>功能改变或者调整的部分，电力企业应当依法依规报请项目核准</w:t>
      </w:r>
      <w:r>
        <w:rPr>
          <w:w w:val="95"/>
        </w:rPr>
        <w:t>（审  </w:t>
      </w:r>
      <w:r>
        <w:rPr/>
        <w:t>批）部门批准。</w:t>
      </w:r>
    </w:p>
    <w:p>
      <w:pPr>
        <w:pStyle w:val="BodyText"/>
        <w:tabs>
          <w:tab w:pos="2616" w:val="left" w:leader="none"/>
        </w:tabs>
        <w:spacing w:line="482" w:lineRule="exact"/>
        <w:ind w:left="996"/>
      </w:pPr>
      <w:r>
        <w:rPr>
          <w:rFonts w:ascii="Microsoft JhengHei" w:eastAsia="Microsoft JhengHei" w:hint="eastAsia"/>
          <w:b/>
          <w:spacing w:val="5"/>
        </w:rPr>
        <w:t>第十五</w:t>
      </w:r>
      <w:r>
        <w:rPr>
          <w:rFonts w:ascii="Microsoft JhengHei" w:eastAsia="Microsoft JhengHei" w:hint="eastAsia"/>
          <w:b/>
        </w:rPr>
        <w:t>条</w:t>
        <w:tab/>
      </w:r>
      <w:r>
        <w:rPr/>
        <w:t>大</w:t>
      </w:r>
      <w:r>
        <w:rPr>
          <w:spacing w:val="5"/>
        </w:rPr>
        <w:t>坝</w:t>
      </w:r>
      <w:r>
        <w:rPr/>
        <w:t>较</w:t>
      </w:r>
      <w:r>
        <w:rPr>
          <w:spacing w:val="5"/>
        </w:rPr>
        <w:t>大</w:t>
      </w:r>
      <w:r>
        <w:rPr/>
        <w:t>以上</w:t>
      </w:r>
      <w:r>
        <w:rPr>
          <w:spacing w:val="5"/>
        </w:rPr>
        <w:t>工</w:t>
      </w:r>
      <w:r>
        <w:rPr/>
        <w:t>程</w:t>
      </w:r>
      <w:r>
        <w:rPr>
          <w:spacing w:val="5"/>
        </w:rPr>
        <w:t>隐</w:t>
      </w:r>
      <w:r>
        <w:rPr/>
        <w:t>患的</w:t>
      </w:r>
      <w:r>
        <w:rPr>
          <w:spacing w:val="5"/>
        </w:rPr>
        <w:t>治</w:t>
      </w:r>
      <w:r>
        <w:rPr/>
        <w:t>理</w:t>
      </w:r>
      <w:r>
        <w:rPr>
          <w:spacing w:val="5"/>
        </w:rPr>
        <w:t>，</w:t>
      </w:r>
      <w:r>
        <w:rPr/>
        <w:t>应当</w:t>
      </w:r>
      <w:r>
        <w:rPr>
          <w:spacing w:val="5"/>
        </w:rPr>
        <w:t>由</w:t>
      </w:r>
      <w:r>
        <w:rPr/>
        <w:t>电</w:t>
      </w:r>
      <w:r>
        <w:rPr>
          <w:spacing w:val="5"/>
        </w:rPr>
        <w:t>力</w:t>
      </w:r>
      <w:r>
        <w:rPr/>
        <w:t>企业委</w:t>
      </w:r>
    </w:p>
    <w:p>
      <w:pPr>
        <w:pStyle w:val="BodyText"/>
        <w:spacing w:before="141"/>
        <w:ind w:left="358"/>
      </w:pPr>
      <w:r>
        <w:rPr/>
        <w:t>托具有相应资质的制造、安装、施工、维修和监理单位实施。</w:t>
      </w:r>
    </w:p>
    <w:p>
      <w:pPr>
        <w:pStyle w:val="BodyText"/>
        <w:tabs>
          <w:tab w:pos="2616" w:val="left" w:leader="none"/>
        </w:tabs>
        <w:spacing w:line="297" w:lineRule="auto" w:before="106"/>
        <w:ind w:left="358" w:right="273" w:firstLine="638"/>
      </w:pPr>
      <w:r>
        <w:rPr>
          <w:rFonts w:ascii="Microsoft JhengHei" w:eastAsia="Microsoft JhengHei" w:hint="eastAsia"/>
          <w:b/>
          <w:spacing w:val="5"/>
        </w:rPr>
        <w:t>第十六</w:t>
      </w:r>
      <w:r>
        <w:rPr>
          <w:rFonts w:ascii="Microsoft JhengHei" w:eastAsia="Microsoft JhengHei" w:hint="eastAsia"/>
          <w:b/>
        </w:rPr>
        <w:t>条</w:t>
        <w:tab/>
      </w:r>
      <w:r>
        <w:rPr/>
        <w:t>电</w:t>
      </w:r>
      <w:r>
        <w:rPr>
          <w:spacing w:val="5"/>
        </w:rPr>
        <w:t>力</w:t>
      </w:r>
      <w:r>
        <w:rPr/>
        <w:t>企</w:t>
      </w:r>
      <w:r>
        <w:rPr>
          <w:spacing w:val="5"/>
        </w:rPr>
        <w:t>业</w:t>
      </w:r>
      <w:r>
        <w:rPr/>
        <w:t>应当</w:t>
      </w:r>
      <w:r>
        <w:rPr>
          <w:spacing w:val="5"/>
        </w:rPr>
        <w:t>严</w:t>
      </w:r>
      <w:r>
        <w:rPr/>
        <w:t>格</w:t>
      </w:r>
      <w:r>
        <w:rPr>
          <w:spacing w:val="5"/>
        </w:rPr>
        <w:t>按</w:t>
      </w:r>
      <w:r>
        <w:rPr/>
        <w:t>照大</w:t>
      </w:r>
      <w:r>
        <w:rPr>
          <w:spacing w:val="5"/>
        </w:rPr>
        <w:t>坝</w:t>
      </w:r>
      <w:r>
        <w:rPr/>
        <w:t>工</w:t>
      </w:r>
      <w:r>
        <w:rPr>
          <w:spacing w:val="5"/>
        </w:rPr>
        <w:t>程</w:t>
      </w:r>
      <w:r>
        <w:rPr/>
        <w:t>隐患</w:t>
      </w:r>
      <w:r>
        <w:rPr>
          <w:spacing w:val="5"/>
        </w:rPr>
        <w:t>治</w:t>
      </w:r>
      <w:r>
        <w:rPr/>
        <w:t>理</w:t>
      </w:r>
      <w:r>
        <w:rPr>
          <w:spacing w:val="5"/>
        </w:rPr>
        <w:t>计</w:t>
      </w:r>
      <w:r>
        <w:rPr/>
        <w:t>划和治理</w:t>
      </w:r>
      <w:r>
        <w:rPr>
          <w:spacing w:val="5"/>
        </w:rPr>
        <w:t>方</w:t>
      </w:r>
      <w:r>
        <w:rPr/>
        <w:t>案</w:t>
      </w:r>
      <w:r>
        <w:rPr>
          <w:spacing w:val="5"/>
        </w:rPr>
        <w:t>明</w:t>
      </w:r>
      <w:r>
        <w:rPr/>
        <w:t>确</w:t>
      </w:r>
      <w:r>
        <w:rPr>
          <w:spacing w:val="5"/>
        </w:rPr>
        <w:t>的</w:t>
      </w:r>
      <w:r>
        <w:rPr/>
        <w:t>时限</w:t>
      </w:r>
      <w:r>
        <w:rPr>
          <w:spacing w:val="5"/>
        </w:rPr>
        <w:t>、</w:t>
      </w:r>
      <w:r>
        <w:rPr/>
        <w:t>质</w:t>
      </w:r>
      <w:r>
        <w:rPr>
          <w:spacing w:val="5"/>
        </w:rPr>
        <w:t>量</w:t>
      </w:r>
      <w:r>
        <w:rPr/>
        <w:t>等</w:t>
      </w:r>
      <w:r>
        <w:rPr>
          <w:spacing w:val="5"/>
        </w:rPr>
        <w:t>要</w:t>
      </w:r>
      <w:r>
        <w:rPr/>
        <w:t>求</w:t>
      </w:r>
      <w:r>
        <w:rPr>
          <w:spacing w:val="5"/>
        </w:rPr>
        <w:t>开</w:t>
      </w:r>
      <w:r>
        <w:rPr/>
        <w:t>展治</w:t>
      </w:r>
      <w:r>
        <w:rPr>
          <w:spacing w:val="5"/>
        </w:rPr>
        <w:t>理</w:t>
      </w:r>
      <w:r>
        <w:rPr/>
        <w:t>工</w:t>
      </w:r>
      <w:r>
        <w:rPr>
          <w:spacing w:val="5"/>
        </w:rPr>
        <w:t>作</w:t>
      </w:r>
      <w:r>
        <w:rPr/>
        <w:t>，</w:t>
      </w:r>
      <w:r>
        <w:rPr>
          <w:spacing w:val="5"/>
        </w:rPr>
        <w:t>并</w:t>
      </w:r>
      <w:r>
        <w:rPr/>
        <w:t>定期</w:t>
      </w:r>
      <w:r>
        <w:rPr>
          <w:spacing w:val="5"/>
        </w:rPr>
        <w:t>将</w:t>
      </w:r>
      <w:r>
        <w:rPr/>
        <w:t>进</w:t>
      </w:r>
      <w:r>
        <w:rPr>
          <w:spacing w:val="5"/>
        </w:rPr>
        <w:t>展</w:t>
      </w:r>
      <w:r>
        <w:rPr/>
        <w:t>情况</w:t>
      </w:r>
    </w:p>
    <w:p>
      <w:pPr>
        <w:pStyle w:val="BodyText"/>
        <w:spacing w:line="364" w:lineRule="auto" w:before="113"/>
        <w:ind w:left="358" w:right="273"/>
      </w:pPr>
      <w:r>
        <w:rPr/>
        <w:t>报送大坝中心，其中较大以上工程隐患的治理情况还应当报送派出机构和地方电力管理部门。</w:t>
      </w:r>
    </w:p>
    <w:p>
      <w:pPr>
        <w:pStyle w:val="BodyText"/>
        <w:tabs>
          <w:tab w:pos="2616" w:val="left" w:leader="none"/>
        </w:tabs>
        <w:spacing w:line="480" w:lineRule="exact"/>
        <w:ind w:left="996"/>
      </w:pPr>
      <w:r>
        <w:rPr>
          <w:rFonts w:ascii="Microsoft JhengHei" w:eastAsia="Microsoft JhengHei" w:hint="eastAsia"/>
          <w:b/>
          <w:spacing w:val="5"/>
        </w:rPr>
        <w:t>第十七</w:t>
      </w:r>
      <w:r>
        <w:rPr>
          <w:rFonts w:ascii="Microsoft JhengHei" w:eastAsia="Microsoft JhengHei" w:hint="eastAsia"/>
          <w:b/>
        </w:rPr>
        <w:t>条</w:t>
        <w:tab/>
      </w:r>
      <w:r>
        <w:rPr/>
        <w:t>大</w:t>
      </w:r>
      <w:r>
        <w:rPr>
          <w:spacing w:val="5"/>
        </w:rPr>
        <w:t>坝</w:t>
      </w:r>
      <w:r>
        <w:rPr/>
        <w:t>较</w:t>
      </w:r>
      <w:r>
        <w:rPr>
          <w:spacing w:val="5"/>
        </w:rPr>
        <w:t>大</w:t>
      </w:r>
      <w:r>
        <w:rPr/>
        <w:t>以上</w:t>
      </w:r>
      <w:r>
        <w:rPr>
          <w:spacing w:val="5"/>
        </w:rPr>
        <w:t>工</w:t>
      </w:r>
      <w:r>
        <w:rPr/>
        <w:t>程</w:t>
      </w:r>
      <w:r>
        <w:rPr>
          <w:spacing w:val="5"/>
        </w:rPr>
        <w:t>隐</w:t>
      </w:r>
      <w:r>
        <w:rPr/>
        <w:t>患的</w:t>
      </w:r>
      <w:r>
        <w:rPr>
          <w:spacing w:val="5"/>
        </w:rPr>
        <w:t>治</w:t>
      </w:r>
      <w:r>
        <w:rPr/>
        <w:t>理</w:t>
      </w:r>
      <w:r>
        <w:rPr>
          <w:spacing w:val="5"/>
        </w:rPr>
        <w:t>，</w:t>
      </w:r>
      <w:r>
        <w:rPr/>
        <w:t>应当</w:t>
      </w:r>
      <w:r>
        <w:rPr>
          <w:spacing w:val="5"/>
        </w:rPr>
        <w:t>在</w:t>
      </w:r>
      <w:r>
        <w:rPr/>
        <w:t>要</w:t>
      </w:r>
      <w:r>
        <w:rPr>
          <w:spacing w:val="5"/>
        </w:rPr>
        <w:t>求</w:t>
      </w:r>
      <w:r>
        <w:rPr/>
        <w:t>的时限</w:t>
      </w:r>
    </w:p>
    <w:p>
      <w:pPr>
        <w:pStyle w:val="BodyText"/>
        <w:spacing w:before="141"/>
        <w:ind w:left="358"/>
      </w:pPr>
      <w:r>
        <w:rPr/>
        <w:t>内完成；一般工程隐患原则上应当立即完成治理，治理工作量大、</w:t>
      </w:r>
    </w:p>
    <w:p>
      <w:pPr>
        <w:pStyle w:val="BodyText"/>
        <w:spacing w:before="212"/>
        <w:ind w:left="358"/>
      </w:pPr>
      <w:r>
        <w:rPr/>
        <w:t>受客观条件限制的，可适当延长完成时间。</w:t>
      </w:r>
    </w:p>
    <w:p>
      <w:pPr>
        <w:spacing w:after="0"/>
        <w:sectPr>
          <w:pgSz w:w="11910" w:h="16840"/>
          <w:pgMar w:header="0" w:footer="1039" w:top="1580" w:bottom="1300" w:left="1060" w:right="860"/>
        </w:sectPr>
      </w:pPr>
    </w:p>
    <w:p>
      <w:pPr>
        <w:pStyle w:val="BodyText"/>
        <w:spacing w:before="8"/>
        <w:ind w:left="0"/>
        <w:rPr>
          <w:sz w:val="21"/>
        </w:rPr>
      </w:pPr>
    </w:p>
    <w:p>
      <w:pPr>
        <w:pStyle w:val="BodyText"/>
        <w:spacing w:line="538" w:lineRule="exact"/>
        <w:ind w:left="996"/>
        <w:jc w:val="both"/>
      </w:pPr>
      <w:r>
        <w:rPr>
          <w:rFonts w:ascii="Microsoft JhengHei" w:eastAsia="Microsoft JhengHei" w:hint="eastAsia"/>
          <w:b/>
        </w:rPr>
        <w:t>第十八条 </w:t>
      </w:r>
      <w:r>
        <w:rPr/>
        <w:t>大坝较大以上工程隐患治理完成并经过一年运行</w:t>
      </w:r>
    </w:p>
    <w:p>
      <w:pPr>
        <w:pStyle w:val="BodyText"/>
        <w:spacing w:line="364" w:lineRule="auto" w:before="141"/>
        <w:ind w:left="358" w:right="273"/>
        <w:jc w:val="both"/>
      </w:pPr>
      <w:r>
        <w:rPr/>
        <w:t>后，电力企业应当及时组织开展专项竣工验收。派出机构、地方电力管理部门以及大坝中心应当按照职责和分工参加竣工验收。通过专项竣工验收之日起的一个月内，电力企业应当将验收报告以及相关资料报送大坝中心、派出机构和地方电力管理部门。</w:t>
      </w:r>
    </w:p>
    <w:p>
      <w:pPr>
        <w:pStyle w:val="BodyText"/>
        <w:tabs>
          <w:tab w:pos="1364" w:val="left" w:leader="none"/>
        </w:tabs>
        <w:spacing w:before="243"/>
        <w:ind w:left="83"/>
        <w:jc w:val="center"/>
        <w:rPr>
          <w:rFonts w:ascii="黑体" w:eastAsia="黑体" w:hint="eastAsia"/>
        </w:rPr>
      </w:pPr>
      <w:r>
        <w:rPr>
          <w:rFonts w:ascii="黑体" w:eastAsia="黑体" w:hint="eastAsia"/>
        </w:rPr>
        <w:t>第四章</w:t>
        <w:tab/>
        <w:t>风险防控</w:t>
      </w:r>
    </w:p>
    <w:p>
      <w:pPr>
        <w:pStyle w:val="BodyText"/>
        <w:spacing w:before="36"/>
        <w:ind w:left="358" w:firstLine="638"/>
        <w:jc w:val="both"/>
      </w:pPr>
      <w:r>
        <w:rPr>
          <w:rFonts w:ascii="Microsoft JhengHei" w:eastAsia="Microsoft JhengHei" w:hint="eastAsia"/>
          <w:b/>
        </w:rPr>
        <w:t>第十九条 </w:t>
      </w:r>
      <w:r>
        <w:rPr/>
        <w:t>大坝较大以上工程隐患确认后，电力企业应当加强</w:t>
      </w:r>
    </w:p>
    <w:p>
      <w:pPr>
        <w:pStyle w:val="BodyText"/>
        <w:spacing w:line="364" w:lineRule="auto" w:before="142"/>
        <w:ind w:left="358" w:right="273"/>
        <w:jc w:val="both"/>
      </w:pPr>
      <w:r>
        <w:rPr/>
        <w:t>水情监测、水库调度、防洪度汛、安全监测以及大坝巡视检查等工作，并采取有效措施保证大坝运行安全。构成特别重大工程隐患或者重大工程隐患的，电力企业还应当采取降低水库运行水位、放空水库等安全保障措施。；</w:t>
      </w:r>
    </w:p>
    <w:p>
      <w:pPr>
        <w:pStyle w:val="BodyText"/>
        <w:spacing w:line="481" w:lineRule="exact"/>
        <w:ind w:left="996"/>
        <w:jc w:val="both"/>
      </w:pPr>
      <w:r>
        <w:rPr>
          <w:rFonts w:ascii="Microsoft JhengHei" w:eastAsia="Microsoft JhengHei" w:hint="eastAsia"/>
          <w:b/>
        </w:rPr>
        <w:t>第二十条 </w:t>
      </w:r>
      <w:r>
        <w:rPr/>
        <w:t>大坝较大以上工程隐患确认后，电力企业应当及时</w:t>
      </w:r>
    </w:p>
    <w:p>
      <w:pPr>
        <w:pStyle w:val="BodyText"/>
        <w:spacing w:line="364" w:lineRule="auto" w:before="138"/>
        <w:ind w:left="358" w:right="273"/>
      </w:pPr>
      <w:r>
        <w:rPr/>
        <w:t>制定或者修订专项应急预案，按照有关规定完成预案评审和备案， 加强预报预警，健全应急协调联动机制，积极开展应急演练。</w:t>
      </w:r>
    </w:p>
    <w:p>
      <w:pPr>
        <w:tabs>
          <w:tab w:pos="2940" w:val="left" w:leader="none"/>
        </w:tabs>
        <w:spacing w:line="480" w:lineRule="exact" w:before="0"/>
        <w:ind w:left="996" w:right="0" w:firstLine="0"/>
        <w:jc w:val="left"/>
        <w:rPr>
          <w:sz w:val="32"/>
        </w:rPr>
      </w:pPr>
      <w:r>
        <w:rPr>
          <w:rFonts w:ascii="Microsoft JhengHei" w:eastAsia="Microsoft JhengHei" w:hint="eastAsia"/>
          <w:b/>
          <w:spacing w:val="5"/>
          <w:sz w:val="32"/>
        </w:rPr>
        <w:t>第二十一</w:t>
      </w:r>
      <w:r>
        <w:rPr>
          <w:rFonts w:ascii="Microsoft JhengHei" w:eastAsia="Microsoft JhengHei" w:hint="eastAsia"/>
          <w:b/>
          <w:sz w:val="32"/>
        </w:rPr>
        <w:t>条</w:t>
        <w:tab/>
      </w:r>
      <w:r>
        <w:rPr>
          <w:sz w:val="32"/>
        </w:rPr>
        <w:t>大</w:t>
      </w:r>
      <w:r>
        <w:rPr>
          <w:spacing w:val="5"/>
          <w:sz w:val="32"/>
        </w:rPr>
        <w:t>坝</w:t>
      </w:r>
      <w:r>
        <w:rPr>
          <w:sz w:val="32"/>
        </w:rPr>
        <w:t>存</w:t>
      </w:r>
      <w:r>
        <w:rPr>
          <w:spacing w:val="5"/>
          <w:sz w:val="32"/>
        </w:rPr>
        <w:t>在</w:t>
      </w:r>
      <w:r>
        <w:rPr>
          <w:sz w:val="32"/>
        </w:rPr>
        <w:t>工程</w:t>
      </w:r>
      <w:r>
        <w:rPr>
          <w:spacing w:val="5"/>
          <w:sz w:val="32"/>
        </w:rPr>
        <w:t>隐</w:t>
      </w:r>
      <w:r>
        <w:rPr>
          <w:sz w:val="32"/>
        </w:rPr>
        <w:t>患，</w:t>
      </w:r>
      <w:r>
        <w:rPr>
          <w:spacing w:val="5"/>
          <w:sz w:val="32"/>
        </w:rPr>
        <w:t>采</w:t>
      </w:r>
      <w:r>
        <w:rPr>
          <w:sz w:val="32"/>
        </w:rPr>
        <w:t>取</w:t>
      </w:r>
      <w:r>
        <w:rPr>
          <w:spacing w:val="5"/>
          <w:sz w:val="32"/>
        </w:rPr>
        <w:t>治</w:t>
      </w:r>
      <w:r>
        <w:rPr>
          <w:sz w:val="32"/>
        </w:rPr>
        <w:t>理措</w:t>
      </w:r>
      <w:r>
        <w:rPr>
          <w:spacing w:val="5"/>
          <w:sz w:val="32"/>
        </w:rPr>
        <w:t>施</w:t>
      </w:r>
      <w:r>
        <w:rPr>
          <w:sz w:val="32"/>
        </w:rPr>
        <w:t>仍</w:t>
      </w:r>
      <w:r>
        <w:rPr>
          <w:spacing w:val="5"/>
          <w:sz w:val="32"/>
        </w:rPr>
        <w:t>然</w:t>
      </w:r>
      <w:r>
        <w:rPr>
          <w:sz w:val="32"/>
        </w:rPr>
        <w:t>不能</w:t>
      </w:r>
      <w:r>
        <w:rPr>
          <w:spacing w:val="5"/>
          <w:sz w:val="32"/>
        </w:rPr>
        <w:t>保</w:t>
      </w:r>
      <w:r>
        <w:rPr>
          <w:sz w:val="32"/>
        </w:rPr>
        <w:t>证</w:t>
      </w:r>
    </w:p>
    <w:p>
      <w:pPr>
        <w:pStyle w:val="BodyText"/>
        <w:spacing w:line="364" w:lineRule="auto" w:before="142"/>
        <w:ind w:left="358" w:right="273"/>
      </w:pPr>
      <w:r>
        <w:rPr/>
        <w:t>运行安全的，应当按照《水电站大坝运行安全监督管理规定》有关规定退出运行。</w:t>
      </w:r>
    </w:p>
    <w:p>
      <w:pPr>
        <w:pStyle w:val="BodyText"/>
        <w:tabs>
          <w:tab w:pos="1364" w:val="left" w:leader="none"/>
        </w:tabs>
        <w:spacing w:before="244"/>
        <w:ind w:left="83"/>
        <w:jc w:val="center"/>
        <w:rPr>
          <w:rFonts w:ascii="黑体" w:eastAsia="黑体" w:hint="eastAsia"/>
        </w:rPr>
      </w:pPr>
      <w:r>
        <w:rPr>
          <w:rFonts w:ascii="黑体" w:eastAsia="黑体" w:hint="eastAsia"/>
        </w:rPr>
        <w:t>第五章</w:t>
        <w:tab/>
        <w:t>监督管理</w:t>
      </w:r>
    </w:p>
    <w:p>
      <w:pPr>
        <w:pStyle w:val="BodyText"/>
        <w:tabs>
          <w:tab w:pos="3027" w:val="left" w:leader="none"/>
        </w:tabs>
        <w:spacing w:line="297" w:lineRule="auto" w:before="38"/>
        <w:ind w:left="358" w:right="273" w:firstLine="638"/>
      </w:pPr>
      <w:r>
        <w:rPr>
          <w:rFonts w:ascii="Microsoft JhengHei" w:eastAsia="Microsoft JhengHei" w:hint="eastAsia"/>
          <w:b/>
          <w:spacing w:val="17"/>
        </w:rPr>
        <w:t>第二十二</w:t>
      </w:r>
      <w:r>
        <w:rPr>
          <w:rFonts w:ascii="Microsoft JhengHei" w:eastAsia="Microsoft JhengHei" w:hint="eastAsia"/>
          <w:b/>
        </w:rPr>
        <w:t>条</w:t>
        <w:tab/>
      </w:r>
      <w:r>
        <w:rPr>
          <w:spacing w:val="17"/>
          <w:w w:val="95"/>
        </w:rPr>
        <w:t>大</w:t>
      </w:r>
      <w:r>
        <w:rPr>
          <w:spacing w:val="14"/>
          <w:w w:val="95"/>
        </w:rPr>
        <w:t>坝</w:t>
      </w:r>
      <w:r>
        <w:rPr>
          <w:spacing w:val="17"/>
          <w:w w:val="95"/>
        </w:rPr>
        <w:t>中</w:t>
      </w:r>
      <w:r>
        <w:rPr>
          <w:spacing w:val="14"/>
          <w:w w:val="95"/>
        </w:rPr>
        <w:t>心</w:t>
      </w:r>
      <w:r>
        <w:rPr>
          <w:spacing w:val="17"/>
          <w:w w:val="95"/>
        </w:rPr>
        <w:t>收</w:t>
      </w:r>
      <w:r>
        <w:rPr>
          <w:spacing w:val="14"/>
          <w:w w:val="95"/>
        </w:rPr>
        <w:t>到</w:t>
      </w:r>
      <w:r>
        <w:rPr>
          <w:spacing w:val="17"/>
          <w:w w:val="95"/>
        </w:rPr>
        <w:t>电</w:t>
      </w:r>
      <w:r>
        <w:rPr>
          <w:spacing w:val="14"/>
          <w:w w:val="95"/>
        </w:rPr>
        <w:t>力</w:t>
      </w:r>
      <w:r>
        <w:rPr>
          <w:spacing w:val="17"/>
          <w:w w:val="95"/>
        </w:rPr>
        <w:t>企业</w:t>
      </w:r>
      <w:r>
        <w:rPr>
          <w:spacing w:val="14"/>
          <w:w w:val="95"/>
        </w:rPr>
        <w:t>报</w:t>
      </w:r>
      <w:r>
        <w:rPr>
          <w:spacing w:val="17"/>
          <w:w w:val="95"/>
        </w:rPr>
        <w:t>送</w:t>
      </w:r>
      <w:r>
        <w:rPr>
          <w:spacing w:val="14"/>
          <w:w w:val="95"/>
        </w:rPr>
        <w:t>的</w:t>
      </w:r>
      <w:r>
        <w:rPr>
          <w:spacing w:val="17"/>
          <w:w w:val="95"/>
        </w:rPr>
        <w:t>特</w:t>
      </w:r>
      <w:r>
        <w:rPr>
          <w:spacing w:val="14"/>
          <w:w w:val="95"/>
        </w:rPr>
        <w:t>别</w:t>
      </w:r>
      <w:r>
        <w:rPr>
          <w:spacing w:val="17"/>
          <w:w w:val="95"/>
        </w:rPr>
        <w:t>重</w:t>
      </w:r>
      <w:r>
        <w:rPr>
          <w:spacing w:val="14"/>
          <w:w w:val="95"/>
        </w:rPr>
        <w:t>大</w:t>
      </w:r>
      <w:r>
        <w:rPr>
          <w:spacing w:val="17"/>
          <w:w w:val="95"/>
        </w:rPr>
        <w:t>工</w:t>
      </w:r>
      <w:r>
        <w:rPr>
          <w:spacing w:val="14"/>
          <w:w w:val="95"/>
        </w:rPr>
        <w:t>程</w:t>
      </w:r>
      <w:r>
        <w:rPr>
          <w:spacing w:val="-11"/>
          <w:w w:val="95"/>
        </w:rPr>
        <w:t>隐 </w:t>
      </w:r>
      <w:r>
        <w:rPr/>
        <w:t>患</w:t>
      </w:r>
      <w:r>
        <w:rPr>
          <w:spacing w:val="5"/>
        </w:rPr>
        <w:t>、</w:t>
      </w:r>
      <w:r>
        <w:rPr/>
        <w:t>重</w:t>
      </w:r>
      <w:r>
        <w:rPr>
          <w:spacing w:val="5"/>
        </w:rPr>
        <w:t>大</w:t>
      </w:r>
      <w:r>
        <w:rPr/>
        <w:t>工</w:t>
      </w:r>
      <w:r>
        <w:rPr>
          <w:spacing w:val="5"/>
        </w:rPr>
        <w:t>程</w:t>
      </w:r>
      <w:r>
        <w:rPr/>
        <w:t>隐患</w:t>
      </w:r>
      <w:r>
        <w:rPr>
          <w:spacing w:val="5"/>
        </w:rPr>
        <w:t>治</w:t>
      </w:r>
      <w:r>
        <w:rPr/>
        <w:t>理</w:t>
      </w:r>
      <w:r>
        <w:rPr>
          <w:spacing w:val="5"/>
        </w:rPr>
        <w:t>专</w:t>
      </w:r>
      <w:r>
        <w:rPr/>
        <w:t>项</w:t>
      </w:r>
      <w:r>
        <w:rPr>
          <w:spacing w:val="5"/>
        </w:rPr>
        <w:t>竣</w:t>
      </w:r>
      <w:r>
        <w:rPr/>
        <w:t>工</w:t>
      </w:r>
      <w:r>
        <w:rPr>
          <w:spacing w:val="5"/>
        </w:rPr>
        <w:t>验</w:t>
      </w:r>
      <w:r>
        <w:rPr/>
        <w:t>收资</w:t>
      </w:r>
      <w:r>
        <w:rPr>
          <w:spacing w:val="5"/>
        </w:rPr>
        <w:t>料</w:t>
      </w:r>
      <w:r>
        <w:rPr/>
        <w:t>后</w:t>
      </w:r>
      <w:r>
        <w:rPr>
          <w:spacing w:val="5"/>
        </w:rPr>
        <w:t>，</w:t>
      </w:r>
      <w:r>
        <w:rPr/>
        <w:t>应</w:t>
      </w:r>
      <w:r>
        <w:rPr>
          <w:spacing w:val="5"/>
        </w:rPr>
        <w:t>当</w:t>
      </w:r>
      <w:r>
        <w:rPr/>
        <w:t>及时</w:t>
      </w:r>
      <w:r>
        <w:rPr>
          <w:spacing w:val="5"/>
        </w:rPr>
        <w:t>重</w:t>
      </w:r>
      <w:r>
        <w:rPr/>
        <w:t>新</w:t>
      </w:r>
      <w:r>
        <w:rPr>
          <w:spacing w:val="5"/>
        </w:rPr>
        <w:t>评</w:t>
      </w:r>
      <w:r>
        <w:rPr/>
        <w:t>定大</w:t>
      </w:r>
    </w:p>
    <w:p>
      <w:pPr>
        <w:pStyle w:val="BodyText"/>
        <w:spacing w:before="114"/>
        <w:ind w:left="358"/>
      </w:pPr>
      <w:r>
        <w:rPr/>
        <w:t>坝安全等级，并将评定结果报告国家能源局，同时抄送派出机构和</w:t>
      </w:r>
    </w:p>
    <w:p>
      <w:pPr>
        <w:spacing w:after="0"/>
        <w:sectPr>
          <w:pgSz w:w="11910" w:h="16840"/>
          <w:pgMar w:header="0" w:footer="1039" w:top="1580" w:bottom="1300" w:left="1060" w:right="860"/>
        </w:sectPr>
      </w:pPr>
    </w:p>
    <w:p>
      <w:pPr>
        <w:pStyle w:val="BodyText"/>
        <w:spacing w:before="8"/>
        <w:ind w:left="0"/>
        <w:rPr>
          <w:sz w:val="21"/>
        </w:rPr>
      </w:pPr>
    </w:p>
    <w:p>
      <w:pPr>
        <w:pStyle w:val="BodyText"/>
        <w:spacing w:before="54"/>
        <w:ind w:left="358"/>
      </w:pPr>
      <w:bookmarkStart w:name="特种设备事故隐患分类分级" w:id="42"/>
      <w:bookmarkEnd w:id="42"/>
      <w:r>
        <w:rPr/>
      </w:r>
      <w:r>
        <w:rPr/>
        <w:t>地方电力管理部门。</w:t>
      </w:r>
    </w:p>
    <w:p>
      <w:pPr>
        <w:pStyle w:val="BodyText"/>
        <w:spacing w:line="297" w:lineRule="auto" w:before="109"/>
        <w:ind w:left="358" w:right="273" w:firstLine="638"/>
        <w:jc w:val="both"/>
      </w:pPr>
      <w:r>
        <w:rPr>
          <w:rFonts w:ascii="Microsoft JhengHei" w:eastAsia="Microsoft JhengHei" w:hint="eastAsia"/>
          <w:b/>
        </w:rPr>
        <w:t>第二十三条 </w:t>
      </w:r>
      <w:r>
        <w:rPr/>
        <w:t>派出机构、地方电力管理部门、大坝中心应当依照法律法规和相关规定，加强对大坝工程隐患治理的监督管理。</w:t>
      </w:r>
    </w:p>
    <w:p>
      <w:pPr>
        <w:pStyle w:val="BodyText"/>
        <w:spacing w:line="364" w:lineRule="auto" w:before="111"/>
        <w:ind w:left="358" w:right="273" w:firstLine="638"/>
        <w:jc w:val="both"/>
      </w:pPr>
      <w:r>
        <w:rPr>
          <w:w w:val="95"/>
        </w:rPr>
        <w:t>国家能源局负责对大坝特别重大工程隐患的治理实施挂牌督 </w:t>
      </w:r>
      <w:r>
        <w:rPr/>
        <w:t>办，必要时可以指定有关派出机构实施挂牌督办。派出机构负责对大坝重大工程隐患实施挂牌督办。地方电力管理部门依照法律法规和相关规定做好大坝隐患治理挂牌督办有关工作。大坝中心为挂牌督办提供技术支持。</w:t>
      </w:r>
    </w:p>
    <w:p>
      <w:pPr>
        <w:spacing w:line="480" w:lineRule="exact" w:before="0"/>
        <w:ind w:left="996" w:right="0" w:firstLine="0"/>
        <w:jc w:val="both"/>
        <w:rPr>
          <w:sz w:val="32"/>
        </w:rPr>
      </w:pPr>
      <w:r>
        <w:rPr>
          <w:rFonts w:ascii="Microsoft JhengHei" w:eastAsia="Microsoft JhengHei" w:hint="eastAsia"/>
          <w:b/>
          <w:sz w:val="32"/>
        </w:rPr>
        <w:t>第二十四条 </w:t>
      </w:r>
      <w:r>
        <w:rPr>
          <w:sz w:val="32"/>
        </w:rPr>
        <w:t>派出机构、地方电力管理部门以及大坝中心应当</w:t>
      </w:r>
    </w:p>
    <w:p>
      <w:pPr>
        <w:pStyle w:val="BodyText"/>
        <w:spacing w:line="364" w:lineRule="auto" w:before="141"/>
        <w:ind w:left="358" w:right="273"/>
      </w:pPr>
      <w:r>
        <w:rPr/>
        <w:t>加强协同配合，联合开展相关监督检查，督促指导电力企业按时、高质量完成大坝工程隐患治理各项工作。</w:t>
      </w:r>
    </w:p>
    <w:p>
      <w:pPr>
        <w:tabs>
          <w:tab w:pos="2940" w:val="left" w:leader="none"/>
        </w:tabs>
        <w:spacing w:line="480" w:lineRule="exact" w:before="0"/>
        <w:ind w:left="996" w:right="0" w:firstLine="0"/>
        <w:jc w:val="left"/>
        <w:rPr>
          <w:sz w:val="32"/>
        </w:rPr>
      </w:pPr>
      <w:r>
        <w:rPr>
          <w:rFonts w:ascii="Microsoft JhengHei" w:eastAsia="Microsoft JhengHei" w:hint="eastAsia"/>
          <w:b/>
          <w:spacing w:val="5"/>
          <w:sz w:val="32"/>
        </w:rPr>
        <w:t>第二十五</w:t>
      </w:r>
      <w:r>
        <w:rPr>
          <w:rFonts w:ascii="Microsoft JhengHei" w:eastAsia="Microsoft JhengHei" w:hint="eastAsia"/>
          <w:b/>
          <w:sz w:val="32"/>
        </w:rPr>
        <w:t>条</w:t>
        <w:tab/>
      </w:r>
      <w:r>
        <w:rPr>
          <w:sz w:val="32"/>
        </w:rPr>
        <w:t>国</w:t>
      </w:r>
      <w:r>
        <w:rPr>
          <w:spacing w:val="5"/>
          <w:sz w:val="32"/>
        </w:rPr>
        <w:t>家</w:t>
      </w:r>
      <w:r>
        <w:rPr>
          <w:sz w:val="32"/>
        </w:rPr>
        <w:t>能</w:t>
      </w:r>
      <w:r>
        <w:rPr>
          <w:spacing w:val="5"/>
          <w:sz w:val="32"/>
        </w:rPr>
        <w:t>源</w:t>
      </w:r>
      <w:r>
        <w:rPr>
          <w:sz w:val="32"/>
        </w:rPr>
        <w:t>局、</w:t>
      </w:r>
      <w:r>
        <w:rPr>
          <w:spacing w:val="5"/>
          <w:sz w:val="32"/>
        </w:rPr>
        <w:t>派</w:t>
      </w:r>
      <w:r>
        <w:rPr>
          <w:sz w:val="32"/>
        </w:rPr>
        <w:t>出机</w:t>
      </w:r>
      <w:r>
        <w:rPr>
          <w:spacing w:val="5"/>
          <w:sz w:val="32"/>
        </w:rPr>
        <w:t>构</w:t>
      </w:r>
      <w:r>
        <w:rPr>
          <w:sz w:val="32"/>
        </w:rPr>
        <w:t>、</w:t>
      </w:r>
      <w:r>
        <w:rPr>
          <w:spacing w:val="5"/>
          <w:sz w:val="32"/>
        </w:rPr>
        <w:t>地</w:t>
      </w:r>
      <w:r>
        <w:rPr>
          <w:sz w:val="32"/>
        </w:rPr>
        <w:t>方电</w:t>
      </w:r>
      <w:r>
        <w:rPr>
          <w:spacing w:val="5"/>
          <w:sz w:val="32"/>
        </w:rPr>
        <w:t>力</w:t>
      </w:r>
      <w:r>
        <w:rPr>
          <w:sz w:val="32"/>
        </w:rPr>
        <w:t>管</w:t>
      </w:r>
      <w:r>
        <w:rPr>
          <w:spacing w:val="5"/>
          <w:sz w:val="32"/>
        </w:rPr>
        <w:t>理</w:t>
      </w:r>
      <w:r>
        <w:rPr>
          <w:sz w:val="32"/>
        </w:rPr>
        <w:t>部门</w:t>
      </w:r>
      <w:r>
        <w:rPr>
          <w:spacing w:val="5"/>
          <w:sz w:val="32"/>
        </w:rPr>
        <w:t>应</w:t>
      </w:r>
      <w:r>
        <w:rPr>
          <w:sz w:val="32"/>
        </w:rPr>
        <w:t>当</w:t>
      </w:r>
    </w:p>
    <w:p>
      <w:pPr>
        <w:pStyle w:val="BodyText"/>
        <w:spacing w:line="364" w:lineRule="auto" w:before="141"/>
        <w:ind w:left="358" w:right="273"/>
      </w:pPr>
      <w:r>
        <w:rPr/>
        <w:t>依照国家法律法规和有关规定，调查处理大坝工程隐患治理责任不落实的企业和相关人员。</w:t>
      </w:r>
    </w:p>
    <w:p>
      <w:pPr>
        <w:tabs>
          <w:tab w:pos="2940" w:val="left" w:leader="none"/>
        </w:tabs>
        <w:spacing w:line="482" w:lineRule="exact" w:before="0"/>
        <w:ind w:left="996" w:right="0" w:firstLine="0"/>
        <w:jc w:val="left"/>
        <w:rPr>
          <w:sz w:val="32"/>
        </w:rPr>
      </w:pPr>
      <w:r>
        <w:rPr>
          <w:rFonts w:ascii="Microsoft JhengHei" w:eastAsia="Microsoft JhengHei" w:hint="eastAsia"/>
          <w:b/>
          <w:spacing w:val="5"/>
          <w:sz w:val="32"/>
        </w:rPr>
        <w:t>第二十六</w:t>
      </w:r>
      <w:r>
        <w:rPr>
          <w:rFonts w:ascii="Microsoft JhengHei" w:eastAsia="Microsoft JhengHei" w:hint="eastAsia"/>
          <w:b/>
          <w:sz w:val="32"/>
        </w:rPr>
        <w:t>条</w:t>
        <w:tab/>
      </w:r>
      <w:r>
        <w:rPr>
          <w:sz w:val="32"/>
        </w:rPr>
        <w:t>电</w:t>
      </w:r>
      <w:r>
        <w:rPr>
          <w:spacing w:val="5"/>
          <w:sz w:val="32"/>
        </w:rPr>
        <w:t>力</w:t>
      </w:r>
      <w:r>
        <w:rPr>
          <w:sz w:val="32"/>
        </w:rPr>
        <w:t>企</w:t>
      </w:r>
      <w:r>
        <w:rPr>
          <w:spacing w:val="5"/>
          <w:sz w:val="32"/>
        </w:rPr>
        <w:t>业</w:t>
      </w:r>
      <w:r>
        <w:rPr>
          <w:sz w:val="32"/>
        </w:rPr>
        <w:t>应当</w:t>
      </w:r>
      <w:r>
        <w:rPr>
          <w:spacing w:val="5"/>
          <w:sz w:val="32"/>
        </w:rPr>
        <w:t>积</w:t>
      </w:r>
      <w:r>
        <w:rPr>
          <w:sz w:val="32"/>
        </w:rPr>
        <w:t>极配</w:t>
      </w:r>
      <w:r>
        <w:rPr>
          <w:spacing w:val="5"/>
          <w:sz w:val="32"/>
        </w:rPr>
        <w:t>合</w:t>
      </w:r>
      <w:r>
        <w:rPr>
          <w:sz w:val="32"/>
        </w:rPr>
        <w:t>国</w:t>
      </w:r>
      <w:r>
        <w:rPr>
          <w:spacing w:val="5"/>
          <w:sz w:val="32"/>
        </w:rPr>
        <w:t>家</w:t>
      </w:r>
      <w:r>
        <w:rPr>
          <w:sz w:val="32"/>
        </w:rPr>
        <w:t>能源</w:t>
      </w:r>
      <w:r>
        <w:rPr>
          <w:spacing w:val="5"/>
          <w:sz w:val="32"/>
        </w:rPr>
        <w:t>局</w:t>
      </w:r>
      <w:r>
        <w:rPr>
          <w:sz w:val="32"/>
        </w:rPr>
        <w:t>、</w:t>
      </w:r>
      <w:r>
        <w:rPr>
          <w:spacing w:val="5"/>
          <w:sz w:val="32"/>
        </w:rPr>
        <w:t>派</w:t>
      </w:r>
      <w:r>
        <w:rPr>
          <w:sz w:val="32"/>
        </w:rPr>
        <w:t>出机</w:t>
      </w:r>
      <w:r>
        <w:rPr>
          <w:spacing w:val="5"/>
          <w:sz w:val="32"/>
        </w:rPr>
        <w:t>构</w:t>
      </w:r>
      <w:r>
        <w:rPr>
          <w:sz w:val="32"/>
        </w:rPr>
        <w:t>、</w:t>
      </w:r>
    </w:p>
    <w:p>
      <w:pPr>
        <w:pStyle w:val="BodyText"/>
        <w:spacing w:line="364" w:lineRule="auto" w:before="139"/>
        <w:ind w:left="358" w:right="273"/>
      </w:pPr>
      <w:r>
        <w:rPr/>
        <w:t>地方电力管理部门以及大坝中心对大坝工程隐患治理开展的监督管理工作。</w:t>
      </w:r>
    </w:p>
    <w:p>
      <w:pPr>
        <w:pStyle w:val="BodyText"/>
        <w:tabs>
          <w:tab w:pos="1362" w:val="left" w:leader="none"/>
        </w:tabs>
        <w:spacing w:before="244"/>
        <w:ind w:left="83"/>
        <w:jc w:val="center"/>
        <w:rPr>
          <w:rFonts w:ascii="黑体" w:eastAsia="黑体" w:hint="eastAsia"/>
        </w:rPr>
      </w:pPr>
      <w:r>
        <w:rPr>
          <w:rFonts w:ascii="黑体" w:eastAsia="黑体" w:hint="eastAsia"/>
        </w:rPr>
        <w:t>第六章</w:t>
        <w:tab/>
        <w:t>附则</w:t>
      </w:r>
    </w:p>
    <w:p>
      <w:pPr>
        <w:spacing w:before="39"/>
        <w:ind w:left="358" w:right="0" w:firstLine="638"/>
        <w:jc w:val="both"/>
        <w:rPr>
          <w:sz w:val="32"/>
        </w:rPr>
      </w:pPr>
      <w:r>
        <w:rPr>
          <w:rFonts w:ascii="Microsoft JhengHei" w:eastAsia="Microsoft JhengHei" w:hint="eastAsia"/>
          <w:b/>
          <w:sz w:val="32"/>
        </w:rPr>
        <w:t>第二十七条 </w:t>
      </w:r>
      <w:r>
        <w:rPr>
          <w:sz w:val="32"/>
        </w:rPr>
        <w:t>本办法自发布之日起施行，有效期五年。原国家</w:t>
      </w:r>
    </w:p>
    <w:p>
      <w:pPr>
        <w:pStyle w:val="BodyText"/>
        <w:spacing w:line="364" w:lineRule="auto" w:before="141"/>
        <w:ind w:left="358" w:right="273"/>
      </w:pPr>
      <w:r>
        <w:rPr>
          <w:spacing w:val="-4"/>
        </w:rPr>
        <w:t>电力监管委员会颁布施行的《水电站大坝除险加固管理办法</w:t>
      </w:r>
      <w:r>
        <w:rPr>
          <w:spacing w:val="-204"/>
        </w:rPr>
        <w:t>》</w:t>
      </w:r>
      <w:r>
        <w:rPr/>
        <w:t>（电监安全〔2010〕30</w:t>
      </w:r>
      <w:r>
        <w:rPr>
          <w:spacing w:val="-42"/>
        </w:rPr>
        <w:t> 号</w:t>
      </w:r>
      <w:r>
        <w:rPr/>
        <w:t>）同时废止。</w:t>
      </w:r>
    </w:p>
    <w:p>
      <w:pPr>
        <w:spacing w:after="0" w:line="364" w:lineRule="auto"/>
        <w:sectPr>
          <w:pgSz w:w="11910" w:h="16840"/>
          <w:pgMar w:header="0" w:footer="1039" w:top="1580" w:bottom="1300" w:left="1060" w:right="860"/>
        </w:sectPr>
      </w:pPr>
    </w:p>
    <w:p>
      <w:pPr>
        <w:pStyle w:val="BodyText"/>
        <w:ind w:left="0"/>
        <w:rPr>
          <w:sz w:val="20"/>
        </w:rPr>
      </w:pPr>
    </w:p>
    <w:p>
      <w:pPr>
        <w:pStyle w:val="BodyText"/>
        <w:ind w:left="0"/>
        <w:rPr>
          <w:sz w:val="20"/>
        </w:rPr>
      </w:pPr>
    </w:p>
    <w:p>
      <w:pPr>
        <w:pStyle w:val="BodyText"/>
        <w:ind w:left="0"/>
        <w:rPr>
          <w:sz w:val="20"/>
        </w:rPr>
      </w:pPr>
    </w:p>
    <w:p>
      <w:pPr>
        <w:pStyle w:val="BodyText"/>
        <w:spacing w:before="3"/>
        <w:ind w:left="0"/>
        <w:rPr>
          <w:sz w:val="19"/>
        </w:rPr>
      </w:pPr>
    </w:p>
    <w:p>
      <w:pPr>
        <w:pStyle w:val="Heading2"/>
        <w:ind w:left="722" w:right="639"/>
      </w:pPr>
      <w:bookmarkStart w:name="_bookmark21" w:id="43"/>
      <w:bookmarkEnd w:id="43"/>
      <w:r>
        <w:rPr/>
      </w:r>
      <w:r>
        <w:rPr/>
        <w:t>特种设备事故隐患分类分级</w:t>
      </w:r>
    </w:p>
    <w:p>
      <w:pPr>
        <w:pStyle w:val="BodyText"/>
        <w:ind w:left="0"/>
        <w:rPr>
          <w:sz w:val="20"/>
        </w:rPr>
      </w:pPr>
    </w:p>
    <w:p>
      <w:pPr>
        <w:pStyle w:val="BodyText"/>
        <w:spacing w:before="5"/>
        <w:ind w:left="0"/>
        <w:rPr>
          <w:sz w:val="22"/>
        </w:rPr>
      </w:pPr>
    </w:p>
    <w:p>
      <w:pPr>
        <w:pStyle w:val="ListParagraph"/>
        <w:numPr>
          <w:ilvl w:val="0"/>
          <w:numId w:val="46"/>
        </w:numPr>
        <w:tabs>
          <w:tab w:pos="678" w:val="left" w:leader="none"/>
        </w:tabs>
        <w:spacing w:line="240" w:lineRule="auto" w:before="55" w:after="0"/>
        <w:ind w:left="677" w:right="0" w:hanging="320"/>
        <w:jc w:val="left"/>
        <w:rPr>
          <w:rFonts w:ascii="黑体" w:eastAsia="黑体" w:hint="eastAsia"/>
          <w:sz w:val="32"/>
        </w:rPr>
      </w:pPr>
      <w:r>
        <w:rPr>
          <w:rFonts w:ascii="黑体" w:eastAsia="黑体" w:hint="eastAsia"/>
          <w:sz w:val="32"/>
        </w:rPr>
        <w:t>范围</w:t>
      </w:r>
    </w:p>
    <w:p>
      <w:pPr>
        <w:pStyle w:val="BodyText"/>
        <w:spacing w:before="12"/>
        <w:ind w:left="0"/>
        <w:rPr>
          <w:rFonts w:ascii="黑体"/>
          <w:sz w:val="16"/>
        </w:rPr>
      </w:pPr>
    </w:p>
    <w:p>
      <w:pPr>
        <w:pStyle w:val="BodyText"/>
        <w:spacing w:line="326" w:lineRule="auto" w:before="54"/>
        <w:ind w:left="996" w:right="275"/>
      </w:pPr>
      <w:r>
        <w:rPr/>
        <w:t>本标准规定了特种设备事故隐患目录及其分类分级的方法。 </w:t>
      </w:r>
      <w:r>
        <w:rPr>
          <w:spacing w:val="12"/>
          <w:w w:val="95"/>
        </w:rPr>
        <w:t>本标准适用于对使用过程的特种设备事故隐患进行分类和分</w:t>
      </w:r>
    </w:p>
    <w:p>
      <w:pPr>
        <w:pStyle w:val="BodyText"/>
        <w:spacing w:before="4"/>
        <w:ind w:left="358"/>
      </w:pPr>
      <w:r>
        <w:rPr/>
        <w:t>级。</w:t>
      </w:r>
    </w:p>
    <w:p>
      <w:pPr>
        <w:pStyle w:val="BodyText"/>
        <w:spacing w:before="12"/>
        <w:ind w:left="0"/>
        <w:rPr>
          <w:sz w:val="16"/>
        </w:rPr>
      </w:pPr>
    </w:p>
    <w:p>
      <w:pPr>
        <w:pStyle w:val="ListParagraph"/>
        <w:numPr>
          <w:ilvl w:val="0"/>
          <w:numId w:val="46"/>
        </w:numPr>
        <w:tabs>
          <w:tab w:pos="678" w:val="left" w:leader="none"/>
        </w:tabs>
        <w:spacing w:line="240" w:lineRule="auto" w:before="54" w:after="0"/>
        <w:ind w:left="677" w:right="0" w:hanging="320"/>
        <w:jc w:val="left"/>
        <w:rPr>
          <w:rFonts w:ascii="黑体" w:eastAsia="黑体" w:hint="eastAsia"/>
          <w:sz w:val="32"/>
        </w:rPr>
      </w:pPr>
      <w:r>
        <w:rPr>
          <w:rFonts w:ascii="黑体" w:eastAsia="黑体" w:hint="eastAsia"/>
          <w:sz w:val="32"/>
        </w:rPr>
        <w:t>规范性引用文件</w:t>
      </w:r>
    </w:p>
    <w:p>
      <w:pPr>
        <w:pStyle w:val="BodyText"/>
        <w:spacing w:line="328" w:lineRule="auto" w:before="269"/>
        <w:ind w:left="358" w:right="273" w:firstLine="638"/>
        <w:jc w:val="both"/>
      </w:pPr>
      <w:r>
        <w:rPr/>
        <w:t>下列文件对于本文件的应用是必不可少的。凡是注日期的引用文件，仅注日期的版本适用于本文件。凡是不注日期的引用文件， 其最新版本（包括所有的修改单）适用于本文件。</w:t>
      </w:r>
    </w:p>
    <w:p>
      <w:pPr>
        <w:pStyle w:val="BodyText"/>
        <w:spacing w:line="405" w:lineRule="exact"/>
        <w:ind w:left="996"/>
        <w:jc w:val="both"/>
      </w:pPr>
      <w:r>
        <w:rPr/>
        <w:t>TSG 08  特种设备使用管理规则</w:t>
      </w:r>
    </w:p>
    <w:p>
      <w:pPr>
        <w:pStyle w:val="BodyText"/>
        <w:spacing w:before="150"/>
        <w:ind w:left="996"/>
        <w:jc w:val="both"/>
      </w:pPr>
      <w:r>
        <w:rPr/>
        <w:t>国家质检总局公告2015年第5号 特种设备现场安全监督检查规</w:t>
      </w:r>
    </w:p>
    <w:p>
      <w:pPr>
        <w:pStyle w:val="BodyText"/>
        <w:spacing w:before="151"/>
        <w:ind w:left="358"/>
      </w:pPr>
      <w:r>
        <w:rPr>
          <w:w w:val="99"/>
        </w:rPr>
        <w:t>则</w:t>
      </w:r>
    </w:p>
    <w:p>
      <w:pPr>
        <w:pStyle w:val="BodyText"/>
        <w:spacing w:before="149"/>
        <w:ind w:left="996"/>
      </w:pPr>
      <w:r>
        <w:rPr/>
        <w:t>GB/T 34346—2017 基于风险的油气管道安全隐患分级导则</w:t>
      </w:r>
    </w:p>
    <w:p>
      <w:pPr>
        <w:pStyle w:val="BodyText"/>
        <w:spacing w:before="10"/>
        <w:ind w:left="0"/>
        <w:rPr>
          <w:sz w:val="16"/>
        </w:rPr>
      </w:pPr>
    </w:p>
    <w:p>
      <w:pPr>
        <w:pStyle w:val="ListParagraph"/>
        <w:numPr>
          <w:ilvl w:val="0"/>
          <w:numId w:val="46"/>
        </w:numPr>
        <w:tabs>
          <w:tab w:pos="678" w:val="left" w:leader="none"/>
        </w:tabs>
        <w:spacing w:line="240" w:lineRule="auto" w:before="55" w:after="0"/>
        <w:ind w:left="677" w:right="0" w:hanging="320"/>
        <w:jc w:val="left"/>
        <w:rPr>
          <w:rFonts w:ascii="黑体" w:eastAsia="黑体" w:hint="eastAsia"/>
          <w:sz w:val="32"/>
        </w:rPr>
      </w:pPr>
      <w:r>
        <w:rPr>
          <w:rFonts w:ascii="黑体" w:eastAsia="黑体" w:hint="eastAsia"/>
          <w:sz w:val="32"/>
        </w:rPr>
        <w:t>术语和定义</w:t>
      </w:r>
    </w:p>
    <w:p>
      <w:pPr>
        <w:pStyle w:val="BodyText"/>
        <w:spacing w:line="326" w:lineRule="auto" w:before="271"/>
        <w:ind w:left="358" w:right="273" w:firstLine="638"/>
      </w:pPr>
      <w:r>
        <w:rPr/>
        <w:t>《特种设备使用管理规则》（TSG 08）规定的以及下列术语和定义适用于本文件。</w:t>
      </w:r>
    </w:p>
    <w:p>
      <w:pPr>
        <w:pStyle w:val="Heading3"/>
        <w:spacing w:before="3"/>
        <w:ind w:left="358" w:firstLine="0"/>
        <w:rPr>
          <w:rFonts w:ascii="宋体"/>
        </w:rPr>
      </w:pPr>
      <w:r>
        <w:rPr>
          <w:rFonts w:ascii="宋体"/>
        </w:rPr>
        <w:t>3.1</w:t>
      </w:r>
    </w:p>
    <w:p>
      <w:pPr>
        <w:tabs>
          <w:tab w:pos="3984" w:val="left" w:leader="none"/>
        </w:tabs>
        <w:spacing w:before="46"/>
        <w:ind w:left="1013" w:right="0" w:firstLine="0"/>
        <w:jc w:val="left"/>
        <w:rPr>
          <w:b/>
          <w:sz w:val="32"/>
        </w:rPr>
      </w:pPr>
      <w:r>
        <w:rPr>
          <w:rFonts w:ascii="Microsoft JhengHei" w:eastAsia="Microsoft JhengHei" w:hint="eastAsia"/>
          <w:b/>
          <w:spacing w:val="9"/>
          <w:sz w:val="32"/>
        </w:rPr>
        <w:t>特种</w:t>
      </w:r>
      <w:r>
        <w:rPr>
          <w:rFonts w:ascii="Microsoft JhengHei" w:eastAsia="Microsoft JhengHei" w:hint="eastAsia"/>
          <w:b/>
          <w:spacing w:val="12"/>
          <w:sz w:val="32"/>
        </w:rPr>
        <w:t>设</w:t>
      </w:r>
      <w:r>
        <w:rPr>
          <w:rFonts w:ascii="Microsoft JhengHei" w:eastAsia="Microsoft JhengHei" w:hint="eastAsia"/>
          <w:b/>
          <w:spacing w:val="9"/>
          <w:sz w:val="32"/>
        </w:rPr>
        <w:t>备事故隐</w:t>
      </w:r>
      <w:r>
        <w:rPr>
          <w:rFonts w:ascii="Microsoft JhengHei" w:eastAsia="Microsoft JhengHei" w:hint="eastAsia"/>
          <w:b/>
          <w:sz w:val="32"/>
        </w:rPr>
        <w:t>患</w:t>
        <w:tab/>
      </w:r>
      <w:r>
        <w:rPr>
          <w:b/>
          <w:spacing w:val="4"/>
          <w:sz w:val="32"/>
        </w:rPr>
        <w:t>special</w:t>
      </w:r>
      <w:r>
        <w:rPr>
          <w:b/>
          <w:spacing w:val="-77"/>
          <w:sz w:val="32"/>
        </w:rPr>
        <w:t> </w:t>
      </w:r>
      <w:r>
        <w:rPr>
          <w:b/>
          <w:spacing w:val="4"/>
          <w:sz w:val="32"/>
        </w:rPr>
        <w:t>equipment</w:t>
      </w:r>
      <w:r>
        <w:rPr>
          <w:b/>
          <w:spacing w:val="-74"/>
          <w:sz w:val="32"/>
        </w:rPr>
        <w:t> </w:t>
      </w:r>
      <w:r>
        <w:rPr>
          <w:b/>
          <w:spacing w:val="4"/>
          <w:sz w:val="32"/>
        </w:rPr>
        <w:t>accident</w:t>
      </w:r>
      <w:r>
        <w:rPr>
          <w:b/>
          <w:spacing w:val="-76"/>
          <w:sz w:val="32"/>
        </w:rPr>
        <w:t> </w:t>
      </w:r>
      <w:r>
        <w:rPr>
          <w:b/>
          <w:spacing w:val="4"/>
          <w:sz w:val="32"/>
        </w:rPr>
        <w:t>potential</w:t>
      </w:r>
    </w:p>
    <w:p>
      <w:pPr>
        <w:pStyle w:val="BodyText"/>
        <w:spacing w:line="326" w:lineRule="auto" w:before="77"/>
        <w:ind w:left="358" w:right="112" w:firstLine="638"/>
      </w:pPr>
      <w:r>
        <w:rPr>
          <w:spacing w:val="-6"/>
        </w:rPr>
        <w:t>特种设备使用单位违反相关法律、法规、规章、安全技术规范、</w:t>
      </w:r>
      <w:r>
        <w:rPr/>
        <w:t>标准、风险管控和特种设备管理制度的行为；或者风险管控缺失、</w:t>
      </w:r>
    </w:p>
    <w:p>
      <w:pPr>
        <w:spacing w:after="0" w:line="326" w:lineRule="auto"/>
        <w:sectPr>
          <w:pgSz w:w="11910" w:h="16840"/>
          <w:pgMar w:header="0" w:footer="1039" w:top="1580" w:bottom="1300" w:left="1060" w:right="860"/>
        </w:sectPr>
      </w:pPr>
    </w:p>
    <w:p>
      <w:pPr>
        <w:pStyle w:val="BodyText"/>
        <w:ind w:left="0"/>
        <w:rPr>
          <w:sz w:val="20"/>
        </w:rPr>
      </w:pPr>
    </w:p>
    <w:p>
      <w:pPr>
        <w:pStyle w:val="BodyText"/>
        <w:spacing w:line="326" w:lineRule="auto" w:before="202"/>
        <w:ind w:left="358" w:right="273"/>
      </w:pPr>
      <w:r>
        <w:rPr/>
        <w:t>失效；或者因其他因素导致在特种设备使用中存在可能引发事故的设备不安全状态，人的不安全行为，管理和环境上的缺陷等。</w:t>
      </w:r>
    </w:p>
    <w:p>
      <w:pPr>
        <w:pStyle w:val="Heading3"/>
        <w:spacing w:before="6"/>
        <w:ind w:left="358" w:firstLine="0"/>
        <w:rPr>
          <w:rFonts w:ascii="宋体"/>
        </w:rPr>
      </w:pPr>
      <w:r>
        <w:rPr>
          <w:rFonts w:ascii="宋体"/>
        </w:rPr>
        <w:t>3.2</w:t>
      </w:r>
    </w:p>
    <w:p>
      <w:pPr>
        <w:tabs>
          <w:tab w:pos="4642" w:val="left" w:leader="none"/>
        </w:tabs>
        <w:spacing w:line="271" w:lineRule="auto" w:before="44"/>
        <w:ind w:left="358" w:right="1217" w:firstLine="655"/>
        <w:jc w:val="left"/>
        <w:rPr>
          <w:b/>
          <w:sz w:val="32"/>
        </w:rPr>
      </w:pPr>
      <w:r>
        <w:rPr>
          <w:rFonts w:ascii="Microsoft JhengHei" w:eastAsia="Microsoft JhengHei" w:hint="eastAsia"/>
          <w:b/>
          <w:spacing w:val="9"/>
          <w:sz w:val="32"/>
        </w:rPr>
        <w:t>特种</w:t>
      </w:r>
      <w:r>
        <w:rPr>
          <w:rFonts w:ascii="Microsoft JhengHei" w:eastAsia="Microsoft JhengHei" w:hint="eastAsia"/>
          <w:b/>
          <w:spacing w:val="12"/>
          <w:sz w:val="32"/>
        </w:rPr>
        <w:t>设</w:t>
      </w:r>
      <w:r>
        <w:rPr>
          <w:rFonts w:ascii="Microsoft JhengHei" w:eastAsia="Microsoft JhengHei" w:hint="eastAsia"/>
          <w:b/>
          <w:spacing w:val="9"/>
          <w:sz w:val="32"/>
        </w:rPr>
        <w:t>备事故隐患</w:t>
      </w:r>
      <w:r>
        <w:rPr>
          <w:rFonts w:ascii="Microsoft JhengHei" w:eastAsia="Microsoft JhengHei" w:hint="eastAsia"/>
          <w:b/>
          <w:spacing w:val="12"/>
          <w:sz w:val="32"/>
        </w:rPr>
        <w:t>分</w:t>
      </w:r>
      <w:r>
        <w:rPr>
          <w:rFonts w:ascii="Microsoft JhengHei" w:eastAsia="Microsoft JhengHei" w:hint="eastAsia"/>
          <w:b/>
          <w:sz w:val="32"/>
        </w:rPr>
        <w:t>类</w:t>
        <w:tab/>
      </w:r>
      <w:r>
        <w:rPr>
          <w:b/>
          <w:spacing w:val="5"/>
          <w:sz w:val="32"/>
        </w:rPr>
        <w:t>classification </w:t>
      </w:r>
      <w:r>
        <w:rPr>
          <w:b/>
          <w:sz w:val="32"/>
        </w:rPr>
        <w:t>of </w:t>
      </w:r>
      <w:r>
        <w:rPr>
          <w:b/>
          <w:spacing w:val="2"/>
          <w:sz w:val="32"/>
        </w:rPr>
        <w:t>special </w:t>
      </w:r>
      <w:r>
        <w:rPr>
          <w:b/>
          <w:spacing w:val="4"/>
          <w:sz w:val="32"/>
        </w:rPr>
        <w:t>equipment accident</w:t>
      </w:r>
      <w:r>
        <w:rPr>
          <w:b/>
          <w:spacing w:val="13"/>
          <w:sz w:val="32"/>
        </w:rPr>
        <w:t> </w:t>
      </w:r>
      <w:r>
        <w:rPr>
          <w:b/>
          <w:spacing w:val="4"/>
          <w:sz w:val="32"/>
        </w:rPr>
        <w:t>potential</w:t>
      </w:r>
    </w:p>
    <w:p>
      <w:pPr>
        <w:pStyle w:val="BodyText"/>
        <w:spacing w:before="98"/>
        <w:ind w:left="996"/>
      </w:pPr>
      <w:r>
        <w:rPr/>
        <w:t>根据特种设备隐患产生的直接原因确定的隐患类别。</w:t>
      </w:r>
    </w:p>
    <w:p>
      <w:pPr>
        <w:pStyle w:val="Heading3"/>
        <w:spacing w:before="149"/>
        <w:ind w:left="358" w:firstLine="0"/>
        <w:rPr>
          <w:rFonts w:ascii="宋体"/>
        </w:rPr>
      </w:pPr>
      <w:r>
        <w:rPr>
          <w:rFonts w:ascii="宋体"/>
        </w:rPr>
        <w:t>3.3</w:t>
      </w:r>
    </w:p>
    <w:p>
      <w:pPr>
        <w:tabs>
          <w:tab w:pos="4642" w:val="left" w:leader="none"/>
        </w:tabs>
        <w:spacing w:before="44"/>
        <w:ind w:left="1013" w:right="0" w:firstLine="0"/>
        <w:jc w:val="left"/>
        <w:rPr>
          <w:b/>
          <w:sz w:val="32"/>
        </w:rPr>
      </w:pPr>
      <w:r>
        <w:rPr>
          <w:rFonts w:ascii="Microsoft JhengHei" w:eastAsia="Microsoft JhengHei" w:hint="eastAsia"/>
          <w:b/>
          <w:spacing w:val="9"/>
          <w:sz w:val="32"/>
        </w:rPr>
        <w:t>特种</w:t>
      </w:r>
      <w:r>
        <w:rPr>
          <w:rFonts w:ascii="Microsoft JhengHei" w:eastAsia="Microsoft JhengHei" w:hint="eastAsia"/>
          <w:b/>
          <w:spacing w:val="12"/>
          <w:sz w:val="32"/>
        </w:rPr>
        <w:t>设</w:t>
      </w:r>
      <w:r>
        <w:rPr>
          <w:rFonts w:ascii="Microsoft JhengHei" w:eastAsia="Microsoft JhengHei" w:hint="eastAsia"/>
          <w:b/>
          <w:spacing w:val="9"/>
          <w:sz w:val="32"/>
        </w:rPr>
        <w:t>备事故隐患</w:t>
      </w:r>
      <w:r>
        <w:rPr>
          <w:rFonts w:ascii="Microsoft JhengHei" w:eastAsia="Microsoft JhengHei" w:hint="eastAsia"/>
          <w:b/>
          <w:spacing w:val="12"/>
          <w:sz w:val="32"/>
        </w:rPr>
        <w:t>分</w:t>
      </w:r>
      <w:r>
        <w:rPr>
          <w:rFonts w:ascii="Microsoft JhengHei" w:eastAsia="Microsoft JhengHei" w:hint="eastAsia"/>
          <w:b/>
          <w:sz w:val="32"/>
        </w:rPr>
        <w:t>级</w:t>
        <w:tab/>
      </w:r>
      <w:r>
        <w:rPr>
          <w:b/>
          <w:spacing w:val="4"/>
          <w:sz w:val="32"/>
        </w:rPr>
        <w:t>grading </w:t>
      </w:r>
      <w:r>
        <w:rPr>
          <w:b/>
          <w:sz w:val="32"/>
        </w:rPr>
        <w:t>of </w:t>
      </w:r>
      <w:r>
        <w:rPr>
          <w:b/>
          <w:spacing w:val="4"/>
          <w:sz w:val="32"/>
        </w:rPr>
        <w:t>special</w:t>
      </w:r>
      <w:r>
        <w:rPr>
          <w:b/>
          <w:spacing w:val="15"/>
          <w:sz w:val="32"/>
        </w:rPr>
        <w:t> </w:t>
      </w:r>
      <w:r>
        <w:rPr>
          <w:b/>
          <w:spacing w:val="4"/>
          <w:sz w:val="32"/>
        </w:rPr>
        <w:t>equipment</w:t>
      </w:r>
    </w:p>
    <w:p>
      <w:pPr>
        <w:spacing w:before="78"/>
        <w:ind w:left="358" w:right="0" w:firstLine="0"/>
        <w:jc w:val="left"/>
        <w:rPr>
          <w:b/>
          <w:sz w:val="32"/>
        </w:rPr>
      </w:pPr>
      <w:r>
        <w:rPr>
          <w:b/>
          <w:sz w:val="32"/>
        </w:rPr>
        <w:t>accident potential</w:t>
      </w:r>
    </w:p>
    <w:p>
      <w:pPr>
        <w:pStyle w:val="BodyText"/>
        <w:spacing w:before="150"/>
        <w:ind w:left="996"/>
      </w:pPr>
      <w:r>
        <w:rPr/>
        <w:t>根据特种设备隐患的严重程度确定的隐患级别。</w:t>
      </w:r>
    </w:p>
    <w:p>
      <w:pPr>
        <w:pStyle w:val="Heading3"/>
        <w:spacing w:before="149"/>
        <w:ind w:left="358" w:firstLine="0"/>
        <w:rPr>
          <w:rFonts w:ascii="宋体"/>
        </w:rPr>
      </w:pPr>
      <w:r>
        <w:rPr>
          <w:rFonts w:ascii="宋体"/>
        </w:rPr>
        <w:t>3.4</w:t>
      </w:r>
    </w:p>
    <w:p>
      <w:pPr>
        <w:tabs>
          <w:tab w:pos="4642" w:val="left" w:leader="none"/>
        </w:tabs>
        <w:spacing w:before="46"/>
        <w:ind w:left="1013" w:right="0" w:firstLine="0"/>
        <w:jc w:val="left"/>
        <w:rPr>
          <w:b/>
          <w:sz w:val="32"/>
        </w:rPr>
      </w:pPr>
      <w:r>
        <w:rPr>
          <w:rFonts w:ascii="Microsoft JhengHei" w:eastAsia="Microsoft JhengHei" w:hint="eastAsia"/>
          <w:b/>
          <w:spacing w:val="9"/>
          <w:sz w:val="32"/>
        </w:rPr>
        <w:t>特种</w:t>
      </w:r>
      <w:r>
        <w:rPr>
          <w:rFonts w:ascii="Microsoft JhengHei" w:eastAsia="Microsoft JhengHei" w:hint="eastAsia"/>
          <w:b/>
          <w:spacing w:val="12"/>
          <w:sz w:val="32"/>
        </w:rPr>
        <w:t>设</w:t>
      </w:r>
      <w:r>
        <w:rPr>
          <w:rFonts w:ascii="Microsoft JhengHei" w:eastAsia="Microsoft JhengHei" w:hint="eastAsia"/>
          <w:b/>
          <w:spacing w:val="9"/>
          <w:sz w:val="32"/>
        </w:rPr>
        <w:t>备事故隐患</w:t>
      </w:r>
      <w:r>
        <w:rPr>
          <w:rFonts w:ascii="Microsoft JhengHei" w:eastAsia="Microsoft JhengHei" w:hint="eastAsia"/>
          <w:b/>
          <w:spacing w:val="12"/>
          <w:sz w:val="32"/>
        </w:rPr>
        <w:t>目</w:t>
      </w:r>
      <w:r>
        <w:rPr>
          <w:rFonts w:ascii="Microsoft JhengHei" w:eastAsia="Microsoft JhengHei" w:hint="eastAsia"/>
          <w:b/>
          <w:sz w:val="32"/>
        </w:rPr>
        <w:t>录</w:t>
        <w:tab/>
      </w:r>
      <w:r>
        <w:rPr>
          <w:b/>
          <w:spacing w:val="4"/>
          <w:sz w:val="32"/>
        </w:rPr>
        <w:t>special equipment</w:t>
      </w:r>
      <w:r>
        <w:rPr>
          <w:b/>
          <w:spacing w:val="9"/>
          <w:sz w:val="32"/>
        </w:rPr>
        <w:t> </w:t>
      </w:r>
      <w:r>
        <w:rPr>
          <w:b/>
          <w:spacing w:val="4"/>
          <w:sz w:val="32"/>
        </w:rPr>
        <w:t>accident</w:t>
      </w:r>
    </w:p>
    <w:p>
      <w:pPr>
        <w:spacing w:before="76"/>
        <w:ind w:left="358" w:right="0" w:firstLine="0"/>
        <w:jc w:val="left"/>
        <w:rPr>
          <w:b/>
          <w:sz w:val="32"/>
        </w:rPr>
      </w:pPr>
      <w:r>
        <w:rPr>
          <w:b/>
          <w:sz w:val="32"/>
        </w:rPr>
        <w:t>potential catalogue</w:t>
      </w:r>
    </w:p>
    <w:p>
      <w:pPr>
        <w:pStyle w:val="BodyText"/>
        <w:spacing w:line="328" w:lineRule="auto" w:before="149"/>
        <w:ind w:left="358" w:right="275" w:firstLine="638"/>
      </w:pPr>
      <w:r>
        <w:rPr/>
        <w:t>根据《特种设备安全法》和《特种设备安全监察条例》等法律法规对特种设备使用过程中存在隐患的统一描述和说明。</w:t>
      </w:r>
    </w:p>
    <w:p>
      <w:pPr>
        <w:pStyle w:val="ListParagraph"/>
        <w:numPr>
          <w:ilvl w:val="0"/>
          <w:numId w:val="47"/>
        </w:numPr>
        <w:tabs>
          <w:tab w:pos="678" w:val="left" w:leader="none"/>
        </w:tabs>
        <w:spacing w:line="240" w:lineRule="auto" w:before="118" w:after="0"/>
        <w:ind w:left="677" w:right="0" w:hanging="320"/>
        <w:jc w:val="left"/>
        <w:rPr>
          <w:rFonts w:ascii="黑体" w:eastAsia="黑体" w:hint="eastAsia"/>
          <w:sz w:val="32"/>
        </w:rPr>
      </w:pPr>
      <w:r>
        <w:rPr>
          <w:rFonts w:ascii="黑体" w:eastAsia="黑体" w:hint="eastAsia"/>
          <w:sz w:val="32"/>
        </w:rPr>
        <w:t>特种设备事故隐患分类分级</w:t>
      </w:r>
    </w:p>
    <w:p>
      <w:pPr>
        <w:pStyle w:val="Heading3"/>
        <w:numPr>
          <w:ilvl w:val="1"/>
          <w:numId w:val="47"/>
        </w:numPr>
        <w:tabs>
          <w:tab w:pos="1021" w:val="left" w:leader="none"/>
        </w:tabs>
        <w:spacing w:line="240" w:lineRule="auto" w:before="163" w:after="0"/>
        <w:ind w:left="1020" w:right="0" w:hanging="663"/>
        <w:jc w:val="left"/>
      </w:pPr>
      <w:r>
        <w:rPr>
          <w:spacing w:val="4"/>
        </w:rPr>
        <w:t>总则</w:t>
      </w:r>
    </w:p>
    <w:p>
      <w:pPr>
        <w:pStyle w:val="BodyText"/>
        <w:spacing w:line="326" w:lineRule="auto" w:before="79"/>
        <w:ind w:left="358" w:right="275" w:firstLine="638"/>
      </w:pPr>
      <w:r>
        <w:rPr/>
        <w:t>特种设备事故隐患根据《特种设备安全法》和《特种设备安全监察条例》等法律法规要求实施分类分级管理。</w:t>
      </w:r>
    </w:p>
    <w:p>
      <w:pPr>
        <w:pStyle w:val="Heading3"/>
        <w:numPr>
          <w:ilvl w:val="1"/>
          <w:numId w:val="47"/>
        </w:numPr>
        <w:tabs>
          <w:tab w:pos="1021" w:val="left" w:leader="none"/>
        </w:tabs>
        <w:spacing w:line="486" w:lineRule="exact" w:before="0" w:after="0"/>
        <w:ind w:left="1020" w:right="0" w:hanging="663"/>
        <w:jc w:val="left"/>
      </w:pPr>
      <w:r>
        <w:rPr>
          <w:spacing w:val="8"/>
        </w:rPr>
        <w:t>特种设备事故隐患分类</w:t>
      </w:r>
    </w:p>
    <w:p>
      <w:pPr>
        <w:pStyle w:val="ListParagraph"/>
        <w:numPr>
          <w:ilvl w:val="2"/>
          <w:numId w:val="47"/>
        </w:numPr>
        <w:tabs>
          <w:tab w:pos="1345" w:val="left" w:leader="none"/>
        </w:tabs>
        <w:spacing w:line="326" w:lineRule="auto" w:before="79" w:after="0"/>
        <w:ind w:left="358" w:right="280" w:firstLine="0"/>
        <w:jc w:val="left"/>
        <w:rPr>
          <w:sz w:val="32"/>
        </w:rPr>
      </w:pPr>
      <w:r>
        <w:rPr>
          <w:spacing w:val="-2"/>
          <w:w w:val="95"/>
          <w:sz w:val="32"/>
        </w:rPr>
        <w:t>特种设备事故隐患分为管理类隐患、人员类隐患、设备类隐 </w:t>
      </w:r>
      <w:r>
        <w:rPr>
          <w:spacing w:val="-4"/>
          <w:sz w:val="32"/>
        </w:rPr>
        <w:t>患、环境类隐患 </w:t>
      </w:r>
      <w:r>
        <w:rPr>
          <w:sz w:val="32"/>
        </w:rPr>
        <w:t>4</w:t>
      </w:r>
      <w:r>
        <w:rPr>
          <w:spacing w:val="-11"/>
          <w:sz w:val="32"/>
        </w:rPr>
        <w:t> 个类别。</w:t>
      </w:r>
    </w:p>
    <w:p>
      <w:pPr>
        <w:pStyle w:val="ListParagraph"/>
        <w:numPr>
          <w:ilvl w:val="2"/>
          <w:numId w:val="47"/>
        </w:numPr>
        <w:tabs>
          <w:tab w:pos="1345" w:val="left" w:leader="none"/>
        </w:tabs>
        <w:spacing w:line="240" w:lineRule="auto" w:before="3" w:after="0"/>
        <w:ind w:left="1344" w:right="0" w:hanging="987"/>
        <w:jc w:val="left"/>
        <w:rPr>
          <w:sz w:val="32"/>
        </w:rPr>
      </w:pPr>
      <w:r>
        <w:rPr>
          <w:spacing w:val="7"/>
          <w:w w:val="99"/>
          <w:sz w:val="32"/>
        </w:rPr>
        <w:t>因管理缺失所产生的隐患为管理类隐患</w:t>
      </w:r>
      <w:r>
        <w:rPr>
          <w:spacing w:val="9"/>
          <w:w w:val="99"/>
          <w:sz w:val="32"/>
        </w:rPr>
        <w:t>（</w:t>
      </w:r>
      <w:r>
        <w:rPr>
          <w:spacing w:val="8"/>
          <w:w w:val="99"/>
          <w:sz w:val="32"/>
        </w:rPr>
        <w:t>代号：</w:t>
      </w:r>
      <w:r>
        <w:rPr>
          <w:spacing w:val="6"/>
          <w:w w:val="99"/>
          <w:sz w:val="32"/>
        </w:rPr>
        <w:t>G</w:t>
      </w:r>
      <w:r>
        <w:rPr>
          <w:spacing w:val="-156"/>
          <w:w w:val="99"/>
          <w:sz w:val="32"/>
        </w:rPr>
        <w:t>）</w:t>
      </w:r>
      <w:r>
        <w:rPr>
          <w:w w:val="99"/>
          <w:sz w:val="32"/>
        </w:rPr>
        <w:t>。</w:t>
      </w:r>
    </w:p>
    <w:p>
      <w:pPr>
        <w:spacing w:after="0" w:line="240" w:lineRule="auto"/>
        <w:jc w:val="left"/>
        <w:rPr>
          <w:sz w:val="32"/>
        </w:rPr>
        <w:sectPr>
          <w:pgSz w:w="11910" w:h="16840"/>
          <w:pgMar w:header="0" w:footer="1039" w:top="1580" w:bottom="1300" w:left="1060" w:right="860"/>
        </w:sectPr>
      </w:pPr>
    </w:p>
    <w:p>
      <w:pPr>
        <w:pStyle w:val="BodyText"/>
        <w:ind w:left="0"/>
        <w:rPr>
          <w:sz w:val="20"/>
        </w:rPr>
      </w:pPr>
    </w:p>
    <w:p>
      <w:pPr>
        <w:pStyle w:val="ListParagraph"/>
        <w:numPr>
          <w:ilvl w:val="2"/>
          <w:numId w:val="47"/>
        </w:numPr>
        <w:tabs>
          <w:tab w:pos="1345" w:val="left" w:leader="none"/>
        </w:tabs>
        <w:spacing w:line="240" w:lineRule="auto" w:before="202" w:after="0"/>
        <w:ind w:left="1344" w:right="0" w:hanging="987"/>
        <w:jc w:val="left"/>
        <w:rPr>
          <w:sz w:val="32"/>
        </w:rPr>
      </w:pPr>
      <w:r>
        <w:rPr>
          <w:spacing w:val="7"/>
          <w:sz w:val="32"/>
        </w:rPr>
        <w:t>因人员自身或人为因素所产生的隐患为人员类隐患（</w:t>
      </w:r>
      <w:r>
        <w:rPr>
          <w:spacing w:val="6"/>
          <w:sz w:val="32"/>
        </w:rPr>
        <w:t>代号：</w:t>
      </w:r>
    </w:p>
    <w:p>
      <w:pPr>
        <w:pStyle w:val="BodyText"/>
        <w:spacing w:before="150"/>
        <w:ind w:left="358"/>
      </w:pPr>
      <w:r>
        <w:rPr>
          <w:spacing w:val="3"/>
          <w:w w:val="99"/>
        </w:rPr>
        <w:t>R</w:t>
      </w:r>
      <w:r>
        <w:rPr>
          <w:spacing w:val="-156"/>
          <w:w w:val="99"/>
        </w:rPr>
        <w:t>）</w:t>
      </w:r>
      <w:r>
        <w:rPr>
          <w:w w:val="99"/>
        </w:rPr>
        <w:t>。</w:t>
      </w:r>
    </w:p>
    <w:p>
      <w:pPr>
        <w:pStyle w:val="ListParagraph"/>
        <w:numPr>
          <w:ilvl w:val="2"/>
          <w:numId w:val="47"/>
        </w:numPr>
        <w:tabs>
          <w:tab w:pos="1345" w:val="left" w:leader="none"/>
        </w:tabs>
        <w:spacing w:line="326" w:lineRule="auto" w:before="151" w:after="0"/>
        <w:ind w:left="358" w:right="280" w:firstLine="0"/>
        <w:jc w:val="left"/>
        <w:rPr>
          <w:sz w:val="32"/>
        </w:rPr>
      </w:pPr>
      <w:r>
        <w:rPr>
          <w:spacing w:val="-4"/>
          <w:w w:val="95"/>
          <w:sz w:val="32"/>
        </w:rPr>
        <w:t>因特种设备及其安全附件、安全保护装置缺陷、缺失或失效</w:t>
      </w:r>
      <w:r>
        <w:rPr>
          <w:spacing w:val="9"/>
          <w:w w:val="99"/>
          <w:sz w:val="32"/>
        </w:rPr>
        <w:t>所</w:t>
      </w:r>
      <w:r>
        <w:rPr>
          <w:spacing w:val="7"/>
          <w:w w:val="99"/>
          <w:sz w:val="32"/>
        </w:rPr>
        <w:t>导致的隐患为设备类隐患</w:t>
      </w:r>
      <w:r>
        <w:rPr>
          <w:spacing w:val="9"/>
          <w:w w:val="99"/>
          <w:sz w:val="32"/>
        </w:rPr>
        <w:t>（</w:t>
      </w:r>
      <w:r>
        <w:rPr>
          <w:spacing w:val="7"/>
          <w:w w:val="99"/>
          <w:sz w:val="32"/>
        </w:rPr>
        <w:t>代号：</w:t>
      </w:r>
      <w:r>
        <w:rPr>
          <w:spacing w:val="6"/>
          <w:w w:val="99"/>
          <w:sz w:val="32"/>
        </w:rPr>
        <w:t>S</w:t>
      </w:r>
      <w:r>
        <w:rPr>
          <w:spacing w:val="-156"/>
          <w:w w:val="99"/>
          <w:sz w:val="32"/>
        </w:rPr>
        <w:t>）</w:t>
      </w:r>
      <w:r>
        <w:rPr>
          <w:w w:val="99"/>
          <w:sz w:val="32"/>
        </w:rPr>
        <w:t>。</w:t>
      </w:r>
    </w:p>
    <w:p>
      <w:pPr>
        <w:pStyle w:val="ListParagraph"/>
        <w:numPr>
          <w:ilvl w:val="2"/>
          <w:numId w:val="47"/>
        </w:numPr>
        <w:tabs>
          <w:tab w:pos="1345" w:val="left" w:leader="none"/>
        </w:tabs>
        <w:spacing w:line="240" w:lineRule="auto" w:before="3" w:after="0"/>
        <w:ind w:left="1344" w:right="0" w:hanging="987"/>
        <w:jc w:val="left"/>
        <w:rPr>
          <w:sz w:val="32"/>
        </w:rPr>
      </w:pPr>
      <w:r>
        <w:rPr>
          <w:spacing w:val="7"/>
          <w:sz w:val="32"/>
        </w:rPr>
        <w:t>因特种设备使用环境变化导致的隐患为环境类隐患（</w:t>
      </w:r>
      <w:r>
        <w:rPr>
          <w:spacing w:val="6"/>
          <w:sz w:val="32"/>
        </w:rPr>
        <w:t>代号：</w:t>
      </w:r>
    </w:p>
    <w:p>
      <w:pPr>
        <w:pStyle w:val="BodyText"/>
        <w:spacing w:before="152"/>
        <w:ind w:left="358"/>
      </w:pPr>
      <w:r>
        <w:rPr>
          <w:spacing w:val="3"/>
          <w:w w:val="99"/>
        </w:rPr>
        <w:t>H</w:t>
      </w:r>
      <w:r>
        <w:rPr>
          <w:spacing w:val="-156"/>
          <w:w w:val="99"/>
        </w:rPr>
        <w:t>）</w:t>
      </w:r>
      <w:r>
        <w:rPr>
          <w:w w:val="99"/>
        </w:rPr>
        <w:t>。</w:t>
      </w:r>
    </w:p>
    <w:p>
      <w:pPr>
        <w:pStyle w:val="Heading3"/>
        <w:numPr>
          <w:ilvl w:val="1"/>
          <w:numId w:val="47"/>
        </w:numPr>
        <w:tabs>
          <w:tab w:pos="1021" w:val="left" w:leader="none"/>
        </w:tabs>
        <w:spacing w:line="240" w:lineRule="auto" w:before="44" w:after="0"/>
        <w:ind w:left="1020" w:right="0" w:hanging="663"/>
        <w:jc w:val="left"/>
      </w:pPr>
      <w:r>
        <w:rPr>
          <w:spacing w:val="8"/>
        </w:rPr>
        <w:t>特种设备事故隐患分级</w:t>
      </w:r>
    </w:p>
    <w:p>
      <w:pPr>
        <w:pStyle w:val="ListParagraph"/>
        <w:numPr>
          <w:ilvl w:val="2"/>
          <w:numId w:val="47"/>
        </w:numPr>
        <w:tabs>
          <w:tab w:pos="1345" w:val="left" w:leader="none"/>
        </w:tabs>
        <w:spacing w:line="328" w:lineRule="auto" w:before="76" w:after="0"/>
        <w:ind w:left="358" w:right="282" w:firstLine="0"/>
        <w:jc w:val="left"/>
        <w:rPr>
          <w:sz w:val="32"/>
        </w:rPr>
      </w:pPr>
      <w:r>
        <w:rPr>
          <w:spacing w:val="-2"/>
          <w:w w:val="95"/>
          <w:sz w:val="32"/>
        </w:rPr>
        <w:t>按隐患严重程度分为严重事故隐患、较大事故隐患、一般事 </w:t>
      </w:r>
      <w:r>
        <w:rPr>
          <w:spacing w:val="-14"/>
          <w:sz w:val="32"/>
        </w:rPr>
        <w:t>故隐患 </w:t>
      </w:r>
      <w:r>
        <w:rPr>
          <w:sz w:val="32"/>
        </w:rPr>
        <w:t>3</w:t>
      </w:r>
      <w:r>
        <w:rPr>
          <w:spacing w:val="-11"/>
          <w:sz w:val="32"/>
        </w:rPr>
        <w:t> 个级别。</w:t>
      </w:r>
    </w:p>
    <w:p>
      <w:pPr>
        <w:pStyle w:val="ListParagraph"/>
        <w:numPr>
          <w:ilvl w:val="2"/>
          <w:numId w:val="47"/>
        </w:numPr>
        <w:tabs>
          <w:tab w:pos="1345" w:val="left" w:leader="none"/>
        </w:tabs>
        <w:spacing w:line="407" w:lineRule="exact" w:before="0" w:after="0"/>
        <w:ind w:left="1344" w:right="0" w:hanging="987"/>
        <w:jc w:val="left"/>
        <w:rPr>
          <w:sz w:val="32"/>
        </w:rPr>
      </w:pPr>
      <w:r>
        <w:rPr>
          <w:spacing w:val="6"/>
          <w:sz w:val="32"/>
        </w:rPr>
        <w:t>存在下列情况之一的为严重事故隐患。</w:t>
      </w:r>
    </w:p>
    <w:p>
      <w:pPr>
        <w:pStyle w:val="ListParagraph"/>
        <w:numPr>
          <w:ilvl w:val="3"/>
          <w:numId w:val="47"/>
        </w:numPr>
        <w:tabs>
          <w:tab w:pos="1674" w:val="left" w:leader="none"/>
        </w:tabs>
        <w:spacing w:line="328" w:lineRule="auto" w:before="149" w:after="0"/>
        <w:ind w:left="358" w:right="280" w:firstLine="0"/>
        <w:jc w:val="left"/>
        <w:rPr>
          <w:sz w:val="32"/>
        </w:rPr>
      </w:pPr>
      <w:r>
        <w:rPr>
          <w:spacing w:val="-5"/>
          <w:w w:val="95"/>
          <w:sz w:val="32"/>
        </w:rPr>
        <w:t>违反特种设备法律、法规，应依法责令改正并处罚款的行 </w:t>
      </w:r>
      <w:r>
        <w:rPr>
          <w:spacing w:val="4"/>
          <w:sz w:val="32"/>
        </w:rPr>
        <w:t>为。</w:t>
      </w:r>
    </w:p>
    <w:p>
      <w:pPr>
        <w:pStyle w:val="ListParagraph"/>
        <w:numPr>
          <w:ilvl w:val="3"/>
          <w:numId w:val="47"/>
        </w:numPr>
        <w:tabs>
          <w:tab w:pos="1674" w:val="left" w:leader="none"/>
        </w:tabs>
        <w:spacing w:line="326" w:lineRule="auto" w:before="0" w:after="0"/>
        <w:ind w:left="358" w:right="280" w:firstLine="0"/>
        <w:jc w:val="left"/>
        <w:rPr>
          <w:sz w:val="32"/>
        </w:rPr>
      </w:pPr>
      <w:r>
        <w:rPr>
          <w:spacing w:val="-2"/>
          <w:w w:val="95"/>
          <w:sz w:val="32"/>
        </w:rPr>
        <w:t>违反特种设备安全技术规范及相关标准，可能导致重大和 </w:t>
      </w:r>
      <w:r>
        <w:rPr>
          <w:spacing w:val="6"/>
          <w:sz w:val="32"/>
        </w:rPr>
        <w:t>特别重大事故的隐患。</w:t>
      </w:r>
    </w:p>
    <w:p>
      <w:pPr>
        <w:pStyle w:val="ListParagraph"/>
        <w:numPr>
          <w:ilvl w:val="3"/>
          <w:numId w:val="47"/>
        </w:numPr>
        <w:tabs>
          <w:tab w:pos="1674" w:val="left" w:leader="none"/>
        </w:tabs>
        <w:spacing w:line="326" w:lineRule="auto" w:before="3" w:after="0"/>
        <w:ind w:left="358" w:right="282" w:firstLine="0"/>
        <w:jc w:val="left"/>
        <w:rPr>
          <w:sz w:val="32"/>
        </w:rPr>
      </w:pPr>
      <w:r>
        <w:rPr>
          <w:spacing w:val="-6"/>
          <w:w w:val="95"/>
          <w:sz w:val="32"/>
        </w:rPr>
        <w:t>风险管控缺失、失效，可能导致重大和特别重大事故的隐 </w:t>
      </w:r>
      <w:r>
        <w:rPr>
          <w:spacing w:val="4"/>
          <w:sz w:val="32"/>
        </w:rPr>
        <w:t>患。</w:t>
      </w:r>
    </w:p>
    <w:p>
      <w:pPr>
        <w:pStyle w:val="ListParagraph"/>
        <w:numPr>
          <w:ilvl w:val="3"/>
          <w:numId w:val="47"/>
        </w:numPr>
        <w:tabs>
          <w:tab w:pos="1674" w:val="left" w:leader="none"/>
        </w:tabs>
        <w:spacing w:line="328" w:lineRule="auto" w:before="3" w:after="0"/>
        <w:ind w:left="358" w:right="280" w:firstLine="0"/>
        <w:jc w:val="left"/>
        <w:rPr>
          <w:sz w:val="32"/>
        </w:rPr>
      </w:pPr>
      <w:r>
        <w:rPr>
          <w:spacing w:val="-5"/>
          <w:w w:val="95"/>
          <w:sz w:val="32"/>
        </w:rPr>
        <w:t>危害和整改难度较大，应当全部或者局部停产停业，并经 </w:t>
      </w:r>
      <w:r>
        <w:rPr>
          <w:spacing w:val="6"/>
          <w:sz w:val="32"/>
        </w:rPr>
        <w:t>过一定时间整改治理方能排除的隐患。</w:t>
      </w:r>
    </w:p>
    <w:p>
      <w:pPr>
        <w:pStyle w:val="ListParagraph"/>
        <w:numPr>
          <w:ilvl w:val="3"/>
          <w:numId w:val="47"/>
        </w:numPr>
        <w:tabs>
          <w:tab w:pos="1674" w:val="left" w:leader="none"/>
        </w:tabs>
        <w:spacing w:line="407" w:lineRule="exact" w:before="0" w:after="0"/>
        <w:ind w:left="1673" w:right="0" w:hanging="1316"/>
        <w:jc w:val="left"/>
        <w:rPr>
          <w:sz w:val="32"/>
        </w:rPr>
      </w:pPr>
      <w:r>
        <w:rPr>
          <w:spacing w:val="6"/>
          <w:sz w:val="32"/>
        </w:rPr>
        <w:t>因外部因素影响致使使用单位自身难以排除的隐患。</w:t>
      </w:r>
    </w:p>
    <w:p>
      <w:pPr>
        <w:pStyle w:val="ListParagraph"/>
        <w:numPr>
          <w:ilvl w:val="2"/>
          <w:numId w:val="47"/>
        </w:numPr>
        <w:tabs>
          <w:tab w:pos="1345" w:val="left" w:leader="none"/>
        </w:tabs>
        <w:spacing w:line="240" w:lineRule="auto" w:before="150" w:after="0"/>
        <w:ind w:left="1344" w:right="0" w:hanging="987"/>
        <w:jc w:val="left"/>
        <w:rPr>
          <w:sz w:val="32"/>
        </w:rPr>
      </w:pPr>
      <w:r>
        <w:rPr>
          <w:spacing w:val="6"/>
          <w:sz w:val="32"/>
        </w:rPr>
        <w:t>存在下列情况之一的为较大事故隐患。</w:t>
      </w:r>
    </w:p>
    <w:p>
      <w:pPr>
        <w:pStyle w:val="ListParagraph"/>
        <w:numPr>
          <w:ilvl w:val="3"/>
          <w:numId w:val="47"/>
        </w:numPr>
        <w:tabs>
          <w:tab w:pos="1674" w:val="left" w:leader="none"/>
        </w:tabs>
        <w:spacing w:line="326" w:lineRule="auto" w:before="151" w:after="0"/>
        <w:ind w:left="358" w:right="280" w:firstLine="0"/>
        <w:jc w:val="left"/>
        <w:rPr>
          <w:sz w:val="32"/>
        </w:rPr>
      </w:pPr>
      <w:r>
        <w:rPr>
          <w:spacing w:val="-5"/>
          <w:w w:val="95"/>
          <w:sz w:val="32"/>
        </w:rPr>
        <w:t>违反特种设备法律、法规，特种设备安全监管部门依法责 </w:t>
      </w:r>
      <w:r>
        <w:rPr>
          <w:spacing w:val="6"/>
          <w:sz w:val="32"/>
        </w:rPr>
        <w:t>令限期改正，逾期未改的，责令停产停业整顿并处罚款行为。</w:t>
      </w:r>
    </w:p>
    <w:p>
      <w:pPr>
        <w:pStyle w:val="ListParagraph"/>
        <w:numPr>
          <w:ilvl w:val="3"/>
          <w:numId w:val="47"/>
        </w:numPr>
        <w:tabs>
          <w:tab w:pos="1674" w:val="left" w:leader="none"/>
        </w:tabs>
        <w:spacing w:line="328" w:lineRule="auto" w:before="3" w:after="0"/>
        <w:ind w:left="358" w:right="280" w:firstLine="0"/>
        <w:jc w:val="left"/>
        <w:rPr>
          <w:sz w:val="32"/>
        </w:rPr>
      </w:pPr>
      <w:r>
        <w:rPr>
          <w:spacing w:val="-2"/>
          <w:w w:val="95"/>
          <w:sz w:val="32"/>
        </w:rPr>
        <w:t>违反特种设备安全技术规范及相关标准，可能导致较大事 </w:t>
      </w:r>
      <w:r>
        <w:rPr>
          <w:spacing w:val="6"/>
          <w:sz w:val="32"/>
        </w:rPr>
        <w:t>故的隐患。</w:t>
      </w:r>
    </w:p>
    <w:p>
      <w:pPr>
        <w:spacing w:after="0" w:line="328" w:lineRule="auto"/>
        <w:jc w:val="left"/>
        <w:rPr>
          <w:sz w:val="32"/>
        </w:rPr>
        <w:sectPr>
          <w:pgSz w:w="11910" w:h="16840"/>
          <w:pgMar w:header="0" w:footer="1039" w:top="1580" w:bottom="1300" w:left="1060" w:right="860"/>
        </w:sectPr>
      </w:pPr>
    </w:p>
    <w:p>
      <w:pPr>
        <w:pStyle w:val="BodyText"/>
        <w:ind w:left="0"/>
        <w:rPr>
          <w:sz w:val="20"/>
        </w:rPr>
      </w:pPr>
    </w:p>
    <w:p>
      <w:pPr>
        <w:pStyle w:val="ListParagraph"/>
        <w:numPr>
          <w:ilvl w:val="3"/>
          <w:numId w:val="47"/>
        </w:numPr>
        <w:tabs>
          <w:tab w:pos="1674" w:val="left" w:leader="none"/>
        </w:tabs>
        <w:spacing w:line="240" w:lineRule="auto" w:before="202" w:after="0"/>
        <w:ind w:left="1673" w:right="0" w:hanging="1316"/>
        <w:jc w:val="left"/>
        <w:rPr>
          <w:sz w:val="32"/>
        </w:rPr>
      </w:pPr>
      <w:r>
        <w:rPr>
          <w:spacing w:val="6"/>
          <w:sz w:val="32"/>
        </w:rPr>
        <w:t>风险管控缺失或失效，可能导致较大事故的隐患。</w:t>
      </w:r>
    </w:p>
    <w:p>
      <w:pPr>
        <w:pStyle w:val="ListParagraph"/>
        <w:numPr>
          <w:ilvl w:val="2"/>
          <w:numId w:val="47"/>
        </w:numPr>
        <w:tabs>
          <w:tab w:pos="1345" w:val="left" w:leader="none"/>
        </w:tabs>
        <w:spacing w:line="328" w:lineRule="auto" w:before="150" w:after="0"/>
        <w:ind w:left="358" w:right="280" w:firstLine="0"/>
        <w:jc w:val="left"/>
        <w:rPr>
          <w:sz w:val="32"/>
        </w:rPr>
      </w:pPr>
      <w:r>
        <w:rPr>
          <w:spacing w:val="-5"/>
          <w:w w:val="95"/>
          <w:sz w:val="32"/>
        </w:rPr>
        <w:t>除上述严重、较大隐患外的其他特种设备事故隐患均为一般 </w:t>
      </w:r>
      <w:r>
        <w:rPr>
          <w:spacing w:val="6"/>
          <w:sz w:val="32"/>
        </w:rPr>
        <w:t>事故隐患，包括但不限于以下情况。</w:t>
      </w:r>
    </w:p>
    <w:p>
      <w:pPr>
        <w:pStyle w:val="ListParagraph"/>
        <w:numPr>
          <w:ilvl w:val="3"/>
          <w:numId w:val="47"/>
        </w:numPr>
        <w:tabs>
          <w:tab w:pos="1674" w:val="left" w:leader="none"/>
        </w:tabs>
        <w:spacing w:line="407" w:lineRule="exact" w:before="0" w:after="0"/>
        <w:ind w:left="1673" w:right="0" w:hanging="1316"/>
        <w:jc w:val="left"/>
        <w:rPr>
          <w:sz w:val="32"/>
        </w:rPr>
      </w:pPr>
      <w:r>
        <w:rPr>
          <w:spacing w:val="6"/>
          <w:sz w:val="32"/>
        </w:rPr>
        <w:t>违反使用单位内部管理制度的行为或状态。</w:t>
      </w:r>
    </w:p>
    <w:p>
      <w:pPr>
        <w:pStyle w:val="ListParagraph"/>
        <w:numPr>
          <w:ilvl w:val="3"/>
          <w:numId w:val="47"/>
        </w:numPr>
        <w:tabs>
          <w:tab w:pos="1674" w:val="left" w:leader="none"/>
        </w:tabs>
        <w:spacing w:line="328" w:lineRule="auto" w:before="149" w:after="0"/>
        <w:ind w:left="358" w:right="280" w:firstLine="0"/>
        <w:jc w:val="left"/>
        <w:rPr>
          <w:sz w:val="32"/>
        </w:rPr>
      </w:pPr>
      <w:r>
        <w:rPr>
          <w:spacing w:val="-6"/>
          <w:w w:val="95"/>
          <w:sz w:val="32"/>
        </w:rPr>
        <w:t>风险易于管控，整改难度较小，发现后能够立即整改排除 </w:t>
      </w:r>
      <w:r>
        <w:rPr>
          <w:spacing w:val="6"/>
          <w:sz w:val="32"/>
        </w:rPr>
        <w:t>的隐患。</w:t>
      </w:r>
    </w:p>
    <w:p>
      <w:pPr>
        <w:pStyle w:val="ListParagraph"/>
        <w:numPr>
          <w:ilvl w:val="2"/>
          <w:numId w:val="47"/>
        </w:numPr>
        <w:tabs>
          <w:tab w:pos="1345" w:val="left" w:leader="none"/>
        </w:tabs>
        <w:spacing w:line="407" w:lineRule="exact" w:before="0" w:after="0"/>
        <w:ind w:left="1344" w:right="0" w:hanging="987"/>
        <w:jc w:val="left"/>
        <w:rPr>
          <w:sz w:val="32"/>
        </w:rPr>
      </w:pPr>
      <w:r>
        <w:rPr>
          <w:spacing w:val="6"/>
          <w:sz w:val="32"/>
        </w:rPr>
        <w:t>特种设备事故隐患分级应遵循以下原则：</w:t>
      </w:r>
    </w:p>
    <w:p>
      <w:pPr>
        <w:pStyle w:val="BodyText"/>
        <w:spacing w:before="149"/>
        <w:ind w:left="996"/>
      </w:pPr>
      <w:r>
        <w:rPr/>
        <w:t>—— 公众聚集场所的隐患，应根据实际情况适当提高隐患级</w:t>
      </w:r>
    </w:p>
    <w:p>
      <w:pPr>
        <w:pStyle w:val="BodyText"/>
        <w:spacing w:before="152"/>
        <w:ind w:left="358"/>
      </w:pPr>
      <w:r>
        <w:rPr/>
        <w:t>别；</w:t>
      </w:r>
    </w:p>
    <w:p>
      <w:pPr>
        <w:pStyle w:val="BodyText"/>
        <w:spacing w:before="149"/>
        <w:ind w:left="996"/>
      </w:pPr>
      <w:r>
        <w:rPr/>
        <w:t>—— 对于可能造成环境危害的隐患，应根据实际情况适当提高</w:t>
      </w:r>
    </w:p>
    <w:p>
      <w:pPr>
        <w:pStyle w:val="BodyText"/>
        <w:spacing w:before="149"/>
        <w:ind w:left="358"/>
      </w:pPr>
      <w:r>
        <w:rPr/>
        <w:t>隐患级别；</w:t>
      </w:r>
    </w:p>
    <w:p>
      <w:pPr>
        <w:pStyle w:val="BodyText"/>
        <w:spacing w:before="152"/>
        <w:ind w:left="996"/>
      </w:pPr>
      <w:r>
        <w:rPr>
          <w:spacing w:val="-2"/>
        </w:rPr>
        <w:t>—— 对油气管道隐患，其隐患分级还应符合</w:t>
      </w:r>
      <w:r>
        <w:rPr/>
        <w:t>GB/T</w:t>
      </w:r>
      <w:r>
        <w:rPr>
          <w:spacing w:val="-83"/>
        </w:rPr>
        <w:t> </w:t>
      </w:r>
      <w:r>
        <w:rPr/>
        <w:t>34346等的要</w:t>
      </w:r>
    </w:p>
    <w:p>
      <w:pPr>
        <w:pStyle w:val="BodyText"/>
        <w:spacing w:before="149"/>
        <w:ind w:left="358"/>
      </w:pPr>
      <w:r>
        <w:rPr/>
        <w:t>求；</w:t>
      </w:r>
    </w:p>
    <w:p>
      <w:pPr>
        <w:pStyle w:val="BodyText"/>
        <w:spacing w:line="328" w:lineRule="auto" w:before="149"/>
        <w:ind w:left="1608" w:right="275" w:hanging="816"/>
      </w:pPr>
      <w:r>
        <w:rPr/>
        <w:t>—— 特种设备使用单位可以根据本单位实际情况提高隐患级别，但不能降低本标准规定的隐患级别。</w:t>
      </w:r>
    </w:p>
    <w:p>
      <w:pPr>
        <w:pStyle w:val="ListParagraph"/>
        <w:numPr>
          <w:ilvl w:val="0"/>
          <w:numId w:val="47"/>
        </w:numPr>
        <w:tabs>
          <w:tab w:pos="678" w:val="left" w:leader="none"/>
        </w:tabs>
        <w:spacing w:line="240" w:lineRule="auto" w:before="117" w:after="0"/>
        <w:ind w:left="677" w:right="0" w:hanging="320"/>
        <w:jc w:val="left"/>
        <w:rPr>
          <w:rFonts w:ascii="黑体" w:eastAsia="黑体" w:hint="eastAsia"/>
          <w:sz w:val="32"/>
        </w:rPr>
      </w:pPr>
      <w:r>
        <w:rPr>
          <w:rFonts w:ascii="黑体" w:eastAsia="黑体" w:hint="eastAsia"/>
          <w:sz w:val="32"/>
        </w:rPr>
        <w:t>特种设备事故隐患目录</w:t>
      </w:r>
    </w:p>
    <w:p>
      <w:pPr>
        <w:pStyle w:val="ListParagraph"/>
        <w:numPr>
          <w:ilvl w:val="1"/>
          <w:numId w:val="47"/>
        </w:numPr>
        <w:tabs>
          <w:tab w:pos="1028" w:val="left" w:leader="none"/>
        </w:tabs>
        <w:spacing w:line="328" w:lineRule="auto" w:before="270" w:after="0"/>
        <w:ind w:left="358" w:right="280" w:firstLine="0"/>
        <w:jc w:val="left"/>
        <w:rPr>
          <w:sz w:val="32"/>
        </w:rPr>
      </w:pPr>
      <w:r>
        <w:rPr>
          <w:spacing w:val="13"/>
          <w:w w:val="95"/>
          <w:sz w:val="32"/>
        </w:rPr>
        <w:t>特种设备严重事故隐患、较大事故隐患目录及其分类分级分 </w:t>
      </w:r>
      <w:r>
        <w:rPr>
          <w:spacing w:val="-10"/>
          <w:sz w:val="32"/>
        </w:rPr>
        <w:t>别见附录 </w:t>
      </w:r>
      <w:r>
        <w:rPr>
          <w:spacing w:val="3"/>
          <w:sz w:val="32"/>
        </w:rPr>
        <w:t>A</w:t>
      </w:r>
      <w:r>
        <w:rPr>
          <w:spacing w:val="-14"/>
          <w:sz w:val="32"/>
        </w:rPr>
        <w:t>、附录 </w:t>
      </w:r>
      <w:r>
        <w:rPr>
          <w:spacing w:val="3"/>
          <w:sz w:val="32"/>
        </w:rPr>
        <w:t>B</w:t>
      </w:r>
      <w:r>
        <w:rPr>
          <w:sz w:val="32"/>
        </w:rPr>
        <w:t>。</w:t>
      </w:r>
    </w:p>
    <w:p>
      <w:pPr>
        <w:pStyle w:val="ListParagraph"/>
        <w:numPr>
          <w:ilvl w:val="1"/>
          <w:numId w:val="47"/>
        </w:numPr>
        <w:tabs>
          <w:tab w:pos="1028" w:val="left" w:leader="none"/>
        </w:tabs>
        <w:spacing w:line="326" w:lineRule="auto" w:before="0" w:after="0"/>
        <w:ind w:left="358" w:right="280" w:firstLine="0"/>
        <w:jc w:val="left"/>
        <w:rPr>
          <w:sz w:val="32"/>
        </w:rPr>
      </w:pPr>
      <w:r>
        <w:rPr>
          <w:spacing w:val="13"/>
          <w:w w:val="95"/>
          <w:sz w:val="32"/>
        </w:rPr>
        <w:t>特种设备一般事故隐患目录由使用单位结合本单位安全管理 </w:t>
      </w:r>
      <w:r>
        <w:rPr>
          <w:spacing w:val="6"/>
          <w:sz w:val="32"/>
        </w:rPr>
        <w:t>和风险管控要求自行建立并逐步完善。</w:t>
      </w:r>
    </w:p>
    <w:p>
      <w:pPr>
        <w:pStyle w:val="ListParagraph"/>
        <w:numPr>
          <w:ilvl w:val="1"/>
          <w:numId w:val="47"/>
        </w:numPr>
        <w:tabs>
          <w:tab w:pos="1028" w:val="left" w:leader="none"/>
        </w:tabs>
        <w:spacing w:line="326" w:lineRule="auto" w:before="3" w:after="0"/>
        <w:ind w:left="358" w:right="280" w:firstLine="0"/>
        <w:jc w:val="left"/>
        <w:rPr>
          <w:sz w:val="32"/>
        </w:rPr>
      </w:pPr>
      <w:r>
        <w:rPr>
          <w:spacing w:val="13"/>
          <w:w w:val="95"/>
          <w:sz w:val="32"/>
        </w:rPr>
        <w:t>当一个隐患同时满足本标准的不同条款时，按隐患目录最直 </w:t>
      </w:r>
      <w:r>
        <w:rPr>
          <w:spacing w:val="6"/>
          <w:sz w:val="32"/>
        </w:rPr>
        <w:t>接的表述归类。</w:t>
      </w:r>
    </w:p>
    <w:p>
      <w:pPr>
        <w:pStyle w:val="ListParagraph"/>
        <w:numPr>
          <w:ilvl w:val="1"/>
          <w:numId w:val="47"/>
        </w:numPr>
        <w:tabs>
          <w:tab w:pos="1028" w:val="left" w:leader="none"/>
        </w:tabs>
        <w:spacing w:line="240" w:lineRule="auto" w:before="3" w:after="0"/>
        <w:ind w:left="1028" w:right="0" w:hanging="670"/>
        <w:jc w:val="left"/>
        <w:rPr>
          <w:sz w:val="32"/>
        </w:rPr>
      </w:pPr>
      <w:r>
        <w:rPr>
          <w:spacing w:val="13"/>
          <w:sz w:val="32"/>
        </w:rPr>
        <w:t>符合下述条件之一的特种设备使用单位应制定或细化隐患目</w:t>
      </w:r>
    </w:p>
    <w:p>
      <w:pPr>
        <w:spacing w:after="0" w:line="240" w:lineRule="auto"/>
        <w:jc w:val="left"/>
        <w:rPr>
          <w:sz w:val="32"/>
        </w:rPr>
        <w:sectPr>
          <w:pgSz w:w="11910" w:h="16840"/>
          <w:pgMar w:header="0" w:footer="1039" w:top="1580" w:bottom="1300" w:left="1060" w:right="860"/>
        </w:sectPr>
      </w:pPr>
    </w:p>
    <w:p>
      <w:pPr>
        <w:pStyle w:val="BodyText"/>
        <w:ind w:left="0"/>
        <w:rPr>
          <w:sz w:val="20"/>
        </w:rPr>
      </w:pPr>
    </w:p>
    <w:p>
      <w:pPr>
        <w:pStyle w:val="BodyText"/>
        <w:spacing w:before="202"/>
        <w:ind w:left="358"/>
      </w:pPr>
      <w:r>
        <w:rPr/>
        <w:t>录，并建立与本目录的对应关系。</w:t>
      </w:r>
    </w:p>
    <w:p>
      <w:pPr>
        <w:pStyle w:val="BodyText"/>
        <w:spacing w:line="328" w:lineRule="auto" w:before="150"/>
        <w:ind w:left="358" w:right="193" w:firstLine="638"/>
      </w:pPr>
      <w:r>
        <w:rPr/>
        <w:t>—— 按《特种设备使用管理规则》应设置特种设备安全管理机构或配备专职安全管理员的；</w:t>
      </w:r>
    </w:p>
    <w:p>
      <w:pPr>
        <w:pStyle w:val="BodyText"/>
        <w:spacing w:line="407" w:lineRule="exact"/>
        <w:ind w:left="996"/>
      </w:pPr>
      <w:r>
        <w:rPr/>
        <w:t>—— 使用风险较高行业的（见注）；</w:t>
      </w:r>
    </w:p>
    <w:p>
      <w:pPr>
        <w:pStyle w:val="BodyText"/>
        <w:spacing w:before="149"/>
        <w:ind w:left="996"/>
      </w:pPr>
      <w:r>
        <w:rPr/>
        <w:t>—— 使用重点特种设备的；</w:t>
      </w:r>
    </w:p>
    <w:p>
      <w:pPr>
        <w:pStyle w:val="BodyText"/>
        <w:spacing w:before="151"/>
        <w:ind w:left="996"/>
      </w:pPr>
      <w:r>
        <w:rPr/>
        <w:t>—— 使用环境会给特种设备安全带来较大影响的。</w:t>
      </w:r>
    </w:p>
    <w:p>
      <w:pPr>
        <w:pStyle w:val="BodyText"/>
        <w:spacing w:line="326" w:lineRule="auto" w:before="150"/>
        <w:ind w:left="358" w:right="114" w:firstLine="638"/>
      </w:pPr>
      <w:r>
        <w:rPr>
          <w:spacing w:val="-9"/>
          <w:w w:val="95"/>
        </w:rPr>
        <w:t>注：如金属冶金、港口码头、物流仓储、气体充装、液氨制冷、 </w:t>
      </w:r>
      <w:r>
        <w:rPr>
          <w:spacing w:val="-9"/>
        </w:rPr>
        <w:t>石油化工等行业。</w:t>
      </w:r>
    </w:p>
    <w:p>
      <w:pPr>
        <w:spacing w:after="0" w:line="326" w:lineRule="auto"/>
        <w:sectPr>
          <w:footerReference w:type="default" r:id="rId22"/>
          <w:pgSz w:w="11910" w:h="16840"/>
          <w:pgMar w:footer="1119" w:header="0" w:top="1580" w:bottom="1300" w:left="1060" w:right="860"/>
          <w:pgNumType w:start="130"/>
        </w:sectPr>
      </w:pPr>
    </w:p>
    <w:p>
      <w:pPr>
        <w:pStyle w:val="BodyText"/>
        <w:ind w:left="0"/>
        <w:rPr>
          <w:sz w:val="20"/>
        </w:rPr>
      </w:pPr>
    </w:p>
    <w:p>
      <w:pPr>
        <w:pStyle w:val="BodyText"/>
        <w:ind w:left="0"/>
        <w:rPr>
          <w:sz w:val="20"/>
        </w:rPr>
      </w:pPr>
    </w:p>
    <w:p>
      <w:pPr>
        <w:pStyle w:val="BodyText"/>
        <w:spacing w:before="7"/>
        <w:ind w:left="0"/>
        <w:rPr>
          <w:sz w:val="27"/>
        </w:rPr>
      </w:pPr>
    </w:p>
    <w:p>
      <w:pPr>
        <w:tabs>
          <w:tab w:pos="565" w:val="left" w:leader="none"/>
          <w:tab w:pos="1045" w:val="left" w:leader="none"/>
        </w:tabs>
        <w:spacing w:before="67"/>
        <w:ind w:left="86" w:right="0" w:firstLine="0"/>
        <w:jc w:val="center"/>
        <w:rPr>
          <w:sz w:val="24"/>
        </w:rPr>
      </w:pPr>
      <w:r>
        <w:rPr>
          <w:sz w:val="24"/>
        </w:rPr>
        <w:t>附</w:t>
        <w:tab/>
        <w:t>录</w:t>
        <w:tab/>
        <w:t>A</w:t>
      </w:r>
    </w:p>
    <w:p>
      <w:pPr>
        <w:spacing w:before="2"/>
        <w:ind w:left="722" w:right="636" w:firstLine="0"/>
        <w:jc w:val="center"/>
        <w:rPr>
          <w:sz w:val="24"/>
        </w:rPr>
      </w:pPr>
      <w:r>
        <w:rPr>
          <w:sz w:val="24"/>
        </w:rPr>
        <w:t>（规范性附录）</w:t>
      </w:r>
    </w:p>
    <w:p>
      <w:pPr>
        <w:spacing w:before="4" w:after="43"/>
        <w:ind w:left="722" w:right="636" w:firstLine="0"/>
        <w:jc w:val="center"/>
        <w:rPr>
          <w:sz w:val="24"/>
        </w:rPr>
      </w:pPr>
      <w:r>
        <w:rPr>
          <w:sz w:val="24"/>
        </w:rPr>
        <w:t>特种设备严重事故隐患</w:t>
      </w:r>
    </w:p>
    <w:tbl>
      <w:tblPr>
        <w:tblW w:w="0" w:type="auto"/>
        <w:jc w:val="left"/>
        <w:tblInd w:w="3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71"/>
        <w:gridCol w:w="1170"/>
        <w:gridCol w:w="7715"/>
      </w:tblGrid>
      <w:tr>
        <w:trPr>
          <w:trHeight w:val="621" w:hRule="atLeast"/>
        </w:trPr>
        <w:tc>
          <w:tcPr>
            <w:tcW w:w="471" w:type="dxa"/>
            <w:tcBorders>
              <w:right w:val="single" w:sz="4" w:space="0" w:color="000000"/>
            </w:tcBorders>
          </w:tcPr>
          <w:p>
            <w:pPr>
              <w:pStyle w:val="TableParagraph"/>
              <w:ind w:left="113"/>
              <w:rPr>
                <w:sz w:val="24"/>
              </w:rPr>
            </w:pPr>
            <w:r>
              <w:rPr>
                <w:sz w:val="24"/>
              </w:rPr>
              <w:t>序</w:t>
            </w:r>
          </w:p>
          <w:p>
            <w:pPr>
              <w:pStyle w:val="TableParagraph"/>
              <w:spacing w:line="290" w:lineRule="exact" w:before="4"/>
              <w:ind w:left="113"/>
              <w:rPr>
                <w:sz w:val="24"/>
              </w:rPr>
            </w:pPr>
            <w:r>
              <w:rPr>
                <w:sz w:val="24"/>
              </w:rPr>
              <w:t>号</w:t>
            </w:r>
          </w:p>
        </w:tc>
        <w:tc>
          <w:tcPr>
            <w:tcW w:w="1170" w:type="dxa"/>
            <w:tcBorders>
              <w:left w:val="single" w:sz="4" w:space="0" w:color="000000"/>
              <w:right w:val="single" w:sz="4" w:space="0" w:color="000000"/>
            </w:tcBorders>
          </w:tcPr>
          <w:p>
            <w:pPr>
              <w:pStyle w:val="TableParagraph"/>
              <w:spacing w:before="156"/>
              <w:ind w:left="94"/>
              <w:rPr>
                <w:sz w:val="24"/>
              </w:rPr>
            </w:pPr>
            <w:r>
              <w:rPr>
                <w:sz w:val="24"/>
              </w:rPr>
              <w:t>隐患类别</w:t>
            </w:r>
          </w:p>
        </w:tc>
        <w:tc>
          <w:tcPr>
            <w:tcW w:w="7715" w:type="dxa"/>
            <w:tcBorders>
              <w:left w:val="single" w:sz="4" w:space="0" w:color="000000"/>
            </w:tcBorders>
          </w:tcPr>
          <w:p>
            <w:pPr>
              <w:pStyle w:val="TableParagraph"/>
              <w:tabs>
                <w:tab w:pos="516" w:val="left" w:leader="none"/>
                <w:tab w:pos="1020" w:val="left" w:leader="none"/>
                <w:tab w:pos="1524" w:val="left" w:leader="none"/>
              </w:tabs>
              <w:spacing w:before="156"/>
              <w:ind w:left="12"/>
              <w:jc w:val="center"/>
              <w:rPr>
                <w:sz w:val="24"/>
              </w:rPr>
            </w:pPr>
            <w:r>
              <w:rPr>
                <w:sz w:val="24"/>
              </w:rPr>
              <w:t>隐</w:t>
              <w:tab/>
              <w:t>患</w:t>
              <w:tab/>
              <w:t>目</w:t>
              <w:tab/>
              <w:t>录</w:t>
            </w:r>
          </w:p>
        </w:tc>
      </w:tr>
      <w:tr>
        <w:trPr>
          <w:trHeight w:val="623" w:hRule="atLeast"/>
        </w:trPr>
        <w:tc>
          <w:tcPr>
            <w:tcW w:w="471" w:type="dxa"/>
            <w:tcBorders>
              <w:bottom w:val="single" w:sz="4" w:space="0" w:color="000000"/>
              <w:right w:val="single" w:sz="4" w:space="0" w:color="000000"/>
            </w:tcBorders>
          </w:tcPr>
          <w:p>
            <w:pPr>
              <w:pStyle w:val="TableParagraph"/>
              <w:spacing w:before="157"/>
              <w:ind w:left="176"/>
              <w:rPr>
                <w:sz w:val="24"/>
              </w:rPr>
            </w:pPr>
            <w:r>
              <w:rPr>
                <w:sz w:val="24"/>
              </w:rPr>
              <w:t>1</w:t>
            </w:r>
          </w:p>
        </w:tc>
        <w:tc>
          <w:tcPr>
            <w:tcW w:w="1170" w:type="dxa"/>
            <w:vMerge w:val="restart"/>
            <w:tcBorders>
              <w:left w:val="single" w:sz="4" w:space="0" w:color="000000"/>
              <w:bottom w:val="single" w:sz="4" w:space="0" w:color="000000"/>
              <w:right w:val="single" w:sz="4" w:space="0" w:color="000000"/>
            </w:tcBorders>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
              <w:rPr>
                <w:sz w:val="31"/>
              </w:rPr>
            </w:pPr>
          </w:p>
          <w:p>
            <w:pPr>
              <w:pStyle w:val="TableParagraph"/>
              <w:spacing w:before="1"/>
              <w:ind w:left="216"/>
              <w:rPr>
                <w:sz w:val="24"/>
              </w:rPr>
            </w:pPr>
            <w:r>
              <w:rPr>
                <w:sz w:val="24"/>
              </w:rPr>
              <w:t>设备类</w:t>
            </w:r>
          </w:p>
          <w:p>
            <w:pPr>
              <w:pStyle w:val="TableParagraph"/>
              <w:spacing w:before="2"/>
              <w:ind w:left="279"/>
              <w:rPr>
                <w:sz w:val="24"/>
              </w:rPr>
            </w:pPr>
            <w:r>
              <w:rPr>
                <w:sz w:val="24"/>
              </w:rPr>
              <w:t>（S）</w:t>
            </w:r>
          </w:p>
        </w:tc>
        <w:tc>
          <w:tcPr>
            <w:tcW w:w="7715" w:type="dxa"/>
            <w:tcBorders>
              <w:left w:val="single" w:sz="4" w:space="0" w:color="000000"/>
              <w:bottom w:val="single" w:sz="4" w:space="0" w:color="000000"/>
            </w:tcBorders>
          </w:tcPr>
          <w:p>
            <w:pPr>
              <w:pStyle w:val="TableParagraph"/>
              <w:spacing w:before="1"/>
              <w:ind w:left="114"/>
              <w:rPr>
                <w:sz w:val="24"/>
              </w:rPr>
            </w:pPr>
            <w:r>
              <w:rPr>
                <w:sz w:val="24"/>
              </w:rPr>
              <w:t>在用的特种设备是未取得许可进行设计、制造、安装、改造、重大修</w:t>
            </w:r>
          </w:p>
          <w:p>
            <w:pPr>
              <w:pStyle w:val="TableParagraph"/>
              <w:spacing w:line="290" w:lineRule="exact" w:before="5"/>
              <w:ind w:left="114"/>
              <w:rPr>
                <w:sz w:val="24"/>
              </w:rPr>
            </w:pPr>
            <w:r>
              <w:rPr>
                <w:sz w:val="24"/>
              </w:rPr>
              <w:t>理的</w:t>
            </w:r>
          </w:p>
        </w:tc>
      </w:tr>
      <w:tr>
        <w:trPr>
          <w:trHeight w:val="621" w:hRule="atLeast"/>
        </w:trPr>
        <w:tc>
          <w:tcPr>
            <w:tcW w:w="471" w:type="dxa"/>
            <w:tcBorders>
              <w:top w:val="single" w:sz="4" w:space="0" w:color="000000"/>
              <w:bottom w:val="single" w:sz="4" w:space="0" w:color="000000"/>
              <w:right w:val="single" w:sz="4" w:space="0" w:color="000000"/>
            </w:tcBorders>
          </w:tcPr>
          <w:p>
            <w:pPr>
              <w:pStyle w:val="TableParagraph"/>
              <w:spacing w:before="155"/>
              <w:ind w:left="176"/>
              <w:rPr>
                <w:sz w:val="24"/>
              </w:rPr>
            </w:pPr>
            <w:r>
              <w:rPr>
                <w:sz w:val="24"/>
              </w:rPr>
              <w:t>2</w:t>
            </w:r>
          </w:p>
        </w:tc>
        <w:tc>
          <w:tcPr>
            <w:tcW w:w="1170" w:type="dxa"/>
            <w:vMerge/>
            <w:tcBorders>
              <w:top w:val="nil"/>
              <w:left w:val="single" w:sz="4" w:space="0" w:color="000000"/>
              <w:bottom w:val="single" w:sz="4" w:space="0" w:color="000000"/>
              <w:right w:val="single" w:sz="4" w:space="0" w:color="000000"/>
            </w:tcBorders>
          </w:tcPr>
          <w:p>
            <w:pPr>
              <w:rPr>
                <w:sz w:val="2"/>
                <w:szCs w:val="2"/>
              </w:rPr>
            </w:pPr>
          </w:p>
        </w:tc>
        <w:tc>
          <w:tcPr>
            <w:tcW w:w="7715" w:type="dxa"/>
            <w:tcBorders>
              <w:top w:val="single" w:sz="4" w:space="0" w:color="000000"/>
              <w:left w:val="single" w:sz="4" w:space="0" w:color="000000"/>
              <w:bottom w:val="single" w:sz="4" w:space="0" w:color="000000"/>
            </w:tcBorders>
          </w:tcPr>
          <w:p>
            <w:pPr>
              <w:pStyle w:val="TableParagraph"/>
              <w:spacing w:before="2"/>
              <w:ind w:left="114"/>
              <w:rPr>
                <w:sz w:val="24"/>
              </w:rPr>
            </w:pPr>
            <w:r>
              <w:rPr>
                <w:sz w:val="24"/>
              </w:rPr>
              <w:t>在用的特种设备是未经检验或检验不合格的（使用资料不符合安全技</w:t>
            </w:r>
          </w:p>
          <w:p>
            <w:pPr>
              <w:pStyle w:val="TableParagraph"/>
              <w:spacing w:line="291" w:lineRule="exact" w:before="2"/>
              <w:ind w:left="114"/>
              <w:rPr>
                <w:sz w:val="24"/>
              </w:rPr>
            </w:pPr>
            <w:r>
              <w:rPr>
                <w:sz w:val="24"/>
              </w:rPr>
              <w:t>术规范导致检验不合格的电梯除外）</w:t>
            </w:r>
          </w:p>
        </w:tc>
      </w:tr>
      <w:tr>
        <w:trPr>
          <w:trHeight w:val="397" w:hRule="atLeast"/>
        </w:trPr>
        <w:tc>
          <w:tcPr>
            <w:tcW w:w="471" w:type="dxa"/>
            <w:tcBorders>
              <w:top w:val="single" w:sz="4" w:space="0" w:color="000000"/>
              <w:bottom w:val="single" w:sz="4" w:space="0" w:color="000000"/>
              <w:right w:val="single" w:sz="4" w:space="0" w:color="000000"/>
            </w:tcBorders>
          </w:tcPr>
          <w:p>
            <w:pPr>
              <w:pStyle w:val="TableParagraph"/>
              <w:spacing w:before="44"/>
              <w:ind w:left="176"/>
              <w:rPr>
                <w:sz w:val="24"/>
              </w:rPr>
            </w:pPr>
            <w:r>
              <w:rPr>
                <w:sz w:val="24"/>
              </w:rPr>
              <w:t>3</w:t>
            </w:r>
          </w:p>
        </w:tc>
        <w:tc>
          <w:tcPr>
            <w:tcW w:w="1170" w:type="dxa"/>
            <w:vMerge/>
            <w:tcBorders>
              <w:top w:val="nil"/>
              <w:left w:val="single" w:sz="4" w:space="0" w:color="000000"/>
              <w:bottom w:val="single" w:sz="4" w:space="0" w:color="000000"/>
              <w:right w:val="single" w:sz="4" w:space="0" w:color="000000"/>
            </w:tcBorders>
          </w:tcPr>
          <w:p>
            <w:pPr>
              <w:rPr>
                <w:sz w:val="2"/>
                <w:szCs w:val="2"/>
              </w:rPr>
            </w:pPr>
          </w:p>
        </w:tc>
        <w:tc>
          <w:tcPr>
            <w:tcW w:w="7715" w:type="dxa"/>
            <w:tcBorders>
              <w:top w:val="single" w:sz="4" w:space="0" w:color="000000"/>
              <w:left w:val="single" w:sz="4" w:space="0" w:color="000000"/>
              <w:bottom w:val="single" w:sz="4" w:space="0" w:color="000000"/>
            </w:tcBorders>
          </w:tcPr>
          <w:p>
            <w:pPr>
              <w:pStyle w:val="TableParagraph"/>
              <w:spacing w:before="44"/>
              <w:ind w:left="114"/>
              <w:rPr>
                <w:sz w:val="24"/>
              </w:rPr>
            </w:pPr>
            <w:r>
              <w:rPr>
                <w:sz w:val="24"/>
              </w:rPr>
              <w:t>在用的特种设备是国家明令淘汰的</w:t>
            </w:r>
          </w:p>
        </w:tc>
      </w:tr>
      <w:tr>
        <w:trPr>
          <w:trHeight w:val="396" w:hRule="atLeast"/>
        </w:trPr>
        <w:tc>
          <w:tcPr>
            <w:tcW w:w="471" w:type="dxa"/>
            <w:tcBorders>
              <w:top w:val="single" w:sz="4" w:space="0" w:color="000000"/>
              <w:bottom w:val="single" w:sz="4" w:space="0" w:color="000000"/>
              <w:right w:val="single" w:sz="4" w:space="0" w:color="000000"/>
            </w:tcBorders>
          </w:tcPr>
          <w:p>
            <w:pPr>
              <w:pStyle w:val="TableParagraph"/>
              <w:spacing w:before="45"/>
              <w:ind w:left="176"/>
              <w:rPr>
                <w:sz w:val="24"/>
              </w:rPr>
            </w:pPr>
            <w:r>
              <w:rPr>
                <w:sz w:val="24"/>
              </w:rPr>
              <w:t>4</w:t>
            </w:r>
          </w:p>
        </w:tc>
        <w:tc>
          <w:tcPr>
            <w:tcW w:w="1170" w:type="dxa"/>
            <w:vMerge/>
            <w:tcBorders>
              <w:top w:val="nil"/>
              <w:left w:val="single" w:sz="4" w:space="0" w:color="000000"/>
              <w:bottom w:val="single" w:sz="4" w:space="0" w:color="000000"/>
              <w:right w:val="single" w:sz="4" w:space="0" w:color="000000"/>
            </w:tcBorders>
          </w:tcPr>
          <w:p>
            <w:pPr>
              <w:rPr>
                <w:sz w:val="2"/>
                <w:szCs w:val="2"/>
              </w:rPr>
            </w:pPr>
          </w:p>
        </w:tc>
        <w:tc>
          <w:tcPr>
            <w:tcW w:w="7715" w:type="dxa"/>
            <w:tcBorders>
              <w:top w:val="single" w:sz="4" w:space="0" w:color="000000"/>
              <w:left w:val="single" w:sz="4" w:space="0" w:color="000000"/>
              <w:bottom w:val="single" w:sz="4" w:space="0" w:color="000000"/>
            </w:tcBorders>
          </w:tcPr>
          <w:p>
            <w:pPr>
              <w:pStyle w:val="TableParagraph"/>
              <w:spacing w:before="45"/>
              <w:ind w:left="114"/>
              <w:rPr>
                <w:sz w:val="24"/>
              </w:rPr>
            </w:pPr>
            <w:r>
              <w:rPr>
                <w:sz w:val="24"/>
              </w:rPr>
              <w:t>在用的特种设备是已经报废的</w:t>
            </w:r>
          </w:p>
        </w:tc>
      </w:tr>
      <w:tr>
        <w:trPr>
          <w:trHeight w:val="397" w:hRule="atLeast"/>
        </w:trPr>
        <w:tc>
          <w:tcPr>
            <w:tcW w:w="471" w:type="dxa"/>
            <w:tcBorders>
              <w:top w:val="single" w:sz="4" w:space="0" w:color="000000"/>
              <w:bottom w:val="single" w:sz="4" w:space="0" w:color="000000"/>
              <w:right w:val="single" w:sz="4" w:space="0" w:color="000000"/>
            </w:tcBorders>
          </w:tcPr>
          <w:p>
            <w:pPr>
              <w:pStyle w:val="TableParagraph"/>
              <w:spacing w:before="43"/>
              <w:ind w:left="176"/>
              <w:rPr>
                <w:sz w:val="24"/>
              </w:rPr>
            </w:pPr>
            <w:r>
              <w:rPr>
                <w:sz w:val="24"/>
              </w:rPr>
              <w:t>5</w:t>
            </w:r>
          </w:p>
        </w:tc>
        <w:tc>
          <w:tcPr>
            <w:tcW w:w="1170" w:type="dxa"/>
            <w:vMerge/>
            <w:tcBorders>
              <w:top w:val="nil"/>
              <w:left w:val="single" w:sz="4" w:space="0" w:color="000000"/>
              <w:bottom w:val="single" w:sz="4" w:space="0" w:color="000000"/>
              <w:right w:val="single" w:sz="4" w:space="0" w:color="000000"/>
            </w:tcBorders>
          </w:tcPr>
          <w:p>
            <w:pPr>
              <w:rPr>
                <w:sz w:val="2"/>
                <w:szCs w:val="2"/>
              </w:rPr>
            </w:pPr>
          </w:p>
        </w:tc>
        <w:tc>
          <w:tcPr>
            <w:tcW w:w="7715" w:type="dxa"/>
            <w:tcBorders>
              <w:top w:val="single" w:sz="4" w:space="0" w:color="000000"/>
              <w:left w:val="single" w:sz="4" w:space="0" w:color="000000"/>
              <w:bottom w:val="single" w:sz="4" w:space="0" w:color="000000"/>
            </w:tcBorders>
          </w:tcPr>
          <w:p>
            <w:pPr>
              <w:pStyle w:val="TableParagraph"/>
              <w:spacing w:before="43"/>
              <w:ind w:left="114"/>
              <w:rPr>
                <w:sz w:val="24"/>
              </w:rPr>
            </w:pPr>
            <w:r>
              <w:rPr>
                <w:sz w:val="24"/>
              </w:rPr>
              <w:t>在用特种设备存在必须停用修理的超标缺陷</w:t>
            </w:r>
          </w:p>
        </w:tc>
      </w:tr>
      <w:tr>
        <w:trPr>
          <w:trHeight w:val="933" w:hRule="atLeast"/>
        </w:trPr>
        <w:tc>
          <w:tcPr>
            <w:tcW w:w="471" w:type="dxa"/>
            <w:tcBorders>
              <w:top w:val="single" w:sz="4" w:space="0" w:color="000000"/>
              <w:bottom w:val="single" w:sz="4" w:space="0" w:color="000000"/>
              <w:right w:val="single" w:sz="4" w:space="0" w:color="000000"/>
            </w:tcBorders>
          </w:tcPr>
          <w:p>
            <w:pPr>
              <w:pStyle w:val="TableParagraph"/>
              <w:spacing w:before="3"/>
              <w:rPr>
                <w:sz w:val="24"/>
              </w:rPr>
            </w:pPr>
          </w:p>
          <w:p>
            <w:pPr>
              <w:pStyle w:val="TableParagraph"/>
              <w:ind w:left="176"/>
              <w:rPr>
                <w:sz w:val="24"/>
              </w:rPr>
            </w:pPr>
            <w:r>
              <w:rPr>
                <w:sz w:val="24"/>
              </w:rPr>
              <w:t>6</w:t>
            </w:r>
          </w:p>
        </w:tc>
        <w:tc>
          <w:tcPr>
            <w:tcW w:w="1170" w:type="dxa"/>
            <w:vMerge/>
            <w:tcBorders>
              <w:top w:val="nil"/>
              <w:left w:val="single" w:sz="4" w:space="0" w:color="000000"/>
              <w:bottom w:val="single" w:sz="4" w:space="0" w:color="000000"/>
              <w:right w:val="single" w:sz="4" w:space="0" w:color="000000"/>
            </w:tcBorders>
          </w:tcPr>
          <w:p>
            <w:pPr>
              <w:rPr>
                <w:sz w:val="2"/>
                <w:szCs w:val="2"/>
              </w:rPr>
            </w:pPr>
          </w:p>
        </w:tc>
        <w:tc>
          <w:tcPr>
            <w:tcW w:w="7715" w:type="dxa"/>
            <w:tcBorders>
              <w:top w:val="single" w:sz="4" w:space="0" w:color="000000"/>
              <w:left w:val="single" w:sz="4" w:space="0" w:color="000000"/>
              <w:bottom w:val="single" w:sz="4" w:space="0" w:color="000000"/>
            </w:tcBorders>
          </w:tcPr>
          <w:p>
            <w:pPr>
              <w:pStyle w:val="TableParagraph"/>
              <w:spacing w:before="1"/>
              <w:ind w:left="114"/>
              <w:rPr>
                <w:sz w:val="24"/>
              </w:rPr>
            </w:pPr>
            <w:r>
              <w:rPr>
                <w:sz w:val="24"/>
              </w:rPr>
              <w:t>特种设备存在严重事故隐患无改造、修理价值，或者达到安全技术规</w:t>
            </w:r>
          </w:p>
          <w:p>
            <w:pPr>
              <w:pStyle w:val="TableParagraph"/>
              <w:spacing w:line="310" w:lineRule="atLeast" w:before="2"/>
              <w:ind w:left="114" w:right="102"/>
              <w:rPr>
                <w:sz w:val="24"/>
              </w:rPr>
            </w:pPr>
            <w:r>
              <w:rPr>
                <w:sz w:val="24"/>
              </w:rPr>
              <w:t>范规定的其他报废条件，未依法履行报废义务，并办理使用登记证书注销手续的</w:t>
            </w:r>
          </w:p>
        </w:tc>
      </w:tr>
      <w:tr>
        <w:trPr>
          <w:trHeight w:val="397" w:hRule="atLeast"/>
        </w:trPr>
        <w:tc>
          <w:tcPr>
            <w:tcW w:w="471" w:type="dxa"/>
            <w:tcBorders>
              <w:top w:val="single" w:sz="4" w:space="0" w:color="000000"/>
              <w:bottom w:val="single" w:sz="4" w:space="0" w:color="000000"/>
              <w:right w:val="single" w:sz="4" w:space="0" w:color="000000"/>
            </w:tcBorders>
          </w:tcPr>
          <w:p>
            <w:pPr>
              <w:pStyle w:val="TableParagraph"/>
              <w:spacing w:before="44"/>
              <w:ind w:left="176"/>
              <w:rPr>
                <w:sz w:val="24"/>
              </w:rPr>
            </w:pPr>
            <w:r>
              <w:rPr>
                <w:sz w:val="24"/>
              </w:rPr>
              <w:t>7</w:t>
            </w:r>
          </w:p>
        </w:tc>
        <w:tc>
          <w:tcPr>
            <w:tcW w:w="1170" w:type="dxa"/>
            <w:vMerge/>
            <w:tcBorders>
              <w:top w:val="nil"/>
              <w:left w:val="single" w:sz="4" w:space="0" w:color="000000"/>
              <w:bottom w:val="single" w:sz="4" w:space="0" w:color="000000"/>
              <w:right w:val="single" w:sz="4" w:space="0" w:color="000000"/>
            </w:tcBorders>
          </w:tcPr>
          <w:p>
            <w:pPr>
              <w:rPr>
                <w:sz w:val="2"/>
                <w:szCs w:val="2"/>
              </w:rPr>
            </w:pPr>
          </w:p>
        </w:tc>
        <w:tc>
          <w:tcPr>
            <w:tcW w:w="7715" w:type="dxa"/>
            <w:tcBorders>
              <w:top w:val="single" w:sz="4" w:space="0" w:color="000000"/>
              <w:left w:val="single" w:sz="4" w:space="0" w:color="000000"/>
              <w:bottom w:val="single" w:sz="4" w:space="0" w:color="000000"/>
            </w:tcBorders>
          </w:tcPr>
          <w:p>
            <w:pPr>
              <w:pStyle w:val="TableParagraph"/>
              <w:spacing w:before="44"/>
              <w:ind w:left="114"/>
              <w:rPr>
                <w:sz w:val="24"/>
              </w:rPr>
            </w:pPr>
            <w:r>
              <w:rPr>
                <w:sz w:val="24"/>
              </w:rPr>
              <w:t>在用特种设备超过规定参数、使用范围使用的</w:t>
            </w:r>
          </w:p>
        </w:tc>
      </w:tr>
      <w:tr>
        <w:trPr>
          <w:trHeight w:val="622" w:hRule="atLeast"/>
        </w:trPr>
        <w:tc>
          <w:tcPr>
            <w:tcW w:w="471" w:type="dxa"/>
            <w:tcBorders>
              <w:top w:val="single" w:sz="4" w:space="0" w:color="000000"/>
              <w:bottom w:val="single" w:sz="4" w:space="0" w:color="000000"/>
              <w:right w:val="single" w:sz="4" w:space="0" w:color="000000"/>
            </w:tcBorders>
          </w:tcPr>
          <w:p>
            <w:pPr>
              <w:pStyle w:val="TableParagraph"/>
              <w:spacing w:before="157"/>
              <w:ind w:left="176"/>
              <w:rPr>
                <w:sz w:val="24"/>
              </w:rPr>
            </w:pPr>
            <w:r>
              <w:rPr>
                <w:sz w:val="24"/>
              </w:rPr>
              <w:t>8</w:t>
            </w:r>
          </w:p>
        </w:tc>
        <w:tc>
          <w:tcPr>
            <w:tcW w:w="1170" w:type="dxa"/>
            <w:vMerge/>
            <w:tcBorders>
              <w:top w:val="nil"/>
              <w:left w:val="single" w:sz="4" w:space="0" w:color="000000"/>
              <w:bottom w:val="single" w:sz="4" w:space="0" w:color="000000"/>
              <w:right w:val="single" w:sz="4" w:space="0" w:color="000000"/>
            </w:tcBorders>
          </w:tcPr>
          <w:p>
            <w:pPr>
              <w:rPr>
                <w:sz w:val="2"/>
                <w:szCs w:val="2"/>
              </w:rPr>
            </w:pPr>
          </w:p>
        </w:tc>
        <w:tc>
          <w:tcPr>
            <w:tcW w:w="7715" w:type="dxa"/>
            <w:tcBorders>
              <w:top w:val="single" w:sz="4" w:space="0" w:color="000000"/>
              <w:left w:val="single" w:sz="4" w:space="0" w:color="000000"/>
              <w:bottom w:val="single" w:sz="4" w:space="0" w:color="000000"/>
            </w:tcBorders>
          </w:tcPr>
          <w:p>
            <w:pPr>
              <w:pStyle w:val="TableParagraph"/>
              <w:spacing w:before="2"/>
              <w:ind w:left="114"/>
              <w:rPr>
                <w:sz w:val="24"/>
              </w:rPr>
            </w:pPr>
            <w:r>
              <w:rPr>
                <w:sz w:val="24"/>
              </w:rPr>
              <w:t>特种设备或者其主要部件不符合安全技术规范，包括安全附件、安全</w:t>
            </w:r>
          </w:p>
          <w:p>
            <w:pPr>
              <w:pStyle w:val="TableParagraph"/>
              <w:spacing w:line="289" w:lineRule="exact" w:before="4"/>
              <w:ind w:left="114"/>
              <w:rPr>
                <w:sz w:val="24"/>
              </w:rPr>
            </w:pPr>
            <w:r>
              <w:rPr>
                <w:sz w:val="24"/>
              </w:rPr>
              <w:t>保护装置等缺少、失效或失灵</w:t>
            </w:r>
          </w:p>
        </w:tc>
      </w:tr>
      <w:tr>
        <w:trPr>
          <w:trHeight w:val="622" w:hRule="atLeast"/>
        </w:trPr>
        <w:tc>
          <w:tcPr>
            <w:tcW w:w="471" w:type="dxa"/>
            <w:tcBorders>
              <w:top w:val="single" w:sz="4" w:space="0" w:color="000000"/>
              <w:bottom w:val="single" w:sz="4" w:space="0" w:color="000000"/>
              <w:right w:val="single" w:sz="4" w:space="0" w:color="000000"/>
            </w:tcBorders>
          </w:tcPr>
          <w:p>
            <w:pPr>
              <w:pStyle w:val="TableParagraph"/>
              <w:spacing w:before="156"/>
              <w:ind w:left="176"/>
              <w:rPr>
                <w:sz w:val="24"/>
              </w:rPr>
            </w:pPr>
            <w:r>
              <w:rPr>
                <w:sz w:val="24"/>
              </w:rPr>
              <w:t>9</w:t>
            </w:r>
          </w:p>
        </w:tc>
        <w:tc>
          <w:tcPr>
            <w:tcW w:w="1170" w:type="dxa"/>
            <w:vMerge/>
            <w:tcBorders>
              <w:top w:val="nil"/>
              <w:left w:val="single" w:sz="4" w:space="0" w:color="000000"/>
              <w:bottom w:val="single" w:sz="4" w:space="0" w:color="000000"/>
              <w:right w:val="single" w:sz="4" w:space="0" w:color="000000"/>
            </w:tcBorders>
          </w:tcPr>
          <w:p>
            <w:pPr>
              <w:rPr>
                <w:sz w:val="2"/>
                <w:szCs w:val="2"/>
              </w:rPr>
            </w:pPr>
          </w:p>
        </w:tc>
        <w:tc>
          <w:tcPr>
            <w:tcW w:w="7715" w:type="dxa"/>
            <w:tcBorders>
              <w:top w:val="single" w:sz="4" w:space="0" w:color="000000"/>
              <w:left w:val="single" w:sz="4" w:space="0" w:color="000000"/>
              <w:bottom w:val="single" w:sz="4" w:space="0" w:color="000000"/>
            </w:tcBorders>
          </w:tcPr>
          <w:p>
            <w:pPr>
              <w:pStyle w:val="TableParagraph"/>
              <w:ind w:left="114"/>
              <w:rPr>
                <w:sz w:val="24"/>
              </w:rPr>
            </w:pPr>
            <w:r>
              <w:rPr>
                <w:sz w:val="24"/>
              </w:rPr>
              <w:t>将非承压锅炉、非压力容器作为承压锅炉、压力容器使用或热水锅炉</w:t>
            </w:r>
          </w:p>
          <w:p>
            <w:pPr>
              <w:pStyle w:val="TableParagraph"/>
              <w:spacing w:line="290" w:lineRule="exact" w:before="4"/>
              <w:ind w:left="114"/>
              <w:rPr>
                <w:sz w:val="24"/>
              </w:rPr>
            </w:pPr>
            <w:r>
              <w:rPr>
                <w:sz w:val="24"/>
              </w:rPr>
              <w:t>改为蒸汽锅炉使用的</w:t>
            </w:r>
          </w:p>
        </w:tc>
      </w:tr>
      <w:tr>
        <w:trPr>
          <w:trHeight w:val="622" w:hRule="atLeast"/>
        </w:trPr>
        <w:tc>
          <w:tcPr>
            <w:tcW w:w="471" w:type="dxa"/>
            <w:tcBorders>
              <w:top w:val="single" w:sz="4" w:space="0" w:color="000000"/>
              <w:bottom w:val="single" w:sz="4" w:space="0" w:color="000000"/>
              <w:right w:val="single" w:sz="4" w:space="0" w:color="000000"/>
            </w:tcBorders>
          </w:tcPr>
          <w:p>
            <w:pPr>
              <w:pStyle w:val="TableParagraph"/>
              <w:spacing w:before="157"/>
              <w:ind w:left="113"/>
              <w:rPr>
                <w:sz w:val="24"/>
              </w:rPr>
            </w:pPr>
            <w:r>
              <w:rPr>
                <w:sz w:val="24"/>
              </w:rPr>
              <w:t>10</w:t>
            </w:r>
          </w:p>
        </w:tc>
        <w:tc>
          <w:tcPr>
            <w:tcW w:w="1170" w:type="dxa"/>
            <w:vMerge/>
            <w:tcBorders>
              <w:top w:val="nil"/>
              <w:left w:val="single" w:sz="4" w:space="0" w:color="000000"/>
              <w:bottom w:val="single" w:sz="4" w:space="0" w:color="000000"/>
              <w:right w:val="single" w:sz="4" w:space="0" w:color="000000"/>
            </w:tcBorders>
          </w:tcPr>
          <w:p>
            <w:pPr>
              <w:rPr>
                <w:sz w:val="2"/>
                <w:szCs w:val="2"/>
              </w:rPr>
            </w:pPr>
          </w:p>
        </w:tc>
        <w:tc>
          <w:tcPr>
            <w:tcW w:w="7715" w:type="dxa"/>
            <w:tcBorders>
              <w:top w:val="single" w:sz="4" w:space="0" w:color="000000"/>
              <w:left w:val="single" w:sz="4" w:space="0" w:color="000000"/>
              <w:bottom w:val="single" w:sz="4" w:space="0" w:color="000000"/>
            </w:tcBorders>
          </w:tcPr>
          <w:p>
            <w:pPr>
              <w:pStyle w:val="TableParagraph"/>
              <w:spacing w:before="1"/>
              <w:ind w:left="114"/>
              <w:rPr>
                <w:sz w:val="24"/>
              </w:rPr>
            </w:pPr>
            <w:r>
              <w:rPr>
                <w:sz w:val="24"/>
              </w:rPr>
              <w:t>在用特种设备是已被召回的（含生产单位主动召回、政府相关部门强</w:t>
            </w:r>
          </w:p>
          <w:p>
            <w:pPr>
              <w:pStyle w:val="TableParagraph"/>
              <w:spacing w:line="289" w:lineRule="exact" w:before="5"/>
              <w:ind w:left="114"/>
              <w:rPr>
                <w:sz w:val="24"/>
              </w:rPr>
            </w:pPr>
            <w:r>
              <w:rPr>
                <w:sz w:val="24"/>
              </w:rPr>
              <w:t>制召回）</w:t>
            </w:r>
          </w:p>
        </w:tc>
      </w:tr>
      <w:tr>
        <w:trPr>
          <w:trHeight w:val="616" w:hRule="atLeast"/>
        </w:trPr>
        <w:tc>
          <w:tcPr>
            <w:tcW w:w="471" w:type="dxa"/>
            <w:tcBorders>
              <w:top w:val="single" w:sz="4" w:space="0" w:color="000000"/>
              <w:bottom w:val="single" w:sz="4" w:space="0" w:color="000000"/>
              <w:right w:val="single" w:sz="4" w:space="0" w:color="000000"/>
            </w:tcBorders>
          </w:tcPr>
          <w:p>
            <w:pPr>
              <w:pStyle w:val="TableParagraph"/>
              <w:spacing w:before="155"/>
              <w:ind w:left="113"/>
              <w:rPr>
                <w:sz w:val="24"/>
              </w:rPr>
            </w:pPr>
            <w:r>
              <w:rPr>
                <w:sz w:val="24"/>
              </w:rPr>
              <w:t>11</w:t>
            </w:r>
          </w:p>
        </w:tc>
        <w:tc>
          <w:tcPr>
            <w:tcW w:w="1170" w:type="dxa"/>
            <w:vMerge w:val="restart"/>
            <w:tcBorders>
              <w:top w:val="single" w:sz="4" w:space="0" w:color="000000"/>
              <w:left w:val="single" w:sz="4" w:space="0" w:color="000000"/>
              <w:right w:val="single" w:sz="4" w:space="0" w:color="000000"/>
            </w:tcBorders>
          </w:tcPr>
          <w:p>
            <w:pPr>
              <w:pStyle w:val="TableParagraph"/>
              <w:rPr>
                <w:sz w:val="24"/>
              </w:rPr>
            </w:pPr>
          </w:p>
          <w:p>
            <w:pPr>
              <w:pStyle w:val="TableParagraph"/>
              <w:rPr>
                <w:sz w:val="24"/>
              </w:rPr>
            </w:pPr>
          </w:p>
          <w:p>
            <w:pPr>
              <w:pStyle w:val="TableParagraph"/>
              <w:rPr>
                <w:sz w:val="24"/>
              </w:rPr>
            </w:pPr>
          </w:p>
          <w:p>
            <w:pPr>
              <w:pStyle w:val="TableParagraph"/>
              <w:spacing w:before="4"/>
              <w:rPr>
                <w:sz w:val="23"/>
              </w:rPr>
            </w:pPr>
          </w:p>
          <w:p>
            <w:pPr>
              <w:pStyle w:val="TableParagraph"/>
              <w:ind w:left="216"/>
              <w:rPr>
                <w:sz w:val="24"/>
              </w:rPr>
            </w:pPr>
            <w:r>
              <w:rPr>
                <w:sz w:val="24"/>
              </w:rPr>
              <w:t>管理类</w:t>
            </w:r>
          </w:p>
          <w:p>
            <w:pPr>
              <w:pStyle w:val="TableParagraph"/>
              <w:spacing w:before="2"/>
              <w:ind w:left="279"/>
              <w:rPr>
                <w:sz w:val="24"/>
              </w:rPr>
            </w:pPr>
            <w:r>
              <w:rPr>
                <w:sz w:val="24"/>
              </w:rPr>
              <w:t>（G）</w:t>
            </w:r>
          </w:p>
        </w:tc>
        <w:tc>
          <w:tcPr>
            <w:tcW w:w="7715" w:type="dxa"/>
            <w:tcBorders>
              <w:top w:val="single" w:sz="4" w:space="0" w:color="000000"/>
              <w:left w:val="single" w:sz="4" w:space="0" w:color="000000"/>
              <w:bottom w:val="single" w:sz="4" w:space="0" w:color="000000"/>
            </w:tcBorders>
          </w:tcPr>
          <w:p>
            <w:pPr>
              <w:pStyle w:val="TableParagraph"/>
              <w:spacing w:line="310" w:lineRule="atLeast"/>
              <w:ind w:left="114" w:right="102"/>
              <w:rPr>
                <w:sz w:val="24"/>
              </w:rPr>
            </w:pPr>
            <w:r>
              <w:rPr>
                <w:sz w:val="24"/>
              </w:rPr>
              <w:t>特种设备出现故障或者发生异常情况，未对其进行全面检查、消除事故隐患，继续使用的</w:t>
            </w:r>
          </w:p>
        </w:tc>
      </w:tr>
      <w:tr>
        <w:trPr>
          <w:trHeight w:val="384" w:hRule="atLeast"/>
        </w:trPr>
        <w:tc>
          <w:tcPr>
            <w:tcW w:w="471" w:type="dxa"/>
            <w:tcBorders>
              <w:top w:val="single" w:sz="4" w:space="0" w:color="000000"/>
              <w:bottom w:val="single" w:sz="4" w:space="0" w:color="000000"/>
              <w:right w:val="single" w:sz="4" w:space="0" w:color="000000"/>
            </w:tcBorders>
          </w:tcPr>
          <w:p>
            <w:pPr>
              <w:pStyle w:val="TableParagraph"/>
              <w:spacing w:before="36"/>
              <w:ind w:left="113"/>
              <w:rPr>
                <w:sz w:val="24"/>
              </w:rPr>
            </w:pPr>
            <w:r>
              <w:rPr>
                <w:sz w:val="24"/>
              </w:rPr>
              <w:t>12</w:t>
            </w:r>
          </w:p>
        </w:tc>
        <w:tc>
          <w:tcPr>
            <w:tcW w:w="1170" w:type="dxa"/>
            <w:vMerge/>
            <w:tcBorders>
              <w:top w:val="nil"/>
              <w:left w:val="single" w:sz="4" w:space="0" w:color="000000"/>
              <w:right w:val="single" w:sz="4" w:space="0" w:color="000000"/>
            </w:tcBorders>
          </w:tcPr>
          <w:p>
            <w:pPr>
              <w:rPr>
                <w:sz w:val="2"/>
                <w:szCs w:val="2"/>
              </w:rPr>
            </w:pPr>
          </w:p>
        </w:tc>
        <w:tc>
          <w:tcPr>
            <w:tcW w:w="7715" w:type="dxa"/>
            <w:tcBorders>
              <w:top w:val="single" w:sz="4" w:space="0" w:color="000000"/>
              <w:left w:val="single" w:sz="4" w:space="0" w:color="000000"/>
              <w:bottom w:val="single" w:sz="4" w:space="0" w:color="000000"/>
            </w:tcBorders>
          </w:tcPr>
          <w:p>
            <w:pPr>
              <w:pStyle w:val="TableParagraph"/>
              <w:spacing w:before="36"/>
              <w:ind w:left="114"/>
              <w:rPr>
                <w:sz w:val="24"/>
              </w:rPr>
            </w:pPr>
            <w:r>
              <w:rPr>
                <w:sz w:val="24"/>
              </w:rPr>
              <w:t>使用被责令整改而未予整改的特种设备</w:t>
            </w:r>
          </w:p>
        </w:tc>
      </w:tr>
      <w:tr>
        <w:trPr>
          <w:trHeight w:val="387" w:hRule="atLeast"/>
        </w:trPr>
        <w:tc>
          <w:tcPr>
            <w:tcW w:w="471" w:type="dxa"/>
            <w:tcBorders>
              <w:top w:val="single" w:sz="4" w:space="0" w:color="000000"/>
              <w:bottom w:val="single" w:sz="4" w:space="0" w:color="000000"/>
              <w:right w:val="single" w:sz="4" w:space="0" w:color="000000"/>
            </w:tcBorders>
          </w:tcPr>
          <w:p>
            <w:pPr>
              <w:pStyle w:val="TableParagraph"/>
              <w:spacing w:before="38"/>
              <w:ind w:left="113"/>
              <w:rPr>
                <w:sz w:val="24"/>
              </w:rPr>
            </w:pPr>
            <w:r>
              <w:rPr>
                <w:sz w:val="24"/>
              </w:rPr>
              <w:t>13</w:t>
            </w:r>
          </w:p>
        </w:tc>
        <w:tc>
          <w:tcPr>
            <w:tcW w:w="1170" w:type="dxa"/>
            <w:vMerge/>
            <w:tcBorders>
              <w:top w:val="nil"/>
              <w:left w:val="single" w:sz="4" w:space="0" w:color="000000"/>
              <w:right w:val="single" w:sz="4" w:space="0" w:color="000000"/>
            </w:tcBorders>
          </w:tcPr>
          <w:p>
            <w:pPr>
              <w:rPr>
                <w:sz w:val="2"/>
                <w:szCs w:val="2"/>
              </w:rPr>
            </w:pPr>
          </w:p>
        </w:tc>
        <w:tc>
          <w:tcPr>
            <w:tcW w:w="7715" w:type="dxa"/>
            <w:tcBorders>
              <w:top w:val="single" w:sz="4" w:space="0" w:color="000000"/>
              <w:left w:val="single" w:sz="4" w:space="0" w:color="000000"/>
              <w:bottom w:val="single" w:sz="4" w:space="0" w:color="000000"/>
            </w:tcBorders>
          </w:tcPr>
          <w:p>
            <w:pPr>
              <w:pStyle w:val="TableParagraph"/>
              <w:spacing w:before="38"/>
              <w:ind w:left="114"/>
              <w:rPr>
                <w:sz w:val="24"/>
              </w:rPr>
            </w:pPr>
            <w:r>
              <w:rPr>
                <w:sz w:val="24"/>
              </w:rPr>
              <w:t>特种设备发生事故不予报告而继续使用的</w:t>
            </w:r>
          </w:p>
        </w:tc>
      </w:tr>
      <w:tr>
        <w:trPr>
          <w:trHeight w:val="387" w:hRule="atLeast"/>
        </w:trPr>
        <w:tc>
          <w:tcPr>
            <w:tcW w:w="471" w:type="dxa"/>
            <w:tcBorders>
              <w:top w:val="single" w:sz="4" w:space="0" w:color="000000"/>
              <w:bottom w:val="single" w:sz="4" w:space="0" w:color="000000"/>
              <w:right w:val="single" w:sz="4" w:space="0" w:color="000000"/>
            </w:tcBorders>
          </w:tcPr>
          <w:p>
            <w:pPr>
              <w:pStyle w:val="TableParagraph"/>
              <w:spacing w:before="39"/>
              <w:ind w:left="113"/>
              <w:rPr>
                <w:sz w:val="24"/>
              </w:rPr>
            </w:pPr>
            <w:r>
              <w:rPr>
                <w:sz w:val="24"/>
              </w:rPr>
              <w:t>14</w:t>
            </w:r>
          </w:p>
        </w:tc>
        <w:tc>
          <w:tcPr>
            <w:tcW w:w="1170" w:type="dxa"/>
            <w:vMerge/>
            <w:tcBorders>
              <w:top w:val="nil"/>
              <w:left w:val="single" w:sz="4" w:space="0" w:color="000000"/>
              <w:right w:val="single" w:sz="4" w:space="0" w:color="000000"/>
            </w:tcBorders>
          </w:tcPr>
          <w:p>
            <w:pPr>
              <w:rPr>
                <w:sz w:val="2"/>
                <w:szCs w:val="2"/>
              </w:rPr>
            </w:pPr>
          </w:p>
        </w:tc>
        <w:tc>
          <w:tcPr>
            <w:tcW w:w="7715" w:type="dxa"/>
            <w:tcBorders>
              <w:top w:val="single" w:sz="4" w:space="0" w:color="000000"/>
              <w:left w:val="single" w:sz="4" w:space="0" w:color="000000"/>
              <w:bottom w:val="single" w:sz="4" w:space="0" w:color="000000"/>
            </w:tcBorders>
          </w:tcPr>
          <w:p>
            <w:pPr>
              <w:pStyle w:val="TableParagraph"/>
              <w:spacing w:before="39"/>
              <w:ind w:left="114"/>
              <w:rPr>
                <w:sz w:val="24"/>
              </w:rPr>
            </w:pPr>
            <w:r>
              <w:rPr>
                <w:sz w:val="24"/>
              </w:rPr>
              <w:t>未经许可，擅自从事移动式压力容器或者气瓶充装活动的</w:t>
            </w:r>
          </w:p>
        </w:tc>
      </w:tr>
      <w:tr>
        <w:trPr>
          <w:trHeight w:val="387" w:hRule="atLeast"/>
        </w:trPr>
        <w:tc>
          <w:tcPr>
            <w:tcW w:w="471" w:type="dxa"/>
            <w:tcBorders>
              <w:top w:val="single" w:sz="4" w:space="0" w:color="000000"/>
              <w:bottom w:val="single" w:sz="4" w:space="0" w:color="000000"/>
              <w:right w:val="single" w:sz="4" w:space="0" w:color="000000"/>
            </w:tcBorders>
          </w:tcPr>
          <w:p>
            <w:pPr>
              <w:pStyle w:val="TableParagraph"/>
              <w:spacing w:before="40"/>
              <w:ind w:left="113"/>
              <w:rPr>
                <w:sz w:val="24"/>
              </w:rPr>
            </w:pPr>
            <w:r>
              <w:rPr>
                <w:sz w:val="24"/>
              </w:rPr>
              <w:t>15</w:t>
            </w:r>
          </w:p>
        </w:tc>
        <w:tc>
          <w:tcPr>
            <w:tcW w:w="1170" w:type="dxa"/>
            <w:vMerge/>
            <w:tcBorders>
              <w:top w:val="nil"/>
              <w:left w:val="single" w:sz="4" w:space="0" w:color="000000"/>
              <w:right w:val="single" w:sz="4" w:space="0" w:color="000000"/>
            </w:tcBorders>
          </w:tcPr>
          <w:p>
            <w:pPr>
              <w:rPr>
                <w:sz w:val="2"/>
                <w:szCs w:val="2"/>
              </w:rPr>
            </w:pPr>
          </w:p>
        </w:tc>
        <w:tc>
          <w:tcPr>
            <w:tcW w:w="7715" w:type="dxa"/>
            <w:tcBorders>
              <w:top w:val="single" w:sz="4" w:space="0" w:color="000000"/>
              <w:left w:val="single" w:sz="4" w:space="0" w:color="000000"/>
              <w:bottom w:val="single" w:sz="4" w:space="0" w:color="000000"/>
            </w:tcBorders>
          </w:tcPr>
          <w:p>
            <w:pPr>
              <w:pStyle w:val="TableParagraph"/>
              <w:spacing w:before="40"/>
              <w:ind w:left="114"/>
              <w:rPr>
                <w:sz w:val="24"/>
              </w:rPr>
            </w:pPr>
            <w:r>
              <w:rPr>
                <w:sz w:val="24"/>
              </w:rPr>
              <w:t>对不符合安全技术规范要求的移动式压力容器和气瓶进行充装的</w:t>
            </w:r>
          </w:p>
        </w:tc>
      </w:tr>
      <w:tr>
        <w:trPr>
          <w:trHeight w:val="386" w:hRule="atLeast"/>
        </w:trPr>
        <w:tc>
          <w:tcPr>
            <w:tcW w:w="471" w:type="dxa"/>
            <w:tcBorders>
              <w:top w:val="single" w:sz="4" w:space="0" w:color="000000"/>
              <w:bottom w:val="single" w:sz="4" w:space="0" w:color="000000"/>
              <w:right w:val="single" w:sz="4" w:space="0" w:color="000000"/>
            </w:tcBorders>
          </w:tcPr>
          <w:p>
            <w:pPr>
              <w:pStyle w:val="TableParagraph"/>
              <w:spacing w:before="38"/>
              <w:ind w:left="113"/>
              <w:rPr>
                <w:sz w:val="24"/>
              </w:rPr>
            </w:pPr>
            <w:r>
              <w:rPr>
                <w:sz w:val="24"/>
              </w:rPr>
              <w:t>16</w:t>
            </w:r>
          </w:p>
        </w:tc>
        <w:tc>
          <w:tcPr>
            <w:tcW w:w="1170" w:type="dxa"/>
            <w:vMerge/>
            <w:tcBorders>
              <w:top w:val="nil"/>
              <w:left w:val="single" w:sz="4" w:space="0" w:color="000000"/>
              <w:right w:val="single" w:sz="4" w:space="0" w:color="000000"/>
            </w:tcBorders>
          </w:tcPr>
          <w:p>
            <w:pPr>
              <w:rPr>
                <w:sz w:val="2"/>
                <w:szCs w:val="2"/>
              </w:rPr>
            </w:pPr>
          </w:p>
        </w:tc>
        <w:tc>
          <w:tcPr>
            <w:tcW w:w="7715" w:type="dxa"/>
            <w:tcBorders>
              <w:top w:val="single" w:sz="4" w:space="0" w:color="000000"/>
              <w:left w:val="single" w:sz="4" w:space="0" w:color="000000"/>
              <w:bottom w:val="single" w:sz="4" w:space="0" w:color="000000"/>
            </w:tcBorders>
          </w:tcPr>
          <w:p>
            <w:pPr>
              <w:pStyle w:val="TableParagraph"/>
              <w:spacing w:before="38"/>
              <w:ind w:left="114"/>
              <w:rPr>
                <w:sz w:val="24"/>
              </w:rPr>
            </w:pPr>
            <w:r>
              <w:rPr>
                <w:sz w:val="24"/>
              </w:rPr>
              <w:t>气瓶、移动式压力容器充装单位未按照规定实施充装前后检查的</w:t>
            </w:r>
          </w:p>
        </w:tc>
      </w:tr>
      <w:tr>
        <w:trPr>
          <w:trHeight w:val="391" w:hRule="atLeast"/>
        </w:trPr>
        <w:tc>
          <w:tcPr>
            <w:tcW w:w="471" w:type="dxa"/>
            <w:tcBorders>
              <w:top w:val="single" w:sz="4" w:space="0" w:color="000000"/>
              <w:right w:val="single" w:sz="4" w:space="0" w:color="000000"/>
            </w:tcBorders>
          </w:tcPr>
          <w:p>
            <w:pPr>
              <w:pStyle w:val="TableParagraph"/>
              <w:spacing w:before="40"/>
              <w:ind w:left="113"/>
              <w:rPr>
                <w:sz w:val="24"/>
              </w:rPr>
            </w:pPr>
            <w:r>
              <w:rPr>
                <w:sz w:val="24"/>
              </w:rPr>
              <w:t>17</w:t>
            </w:r>
          </w:p>
        </w:tc>
        <w:tc>
          <w:tcPr>
            <w:tcW w:w="1170" w:type="dxa"/>
            <w:vMerge/>
            <w:tcBorders>
              <w:top w:val="nil"/>
              <w:left w:val="single" w:sz="4" w:space="0" w:color="000000"/>
              <w:right w:val="single" w:sz="4" w:space="0" w:color="000000"/>
            </w:tcBorders>
          </w:tcPr>
          <w:p>
            <w:pPr>
              <w:rPr>
                <w:sz w:val="2"/>
                <w:szCs w:val="2"/>
              </w:rPr>
            </w:pPr>
          </w:p>
        </w:tc>
        <w:tc>
          <w:tcPr>
            <w:tcW w:w="7715" w:type="dxa"/>
            <w:tcBorders>
              <w:top w:val="single" w:sz="4" w:space="0" w:color="000000"/>
              <w:left w:val="single" w:sz="4" w:space="0" w:color="000000"/>
            </w:tcBorders>
          </w:tcPr>
          <w:p>
            <w:pPr>
              <w:pStyle w:val="TableParagraph"/>
              <w:spacing w:before="40"/>
              <w:ind w:left="114"/>
              <w:rPr>
                <w:sz w:val="24"/>
              </w:rPr>
            </w:pPr>
            <w:r>
              <w:rPr>
                <w:sz w:val="24"/>
              </w:rPr>
              <w:t>电梯使用单位委托不具备资质的单位承担电梯维护保养工作的</w:t>
            </w:r>
          </w:p>
        </w:tc>
      </w:tr>
      <w:tr>
        <w:trPr>
          <w:trHeight w:val="934" w:hRule="atLeast"/>
        </w:trPr>
        <w:tc>
          <w:tcPr>
            <w:tcW w:w="9356" w:type="dxa"/>
            <w:gridSpan w:val="3"/>
          </w:tcPr>
          <w:p>
            <w:pPr>
              <w:pStyle w:val="TableParagraph"/>
              <w:spacing w:before="2"/>
              <w:ind w:left="586"/>
              <w:rPr>
                <w:sz w:val="24"/>
              </w:rPr>
            </w:pPr>
            <w:r>
              <w:rPr>
                <w:sz w:val="24"/>
              </w:rPr>
              <w:t>注：</w:t>
            </w:r>
          </w:p>
          <w:p>
            <w:pPr>
              <w:pStyle w:val="TableParagraph"/>
              <w:numPr>
                <w:ilvl w:val="0"/>
                <w:numId w:val="48"/>
              </w:numPr>
              <w:tabs>
                <w:tab w:pos="947" w:val="left" w:leader="none"/>
              </w:tabs>
              <w:spacing w:line="240" w:lineRule="auto" w:before="5" w:after="0"/>
              <w:ind w:left="946" w:right="0" w:hanging="361"/>
              <w:jc w:val="left"/>
              <w:rPr>
                <w:sz w:val="24"/>
              </w:rPr>
            </w:pPr>
            <w:r>
              <w:rPr>
                <w:sz w:val="24"/>
              </w:rPr>
              <w:t>由环境因素导致的上述隐患也可归为环境类隐患；</w:t>
            </w:r>
          </w:p>
          <w:p>
            <w:pPr>
              <w:pStyle w:val="TableParagraph"/>
              <w:numPr>
                <w:ilvl w:val="0"/>
                <w:numId w:val="48"/>
              </w:numPr>
              <w:tabs>
                <w:tab w:pos="947" w:val="left" w:leader="none"/>
              </w:tabs>
              <w:spacing w:line="290" w:lineRule="exact" w:before="2" w:after="0"/>
              <w:ind w:left="946" w:right="-15" w:hanging="361"/>
              <w:jc w:val="left"/>
              <w:rPr>
                <w:sz w:val="24"/>
              </w:rPr>
            </w:pPr>
            <w:r>
              <w:rPr>
                <w:spacing w:val="-1"/>
                <w:sz w:val="24"/>
              </w:rPr>
              <w:t>其他环境类隐患的目录和级别，可由使用单位、监管部门根据其危害程度确定。</w:t>
            </w:r>
          </w:p>
        </w:tc>
      </w:tr>
    </w:tbl>
    <w:p>
      <w:pPr>
        <w:spacing w:after="0" w:line="290" w:lineRule="exact"/>
        <w:jc w:val="left"/>
        <w:rPr>
          <w:sz w:val="24"/>
        </w:rPr>
        <w:sectPr>
          <w:pgSz w:w="11910" w:h="16840"/>
          <w:pgMar w:header="0" w:footer="1119" w:top="1580" w:bottom="1300" w:left="1060" w:right="860"/>
        </w:sectPr>
      </w:pPr>
    </w:p>
    <w:p>
      <w:pPr>
        <w:pStyle w:val="BodyText"/>
        <w:ind w:left="0"/>
        <w:rPr>
          <w:sz w:val="20"/>
        </w:rPr>
      </w:pPr>
    </w:p>
    <w:p>
      <w:pPr>
        <w:pStyle w:val="BodyText"/>
        <w:ind w:left="0"/>
        <w:rPr>
          <w:sz w:val="20"/>
        </w:rPr>
      </w:pPr>
    </w:p>
    <w:p>
      <w:pPr>
        <w:pStyle w:val="BodyText"/>
        <w:spacing w:before="5"/>
        <w:ind w:left="0"/>
        <w:rPr>
          <w:sz w:val="24"/>
        </w:rPr>
      </w:pPr>
    </w:p>
    <w:p>
      <w:pPr>
        <w:tabs>
          <w:tab w:pos="561" w:val="left" w:leader="none"/>
          <w:tab w:pos="1041" w:val="left" w:leader="none"/>
        </w:tabs>
        <w:spacing w:before="67"/>
        <w:ind w:left="81" w:right="0" w:firstLine="0"/>
        <w:jc w:val="center"/>
        <w:rPr>
          <w:b/>
          <w:sz w:val="24"/>
        </w:rPr>
      </w:pPr>
      <w:r>
        <w:rPr>
          <w:sz w:val="24"/>
        </w:rPr>
        <w:t>附</w:t>
        <w:tab/>
        <w:t>录</w:t>
        <w:tab/>
      </w:r>
      <w:r>
        <w:rPr>
          <w:b/>
          <w:sz w:val="24"/>
        </w:rPr>
        <w:t>B</w:t>
      </w:r>
    </w:p>
    <w:p>
      <w:pPr>
        <w:spacing w:before="4"/>
        <w:ind w:left="722" w:right="636" w:firstLine="0"/>
        <w:jc w:val="center"/>
        <w:rPr>
          <w:sz w:val="24"/>
        </w:rPr>
      </w:pPr>
      <w:r>
        <w:rPr>
          <w:sz w:val="24"/>
        </w:rPr>
        <w:t>（规范性附录）</w:t>
      </w:r>
    </w:p>
    <w:p>
      <w:pPr>
        <w:spacing w:before="2"/>
        <w:ind w:left="722" w:right="636" w:firstLine="0"/>
        <w:jc w:val="center"/>
        <w:rPr>
          <w:sz w:val="24"/>
        </w:rPr>
      </w:pPr>
      <w:r>
        <w:rPr/>
        <w:pict>
          <v:shape style="position:absolute;margin-left:70.370003pt;margin-top:15.630017pt;width:469.25pt;height:527.7pt;mso-position-horizontal-relative:page;mso-position-vertical-relative:paragraph;z-index:251664384" type="#_x0000_t202" filled="false" stroked="false">
            <v:textbox inset="0,0,0,0">
              <w:txbxContent>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07"/>
                    <w:gridCol w:w="912"/>
                    <w:gridCol w:w="7937"/>
                  </w:tblGrid>
                  <w:tr>
                    <w:trPr>
                      <w:trHeight w:val="621" w:hRule="atLeast"/>
                    </w:trPr>
                    <w:tc>
                      <w:tcPr>
                        <w:tcW w:w="507" w:type="dxa"/>
                        <w:tcBorders>
                          <w:right w:val="single" w:sz="4" w:space="0" w:color="000000"/>
                        </w:tcBorders>
                      </w:tcPr>
                      <w:p>
                        <w:pPr>
                          <w:pStyle w:val="TableParagraph"/>
                          <w:spacing w:before="1"/>
                          <w:ind w:left="130"/>
                          <w:rPr>
                            <w:sz w:val="24"/>
                          </w:rPr>
                        </w:pPr>
                        <w:r>
                          <w:rPr>
                            <w:sz w:val="24"/>
                          </w:rPr>
                          <w:t>序</w:t>
                        </w:r>
                      </w:p>
                      <w:p>
                        <w:pPr>
                          <w:pStyle w:val="TableParagraph"/>
                          <w:spacing w:line="289" w:lineRule="exact" w:before="4"/>
                          <w:ind w:left="130"/>
                          <w:rPr>
                            <w:sz w:val="24"/>
                          </w:rPr>
                        </w:pPr>
                        <w:r>
                          <w:rPr>
                            <w:sz w:val="24"/>
                          </w:rPr>
                          <w:t>号</w:t>
                        </w:r>
                      </w:p>
                    </w:tc>
                    <w:tc>
                      <w:tcPr>
                        <w:tcW w:w="912" w:type="dxa"/>
                        <w:tcBorders>
                          <w:left w:val="single" w:sz="4" w:space="0" w:color="000000"/>
                          <w:right w:val="single" w:sz="4" w:space="0" w:color="000000"/>
                        </w:tcBorders>
                      </w:tcPr>
                      <w:p>
                        <w:pPr>
                          <w:pStyle w:val="TableParagraph"/>
                          <w:spacing w:before="1"/>
                          <w:ind w:left="77" w:right="64"/>
                          <w:jc w:val="center"/>
                          <w:rPr>
                            <w:sz w:val="24"/>
                          </w:rPr>
                        </w:pPr>
                        <w:r>
                          <w:rPr>
                            <w:sz w:val="24"/>
                          </w:rPr>
                          <w:t>隐患类</w:t>
                        </w:r>
                      </w:p>
                      <w:p>
                        <w:pPr>
                          <w:pStyle w:val="TableParagraph"/>
                          <w:spacing w:line="289" w:lineRule="exact" w:before="4"/>
                          <w:ind w:left="11"/>
                          <w:jc w:val="center"/>
                          <w:rPr>
                            <w:sz w:val="24"/>
                          </w:rPr>
                        </w:pPr>
                        <w:r>
                          <w:rPr>
                            <w:sz w:val="24"/>
                          </w:rPr>
                          <w:t>别</w:t>
                        </w:r>
                      </w:p>
                    </w:tc>
                    <w:tc>
                      <w:tcPr>
                        <w:tcW w:w="7937" w:type="dxa"/>
                        <w:tcBorders>
                          <w:left w:val="single" w:sz="4" w:space="0" w:color="000000"/>
                        </w:tcBorders>
                      </w:tcPr>
                      <w:p>
                        <w:pPr>
                          <w:pStyle w:val="TableParagraph"/>
                          <w:tabs>
                            <w:tab w:pos="512" w:val="left" w:leader="none"/>
                            <w:tab w:pos="1016" w:val="left" w:leader="none"/>
                            <w:tab w:pos="1520" w:val="left" w:leader="none"/>
                          </w:tabs>
                          <w:spacing w:before="157"/>
                          <w:ind w:left="8"/>
                          <w:jc w:val="center"/>
                          <w:rPr>
                            <w:sz w:val="24"/>
                          </w:rPr>
                        </w:pPr>
                        <w:r>
                          <w:rPr>
                            <w:sz w:val="24"/>
                          </w:rPr>
                          <w:t>隐</w:t>
                          <w:tab/>
                          <w:t>患</w:t>
                          <w:tab/>
                          <w:t>目</w:t>
                          <w:tab/>
                          <w:t>录</w:t>
                        </w:r>
                      </w:p>
                    </w:tc>
                  </w:tr>
                  <w:tr>
                    <w:trPr>
                      <w:trHeight w:val="623" w:hRule="atLeast"/>
                    </w:trPr>
                    <w:tc>
                      <w:tcPr>
                        <w:tcW w:w="507" w:type="dxa"/>
                        <w:tcBorders>
                          <w:bottom w:val="single" w:sz="4" w:space="0" w:color="000000"/>
                          <w:right w:val="single" w:sz="4" w:space="0" w:color="000000"/>
                        </w:tcBorders>
                      </w:tcPr>
                      <w:p>
                        <w:pPr>
                          <w:pStyle w:val="TableParagraph"/>
                          <w:spacing w:before="158"/>
                          <w:ind w:right="178"/>
                          <w:jc w:val="right"/>
                          <w:rPr>
                            <w:sz w:val="24"/>
                          </w:rPr>
                        </w:pPr>
                        <w:r>
                          <w:rPr>
                            <w:sz w:val="24"/>
                          </w:rPr>
                          <w:t>1</w:t>
                        </w:r>
                      </w:p>
                    </w:tc>
                    <w:tc>
                      <w:tcPr>
                        <w:tcW w:w="912" w:type="dxa"/>
                        <w:vMerge w:val="restart"/>
                        <w:tcBorders>
                          <w:left w:val="single" w:sz="4" w:space="0" w:color="000000"/>
                          <w:bottom w:val="single" w:sz="4" w:space="0" w:color="000000"/>
                          <w:right w:val="single" w:sz="4" w:space="0" w:color="000000"/>
                        </w:tcBorders>
                      </w:tcPr>
                      <w:p>
                        <w:pPr>
                          <w:pStyle w:val="TableParagraph"/>
                          <w:spacing w:before="206"/>
                          <w:ind w:left="89"/>
                          <w:rPr>
                            <w:sz w:val="24"/>
                          </w:rPr>
                        </w:pPr>
                        <w:r>
                          <w:rPr>
                            <w:sz w:val="24"/>
                          </w:rPr>
                          <w:t>设备类</w:t>
                        </w:r>
                      </w:p>
                      <w:p>
                        <w:pPr>
                          <w:pStyle w:val="TableParagraph"/>
                          <w:spacing w:before="2"/>
                          <w:ind w:left="149"/>
                          <w:rPr>
                            <w:sz w:val="24"/>
                          </w:rPr>
                        </w:pPr>
                        <w:r>
                          <w:rPr>
                            <w:sz w:val="24"/>
                          </w:rPr>
                          <w:t>（S）</w:t>
                        </w:r>
                      </w:p>
                    </w:tc>
                    <w:tc>
                      <w:tcPr>
                        <w:tcW w:w="7937" w:type="dxa"/>
                        <w:tcBorders>
                          <w:left w:val="single" w:sz="4" w:space="0" w:color="000000"/>
                          <w:bottom w:val="single" w:sz="4" w:space="0" w:color="000000"/>
                        </w:tcBorders>
                      </w:tcPr>
                      <w:p>
                        <w:pPr>
                          <w:pStyle w:val="TableParagraph"/>
                          <w:spacing w:before="2"/>
                          <w:ind w:left="113" w:right="-15"/>
                          <w:rPr>
                            <w:sz w:val="24"/>
                          </w:rPr>
                        </w:pPr>
                        <w:r>
                          <w:rPr>
                            <w:spacing w:val="-4"/>
                            <w:sz w:val="24"/>
                          </w:rPr>
                          <w:t>气瓶、移动式压力容器充装用计量器具的选型、规格及检定不符合有关安</w:t>
                        </w:r>
                      </w:p>
                      <w:p>
                        <w:pPr>
                          <w:pStyle w:val="TableParagraph"/>
                          <w:spacing w:line="289" w:lineRule="exact" w:before="4"/>
                          <w:ind w:left="113"/>
                          <w:rPr>
                            <w:sz w:val="24"/>
                          </w:rPr>
                        </w:pPr>
                        <w:r>
                          <w:rPr>
                            <w:sz w:val="24"/>
                          </w:rPr>
                          <w:t>全技术规范及相应标准规定</w:t>
                        </w:r>
                      </w:p>
                    </w:tc>
                  </w:tr>
                  <w:tr>
                    <w:trPr>
                      <w:trHeight w:val="396" w:hRule="atLeast"/>
                    </w:trPr>
                    <w:tc>
                      <w:tcPr>
                        <w:tcW w:w="507" w:type="dxa"/>
                        <w:tcBorders>
                          <w:top w:val="single" w:sz="4" w:space="0" w:color="000000"/>
                          <w:bottom w:val="single" w:sz="4" w:space="0" w:color="000000"/>
                          <w:right w:val="single" w:sz="4" w:space="0" w:color="000000"/>
                        </w:tcBorders>
                      </w:tcPr>
                      <w:p>
                        <w:pPr>
                          <w:pStyle w:val="TableParagraph"/>
                          <w:spacing w:before="43"/>
                          <w:ind w:right="178"/>
                          <w:jc w:val="right"/>
                          <w:rPr>
                            <w:sz w:val="24"/>
                          </w:rPr>
                        </w:pPr>
                        <w:r>
                          <w:rPr>
                            <w:sz w:val="24"/>
                          </w:rPr>
                          <w:t>2</w:t>
                        </w:r>
                      </w:p>
                    </w:tc>
                    <w:tc>
                      <w:tcPr>
                        <w:tcW w:w="912" w:type="dxa"/>
                        <w:vMerge/>
                        <w:tcBorders>
                          <w:top w:val="nil"/>
                          <w:left w:val="single" w:sz="4" w:space="0" w:color="000000"/>
                          <w:bottom w:val="single" w:sz="4" w:space="0" w:color="000000"/>
                          <w:right w:val="single" w:sz="4" w:space="0" w:color="000000"/>
                        </w:tcBorders>
                      </w:tcPr>
                      <w:p>
                        <w:pPr>
                          <w:rPr>
                            <w:sz w:val="2"/>
                            <w:szCs w:val="2"/>
                          </w:rPr>
                        </w:pPr>
                      </w:p>
                    </w:tc>
                    <w:tc>
                      <w:tcPr>
                        <w:tcW w:w="7937" w:type="dxa"/>
                        <w:tcBorders>
                          <w:top w:val="single" w:sz="4" w:space="0" w:color="000000"/>
                          <w:left w:val="single" w:sz="4" w:space="0" w:color="000000"/>
                          <w:bottom w:val="single" w:sz="4" w:space="0" w:color="000000"/>
                        </w:tcBorders>
                      </w:tcPr>
                      <w:p>
                        <w:pPr>
                          <w:pStyle w:val="TableParagraph"/>
                          <w:spacing w:before="43"/>
                          <w:ind w:left="113"/>
                          <w:rPr>
                            <w:sz w:val="24"/>
                          </w:rPr>
                        </w:pPr>
                        <w:r>
                          <w:rPr>
                            <w:sz w:val="24"/>
                          </w:rPr>
                          <w:t>电梯轿厢的装修不符合电梯安全技术规范及相关标准要求</w:t>
                        </w:r>
                      </w:p>
                    </w:tc>
                  </w:tr>
                  <w:tr>
                    <w:trPr>
                      <w:trHeight w:val="397" w:hRule="atLeast"/>
                    </w:trPr>
                    <w:tc>
                      <w:tcPr>
                        <w:tcW w:w="507" w:type="dxa"/>
                        <w:tcBorders>
                          <w:top w:val="single" w:sz="4" w:space="0" w:color="000000"/>
                          <w:bottom w:val="single" w:sz="4" w:space="0" w:color="000000"/>
                          <w:right w:val="single" w:sz="4" w:space="0" w:color="000000"/>
                        </w:tcBorders>
                      </w:tcPr>
                      <w:p>
                        <w:pPr>
                          <w:pStyle w:val="TableParagraph"/>
                          <w:spacing w:before="42"/>
                          <w:ind w:right="178"/>
                          <w:jc w:val="right"/>
                          <w:rPr>
                            <w:sz w:val="24"/>
                          </w:rPr>
                        </w:pPr>
                        <w:r>
                          <w:rPr>
                            <w:sz w:val="24"/>
                          </w:rPr>
                          <w:t>3</w:t>
                        </w:r>
                      </w:p>
                    </w:tc>
                    <w:tc>
                      <w:tcPr>
                        <w:tcW w:w="912" w:type="dxa"/>
                        <w:vMerge w:val="restart"/>
                        <w:tcBorders>
                          <w:top w:val="single" w:sz="4" w:space="0" w:color="000000"/>
                          <w:left w:val="single" w:sz="4" w:space="0" w:color="000000"/>
                          <w:bottom w:val="single" w:sz="4" w:space="0" w:color="000000"/>
                          <w:right w:val="single" w:sz="4" w:space="0" w:color="000000"/>
                        </w:tcBorders>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90"/>
                          <w:ind w:left="89"/>
                          <w:rPr>
                            <w:sz w:val="24"/>
                          </w:rPr>
                        </w:pPr>
                        <w:r>
                          <w:rPr>
                            <w:sz w:val="24"/>
                          </w:rPr>
                          <w:t>管理类</w:t>
                        </w:r>
                      </w:p>
                      <w:p>
                        <w:pPr>
                          <w:pStyle w:val="TableParagraph"/>
                          <w:spacing w:before="5"/>
                          <w:ind w:left="149"/>
                          <w:rPr>
                            <w:sz w:val="24"/>
                          </w:rPr>
                        </w:pPr>
                        <w:r>
                          <w:rPr>
                            <w:sz w:val="24"/>
                          </w:rPr>
                          <w:t>（G）</w:t>
                        </w:r>
                      </w:p>
                    </w:tc>
                    <w:tc>
                      <w:tcPr>
                        <w:tcW w:w="7937" w:type="dxa"/>
                        <w:tcBorders>
                          <w:top w:val="single" w:sz="4" w:space="0" w:color="000000"/>
                          <w:left w:val="single" w:sz="4" w:space="0" w:color="000000"/>
                          <w:bottom w:val="single" w:sz="4" w:space="0" w:color="000000"/>
                        </w:tcBorders>
                      </w:tcPr>
                      <w:p>
                        <w:pPr>
                          <w:pStyle w:val="TableParagraph"/>
                          <w:spacing w:before="42"/>
                          <w:ind w:left="113"/>
                          <w:rPr>
                            <w:sz w:val="24"/>
                          </w:rPr>
                        </w:pPr>
                        <w:r>
                          <w:rPr>
                            <w:sz w:val="24"/>
                          </w:rPr>
                          <w:t>在用特种设备未按照规定办理使用登记</w:t>
                        </w:r>
                      </w:p>
                    </w:tc>
                  </w:tr>
                  <w:tr>
                    <w:trPr>
                      <w:trHeight w:val="396" w:hRule="atLeast"/>
                    </w:trPr>
                    <w:tc>
                      <w:tcPr>
                        <w:tcW w:w="507" w:type="dxa"/>
                        <w:tcBorders>
                          <w:top w:val="single" w:sz="4" w:space="0" w:color="000000"/>
                          <w:bottom w:val="single" w:sz="4" w:space="0" w:color="000000"/>
                          <w:right w:val="single" w:sz="4" w:space="0" w:color="000000"/>
                        </w:tcBorders>
                      </w:tcPr>
                      <w:p>
                        <w:pPr>
                          <w:pStyle w:val="TableParagraph"/>
                          <w:spacing w:before="43"/>
                          <w:ind w:right="178"/>
                          <w:jc w:val="right"/>
                          <w:rPr>
                            <w:sz w:val="24"/>
                          </w:rPr>
                        </w:pPr>
                        <w:r>
                          <w:rPr>
                            <w:sz w:val="24"/>
                          </w:rPr>
                          <w:t>4</w:t>
                        </w:r>
                      </w:p>
                    </w:tc>
                    <w:tc>
                      <w:tcPr>
                        <w:tcW w:w="912" w:type="dxa"/>
                        <w:vMerge/>
                        <w:tcBorders>
                          <w:top w:val="nil"/>
                          <w:left w:val="single" w:sz="4" w:space="0" w:color="000000"/>
                          <w:bottom w:val="single" w:sz="4" w:space="0" w:color="000000"/>
                          <w:right w:val="single" w:sz="4" w:space="0" w:color="000000"/>
                        </w:tcBorders>
                      </w:tcPr>
                      <w:p>
                        <w:pPr>
                          <w:rPr>
                            <w:sz w:val="2"/>
                            <w:szCs w:val="2"/>
                          </w:rPr>
                        </w:pPr>
                      </w:p>
                    </w:tc>
                    <w:tc>
                      <w:tcPr>
                        <w:tcW w:w="7937" w:type="dxa"/>
                        <w:tcBorders>
                          <w:top w:val="single" w:sz="4" w:space="0" w:color="000000"/>
                          <w:left w:val="single" w:sz="4" w:space="0" w:color="000000"/>
                          <w:bottom w:val="single" w:sz="4" w:space="0" w:color="000000"/>
                        </w:tcBorders>
                      </w:tcPr>
                      <w:p>
                        <w:pPr>
                          <w:pStyle w:val="TableParagraph"/>
                          <w:spacing w:before="43"/>
                          <w:ind w:left="113"/>
                          <w:rPr>
                            <w:sz w:val="24"/>
                          </w:rPr>
                        </w:pPr>
                        <w:r>
                          <w:rPr>
                            <w:sz w:val="24"/>
                          </w:rPr>
                          <w:t>未建立特种设备安全技术档案或者安全技术档案不符合规定要求</w:t>
                        </w:r>
                      </w:p>
                    </w:tc>
                  </w:tr>
                  <w:tr>
                    <w:trPr>
                      <w:trHeight w:val="622" w:hRule="atLeast"/>
                    </w:trPr>
                    <w:tc>
                      <w:tcPr>
                        <w:tcW w:w="507" w:type="dxa"/>
                        <w:tcBorders>
                          <w:top w:val="single" w:sz="4" w:space="0" w:color="000000"/>
                          <w:bottom w:val="single" w:sz="4" w:space="0" w:color="000000"/>
                          <w:right w:val="single" w:sz="4" w:space="0" w:color="000000"/>
                        </w:tcBorders>
                      </w:tcPr>
                      <w:p>
                        <w:pPr>
                          <w:pStyle w:val="TableParagraph"/>
                          <w:spacing w:before="157"/>
                          <w:ind w:right="178"/>
                          <w:jc w:val="right"/>
                          <w:rPr>
                            <w:sz w:val="24"/>
                          </w:rPr>
                        </w:pPr>
                        <w:r>
                          <w:rPr>
                            <w:sz w:val="24"/>
                          </w:rPr>
                          <w:t>5</w:t>
                        </w:r>
                      </w:p>
                    </w:tc>
                    <w:tc>
                      <w:tcPr>
                        <w:tcW w:w="912" w:type="dxa"/>
                        <w:vMerge/>
                        <w:tcBorders>
                          <w:top w:val="nil"/>
                          <w:left w:val="single" w:sz="4" w:space="0" w:color="000000"/>
                          <w:bottom w:val="single" w:sz="4" w:space="0" w:color="000000"/>
                          <w:right w:val="single" w:sz="4" w:space="0" w:color="000000"/>
                        </w:tcBorders>
                      </w:tcPr>
                      <w:p>
                        <w:pPr>
                          <w:rPr>
                            <w:sz w:val="2"/>
                            <w:szCs w:val="2"/>
                          </w:rPr>
                        </w:pPr>
                      </w:p>
                    </w:tc>
                    <w:tc>
                      <w:tcPr>
                        <w:tcW w:w="7937" w:type="dxa"/>
                        <w:tcBorders>
                          <w:top w:val="single" w:sz="4" w:space="0" w:color="000000"/>
                          <w:left w:val="single" w:sz="4" w:space="0" w:color="000000"/>
                          <w:bottom w:val="single" w:sz="4" w:space="0" w:color="000000"/>
                        </w:tcBorders>
                      </w:tcPr>
                      <w:p>
                        <w:pPr>
                          <w:pStyle w:val="TableParagraph"/>
                          <w:spacing w:before="1"/>
                          <w:ind w:left="113" w:right="-15"/>
                          <w:rPr>
                            <w:sz w:val="24"/>
                          </w:rPr>
                        </w:pPr>
                        <w:r>
                          <w:rPr>
                            <w:sz w:val="24"/>
                          </w:rPr>
                          <w:t>未配备特种设备安全管理负责人；未建立岗位责任、隐患治理等管理制度</w:t>
                        </w:r>
                      </w:p>
                      <w:p>
                        <w:pPr>
                          <w:pStyle w:val="TableParagraph"/>
                          <w:spacing w:line="289" w:lineRule="exact" w:before="4"/>
                          <w:ind w:left="113"/>
                          <w:rPr>
                            <w:sz w:val="24"/>
                          </w:rPr>
                        </w:pPr>
                        <w:r>
                          <w:rPr>
                            <w:sz w:val="24"/>
                          </w:rPr>
                          <w:t>和操作规程；未制定特种设备事故应急专项预案，并定期进行应急演练</w:t>
                        </w:r>
                      </w:p>
                    </w:tc>
                  </w:tr>
                  <w:tr>
                    <w:trPr>
                      <w:trHeight w:val="396" w:hRule="atLeast"/>
                    </w:trPr>
                    <w:tc>
                      <w:tcPr>
                        <w:tcW w:w="507" w:type="dxa"/>
                        <w:tcBorders>
                          <w:top w:val="single" w:sz="4" w:space="0" w:color="000000"/>
                          <w:bottom w:val="single" w:sz="4" w:space="0" w:color="000000"/>
                          <w:right w:val="single" w:sz="4" w:space="0" w:color="000000"/>
                        </w:tcBorders>
                      </w:tcPr>
                      <w:p>
                        <w:pPr>
                          <w:pStyle w:val="TableParagraph"/>
                          <w:spacing w:before="43"/>
                          <w:ind w:right="178"/>
                          <w:jc w:val="right"/>
                          <w:rPr>
                            <w:sz w:val="24"/>
                          </w:rPr>
                        </w:pPr>
                        <w:r>
                          <w:rPr>
                            <w:sz w:val="24"/>
                          </w:rPr>
                          <w:t>6</w:t>
                        </w:r>
                      </w:p>
                    </w:tc>
                    <w:tc>
                      <w:tcPr>
                        <w:tcW w:w="912" w:type="dxa"/>
                        <w:vMerge/>
                        <w:tcBorders>
                          <w:top w:val="nil"/>
                          <w:left w:val="single" w:sz="4" w:space="0" w:color="000000"/>
                          <w:bottom w:val="single" w:sz="4" w:space="0" w:color="000000"/>
                          <w:right w:val="single" w:sz="4" w:space="0" w:color="000000"/>
                        </w:tcBorders>
                      </w:tcPr>
                      <w:p>
                        <w:pPr>
                          <w:rPr>
                            <w:sz w:val="2"/>
                            <w:szCs w:val="2"/>
                          </w:rPr>
                        </w:pPr>
                      </w:p>
                    </w:tc>
                    <w:tc>
                      <w:tcPr>
                        <w:tcW w:w="7937" w:type="dxa"/>
                        <w:tcBorders>
                          <w:top w:val="single" w:sz="4" w:space="0" w:color="000000"/>
                          <w:left w:val="single" w:sz="4" w:space="0" w:color="000000"/>
                          <w:bottom w:val="single" w:sz="4" w:space="0" w:color="000000"/>
                        </w:tcBorders>
                      </w:tcPr>
                      <w:p>
                        <w:pPr>
                          <w:pStyle w:val="TableParagraph"/>
                          <w:spacing w:before="43"/>
                          <w:ind w:left="113"/>
                          <w:rPr>
                            <w:sz w:val="24"/>
                          </w:rPr>
                        </w:pPr>
                        <w:r>
                          <w:rPr>
                            <w:sz w:val="24"/>
                          </w:rPr>
                          <w:t>未依法设置特种设备使用标志</w:t>
                        </w:r>
                      </w:p>
                    </w:tc>
                  </w:tr>
                  <w:tr>
                    <w:trPr>
                      <w:trHeight w:val="934" w:hRule="atLeast"/>
                    </w:trPr>
                    <w:tc>
                      <w:tcPr>
                        <w:tcW w:w="507" w:type="dxa"/>
                        <w:tcBorders>
                          <w:top w:val="single" w:sz="4" w:space="0" w:color="000000"/>
                          <w:bottom w:val="single" w:sz="4" w:space="0" w:color="000000"/>
                          <w:right w:val="single" w:sz="4" w:space="0" w:color="000000"/>
                        </w:tcBorders>
                      </w:tcPr>
                      <w:p>
                        <w:pPr>
                          <w:pStyle w:val="TableParagraph"/>
                          <w:spacing w:before="5"/>
                          <w:rPr>
                            <w:sz w:val="24"/>
                          </w:rPr>
                        </w:pPr>
                      </w:p>
                      <w:p>
                        <w:pPr>
                          <w:pStyle w:val="TableParagraph"/>
                          <w:ind w:right="178"/>
                          <w:jc w:val="right"/>
                          <w:rPr>
                            <w:sz w:val="24"/>
                          </w:rPr>
                        </w:pPr>
                        <w:r>
                          <w:rPr>
                            <w:sz w:val="24"/>
                          </w:rPr>
                          <w:t>7</w:t>
                        </w:r>
                      </w:p>
                    </w:tc>
                    <w:tc>
                      <w:tcPr>
                        <w:tcW w:w="912" w:type="dxa"/>
                        <w:vMerge/>
                        <w:tcBorders>
                          <w:top w:val="nil"/>
                          <w:left w:val="single" w:sz="4" w:space="0" w:color="000000"/>
                          <w:bottom w:val="single" w:sz="4" w:space="0" w:color="000000"/>
                          <w:right w:val="single" w:sz="4" w:space="0" w:color="000000"/>
                        </w:tcBorders>
                      </w:tcPr>
                      <w:p>
                        <w:pPr>
                          <w:rPr>
                            <w:sz w:val="2"/>
                            <w:szCs w:val="2"/>
                          </w:rPr>
                        </w:pPr>
                      </w:p>
                    </w:tc>
                    <w:tc>
                      <w:tcPr>
                        <w:tcW w:w="7937" w:type="dxa"/>
                        <w:tcBorders>
                          <w:top w:val="single" w:sz="4" w:space="0" w:color="000000"/>
                          <w:left w:val="single" w:sz="4" w:space="0" w:color="000000"/>
                          <w:bottom w:val="single" w:sz="4" w:space="0" w:color="000000"/>
                        </w:tcBorders>
                      </w:tcPr>
                      <w:p>
                        <w:pPr>
                          <w:pStyle w:val="TableParagraph"/>
                          <w:spacing w:line="242" w:lineRule="auto" w:before="1"/>
                          <w:ind w:left="113" w:right="-15"/>
                          <w:rPr>
                            <w:sz w:val="24"/>
                          </w:rPr>
                        </w:pPr>
                        <w:r>
                          <w:rPr>
                            <w:spacing w:val="1"/>
                            <w:sz w:val="24"/>
                          </w:rPr>
                          <w:t>未对使用的特种设备进行经常性维护保养和定期自行检查，或者未对使用</w:t>
                        </w:r>
                        <w:r>
                          <w:rPr>
                            <w:spacing w:val="-1"/>
                            <w:sz w:val="24"/>
                          </w:rPr>
                          <w:t>的特种设备的安全附件、安全保护装置等进行定期校验、检修，并作出记</w:t>
                        </w:r>
                      </w:p>
                      <w:p>
                        <w:pPr>
                          <w:pStyle w:val="TableParagraph"/>
                          <w:spacing w:line="289" w:lineRule="exact" w:before="3"/>
                          <w:ind w:left="113"/>
                          <w:rPr>
                            <w:sz w:val="24"/>
                          </w:rPr>
                        </w:pPr>
                        <w:r>
                          <w:rPr>
                            <w:sz w:val="24"/>
                          </w:rPr>
                          <w:t>录</w:t>
                        </w:r>
                      </w:p>
                    </w:tc>
                  </w:tr>
                  <w:tr>
                    <w:trPr>
                      <w:trHeight w:val="396" w:hRule="atLeast"/>
                    </w:trPr>
                    <w:tc>
                      <w:tcPr>
                        <w:tcW w:w="507" w:type="dxa"/>
                        <w:tcBorders>
                          <w:top w:val="single" w:sz="4" w:space="0" w:color="000000"/>
                          <w:bottom w:val="single" w:sz="4" w:space="0" w:color="000000"/>
                          <w:right w:val="single" w:sz="4" w:space="0" w:color="000000"/>
                        </w:tcBorders>
                      </w:tcPr>
                      <w:p>
                        <w:pPr>
                          <w:pStyle w:val="TableParagraph"/>
                          <w:spacing w:before="43"/>
                          <w:ind w:right="178"/>
                          <w:jc w:val="right"/>
                          <w:rPr>
                            <w:sz w:val="24"/>
                          </w:rPr>
                        </w:pPr>
                        <w:r>
                          <w:rPr>
                            <w:sz w:val="24"/>
                          </w:rPr>
                          <w:t>8</w:t>
                        </w:r>
                      </w:p>
                    </w:tc>
                    <w:tc>
                      <w:tcPr>
                        <w:tcW w:w="912" w:type="dxa"/>
                        <w:vMerge/>
                        <w:tcBorders>
                          <w:top w:val="nil"/>
                          <w:left w:val="single" w:sz="4" w:space="0" w:color="000000"/>
                          <w:bottom w:val="single" w:sz="4" w:space="0" w:color="000000"/>
                          <w:right w:val="single" w:sz="4" w:space="0" w:color="000000"/>
                        </w:tcBorders>
                      </w:tcPr>
                      <w:p>
                        <w:pPr>
                          <w:rPr>
                            <w:sz w:val="2"/>
                            <w:szCs w:val="2"/>
                          </w:rPr>
                        </w:pPr>
                      </w:p>
                    </w:tc>
                    <w:tc>
                      <w:tcPr>
                        <w:tcW w:w="7937" w:type="dxa"/>
                        <w:tcBorders>
                          <w:top w:val="single" w:sz="4" w:space="0" w:color="000000"/>
                          <w:left w:val="single" w:sz="4" w:space="0" w:color="000000"/>
                          <w:bottom w:val="single" w:sz="4" w:space="0" w:color="000000"/>
                        </w:tcBorders>
                      </w:tcPr>
                      <w:p>
                        <w:pPr>
                          <w:pStyle w:val="TableParagraph"/>
                          <w:spacing w:before="43"/>
                          <w:ind w:left="113"/>
                          <w:rPr>
                            <w:sz w:val="24"/>
                          </w:rPr>
                        </w:pPr>
                        <w:r>
                          <w:rPr>
                            <w:sz w:val="24"/>
                          </w:rPr>
                          <w:t>未按照安全技术规范的要求及时申报并接受检验</w:t>
                        </w:r>
                      </w:p>
                    </w:tc>
                  </w:tr>
                  <w:tr>
                    <w:trPr>
                      <w:trHeight w:val="623" w:hRule="atLeast"/>
                    </w:trPr>
                    <w:tc>
                      <w:tcPr>
                        <w:tcW w:w="507" w:type="dxa"/>
                        <w:tcBorders>
                          <w:top w:val="single" w:sz="4" w:space="0" w:color="000000"/>
                          <w:bottom w:val="single" w:sz="4" w:space="0" w:color="000000"/>
                          <w:right w:val="single" w:sz="4" w:space="0" w:color="000000"/>
                        </w:tcBorders>
                      </w:tcPr>
                      <w:p>
                        <w:pPr>
                          <w:pStyle w:val="TableParagraph"/>
                          <w:spacing w:before="157"/>
                          <w:ind w:right="178"/>
                          <w:jc w:val="right"/>
                          <w:rPr>
                            <w:sz w:val="24"/>
                          </w:rPr>
                        </w:pPr>
                        <w:r>
                          <w:rPr>
                            <w:sz w:val="24"/>
                          </w:rPr>
                          <w:t>9</w:t>
                        </w:r>
                      </w:p>
                    </w:tc>
                    <w:tc>
                      <w:tcPr>
                        <w:tcW w:w="912" w:type="dxa"/>
                        <w:vMerge/>
                        <w:tcBorders>
                          <w:top w:val="nil"/>
                          <w:left w:val="single" w:sz="4" w:space="0" w:color="000000"/>
                          <w:bottom w:val="single" w:sz="4" w:space="0" w:color="000000"/>
                          <w:right w:val="single" w:sz="4" w:space="0" w:color="000000"/>
                        </w:tcBorders>
                      </w:tcPr>
                      <w:p>
                        <w:pPr>
                          <w:rPr>
                            <w:sz w:val="2"/>
                            <w:szCs w:val="2"/>
                          </w:rPr>
                        </w:pPr>
                      </w:p>
                    </w:tc>
                    <w:tc>
                      <w:tcPr>
                        <w:tcW w:w="7937" w:type="dxa"/>
                        <w:tcBorders>
                          <w:top w:val="single" w:sz="4" w:space="0" w:color="000000"/>
                          <w:left w:val="single" w:sz="4" w:space="0" w:color="000000"/>
                          <w:bottom w:val="single" w:sz="4" w:space="0" w:color="000000"/>
                        </w:tcBorders>
                      </w:tcPr>
                      <w:p>
                        <w:pPr>
                          <w:pStyle w:val="TableParagraph"/>
                          <w:spacing w:before="1"/>
                          <w:ind w:left="113" w:right="-15"/>
                          <w:rPr>
                            <w:sz w:val="24"/>
                          </w:rPr>
                        </w:pPr>
                        <w:r>
                          <w:rPr>
                            <w:spacing w:val="1"/>
                            <w:sz w:val="24"/>
                          </w:rPr>
                          <w:t>特种设备运营使用单位未按规定设置特种设备安全管理机构，配备专职或</w:t>
                        </w:r>
                      </w:p>
                      <w:p>
                        <w:pPr>
                          <w:pStyle w:val="TableParagraph"/>
                          <w:spacing w:line="290" w:lineRule="exact" w:before="4"/>
                          <w:ind w:left="113"/>
                          <w:rPr>
                            <w:sz w:val="24"/>
                          </w:rPr>
                        </w:pPr>
                        <w:r>
                          <w:rPr>
                            <w:sz w:val="24"/>
                          </w:rPr>
                          <w:t>兼职的特种设备安全管理人员</w:t>
                        </w:r>
                      </w:p>
                    </w:tc>
                  </w:tr>
                  <w:tr>
                    <w:trPr>
                      <w:trHeight w:val="396" w:hRule="atLeast"/>
                    </w:trPr>
                    <w:tc>
                      <w:tcPr>
                        <w:tcW w:w="507" w:type="dxa"/>
                        <w:tcBorders>
                          <w:top w:val="single" w:sz="4" w:space="0" w:color="000000"/>
                          <w:bottom w:val="single" w:sz="4" w:space="0" w:color="000000"/>
                          <w:right w:val="single" w:sz="4" w:space="0" w:color="000000"/>
                        </w:tcBorders>
                      </w:tcPr>
                      <w:p>
                        <w:pPr>
                          <w:pStyle w:val="TableParagraph"/>
                          <w:spacing w:before="42"/>
                          <w:ind w:right="117"/>
                          <w:jc w:val="right"/>
                          <w:rPr>
                            <w:sz w:val="24"/>
                          </w:rPr>
                        </w:pPr>
                        <w:r>
                          <w:rPr>
                            <w:sz w:val="24"/>
                          </w:rPr>
                          <w:t>10</w:t>
                        </w:r>
                      </w:p>
                    </w:tc>
                    <w:tc>
                      <w:tcPr>
                        <w:tcW w:w="912" w:type="dxa"/>
                        <w:vMerge/>
                        <w:tcBorders>
                          <w:top w:val="nil"/>
                          <w:left w:val="single" w:sz="4" w:space="0" w:color="000000"/>
                          <w:bottom w:val="single" w:sz="4" w:space="0" w:color="000000"/>
                          <w:right w:val="single" w:sz="4" w:space="0" w:color="000000"/>
                        </w:tcBorders>
                      </w:tcPr>
                      <w:p>
                        <w:pPr>
                          <w:rPr>
                            <w:sz w:val="2"/>
                            <w:szCs w:val="2"/>
                          </w:rPr>
                        </w:pPr>
                      </w:p>
                    </w:tc>
                    <w:tc>
                      <w:tcPr>
                        <w:tcW w:w="7937" w:type="dxa"/>
                        <w:tcBorders>
                          <w:top w:val="single" w:sz="4" w:space="0" w:color="000000"/>
                          <w:left w:val="single" w:sz="4" w:space="0" w:color="000000"/>
                          <w:bottom w:val="single" w:sz="4" w:space="0" w:color="000000"/>
                        </w:tcBorders>
                      </w:tcPr>
                      <w:p>
                        <w:pPr>
                          <w:pStyle w:val="TableParagraph"/>
                          <w:spacing w:before="42"/>
                          <w:ind w:left="113"/>
                          <w:rPr>
                            <w:sz w:val="24"/>
                          </w:rPr>
                        </w:pPr>
                        <w:r>
                          <w:rPr>
                            <w:sz w:val="24"/>
                          </w:rPr>
                          <w:t>气瓶、移动式压力容器充装前后检查无记录</w:t>
                        </w:r>
                      </w:p>
                    </w:tc>
                  </w:tr>
                  <w:tr>
                    <w:trPr>
                      <w:trHeight w:val="622" w:hRule="atLeast"/>
                    </w:trPr>
                    <w:tc>
                      <w:tcPr>
                        <w:tcW w:w="507" w:type="dxa"/>
                        <w:tcBorders>
                          <w:top w:val="single" w:sz="4" w:space="0" w:color="000000"/>
                          <w:bottom w:val="single" w:sz="4" w:space="0" w:color="000000"/>
                          <w:right w:val="single" w:sz="4" w:space="0" w:color="000000"/>
                        </w:tcBorders>
                      </w:tcPr>
                      <w:p>
                        <w:pPr>
                          <w:pStyle w:val="TableParagraph"/>
                          <w:spacing w:before="156"/>
                          <w:ind w:right="117"/>
                          <w:jc w:val="right"/>
                          <w:rPr>
                            <w:sz w:val="24"/>
                          </w:rPr>
                        </w:pPr>
                        <w:r>
                          <w:rPr>
                            <w:sz w:val="24"/>
                          </w:rPr>
                          <w:t>11</w:t>
                        </w:r>
                      </w:p>
                    </w:tc>
                    <w:tc>
                      <w:tcPr>
                        <w:tcW w:w="912" w:type="dxa"/>
                        <w:vMerge/>
                        <w:tcBorders>
                          <w:top w:val="nil"/>
                          <w:left w:val="single" w:sz="4" w:space="0" w:color="000000"/>
                          <w:bottom w:val="single" w:sz="4" w:space="0" w:color="000000"/>
                          <w:right w:val="single" w:sz="4" w:space="0" w:color="000000"/>
                        </w:tcBorders>
                      </w:tcPr>
                      <w:p>
                        <w:pPr>
                          <w:rPr>
                            <w:sz w:val="2"/>
                            <w:szCs w:val="2"/>
                          </w:rPr>
                        </w:pPr>
                      </w:p>
                    </w:tc>
                    <w:tc>
                      <w:tcPr>
                        <w:tcW w:w="7937" w:type="dxa"/>
                        <w:tcBorders>
                          <w:top w:val="single" w:sz="4" w:space="0" w:color="000000"/>
                          <w:left w:val="single" w:sz="4" w:space="0" w:color="000000"/>
                          <w:bottom w:val="single" w:sz="4" w:space="0" w:color="000000"/>
                        </w:tcBorders>
                      </w:tcPr>
                      <w:p>
                        <w:pPr>
                          <w:pStyle w:val="TableParagraph"/>
                          <w:ind w:left="113"/>
                          <w:rPr>
                            <w:sz w:val="24"/>
                          </w:rPr>
                        </w:pPr>
                        <w:r>
                          <w:rPr>
                            <w:sz w:val="24"/>
                          </w:rPr>
                          <w:t>客运索道、大型游乐设施每日投入使用前，未进行试运行和例行安全检查</w:t>
                        </w:r>
                      </w:p>
                      <w:p>
                        <w:pPr>
                          <w:pStyle w:val="TableParagraph"/>
                          <w:spacing w:line="290" w:lineRule="exact" w:before="5"/>
                          <w:ind w:left="113"/>
                          <w:rPr>
                            <w:sz w:val="24"/>
                          </w:rPr>
                        </w:pPr>
                        <w:r>
                          <w:rPr>
                            <w:sz w:val="24"/>
                          </w:rPr>
                          <w:t>未对安全附件和安全保护装置进行检查确认</w:t>
                        </w:r>
                      </w:p>
                    </w:tc>
                  </w:tr>
                  <w:tr>
                    <w:trPr>
                      <w:trHeight w:val="622" w:hRule="atLeast"/>
                    </w:trPr>
                    <w:tc>
                      <w:tcPr>
                        <w:tcW w:w="507" w:type="dxa"/>
                        <w:tcBorders>
                          <w:top w:val="single" w:sz="4" w:space="0" w:color="000000"/>
                          <w:bottom w:val="single" w:sz="4" w:space="0" w:color="000000"/>
                          <w:right w:val="single" w:sz="4" w:space="0" w:color="000000"/>
                        </w:tcBorders>
                      </w:tcPr>
                      <w:p>
                        <w:pPr>
                          <w:pStyle w:val="TableParagraph"/>
                          <w:spacing w:before="158"/>
                          <w:ind w:right="117"/>
                          <w:jc w:val="right"/>
                          <w:rPr>
                            <w:sz w:val="24"/>
                          </w:rPr>
                        </w:pPr>
                        <w:r>
                          <w:rPr>
                            <w:sz w:val="24"/>
                          </w:rPr>
                          <w:t>12</w:t>
                        </w:r>
                      </w:p>
                    </w:tc>
                    <w:tc>
                      <w:tcPr>
                        <w:tcW w:w="912" w:type="dxa"/>
                        <w:vMerge/>
                        <w:tcBorders>
                          <w:top w:val="nil"/>
                          <w:left w:val="single" w:sz="4" w:space="0" w:color="000000"/>
                          <w:bottom w:val="single" w:sz="4" w:space="0" w:color="000000"/>
                          <w:right w:val="single" w:sz="4" w:space="0" w:color="000000"/>
                        </w:tcBorders>
                      </w:tcPr>
                      <w:p>
                        <w:pPr>
                          <w:rPr>
                            <w:sz w:val="2"/>
                            <w:szCs w:val="2"/>
                          </w:rPr>
                        </w:pPr>
                      </w:p>
                    </w:tc>
                    <w:tc>
                      <w:tcPr>
                        <w:tcW w:w="7937" w:type="dxa"/>
                        <w:tcBorders>
                          <w:top w:val="single" w:sz="4" w:space="0" w:color="000000"/>
                          <w:left w:val="single" w:sz="4" w:space="0" w:color="000000"/>
                          <w:bottom w:val="single" w:sz="4" w:space="0" w:color="000000"/>
                        </w:tcBorders>
                      </w:tcPr>
                      <w:p>
                        <w:pPr>
                          <w:pStyle w:val="TableParagraph"/>
                          <w:spacing w:before="2"/>
                          <w:ind w:left="113"/>
                          <w:rPr>
                            <w:sz w:val="24"/>
                          </w:rPr>
                        </w:pPr>
                        <w:r>
                          <w:rPr>
                            <w:sz w:val="24"/>
                          </w:rPr>
                          <w:t>未将电梯、客运索道、大型游乐设施、机械式停车设备等的安全使用说明</w:t>
                        </w:r>
                      </w:p>
                      <w:p>
                        <w:pPr>
                          <w:pStyle w:val="TableParagraph"/>
                          <w:spacing w:line="289" w:lineRule="exact" w:before="4"/>
                          <w:ind w:left="113"/>
                          <w:rPr>
                            <w:sz w:val="24"/>
                          </w:rPr>
                        </w:pPr>
                        <w:r>
                          <w:rPr>
                            <w:sz w:val="24"/>
                          </w:rPr>
                          <w:t>安全注意事项和警示标志置于易于为使用者注意的显著位置</w:t>
                        </w:r>
                      </w:p>
                    </w:tc>
                  </w:tr>
                  <w:tr>
                    <w:trPr>
                      <w:trHeight w:val="397" w:hRule="atLeast"/>
                    </w:trPr>
                    <w:tc>
                      <w:tcPr>
                        <w:tcW w:w="507" w:type="dxa"/>
                        <w:tcBorders>
                          <w:top w:val="single" w:sz="4" w:space="0" w:color="000000"/>
                          <w:bottom w:val="single" w:sz="4" w:space="0" w:color="000000"/>
                          <w:right w:val="single" w:sz="4" w:space="0" w:color="000000"/>
                        </w:tcBorders>
                      </w:tcPr>
                      <w:p>
                        <w:pPr>
                          <w:pStyle w:val="TableParagraph"/>
                          <w:spacing w:before="43"/>
                          <w:ind w:right="117"/>
                          <w:jc w:val="right"/>
                          <w:rPr>
                            <w:sz w:val="24"/>
                          </w:rPr>
                        </w:pPr>
                        <w:r>
                          <w:rPr>
                            <w:sz w:val="24"/>
                          </w:rPr>
                          <w:t>13</w:t>
                        </w:r>
                      </w:p>
                    </w:tc>
                    <w:tc>
                      <w:tcPr>
                        <w:tcW w:w="912" w:type="dxa"/>
                        <w:vMerge/>
                        <w:tcBorders>
                          <w:top w:val="nil"/>
                          <w:left w:val="single" w:sz="4" w:space="0" w:color="000000"/>
                          <w:bottom w:val="single" w:sz="4" w:space="0" w:color="000000"/>
                          <w:right w:val="single" w:sz="4" w:space="0" w:color="000000"/>
                        </w:tcBorders>
                      </w:tcPr>
                      <w:p>
                        <w:pPr>
                          <w:rPr>
                            <w:sz w:val="2"/>
                            <w:szCs w:val="2"/>
                          </w:rPr>
                        </w:pPr>
                      </w:p>
                    </w:tc>
                    <w:tc>
                      <w:tcPr>
                        <w:tcW w:w="7937" w:type="dxa"/>
                        <w:tcBorders>
                          <w:top w:val="single" w:sz="4" w:space="0" w:color="000000"/>
                          <w:left w:val="single" w:sz="4" w:space="0" w:color="000000"/>
                          <w:bottom w:val="single" w:sz="4" w:space="0" w:color="000000"/>
                        </w:tcBorders>
                      </w:tcPr>
                      <w:p>
                        <w:pPr>
                          <w:pStyle w:val="TableParagraph"/>
                          <w:spacing w:before="43"/>
                          <w:ind w:left="113"/>
                          <w:rPr>
                            <w:sz w:val="24"/>
                          </w:rPr>
                        </w:pPr>
                        <w:r>
                          <w:rPr>
                            <w:sz w:val="24"/>
                          </w:rPr>
                          <w:t>未按照安全技术规范的要求进行锅炉水（介）质处理</w:t>
                        </w:r>
                      </w:p>
                    </w:tc>
                  </w:tr>
                  <w:tr>
                    <w:trPr>
                      <w:trHeight w:val="622" w:hRule="atLeast"/>
                    </w:trPr>
                    <w:tc>
                      <w:tcPr>
                        <w:tcW w:w="507" w:type="dxa"/>
                        <w:tcBorders>
                          <w:top w:val="single" w:sz="4" w:space="0" w:color="000000"/>
                          <w:bottom w:val="single" w:sz="4" w:space="0" w:color="000000"/>
                          <w:right w:val="single" w:sz="4" w:space="0" w:color="000000"/>
                        </w:tcBorders>
                      </w:tcPr>
                      <w:p>
                        <w:pPr>
                          <w:pStyle w:val="TableParagraph"/>
                          <w:spacing w:before="157"/>
                          <w:ind w:right="117"/>
                          <w:jc w:val="right"/>
                          <w:rPr>
                            <w:sz w:val="24"/>
                          </w:rPr>
                        </w:pPr>
                        <w:r>
                          <w:rPr>
                            <w:sz w:val="24"/>
                          </w:rPr>
                          <w:t>14</w:t>
                        </w:r>
                      </w:p>
                    </w:tc>
                    <w:tc>
                      <w:tcPr>
                        <w:tcW w:w="912" w:type="dxa"/>
                        <w:vMerge/>
                        <w:tcBorders>
                          <w:top w:val="nil"/>
                          <w:left w:val="single" w:sz="4" w:space="0" w:color="000000"/>
                          <w:bottom w:val="single" w:sz="4" w:space="0" w:color="000000"/>
                          <w:right w:val="single" w:sz="4" w:space="0" w:color="000000"/>
                        </w:tcBorders>
                      </w:tcPr>
                      <w:p>
                        <w:pPr>
                          <w:rPr>
                            <w:sz w:val="2"/>
                            <w:szCs w:val="2"/>
                          </w:rPr>
                        </w:pPr>
                      </w:p>
                    </w:tc>
                    <w:tc>
                      <w:tcPr>
                        <w:tcW w:w="7937" w:type="dxa"/>
                        <w:tcBorders>
                          <w:top w:val="single" w:sz="4" w:space="0" w:color="000000"/>
                          <w:left w:val="single" w:sz="4" w:space="0" w:color="000000"/>
                          <w:bottom w:val="single" w:sz="4" w:space="0" w:color="000000"/>
                        </w:tcBorders>
                      </w:tcPr>
                      <w:p>
                        <w:pPr>
                          <w:pStyle w:val="TableParagraph"/>
                          <w:spacing w:before="1"/>
                          <w:ind w:left="113" w:right="-15"/>
                          <w:rPr>
                            <w:sz w:val="24"/>
                          </w:rPr>
                        </w:pPr>
                        <w:r>
                          <w:rPr>
                            <w:sz w:val="24"/>
                          </w:rPr>
                          <w:t>对安全状况等级为 3</w:t>
                        </w:r>
                        <w:r>
                          <w:rPr>
                            <w:spacing w:val="-11"/>
                            <w:sz w:val="24"/>
                          </w:rPr>
                          <w:t> 级压力管道、</w:t>
                        </w:r>
                        <w:r>
                          <w:rPr>
                            <w:sz w:val="24"/>
                          </w:rPr>
                          <w:t>4</w:t>
                        </w:r>
                        <w:r>
                          <w:rPr>
                            <w:spacing w:val="-1"/>
                            <w:sz w:val="24"/>
                          </w:rPr>
                          <w:t> 级固定式压力容器和检验结论为基本</w:t>
                        </w:r>
                      </w:p>
                      <w:p>
                        <w:pPr>
                          <w:pStyle w:val="TableParagraph"/>
                          <w:spacing w:line="289" w:lineRule="exact" w:before="4"/>
                          <w:ind w:left="113"/>
                          <w:rPr>
                            <w:sz w:val="24"/>
                          </w:rPr>
                        </w:pPr>
                        <w:r>
                          <w:rPr>
                            <w:sz w:val="24"/>
                          </w:rPr>
                          <w:t>符合要求的锅炉未制定监控措施或措施不到位仍在使用</w:t>
                        </w:r>
                      </w:p>
                    </w:tc>
                  </w:tr>
                  <w:tr>
                    <w:trPr>
                      <w:trHeight w:val="392" w:hRule="atLeast"/>
                    </w:trPr>
                    <w:tc>
                      <w:tcPr>
                        <w:tcW w:w="507" w:type="dxa"/>
                        <w:tcBorders>
                          <w:top w:val="single" w:sz="4" w:space="0" w:color="000000"/>
                          <w:bottom w:val="single" w:sz="4" w:space="0" w:color="000000"/>
                          <w:right w:val="single" w:sz="4" w:space="0" w:color="000000"/>
                        </w:tcBorders>
                      </w:tcPr>
                      <w:p>
                        <w:pPr>
                          <w:pStyle w:val="TableParagraph"/>
                          <w:spacing w:before="43"/>
                          <w:ind w:right="117"/>
                          <w:jc w:val="right"/>
                          <w:rPr>
                            <w:sz w:val="24"/>
                          </w:rPr>
                        </w:pPr>
                        <w:r>
                          <w:rPr>
                            <w:sz w:val="24"/>
                          </w:rPr>
                          <w:t>15</w:t>
                        </w:r>
                      </w:p>
                    </w:tc>
                    <w:tc>
                      <w:tcPr>
                        <w:tcW w:w="912" w:type="dxa"/>
                        <w:vMerge w:val="restart"/>
                        <w:tcBorders>
                          <w:top w:val="single" w:sz="4" w:space="0" w:color="000000"/>
                          <w:left w:val="single" w:sz="4" w:space="0" w:color="000000"/>
                          <w:right w:val="single" w:sz="4" w:space="0" w:color="000000"/>
                        </w:tcBorders>
                      </w:tcPr>
                      <w:p>
                        <w:pPr>
                          <w:pStyle w:val="TableParagraph"/>
                          <w:rPr>
                            <w:sz w:val="23"/>
                          </w:rPr>
                        </w:pPr>
                      </w:p>
                      <w:p>
                        <w:pPr>
                          <w:pStyle w:val="TableParagraph"/>
                          <w:spacing w:before="1"/>
                          <w:ind w:left="89"/>
                          <w:rPr>
                            <w:sz w:val="24"/>
                          </w:rPr>
                        </w:pPr>
                        <w:r>
                          <w:rPr>
                            <w:sz w:val="24"/>
                          </w:rPr>
                          <w:t>人员类</w:t>
                        </w:r>
                      </w:p>
                      <w:p>
                        <w:pPr>
                          <w:pStyle w:val="TableParagraph"/>
                          <w:spacing w:before="4"/>
                          <w:ind w:left="149"/>
                          <w:rPr>
                            <w:sz w:val="24"/>
                          </w:rPr>
                        </w:pPr>
                        <w:r>
                          <w:rPr>
                            <w:sz w:val="24"/>
                          </w:rPr>
                          <w:t>（R）</w:t>
                        </w:r>
                      </w:p>
                    </w:tc>
                    <w:tc>
                      <w:tcPr>
                        <w:tcW w:w="7937" w:type="dxa"/>
                        <w:tcBorders>
                          <w:top w:val="single" w:sz="4" w:space="0" w:color="000000"/>
                          <w:left w:val="single" w:sz="4" w:space="0" w:color="000000"/>
                          <w:bottom w:val="single" w:sz="4" w:space="0" w:color="000000"/>
                        </w:tcBorders>
                      </w:tcPr>
                      <w:p>
                        <w:pPr>
                          <w:pStyle w:val="TableParagraph"/>
                          <w:spacing w:before="43"/>
                          <w:ind w:left="113"/>
                          <w:rPr>
                            <w:sz w:val="24"/>
                          </w:rPr>
                        </w:pPr>
                        <w:r>
                          <w:rPr>
                            <w:sz w:val="24"/>
                          </w:rPr>
                          <w:t>特种设备管理人员、作业人员等无证上岗</w:t>
                        </w:r>
                      </w:p>
                    </w:tc>
                  </w:tr>
                  <w:tr>
                    <w:trPr>
                      <w:trHeight w:val="386" w:hRule="atLeast"/>
                    </w:trPr>
                    <w:tc>
                      <w:tcPr>
                        <w:tcW w:w="507" w:type="dxa"/>
                        <w:tcBorders>
                          <w:top w:val="single" w:sz="4" w:space="0" w:color="000000"/>
                          <w:bottom w:val="single" w:sz="4" w:space="0" w:color="000000"/>
                          <w:right w:val="single" w:sz="4" w:space="0" w:color="000000"/>
                        </w:tcBorders>
                      </w:tcPr>
                      <w:p>
                        <w:pPr>
                          <w:pStyle w:val="TableParagraph"/>
                          <w:spacing w:before="39"/>
                          <w:ind w:right="117"/>
                          <w:jc w:val="right"/>
                          <w:rPr>
                            <w:sz w:val="24"/>
                          </w:rPr>
                        </w:pPr>
                        <w:r>
                          <w:rPr>
                            <w:sz w:val="24"/>
                          </w:rPr>
                          <w:t>16</w:t>
                        </w:r>
                      </w:p>
                    </w:tc>
                    <w:tc>
                      <w:tcPr>
                        <w:tcW w:w="912" w:type="dxa"/>
                        <w:vMerge/>
                        <w:tcBorders>
                          <w:top w:val="nil"/>
                          <w:left w:val="single" w:sz="4" w:space="0" w:color="000000"/>
                          <w:right w:val="single" w:sz="4" w:space="0" w:color="000000"/>
                        </w:tcBorders>
                      </w:tcPr>
                      <w:p>
                        <w:pPr>
                          <w:rPr>
                            <w:sz w:val="2"/>
                            <w:szCs w:val="2"/>
                          </w:rPr>
                        </w:pPr>
                      </w:p>
                    </w:tc>
                    <w:tc>
                      <w:tcPr>
                        <w:tcW w:w="7937" w:type="dxa"/>
                        <w:tcBorders>
                          <w:top w:val="single" w:sz="4" w:space="0" w:color="000000"/>
                          <w:left w:val="single" w:sz="4" w:space="0" w:color="000000"/>
                          <w:bottom w:val="single" w:sz="4" w:space="0" w:color="000000"/>
                        </w:tcBorders>
                      </w:tcPr>
                      <w:p>
                        <w:pPr>
                          <w:pStyle w:val="TableParagraph"/>
                          <w:spacing w:before="39"/>
                          <w:ind w:left="113"/>
                          <w:rPr>
                            <w:sz w:val="24"/>
                          </w:rPr>
                        </w:pPr>
                        <w:r>
                          <w:rPr>
                            <w:sz w:val="24"/>
                          </w:rPr>
                          <w:t>特种设备管理人员、作业人员未经安全教育和技能培训</w:t>
                        </w:r>
                      </w:p>
                    </w:tc>
                  </w:tr>
                  <w:tr>
                    <w:trPr>
                      <w:trHeight w:val="391" w:hRule="atLeast"/>
                    </w:trPr>
                    <w:tc>
                      <w:tcPr>
                        <w:tcW w:w="507" w:type="dxa"/>
                        <w:tcBorders>
                          <w:top w:val="single" w:sz="4" w:space="0" w:color="000000"/>
                          <w:right w:val="single" w:sz="4" w:space="0" w:color="000000"/>
                        </w:tcBorders>
                      </w:tcPr>
                      <w:p>
                        <w:pPr>
                          <w:pStyle w:val="TableParagraph"/>
                          <w:spacing w:before="38"/>
                          <w:ind w:right="117"/>
                          <w:jc w:val="right"/>
                          <w:rPr>
                            <w:sz w:val="24"/>
                          </w:rPr>
                        </w:pPr>
                        <w:r>
                          <w:rPr>
                            <w:sz w:val="24"/>
                          </w:rPr>
                          <w:t>17</w:t>
                        </w:r>
                      </w:p>
                    </w:tc>
                    <w:tc>
                      <w:tcPr>
                        <w:tcW w:w="912" w:type="dxa"/>
                        <w:vMerge/>
                        <w:tcBorders>
                          <w:top w:val="nil"/>
                          <w:left w:val="single" w:sz="4" w:space="0" w:color="000000"/>
                          <w:right w:val="single" w:sz="4" w:space="0" w:color="000000"/>
                        </w:tcBorders>
                      </w:tcPr>
                      <w:p>
                        <w:pPr>
                          <w:rPr>
                            <w:sz w:val="2"/>
                            <w:szCs w:val="2"/>
                          </w:rPr>
                        </w:pPr>
                      </w:p>
                    </w:tc>
                    <w:tc>
                      <w:tcPr>
                        <w:tcW w:w="7937" w:type="dxa"/>
                        <w:tcBorders>
                          <w:top w:val="single" w:sz="4" w:space="0" w:color="000000"/>
                          <w:left w:val="single" w:sz="4" w:space="0" w:color="000000"/>
                        </w:tcBorders>
                      </w:tcPr>
                      <w:p>
                        <w:pPr>
                          <w:pStyle w:val="TableParagraph"/>
                          <w:spacing w:before="38"/>
                          <w:ind w:left="113"/>
                          <w:rPr>
                            <w:sz w:val="24"/>
                          </w:rPr>
                        </w:pPr>
                        <w:r>
                          <w:rPr>
                            <w:sz w:val="24"/>
                          </w:rPr>
                          <w:t>管理人员、作业人员违反操作规程</w:t>
                        </w:r>
                      </w:p>
                    </w:tc>
                  </w:tr>
                  <w:tr>
                    <w:trPr>
                      <w:trHeight w:val="1052" w:hRule="atLeast"/>
                    </w:trPr>
                    <w:tc>
                      <w:tcPr>
                        <w:tcW w:w="9356" w:type="dxa"/>
                        <w:gridSpan w:val="3"/>
                      </w:tcPr>
                      <w:p>
                        <w:pPr>
                          <w:pStyle w:val="TableParagraph"/>
                          <w:spacing w:before="3"/>
                          <w:ind w:left="586"/>
                          <w:rPr>
                            <w:sz w:val="24"/>
                          </w:rPr>
                        </w:pPr>
                        <w:r>
                          <w:rPr>
                            <w:sz w:val="24"/>
                          </w:rPr>
                          <w:t>注：</w:t>
                        </w:r>
                      </w:p>
                      <w:p>
                        <w:pPr>
                          <w:pStyle w:val="TableParagraph"/>
                          <w:numPr>
                            <w:ilvl w:val="0"/>
                            <w:numId w:val="49"/>
                          </w:numPr>
                          <w:tabs>
                            <w:tab w:pos="947" w:val="left" w:leader="none"/>
                          </w:tabs>
                          <w:spacing w:line="240" w:lineRule="auto" w:before="2" w:after="0"/>
                          <w:ind w:left="946" w:right="0" w:hanging="361"/>
                          <w:jc w:val="left"/>
                          <w:rPr>
                            <w:sz w:val="24"/>
                          </w:rPr>
                        </w:pPr>
                        <w:r>
                          <w:rPr>
                            <w:sz w:val="24"/>
                          </w:rPr>
                          <w:t>由环境因素导致的上述隐患也可归为环境类隐患；</w:t>
                        </w:r>
                      </w:p>
                      <w:p>
                        <w:pPr>
                          <w:pStyle w:val="TableParagraph"/>
                          <w:numPr>
                            <w:ilvl w:val="0"/>
                            <w:numId w:val="49"/>
                          </w:numPr>
                          <w:tabs>
                            <w:tab w:pos="947" w:val="left" w:leader="none"/>
                          </w:tabs>
                          <w:spacing w:line="240" w:lineRule="auto" w:before="5" w:after="0"/>
                          <w:ind w:left="946" w:right="-15" w:hanging="361"/>
                          <w:jc w:val="left"/>
                          <w:rPr>
                            <w:sz w:val="24"/>
                          </w:rPr>
                        </w:pPr>
                        <w:r>
                          <w:rPr>
                            <w:spacing w:val="-1"/>
                            <w:sz w:val="24"/>
                          </w:rPr>
                          <w:t>其他环境类隐患的目录和级别，可由使用单位、监管部门根据其危害程度确定。</w:t>
                        </w:r>
                      </w:p>
                    </w:tc>
                  </w:tr>
                </w:tbl>
                <w:p>
                  <w:pPr>
                    <w:pStyle w:val="BodyText"/>
                    <w:ind w:left="0"/>
                  </w:pPr>
                </w:p>
              </w:txbxContent>
            </v:textbox>
            <w10:wrap type="none"/>
          </v:shape>
        </w:pict>
      </w:r>
      <w:r>
        <w:rPr>
          <w:sz w:val="24"/>
        </w:rPr>
        <w:t>特种设备较大事故隐患</w:t>
      </w: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spacing w:before="4"/>
        <w:ind w:left="0"/>
      </w:pPr>
    </w:p>
    <w:p>
      <w:pPr>
        <w:spacing w:before="0"/>
        <w:ind w:left="9579" w:right="0" w:firstLine="0"/>
        <w:jc w:val="left"/>
        <w:rPr>
          <w:sz w:val="24"/>
        </w:rPr>
      </w:pPr>
      <w:r>
        <w:rPr>
          <w:sz w:val="24"/>
        </w:rPr>
        <w:t>，</w:t>
      </w:r>
    </w:p>
    <w:p>
      <w:pPr>
        <w:pStyle w:val="BodyText"/>
        <w:spacing w:before="6"/>
        <w:ind w:left="0"/>
        <w:rPr>
          <w:sz w:val="25"/>
        </w:rPr>
      </w:pPr>
    </w:p>
    <w:p>
      <w:pPr>
        <w:spacing w:before="0"/>
        <w:ind w:left="9579" w:right="0" w:firstLine="0"/>
        <w:jc w:val="left"/>
        <w:rPr>
          <w:sz w:val="24"/>
        </w:rPr>
      </w:pPr>
      <w:r>
        <w:rPr>
          <w:sz w:val="24"/>
        </w:rPr>
        <w:t>、</w:t>
      </w:r>
    </w:p>
    <w:p>
      <w:pPr>
        <w:spacing w:after="0"/>
        <w:jc w:val="left"/>
        <w:rPr>
          <w:sz w:val="24"/>
        </w:rPr>
        <w:sectPr>
          <w:pgSz w:w="11910" w:h="16840"/>
          <w:pgMar w:header="0" w:footer="1119" w:top="1580" w:bottom="1300" w:left="1060" w:right="860"/>
        </w:sectPr>
      </w:pPr>
    </w:p>
    <w:p>
      <w:pPr>
        <w:pStyle w:val="BodyText"/>
        <w:spacing w:before="9"/>
        <w:ind w:left="0"/>
        <w:rPr>
          <w:sz w:val="28"/>
        </w:rPr>
      </w:pPr>
    </w:p>
    <w:p>
      <w:pPr>
        <w:pStyle w:val="Heading1"/>
        <w:spacing w:line="165" w:lineRule="auto"/>
      </w:pPr>
      <w:bookmarkStart w:name="民用爆炸物品生产、销售企业生产安全事故隐患排查治理体系建设指南" w:id="44"/>
      <w:bookmarkEnd w:id="44"/>
      <w:r>
        <w:rPr>
          <w:b w:val="0"/>
        </w:rPr>
      </w:r>
      <w:bookmarkStart w:name="_bookmark22" w:id="45"/>
      <w:bookmarkEnd w:id="45"/>
      <w:r>
        <w:rPr>
          <w:b w:val="0"/>
        </w:rPr>
      </w:r>
      <w:r>
        <w:rPr/>
        <w:t>民用爆炸物品生产、销售企业生产安全事故隐患排查治理体系建设指南</w:t>
      </w:r>
    </w:p>
    <w:p>
      <w:pPr>
        <w:pStyle w:val="BodyText"/>
        <w:spacing w:before="8"/>
        <w:ind w:left="0"/>
        <w:rPr>
          <w:rFonts w:ascii="Microsoft JhengHei"/>
          <w:b/>
          <w:sz w:val="10"/>
        </w:rPr>
      </w:pPr>
    </w:p>
    <w:p>
      <w:pPr>
        <w:pStyle w:val="ListParagraph"/>
        <w:numPr>
          <w:ilvl w:val="0"/>
          <w:numId w:val="50"/>
        </w:numPr>
        <w:tabs>
          <w:tab w:pos="980" w:val="left" w:leader="none"/>
        </w:tabs>
        <w:spacing w:line="240" w:lineRule="auto" w:before="54" w:after="0"/>
        <w:ind w:left="980" w:right="0" w:hanging="240"/>
        <w:jc w:val="left"/>
        <w:rPr>
          <w:rFonts w:ascii="黑体" w:eastAsia="黑体" w:hint="eastAsia"/>
          <w:sz w:val="32"/>
        </w:rPr>
      </w:pPr>
      <w:r>
        <w:rPr>
          <w:rFonts w:ascii="黑体" w:eastAsia="黑体" w:hint="eastAsia"/>
          <w:sz w:val="32"/>
        </w:rPr>
        <w:t>范围</w:t>
      </w:r>
    </w:p>
    <w:p>
      <w:pPr>
        <w:pStyle w:val="BodyText"/>
        <w:spacing w:before="11"/>
        <w:ind w:left="0"/>
        <w:rPr>
          <w:rFonts w:ascii="黑体"/>
          <w:sz w:val="23"/>
        </w:rPr>
      </w:pPr>
    </w:p>
    <w:p>
      <w:pPr>
        <w:pStyle w:val="BodyText"/>
        <w:spacing w:line="328" w:lineRule="auto"/>
        <w:ind w:left="740" w:right="937" w:firstLine="640"/>
        <w:jc w:val="both"/>
      </w:pPr>
      <w:r>
        <w:rPr>
          <w:spacing w:val="-1"/>
        </w:rPr>
        <w:t>本文件规定了民用爆炸物品生产、销售企业开展生产安</w:t>
      </w:r>
      <w:r>
        <w:rPr>
          <w:spacing w:val="11"/>
          <w:w w:val="95"/>
        </w:rPr>
        <w:t>全事故隐患排查治理体系建设的基本要求、隐患分级与分 </w:t>
      </w:r>
      <w:r>
        <w:rPr>
          <w:spacing w:val="-2"/>
          <w:w w:val="95"/>
        </w:rPr>
        <w:t>类、工作程序和内容、信息平台建设、事故隐患排查治理台 </w:t>
      </w:r>
      <w:r>
        <w:rPr>
          <w:spacing w:val="-2"/>
        </w:rPr>
        <w:t>账和持续改进要求。</w:t>
      </w:r>
    </w:p>
    <w:p>
      <w:pPr>
        <w:pStyle w:val="BodyText"/>
        <w:spacing w:line="328" w:lineRule="auto"/>
        <w:ind w:left="740" w:right="893" w:firstLine="640"/>
      </w:pPr>
      <w:r>
        <w:rPr/>
        <w:t>本文件适用于民用爆炸物品生产、销售企业生产安全事故隐患排查治理体系的建设。</w:t>
      </w:r>
    </w:p>
    <w:p>
      <w:pPr>
        <w:pStyle w:val="ListParagraph"/>
        <w:numPr>
          <w:ilvl w:val="0"/>
          <w:numId w:val="50"/>
        </w:numPr>
        <w:tabs>
          <w:tab w:pos="1060" w:val="left" w:leader="none"/>
        </w:tabs>
        <w:spacing w:line="240" w:lineRule="auto" w:before="146" w:after="0"/>
        <w:ind w:left="1059" w:right="0" w:hanging="320"/>
        <w:jc w:val="left"/>
        <w:rPr>
          <w:rFonts w:ascii="黑体" w:eastAsia="黑体" w:hint="eastAsia"/>
          <w:sz w:val="32"/>
        </w:rPr>
      </w:pPr>
      <w:r>
        <w:rPr>
          <w:rFonts w:ascii="黑体" w:eastAsia="黑体" w:hint="eastAsia"/>
          <w:sz w:val="32"/>
        </w:rPr>
        <w:t>规范性引用文件</w:t>
      </w:r>
    </w:p>
    <w:p>
      <w:pPr>
        <w:pStyle w:val="BodyText"/>
        <w:spacing w:line="328" w:lineRule="auto" w:before="149"/>
        <w:ind w:left="740" w:right="937" w:firstLine="640"/>
        <w:jc w:val="both"/>
      </w:pPr>
      <w:r>
        <w:rPr>
          <w:spacing w:val="13"/>
          <w:w w:val="95"/>
        </w:rPr>
        <w:t>下列文件中的内容通过文中的规范性引用而构成本文 </w:t>
      </w:r>
      <w:r>
        <w:rPr>
          <w:spacing w:val="-1"/>
        </w:rPr>
        <w:t>件必不可少的条款。其中，注日期的引用文件，仅该日期对</w:t>
      </w:r>
      <w:r>
        <w:rPr>
          <w:spacing w:val="-3"/>
          <w:w w:val="95"/>
        </w:rPr>
        <w:t>应的版本适用于本文件；不注日期的引用文件，其最新版本</w:t>
      </w:r>
    </w:p>
    <w:p>
      <w:pPr>
        <w:pStyle w:val="BodyText"/>
        <w:spacing w:line="405" w:lineRule="exact"/>
        <w:ind w:left="740"/>
      </w:pPr>
      <w:r>
        <w:rPr/>
        <w:t>（包括所有的修改单）适用于本文件。</w:t>
      </w:r>
    </w:p>
    <w:p>
      <w:pPr>
        <w:pStyle w:val="BodyText"/>
        <w:tabs>
          <w:tab w:pos="2979" w:val="left" w:leader="none"/>
        </w:tabs>
        <w:spacing w:before="151"/>
        <w:ind w:left="1380"/>
      </w:pPr>
      <w:r>
        <w:rPr/>
        <w:t>GB</w:t>
      </w:r>
      <w:r>
        <w:rPr>
          <w:spacing w:val="-2"/>
        </w:rPr>
        <w:t> </w:t>
      </w:r>
      <w:r>
        <w:rPr/>
        <w:t>50089</w:t>
        <w:tab/>
        <w:t>民用爆炸物品工程设计安全标准</w:t>
      </w:r>
    </w:p>
    <w:p>
      <w:pPr>
        <w:pStyle w:val="BodyText"/>
        <w:tabs>
          <w:tab w:pos="3159" w:val="left" w:leader="none"/>
          <w:tab w:pos="8071" w:val="left" w:leader="none"/>
        </w:tabs>
        <w:spacing w:before="150"/>
        <w:ind w:left="1380"/>
      </w:pPr>
      <w:r>
        <w:rPr/>
        <w:t>WJ/T</w:t>
      </w:r>
      <w:r>
        <w:rPr>
          <w:spacing w:val="2"/>
        </w:rPr>
        <w:t> </w:t>
      </w:r>
      <w:r>
        <w:rPr/>
        <w:t>9075</w:t>
        <w:tab/>
      </w:r>
      <w:r>
        <w:rPr>
          <w:spacing w:val="7"/>
        </w:rPr>
        <w:t>民用</w:t>
      </w:r>
      <w:r>
        <w:rPr>
          <w:spacing w:val="9"/>
        </w:rPr>
        <w:t>爆</w:t>
      </w:r>
      <w:r>
        <w:rPr>
          <w:spacing w:val="7"/>
        </w:rPr>
        <w:t>破器材</w:t>
      </w:r>
      <w:r>
        <w:rPr>
          <w:spacing w:val="9"/>
        </w:rPr>
        <w:t>企</w:t>
      </w:r>
      <w:r>
        <w:rPr>
          <w:spacing w:val="7"/>
        </w:rPr>
        <w:t>业安全</w:t>
      </w:r>
      <w:r>
        <w:rPr>
          <w:spacing w:val="9"/>
        </w:rPr>
        <w:t>检</w:t>
      </w:r>
      <w:r>
        <w:rPr>
          <w:spacing w:val="7"/>
        </w:rPr>
        <w:t>查方</w:t>
      </w:r>
      <w:r>
        <w:rPr/>
        <w:t>法</w:t>
        <w:tab/>
      </w:r>
      <w:r>
        <w:rPr>
          <w:spacing w:val="7"/>
        </w:rPr>
        <w:t>检查</w:t>
      </w:r>
      <w:r>
        <w:rPr/>
        <w:t>表</w:t>
      </w:r>
    </w:p>
    <w:p>
      <w:pPr>
        <w:pStyle w:val="BodyText"/>
        <w:spacing w:before="149"/>
        <w:ind w:left="740"/>
      </w:pPr>
      <w:r>
        <w:rPr>
          <w:w w:val="99"/>
        </w:rPr>
        <w:t>法</w:t>
      </w:r>
    </w:p>
    <w:p>
      <w:pPr>
        <w:pStyle w:val="BodyText"/>
        <w:ind w:left="0"/>
        <w:rPr>
          <w:sz w:val="24"/>
        </w:rPr>
      </w:pPr>
    </w:p>
    <w:p>
      <w:pPr>
        <w:pStyle w:val="ListParagraph"/>
        <w:numPr>
          <w:ilvl w:val="0"/>
          <w:numId w:val="50"/>
        </w:numPr>
        <w:tabs>
          <w:tab w:pos="1060" w:val="left" w:leader="none"/>
        </w:tabs>
        <w:spacing w:line="240" w:lineRule="auto" w:before="0" w:after="0"/>
        <w:ind w:left="1059" w:right="0" w:hanging="320"/>
        <w:jc w:val="left"/>
        <w:rPr>
          <w:rFonts w:ascii="黑体" w:eastAsia="黑体" w:hint="eastAsia"/>
          <w:sz w:val="32"/>
        </w:rPr>
      </w:pPr>
      <w:r>
        <w:rPr>
          <w:rFonts w:ascii="黑体" w:eastAsia="黑体" w:hint="eastAsia"/>
          <w:sz w:val="32"/>
        </w:rPr>
        <w:t>术语和定义</w:t>
      </w:r>
    </w:p>
    <w:p>
      <w:pPr>
        <w:pStyle w:val="BodyText"/>
        <w:spacing w:before="149"/>
        <w:ind w:left="1380"/>
      </w:pPr>
      <w:r>
        <w:rPr/>
        <w:t>下列术语和定义适用于本文件。</w:t>
      </w:r>
    </w:p>
    <w:p>
      <w:pPr>
        <w:pStyle w:val="Heading3"/>
        <w:spacing w:before="130"/>
        <w:ind w:left="740" w:firstLine="0"/>
        <w:rPr>
          <w:rFonts w:ascii="宋体"/>
        </w:rPr>
      </w:pPr>
      <w:r>
        <w:rPr>
          <w:rFonts w:ascii="宋体"/>
        </w:rPr>
        <w:t>3.1</w:t>
      </w:r>
    </w:p>
    <w:p>
      <w:pPr>
        <w:pStyle w:val="BodyText"/>
        <w:ind w:left="0"/>
        <w:rPr>
          <w:b/>
          <w:sz w:val="14"/>
        </w:rPr>
      </w:pPr>
    </w:p>
    <w:p>
      <w:pPr>
        <w:tabs>
          <w:tab w:pos="2986" w:val="left" w:leader="none"/>
        </w:tabs>
        <w:spacing w:line="537" w:lineRule="exact" w:before="0"/>
        <w:ind w:left="1380" w:right="0" w:firstLine="0"/>
        <w:jc w:val="left"/>
        <w:rPr>
          <w:b/>
          <w:sz w:val="32"/>
        </w:rPr>
      </w:pPr>
      <w:r>
        <w:rPr>
          <w:rFonts w:ascii="Microsoft JhengHei" w:eastAsia="Microsoft JhengHei" w:hint="eastAsia"/>
          <w:b/>
          <w:sz w:val="32"/>
        </w:rPr>
        <w:t>事故隐患</w:t>
        <w:tab/>
      </w:r>
      <w:r>
        <w:rPr>
          <w:b/>
          <w:sz w:val="32"/>
        </w:rPr>
        <w:t>hidden risk of work safety</w:t>
      </w:r>
      <w:r>
        <w:rPr>
          <w:b/>
          <w:spacing w:val="-9"/>
          <w:sz w:val="32"/>
        </w:rPr>
        <w:t> </w:t>
      </w:r>
      <w:r>
        <w:rPr>
          <w:b/>
          <w:sz w:val="32"/>
        </w:rPr>
        <w:t>accident</w:t>
      </w:r>
    </w:p>
    <w:p>
      <w:pPr>
        <w:pStyle w:val="BodyText"/>
        <w:spacing w:before="79"/>
        <w:ind w:left="1380"/>
      </w:pPr>
      <w:r>
        <w:rPr/>
        <w:t>企业违反安全生产、职业卫生法律、法规、规章、标准、</w:t>
      </w:r>
    </w:p>
    <w:p>
      <w:pPr>
        <w:spacing w:after="0"/>
        <w:sectPr>
          <w:footerReference w:type="default" r:id="rId23"/>
          <w:pgSz w:w="11910" w:h="16840"/>
          <w:pgMar w:footer="1232" w:header="0" w:top="1580" w:bottom="1420" w:left="1060" w:right="860"/>
          <w:pgNumType w:start="133"/>
        </w:sectPr>
      </w:pPr>
    </w:p>
    <w:p>
      <w:pPr>
        <w:pStyle w:val="BodyText"/>
        <w:spacing w:line="326" w:lineRule="auto" w:before="32"/>
        <w:ind w:left="740" w:right="937"/>
        <w:jc w:val="both"/>
      </w:pPr>
      <w:r>
        <w:rPr>
          <w:spacing w:val="-2"/>
        </w:rPr>
        <w:t>规程和管理制度的规定，或者因其他因素在生产经营活动中</w:t>
      </w:r>
      <w:r>
        <w:rPr>
          <w:spacing w:val="11"/>
          <w:w w:val="95"/>
        </w:rPr>
        <w:t>存在可能导致事故发生或导致事故后果扩大的物的危险状 </w:t>
      </w:r>
      <w:r>
        <w:rPr>
          <w:spacing w:val="11"/>
        </w:rPr>
        <w:t>态、人的不安全行为和管理上的缺陷。</w:t>
      </w:r>
    </w:p>
    <w:p>
      <w:pPr>
        <w:pStyle w:val="Heading3"/>
        <w:spacing w:before="141"/>
        <w:ind w:left="740" w:firstLine="0"/>
        <w:rPr>
          <w:rFonts w:ascii="宋体"/>
        </w:rPr>
      </w:pPr>
      <w:r>
        <w:rPr>
          <w:rFonts w:ascii="宋体"/>
        </w:rPr>
        <w:t>3.2</w:t>
      </w:r>
    </w:p>
    <w:p>
      <w:pPr>
        <w:spacing w:before="286"/>
        <w:ind w:left="1380" w:right="0" w:firstLine="0"/>
        <w:jc w:val="both"/>
        <w:rPr>
          <w:b/>
          <w:sz w:val="32"/>
        </w:rPr>
      </w:pPr>
      <w:r>
        <w:rPr>
          <w:rFonts w:ascii="Microsoft JhengHei" w:eastAsia="Microsoft JhengHei" w:hint="eastAsia"/>
          <w:b/>
          <w:sz w:val="32"/>
        </w:rPr>
        <w:t>隐患排查 </w:t>
      </w:r>
      <w:r>
        <w:rPr>
          <w:b/>
          <w:sz w:val="32"/>
        </w:rPr>
        <w:t>screening for hidden risk</w:t>
      </w:r>
    </w:p>
    <w:p>
      <w:pPr>
        <w:pStyle w:val="BodyText"/>
        <w:spacing w:line="328" w:lineRule="auto" w:before="76"/>
        <w:ind w:left="740" w:right="940" w:firstLine="640"/>
        <w:jc w:val="both"/>
      </w:pPr>
      <w:r>
        <w:rPr>
          <w:spacing w:val="-3"/>
        </w:rPr>
        <w:t>企业组织安全生产管理人员、工程技术人员、岗位员工</w:t>
      </w:r>
      <w:r>
        <w:rPr>
          <w:spacing w:val="11"/>
          <w:w w:val="95"/>
        </w:rPr>
        <w:t>以及其他相关人员依据国家法律法规、标准和企业管理制 </w:t>
      </w:r>
      <w:r>
        <w:rPr>
          <w:spacing w:val="-2"/>
        </w:rPr>
        <w:t>度，采取一定的方式和方法，对照风险分级管控措施的有效</w:t>
      </w:r>
      <w:r>
        <w:rPr/>
        <w:t>落实情况，对本单位的事故隐患进行排查的工作过程。</w:t>
      </w:r>
    </w:p>
    <w:p>
      <w:pPr>
        <w:pStyle w:val="Heading3"/>
        <w:spacing w:before="130"/>
        <w:ind w:left="740" w:firstLine="0"/>
        <w:rPr>
          <w:rFonts w:ascii="宋体"/>
        </w:rPr>
      </w:pPr>
      <w:r>
        <w:rPr>
          <w:rFonts w:ascii="宋体"/>
        </w:rPr>
        <w:t>3.3</w:t>
      </w:r>
    </w:p>
    <w:p>
      <w:pPr>
        <w:tabs>
          <w:tab w:pos="2765" w:val="left" w:leader="none"/>
        </w:tabs>
        <w:spacing w:before="283"/>
        <w:ind w:left="1160" w:right="0" w:firstLine="0"/>
        <w:jc w:val="left"/>
        <w:rPr>
          <w:b/>
          <w:sz w:val="32"/>
        </w:rPr>
      </w:pPr>
      <w:r>
        <w:rPr>
          <w:rFonts w:ascii="Microsoft JhengHei" w:eastAsia="Microsoft JhengHei" w:hint="eastAsia"/>
          <w:b/>
          <w:sz w:val="32"/>
        </w:rPr>
        <w:t>隐患治理</w:t>
        <w:tab/>
      </w:r>
      <w:r>
        <w:rPr>
          <w:b/>
          <w:sz w:val="32"/>
        </w:rPr>
        <w:t>elimination of hidden</w:t>
      </w:r>
      <w:r>
        <w:rPr>
          <w:b/>
          <w:spacing w:val="-4"/>
          <w:sz w:val="32"/>
        </w:rPr>
        <w:t> </w:t>
      </w:r>
      <w:r>
        <w:rPr>
          <w:b/>
          <w:sz w:val="32"/>
        </w:rPr>
        <w:t>risk</w:t>
      </w:r>
    </w:p>
    <w:p>
      <w:pPr>
        <w:pStyle w:val="BodyText"/>
        <w:spacing w:before="79"/>
        <w:ind w:left="1160"/>
      </w:pPr>
      <w:r>
        <w:rPr/>
        <w:t>消除或控制隐患的活动或过程。</w:t>
      </w:r>
    </w:p>
    <w:p>
      <w:pPr>
        <w:pStyle w:val="Heading3"/>
        <w:spacing w:before="284"/>
        <w:ind w:left="740" w:firstLine="0"/>
        <w:rPr>
          <w:rFonts w:ascii="宋体"/>
        </w:rPr>
      </w:pPr>
      <w:r>
        <w:rPr>
          <w:rFonts w:ascii="宋体"/>
        </w:rPr>
        <w:t>3.4</w:t>
      </w:r>
    </w:p>
    <w:p>
      <w:pPr>
        <w:tabs>
          <w:tab w:pos="2765" w:val="left" w:leader="none"/>
        </w:tabs>
        <w:spacing w:before="286"/>
        <w:ind w:left="1160" w:right="0" w:firstLine="0"/>
        <w:jc w:val="left"/>
        <w:rPr>
          <w:b/>
          <w:sz w:val="32"/>
        </w:rPr>
      </w:pPr>
      <w:r>
        <w:rPr>
          <w:rFonts w:ascii="Microsoft JhengHei" w:eastAsia="Microsoft JhengHei" w:hint="eastAsia"/>
          <w:b/>
          <w:sz w:val="32"/>
        </w:rPr>
        <w:t>隐患信息</w:t>
        <w:tab/>
      </w:r>
      <w:r>
        <w:rPr>
          <w:b/>
          <w:sz w:val="32"/>
        </w:rPr>
        <w:t>hidden risk</w:t>
      </w:r>
      <w:r>
        <w:rPr>
          <w:b/>
          <w:spacing w:val="-1"/>
          <w:sz w:val="32"/>
        </w:rPr>
        <w:t> </w:t>
      </w:r>
      <w:r>
        <w:rPr>
          <w:b/>
          <w:sz w:val="32"/>
        </w:rPr>
        <w:t>information</w:t>
      </w:r>
    </w:p>
    <w:p>
      <w:pPr>
        <w:pStyle w:val="BodyText"/>
        <w:spacing w:line="328" w:lineRule="auto" w:before="76"/>
        <w:ind w:left="740" w:right="937" w:firstLine="640"/>
        <w:jc w:val="both"/>
      </w:pPr>
      <w:r>
        <w:rPr>
          <w:spacing w:val="-3"/>
        </w:rPr>
        <w:t>包括隐患名称、位置、状态描述、可能导致后果及其严</w:t>
      </w:r>
      <w:r>
        <w:rPr>
          <w:spacing w:val="-3"/>
          <w:w w:val="95"/>
        </w:rPr>
        <w:t>重程度、治理目标、治理措施、职责划分、治理期限等信息 </w:t>
      </w:r>
      <w:r>
        <w:rPr>
          <w:spacing w:val="-3"/>
        </w:rPr>
        <w:t>的总称。</w:t>
      </w:r>
    </w:p>
    <w:p>
      <w:pPr>
        <w:pStyle w:val="ListParagraph"/>
        <w:numPr>
          <w:ilvl w:val="0"/>
          <w:numId w:val="51"/>
        </w:numPr>
        <w:tabs>
          <w:tab w:pos="1060" w:val="left" w:leader="none"/>
        </w:tabs>
        <w:spacing w:line="240" w:lineRule="auto" w:before="151" w:after="0"/>
        <w:ind w:left="1059" w:right="0" w:hanging="320"/>
        <w:jc w:val="left"/>
        <w:rPr>
          <w:rFonts w:ascii="黑体" w:eastAsia="黑体" w:hint="eastAsia"/>
          <w:sz w:val="32"/>
        </w:rPr>
      </w:pPr>
      <w:r>
        <w:rPr>
          <w:rFonts w:ascii="黑体" w:eastAsia="黑体" w:hint="eastAsia"/>
          <w:sz w:val="32"/>
        </w:rPr>
        <w:t>体系建设基本原则</w:t>
      </w:r>
    </w:p>
    <w:p>
      <w:pPr>
        <w:pStyle w:val="Heading3"/>
        <w:numPr>
          <w:ilvl w:val="1"/>
          <w:numId w:val="51"/>
        </w:numPr>
        <w:tabs>
          <w:tab w:pos="1384" w:val="left" w:leader="none"/>
        </w:tabs>
        <w:spacing w:line="240" w:lineRule="auto" w:before="180" w:after="0"/>
        <w:ind w:left="1383" w:right="0" w:hanging="644"/>
        <w:jc w:val="left"/>
      </w:pPr>
      <w:r>
        <w:rPr/>
        <w:t>兼容性原则</w:t>
      </w:r>
    </w:p>
    <w:p>
      <w:pPr>
        <w:spacing w:after="0" w:line="240" w:lineRule="auto"/>
        <w:jc w:val="left"/>
        <w:sectPr>
          <w:pgSz w:w="11910" w:h="16840"/>
          <w:pgMar w:header="0" w:footer="1232" w:top="1520" w:bottom="1420" w:left="1060" w:right="860"/>
        </w:sectPr>
      </w:pPr>
    </w:p>
    <w:p>
      <w:pPr>
        <w:pStyle w:val="BodyText"/>
        <w:spacing w:line="326" w:lineRule="auto" w:before="32"/>
        <w:ind w:left="740" w:right="925" w:firstLine="640"/>
      </w:pPr>
      <w:r>
        <w:rPr/>
        <w:t>企业安全隐患排查治理体系应与风险分级管控体系相 衔接，与企业现有安全生产管理体系、职业健康管理体系、安全生产标准化管理、各类体系认证等相互兼容。</w:t>
      </w:r>
    </w:p>
    <w:p>
      <w:pPr>
        <w:pStyle w:val="Heading3"/>
        <w:numPr>
          <w:ilvl w:val="1"/>
          <w:numId w:val="51"/>
        </w:numPr>
        <w:tabs>
          <w:tab w:pos="1384" w:val="left" w:leader="none"/>
        </w:tabs>
        <w:spacing w:line="240" w:lineRule="auto" w:before="35" w:after="0"/>
        <w:ind w:left="1383" w:right="0" w:hanging="644"/>
        <w:jc w:val="left"/>
      </w:pPr>
      <w:r>
        <w:rPr/>
        <w:t>科学治患原则</w:t>
      </w:r>
    </w:p>
    <w:p>
      <w:pPr>
        <w:pStyle w:val="BodyText"/>
        <w:spacing w:before="6"/>
        <w:ind w:left="0"/>
        <w:rPr>
          <w:rFonts w:ascii="Microsoft JhengHei"/>
          <w:b/>
          <w:sz w:val="17"/>
        </w:rPr>
      </w:pPr>
    </w:p>
    <w:p>
      <w:pPr>
        <w:pStyle w:val="BodyText"/>
        <w:spacing w:line="326" w:lineRule="auto" w:before="1"/>
        <w:ind w:left="740" w:right="895" w:firstLine="640"/>
      </w:pPr>
      <w:r>
        <w:rPr/>
        <w:t>企业应树立科学治患理念，采用先进、实用的隐患排查方法，积极利用信息化技术手段实施隐患排查治理。</w:t>
      </w:r>
    </w:p>
    <w:p>
      <w:pPr>
        <w:pStyle w:val="Heading3"/>
        <w:numPr>
          <w:ilvl w:val="1"/>
          <w:numId w:val="51"/>
        </w:numPr>
        <w:tabs>
          <w:tab w:pos="1384" w:val="left" w:leader="none"/>
        </w:tabs>
        <w:spacing w:line="240" w:lineRule="auto" w:before="34" w:after="0"/>
        <w:ind w:left="1383" w:right="0" w:hanging="644"/>
        <w:jc w:val="left"/>
      </w:pPr>
      <w:r>
        <w:rPr/>
        <w:t>注重实效原则</w:t>
      </w:r>
    </w:p>
    <w:p>
      <w:pPr>
        <w:pStyle w:val="BodyText"/>
        <w:spacing w:before="4"/>
        <w:ind w:left="0"/>
        <w:rPr>
          <w:rFonts w:ascii="Microsoft JhengHei"/>
          <w:b/>
          <w:sz w:val="17"/>
        </w:rPr>
      </w:pPr>
    </w:p>
    <w:p>
      <w:pPr>
        <w:pStyle w:val="BodyText"/>
        <w:spacing w:line="328" w:lineRule="auto"/>
        <w:ind w:left="740" w:right="940" w:firstLine="640"/>
      </w:pPr>
      <w:r>
        <w:rPr>
          <w:spacing w:val="-3"/>
          <w:w w:val="95"/>
        </w:rPr>
        <w:t>通过体系的实施，全面排查、精准判定、科学施策、有 </w:t>
      </w:r>
      <w:r>
        <w:rPr>
          <w:spacing w:val="-3"/>
        </w:rPr>
        <w:t>效消除各类安全隐患，提高企业隐患排查治理能力。</w:t>
      </w:r>
    </w:p>
    <w:p>
      <w:pPr>
        <w:pStyle w:val="Heading3"/>
        <w:numPr>
          <w:ilvl w:val="1"/>
          <w:numId w:val="51"/>
        </w:numPr>
        <w:tabs>
          <w:tab w:pos="1384" w:val="left" w:leader="none"/>
        </w:tabs>
        <w:spacing w:line="240" w:lineRule="auto" w:before="26" w:after="0"/>
        <w:ind w:left="1383" w:right="0" w:hanging="644"/>
        <w:jc w:val="left"/>
      </w:pPr>
      <w:r>
        <w:rPr/>
        <w:t>全员参与原则</w:t>
      </w:r>
    </w:p>
    <w:p>
      <w:pPr>
        <w:pStyle w:val="BodyText"/>
        <w:spacing w:before="6"/>
        <w:ind w:left="0"/>
        <w:rPr>
          <w:rFonts w:ascii="Microsoft JhengHei"/>
          <w:b/>
          <w:sz w:val="17"/>
        </w:rPr>
      </w:pPr>
    </w:p>
    <w:p>
      <w:pPr>
        <w:pStyle w:val="BodyText"/>
        <w:spacing w:line="328" w:lineRule="auto"/>
        <w:ind w:left="740" w:right="779" w:firstLine="640"/>
      </w:pPr>
      <w:r>
        <w:rPr>
          <w:spacing w:val="-10"/>
          <w:w w:val="95"/>
        </w:rPr>
        <w:t>企业应制定事故隐患排查治理培训、考核计划，分层次、 </w:t>
      </w:r>
      <w:r>
        <w:rPr>
          <w:spacing w:val="-10"/>
        </w:rPr>
        <w:t>分阶段组织全员学习培训，并保留培训记录，使全体从业人</w:t>
      </w:r>
      <w:r>
        <w:rPr>
          <w:spacing w:val="-9"/>
        </w:rPr>
        <w:t>员掌握相关标准、程序、方法，明确各层级、岗位事故隐患排查责任、周期。</w:t>
      </w:r>
    </w:p>
    <w:p>
      <w:pPr>
        <w:pStyle w:val="Heading3"/>
        <w:numPr>
          <w:ilvl w:val="1"/>
          <w:numId w:val="51"/>
        </w:numPr>
        <w:tabs>
          <w:tab w:pos="1384" w:val="left" w:leader="none"/>
        </w:tabs>
        <w:spacing w:line="240" w:lineRule="auto" w:before="24" w:after="0"/>
        <w:ind w:left="1383" w:right="0" w:hanging="644"/>
        <w:jc w:val="left"/>
      </w:pPr>
      <w:r>
        <w:rPr/>
        <w:t>持续改进原则</w:t>
      </w:r>
    </w:p>
    <w:p>
      <w:pPr>
        <w:pStyle w:val="BodyText"/>
        <w:spacing w:before="3"/>
        <w:ind w:left="0"/>
        <w:rPr>
          <w:rFonts w:ascii="Microsoft JhengHei"/>
          <w:b/>
          <w:sz w:val="17"/>
        </w:rPr>
      </w:pPr>
    </w:p>
    <w:p>
      <w:pPr>
        <w:pStyle w:val="BodyText"/>
        <w:spacing w:line="328" w:lineRule="auto" w:before="1"/>
        <w:ind w:left="740" w:right="779" w:firstLine="640"/>
      </w:pPr>
      <w:r>
        <w:rPr/>
        <w:t>企业应每年不少于一次进行体系评审，根据内、外部变</w:t>
      </w:r>
      <w:r>
        <w:rPr>
          <w:w w:val="95"/>
        </w:rPr>
        <w:t>化的情况进行持续改进，以确保其连续性、适宜性和有效性。</w:t>
      </w:r>
    </w:p>
    <w:p>
      <w:pPr>
        <w:pStyle w:val="ListParagraph"/>
        <w:numPr>
          <w:ilvl w:val="0"/>
          <w:numId w:val="51"/>
        </w:numPr>
        <w:tabs>
          <w:tab w:pos="1060" w:val="left" w:leader="none"/>
        </w:tabs>
        <w:spacing w:line="240" w:lineRule="auto" w:before="153" w:after="0"/>
        <w:ind w:left="1059" w:right="0" w:hanging="320"/>
        <w:jc w:val="left"/>
        <w:rPr>
          <w:rFonts w:ascii="黑体" w:eastAsia="黑体" w:hint="eastAsia"/>
          <w:sz w:val="32"/>
        </w:rPr>
      </w:pPr>
      <w:r>
        <w:rPr>
          <w:rFonts w:ascii="黑体" w:eastAsia="黑体" w:hint="eastAsia"/>
          <w:sz w:val="32"/>
        </w:rPr>
        <w:t>基本要求</w:t>
      </w:r>
    </w:p>
    <w:p>
      <w:pPr>
        <w:pStyle w:val="Heading3"/>
        <w:numPr>
          <w:ilvl w:val="1"/>
          <w:numId w:val="51"/>
        </w:numPr>
        <w:tabs>
          <w:tab w:pos="1384" w:val="left" w:leader="none"/>
        </w:tabs>
        <w:spacing w:line="240" w:lineRule="auto" w:before="180" w:after="0"/>
        <w:ind w:left="1383" w:right="0" w:hanging="644"/>
        <w:jc w:val="left"/>
      </w:pPr>
      <w:r>
        <w:rPr/>
        <w:t>建立事故隐患排查治理组织体系</w:t>
      </w:r>
    </w:p>
    <w:p>
      <w:pPr>
        <w:spacing w:after="0" w:line="240" w:lineRule="auto"/>
        <w:jc w:val="left"/>
        <w:sectPr>
          <w:pgSz w:w="11910" w:h="16840"/>
          <w:pgMar w:header="0" w:footer="1232" w:top="1520" w:bottom="1420" w:left="1060" w:right="860"/>
        </w:sectPr>
      </w:pPr>
    </w:p>
    <w:p>
      <w:pPr>
        <w:pStyle w:val="BodyText"/>
        <w:spacing w:line="326" w:lineRule="auto" w:before="32"/>
        <w:ind w:left="740" w:right="925" w:firstLine="640"/>
      </w:pPr>
      <w:r>
        <w:rPr/>
        <w:t>企业主要负责人应负责组织建立事故隐患排查治理组 织体系及工作机制，包括组织机构、岗位职责、工作目标、议事规则、工作安排等。</w:t>
      </w:r>
    </w:p>
    <w:p>
      <w:pPr>
        <w:pStyle w:val="Heading3"/>
        <w:numPr>
          <w:ilvl w:val="1"/>
          <w:numId w:val="51"/>
        </w:numPr>
        <w:tabs>
          <w:tab w:pos="1384" w:val="left" w:leader="none"/>
        </w:tabs>
        <w:spacing w:line="240" w:lineRule="auto" w:before="35" w:after="0"/>
        <w:ind w:left="1383" w:right="0" w:hanging="644"/>
        <w:jc w:val="left"/>
      </w:pPr>
      <w:r>
        <w:rPr/>
        <w:t>建立健全体系运行管理制度</w:t>
      </w:r>
    </w:p>
    <w:p>
      <w:pPr>
        <w:pStyle w:val="BodyText"/>
        <w:spacing w:before="6"/>
        <w:ind w:left="0"/>
        <w:rPr>
          <w:rFonts w:ascii="Microsoft JhengHei"/>
          <w:b/>
          <w:sz w:val="17"/>
        </w:rPr>
      </w:pPr>
    </w:p>
    <w:p>
      <w:pPr>
        <w:pStyle w:val="BodyText"/>
        <w:spacing w:line="328" w:lineRule="auto" w:before="1"/>
        <w:ind w:left="740" w:right="779" w:firstLine="640"/>
      </w:pPr>
      <w:r>
        <w:rPr>
          <w:spacing w:val="-1"/>
        </w:rPr>
        <w:t>建立健全事故隐患排查治理体系运行管理制度，包括各</w:t>
      </w:r>
      <w:r>
        <w:rPr>
          <w:spacing w:val="-4"/>
        </w:rPr>
        <w:t>级各类人员职责、各部门运行协作流程、隐患排查范围、隐</w:t>
      </w:r>
      <w:r>
        <w:rPr>
          <w:spacing w:val="-5"/>
        </w:rPr>
        <w:t>患排查方法、隐患治理、动态管理和考核制度等，明确各级</w:t>
      </w:r>
      <w:r>
        <w:rPr>
          <w:spacing w:val="-5"/>
          <w:w w:val="95"/>
        </w:rPr>
        <w:t>各类人员隐患排查治理职责，形成企业集团、企业</w:t>
      </w:r>
      <w:r>
        <w:rPr>
          <w:w w:val="95"/>
        </w:rPr>
        <w:t>（场点</w:t>
      </w:r>
      <w:r>
        <w:rPr>
          <w:spacing w:val="-159"/>
          <w:w w:val="95"/>
        </w:rPr>
        <w:t>）</w:t>
      </w:r>
      <w:r>
        <w:rPr>
          <w:w w:val="95"/>
        </w:rPr>
        <w:t>、 </w:t>
      </w:r>
      <w:r>
        <w:rPr/>
        <w:t>车间、班组、岗位分级隐患排查治理体系。</w:t>
      </w:r>
    </w:p>
    <w:p>
      <w:pPr>
        <w:pStyle w:val="Heading3"/>
        <w:numPr>
          <w:ilvl w:val="1"/>
          <w:numId w:val="51"/>
        </w:numPr>
        <w:tabs>
          <w:tab w:pos="1384" w:val="left" w:leader="none"/>
        </w:tabs>
        <w:spacing w:line="240" w:lineRule="auto" w:before="21" w:after="0"/>
        <w:ind w:left="1383" w:right="0" w:hanging="644"/>
        <w:jc w:val="left"/>
      </w:pPr>
      <w:r>
        <w:rPr/>
        <w:t>完善科学隐患排查方法</w:t>
      </w:r>
    </w:p>
    <w:p>
      <w:pPr>
        <w:pStyle w:val="BodyText"/>
        <w:spacing w:before="3"/>
        <w:ind w:left="0"/>
        <w:rPr>
          <w:rFonts w:ascii="Microsoft JhengHei"/>
          <w:b/>
          <w:sz w:val="17"/>
        </w:rPr>
      </w:pPr>
    </w:p>
    <w:p>
      <w:pPr>
        <w:pStyle w:val="BodyText"/>
        <w:spacing w:line="328" w:lineRule="auto"/>
        <w:ind w:left="740" w:right="925" w:firstLine="640"/>
        <w:jc w:val="both"/>
      </w:pPr>
      <w:r>
        <w:rPr/>
        <w:t>积极采用适用的、有针对性的、科学的事故隐患排查方法，利用智能化管控技术，进一步完善危险场所风险点和关键部位在线监控、自动报警、故障自诊断、故障自愈等技术手段，建立本企业各类危险生产作业隐患排查治理数据库。通过工业互联网在安全生产中的融合应用，增强企业安全生产的感知、监测、预警、处置和评估能力，加速隐患排查从静态分析向动态感知、事后应急向事前预防、单点防控向全局联防的转变，提升本质安全水平。</w:t>
      </w:r>
    </w:p>
    <w:p>
      <w:pPr>
        <w:pStyle w:val="Heading3"/>
        <w:numPr>
          <w:ilvl w:val="1"/>
          <w:numId w:val="51"/>
        </w:numPr>
        <w:tabs>
          <w:tab w:pos="1384" w:val="left" w:leader="none"/>
        </w:tabs>
        <w:spacing w:line="240" w:lineRule="auto" w:before="16" w:after="0"/>
        <w:ind w:left="1383" w:right="0" w:hanging="644"/>
        <w:jc w:val="left"/>
      </w:pPr>
      <w:r>
        <w:rPr/>
        <w:t>实行隐患治理闭环管理</w:t>
      </w:r>
    </w:p>
    <w:p>
      <w:pPr>
        <w:pStyle w:val="BodyText"/>
        <w:spacing w:before="6"/>
        <w:ind w:left="0"/>
        <w:rPr>
          <w:rFonts w:ascii="Microsoft JhengHei"/>
          <w:b/>
          <w:sz w:val="17"/>
        </w:rPr>
      </w:pPr>
    </w:p>
    <w:p>
      <w:pPr>
        <w:pStyle w:val="BodyText"/>
        <w:spacing w:line="326" w:lineRule="auto" w:before="1"/>
        <w:ind w:left="740" w:right="893" w:firstLine="640"/>
      </w:pPr>
      <w:r>
        <w:rPr/>
        <w:t>隐患治理实行分级管理、分类监管、重点处理、动态跟踪、综合治理。一般事故隐患由基层单位自查自改，治理过</w:t>
      </w:r>
    </w:p>
    <w:p>
      <w:pPr>
        <w:spacing w:after="0" w:line="326" w:lineRule="auto"/>
        <w:sectPr>
          <w:pgSz w:w="11910" w:h="16840"/>
          <w:pgMar w:header="0" w:footer="1232" w:top="1520" w:bottom="1420" w:left="1060" w:right="860"/>
        </w:sectPr>
      </w:pPr>
    </w:p>
    <w:p>
      <w:pPr>
        <w:pStyle w:val="BodyText"/>
        <w:spacing w:line="326" w:lineRule="auto" w:before="32"/>
        <w:ind w:left="740" w:right="895"/>
      </w:pPr>
      <w:r>
        <w:rPr/>
        <w:t>程、治理方法和整改验收存档备查；重大事故隐患须由企业主要负责人负责组织治理并验收。</w:t>
      </w:r>
    </w:p>
    <w:p>
      <w:pPr>
        <w:pStyle w:val="Heading3"/>
        <w:numPr>
          <w:ilvl w:val="1"/>
          <w:numId w:val="51"/>
        </w:numPr>
        <w:tabs>
          <w:tab w:pos="1384" w:val="left" w:leader="none"/>
        </w:tabs>
        <w:spacing w:line="240" w:lineRule="auto" w:before="34" w:after="0"/>
        <w:ind w:left="1383" w:right="0" w:hanging="644"/>
        <w:jc w:val="left"/>
      </w:pPr>
      <w:r>
        <w:rPr/>
        <w:t>实施绩效考核与责任追究</w:t>
      </w:r>
    </w:p>
    <w:p>
      <w:pPr>
        <w:pStyle w:val="BodyText"/>
        <w:spacing w:before="3"/>
        <w:ind w:left="0"/>
        <w:rPr>
          <w:rFonts w:ascii="Microsoft JhengHei"/>
          <w:b/>
          <w:sz w:val="17"/>
        </w:rPr>
      </w:pPr>
    </w:p>
    <w:p>
      <w:pPr>
        <w:pStyle w:val="BodyText"/>
        <w:spacing w:line="328" w:lineRule="auto" w:before="1"/>
        <w:ind w:left="740" w:right="937" w:firstLine="640"/>
        <w:jc w:val="both"/>
      </w:pPr>
      <w:r>
        <w:rPr>
          <w:spacing w:val="-1"/>
        </w:rPr>
        <w:t>按照事故隐患排查治理考核制度进行考核，考核与绩效</w:t>
      </w:r>
      <w:r>
        <w:rPr>
          <w:spacing w:val="-5"/>
        </w:rPr>
        <w:t>挂钩。对事故隐患排查治理成效显著的，予以奖励；对未按</w:t>
      </w:r>
      <w:r>
        <w:rPr>
          <w:spacing w:val="-6"/>
        </w:rPr>
        <w:t>要求进行事故隐患排查治理、治理效果达不到要求、弄虚作假的单位和人员实施责任追究制。</w:t>
      </w:r>
    </w:p>
    <w:p>
      <w:pPr>
        <w:pStyle w:val="Heading3"/>
        <w:numPr>
          <w:ilvl w:val="1"/>
          <w:numId w:val="51"/>
        </w:numPr>
        <w:tabs>
          <w:tab w:pos="1384" w:val="left" w:leader="none"/>
        </w:tabs>
        <w:spacing w:line="240" w:lineRule="auto" w:before="23" w:after="0"/>
        <w:ind w:left="1383" w:right="0" w:hanging="644"/>
        <w:jc w:val="left"/>
      </w:pPr>
      <w:r>
        <w:rPr/>
        <w:t>强化隐患排查治理技能培训</w:t>
      </w:r>
    </w:p>
    <w:p>
      <w:pPr>
        <w:pStyle w:val="BodyText"/>
        <w:spacing w:before="6"/>
        <w:ind w:left="0"/>
        <w:rPr>
          <w:rFonts w:ascii="Microsoft JhengHei"/>
          <w:b/>
          <w:sz w:val="17"/>
        </w:rPr>
      </w:pPr>
    </w:p>
    <w:p>
      <w:pPr>
        <w:pStyle w:val="BodyText"/>
        <w:spacing w:line="326" w:lineRule="auto"/>
        <w:ind w:left="740" w:right="940" w:firstLine="640"/>
        <w:jc w:val="both"/>
      </w:pPr>
      <w:r>
        <w:rPr>
          <w:spacing w:val="-2"/>
        </w:rPr>
        <w:t>发挥工程技术人员作用，强化各级安全管理和作业岗位</w:t>
      </w:r>
      <w:r>
        <w:rPr>
          <w:spacing w:val="-3"/>
        </w:rPr>
        <w:t>人员的隐患排查治理的技能培训及考核，并建立健全相关培训档案。</w:t>
      </w:r>
    </w:p>
    <w:p>
      <w:pPr>
        <w:pStyle w:val="ListParagraph"/>
        <w:numPr>
          <w:ilvl w:val="1"/>
          <w:numId w:val="51"/>
        </w:numPr>
        <w:tabs>
          <w:tab w:pos="1384" w:val="left" w:leader="none"/>
        </w:tabs>
        <w:spacing w:line="369" w:lineRule="auto" w:before="36" w:after="0"/>
        <w:ind w:left="1380" w:right="1245" w:hanging="641"/>
        <w:jc w:val="both"/>
        <w:rPr>
          <w:sz w:val="32"/>
        </w:rPr>
      </w:pPr>
      <w:r>
        <w:rPr>
          <w:rFonts w:ascii="Microsoft JhengHei" w:eastAsia="Microsoft JhengHei" w:hint="eastAsia"/>
          <w:b/>
          <w:sz w:val="32"/>
        </w:rPr>
        <w:t>实行隐患排查治理信息公开和重大事故隐患备案制 </w:t>
      </w:r>
      <w:r>
        <w:rPr>
          <w:spacing w:val="-1"/>
          <w:sz w:val="32"/>
        </w:rPr>
        <w:t>企业应对隐患排查治理的基本信息以适当的方式及时</w:t>
      </w:r>
    </w:p>
    <w:p>
      <w:pPr>
        <w:pStyle w:val="BodyText"/>
        <w:spacing w:line="339" w:lineRule="exact"/>
        <w:ind w:left="740"/>
      </w:pPr>
      <w:r>
        <w:rPr/>
        <w:t>向行业监管部门上报，并及时向职工公开，接受职工的监督。</w:t>
      </w:r>
    </w:p>
    <w:p>
      <w:pPr>
        <w:pStyle w:val="BodyText"/>
        <w:spacing w:line="328" w:lineRule="auto" w:before="150"/>
        <w:ind w:left="740" w:right="940" w:firstLine="640"/>
      </w:pPr>
      <w:r>
        <w:rPr/>
        <w:t>重大事故隐患排查治理情况应当及时向负有安全生产</w:t>
      </w:r>
      <w:r>
        <w:rPr>
          <w:spacing w:val="-1"/>
        </w:rPr>
        <w:t>监督管理职责的部门和职工大会或职工代表大会报告，并将自查自改自报闭环管理情况进行备案。</w:t>
      </w:r>
    </w:p>
    <w:p>
      <w:pPr>
        <w:pStyle w:val="ListParagraph"/>
        <w:numPr>
          <w:ilvl w:val="0"/>
          <w:numId w:val="51"/>
        </w:numPr>
        <w:tabs>
          <w:tab w:pos="1060" w:val="left" w:leader="none"/>
        </w:tabs>
        <w:spacing w:line="240" w:lineRule="auto" w:before="150" w:after="0"/>
        <w:ind w:left="1059" w:right="0" w:hanging="320"/>
        <w:jc w:val="left"/>
        <w:rPr>
          <w:rFonts w:ascii="黑体" w:eastAsia="黑体" w:hint="eastAsia"/>
          <w:sz w:val="32"/>
        </w:rPr>
      </w:pPr>
      <w:r>
        <w:rPr>
          <w:rFonts w:ascii="黑体" w:eastAsia="黑体" w:hint="eastAsia"/>
          <w:sz w:val="32"/>
        </w:rPr>
        <w:t>隐患分级与分类</w:t>
      </w:r>
    </w:p>
    <w:p>
      <w:pPr>
        <w:pStyle w:val="Heading3"/>
        <w:numPr>
          <w:ilvl w:val="1"/>
          <w:numId w:val="51"/>
        </w:numPr>
        <w:tabs>
          <w:tab w:pos="1384" w:val="left" w:leader="none"/>
        </w:tabs>
        <w:spacing w:line="240" w:lineRule="auto" w:before="181" w:after="0"/>
        <w:ind w:left="1383" w:right="0" w:hanging="644"/>
        <w:jc w:val="left"/>
      </w:pPr>
      <w:r>
        <w:rPr/>
        <w:t>分级</w:t>
      </w:r>
    </w:p>
    <w:p>
      <w:pPr>
        <w:spacing w:after="0" w:line="240" w:lineRule="auto"/>
        <w:jc w:val="left"/>
        <w:sectPr>
          <w:pgSz w:w="11910" w:h="16840"/>
          <w:pgMar w:header="0" w:footer="1232" w:top="1520" w:bottom="1420" w:left="1060" w:right="860"/>
        </w:sectPr>
      </w:pPr>
    </w:p>
    <w:p>
      <w:pPr>
        <w:pStyle w:val="ListParagraph"/>
        <w:numPr>
          <w:ilvl w:val="2"/>
          <w:numId w:val="51"/>
        </w:numPr>
        <w:tabs>
          <w:tab w:pos="1700" w:val="left" w:leader="none"/>
        </w:tabs>
        <w:spacing w:line="326" w:lineRule="auto" w:before="32" w:after="0"/>
        <w:ind w:left="740" w:right="937" w:firstLine="0"/>
        <w:jc w:val="both"/>
        <w:rPr>
          <w:sz w:val="32"/>
        </w:rPr>
      </w:pPr>
      <w:r>
        <w:rPr>
          <w:spacing w:val="-3"/>
          <w:sz w:val="32"/>
        </w:rPr>
        <w:t>根据整改、治理和排除的难度及其可能导致事故后果</w:t>
      </w:r>
      <w:r>
        <w:rPr>
          <w:spacing w:val="-5"/>
          <w:sz w:val="32"/>
        </w:rPr>
        <w:t>和影响范围，企业生产安全事故隐患分为一般事故隐患和重大事故隐患。</w:t>
      </w:r>
    </w:p>
    <w:p>
      <w:pPr>
        <w:pStyle w:val="ListParagraph"/>
        <w:numPr>
          <w:ilvl w:val="2"/>
          <w:numId w:val="51"/>
        </w:numPr>
        <w:tabs>
          <w:tab w:pos="1700" w:val="left" w:leader="none"/>
        </w:tabs>
        <w:spacing w:line="328" w:lineRule="auto" w:before="7" w:after="0"/>
        <w:ind w:left="740" w:right="940" w:firstLine="0"/>
        <w:jc w:val="left"/>
        <w:rPr>
          <w:sz w:val="32"/>
        </w:rPr>
      </w:pPr>
      <w:r>
        <w:rPr>
          <w:spacing w:val="-3"/>
          <w:sz w:val="32"/>
        </w:rPr>
        <w:t>重大事故隐患包括违反法律、法规、规章、标准等有</w:t>
      </w:r>
      <w:r>
        <w:rPr>
          <w:spacing w:val="-5"/>
          <w:sz w:val="32"/>
        </w:rPr>
        <w:t>关规定，或者因外部因素影响致使生产经营单位自身难以排除的隐患或可能造成较严重危害的隐患，具体包括以下情形：</w:t>
      </w:r>
    </w:p>
    <w:p>
      <w:pPr>
        <w:pStyle w:val="ListParagraph"/>
        <w:numPr>
          <w:ilvl w:val="3"/>
          <w:numId w:val="51"/>
        </w:numPr>
        <w:tabs>
          <w:tab w:pos="2020" w:val="left" w:leader="none"/>
        </w:tabs>
        <w:spacing w:line="402" w:lineRule="exact" w:before="0" w:after="0"/>
        <w:ind w:left="2019" w:right="0" w:hanging="640"/>
        <w:jc w:val="left"/>
        <w:rPr>
          <w:sz w:val="32"/>
        </w:rPr>
      </w:pPr>
      <w:r>
        <w:rPr>
          <w:sz w:val="32"/>
        </w:rPr>
        <w:t>证照不齐，安全评价、评估结论为不合格的；</w:t>
      </w:r>
    </w:p>
    <w:p>
      <w:pPr>
        <w:pStyle w:val="ListParagraph"/>
        <w:numPr>
          <w:ilvl w:val="3"/>
          <w:numId w:val="51"/>
        </w:numPr>
        <w:tabs>
          <w:tab w:pos="2015" w:val="left" w:leader="none"/>
        </w:tabs>
        <w:spacing w:line="328" w:lineRule="auto" w:before="149" w:after="0"/>
        <w:ind w:left="740" w:right="940" w:firstLine="640"/>
        <w:jc w:val="left"/>
        <w:rPr>
          <w:sz w:val="32"/>
        </w:rPr>
      </w:pPr>
      <w:r>
        <w:rPr>
          <w:spacing w:val="-2"/>
          <w:w w:val="95"/>
          <w:sz w:val="32"/>
        </w:rPr>
        <w:t>未建立安全管理机构、未配备安全管理人员、未落 </w:t>
      </w:r>
      <w:r>
        <w:rPr>
          <w:spacing w:val="-2"/>
          <w:sz w:val="32"/>
        </w:rPr>
        <w:t>实安全生产责任制的；</w:t>
      </w:r>
    </w:p>
    <w:p>
      <w:pPr>
        <w:pStyle w:val="ListParagraph"/>
        <w:numPr>
          <w:ilvl w:val="3"/>
          <w:numId w:val="51"/>
        </w:numPr>
        <w:tabs>
          <w:tab w:pos="2015" w:val="left" w:leader="none"/>
        </w:tabs>
        <w:spacing w:line="328" w:lineRule="auto" w:before="0" w:after="0"/>
        <w:ind w:left="740" w:right="925" w:firstLine="640"/>
        <w:jc w:val="right"/>
        <w:rPr>
          <w:sz w:val="32"/>
        </w:rPr>
      </w:pPr>
      <w:r>
        <w:rPr>
          <w:spacing w:val="-2"/>
          <w:w w:val="95"/>
          <w:sz w:val="32"/>
        </w:rPr>
        <w:t>超过许可数量和品种、超过规定作业时间、超过规 定储存量、超过定员人数组织生产经营的“四超”现象的； </w:t>
      </w:r>
      <w:r>
        <w:rPr>
          <w:spacing w:val="-2"/>
          <w:sz w:val="32"/>
        </w:rPr>
        <w:t>d）</w:t>
      </w:r>
      <w:r>
        <w:rPr>
          <w:spacing w:val="-5"/>
          <w:sz w:val="32"/>
        </w:rPr>
        <w:t> 管理严重缺失、安全防护及控制保护设施失效可能</w:t>
      </w:r>
    </w:p>
    <w:p>
      <w:pPr>
        <w:pStyle w:val="BodyText"/>
        <w:spacing w:line="405" w:lineRule="exact"/>
        <w:ind w:left="740"/>
      </w:pPr>
      <w:r>
        <w:rPr/>
        <w:t>导致本单元或更大范围安全失控的；</w:t>
      </w:r>
    </w:p>
    <w:p>
      <w:pPr>
        <w:pStyle w:val="ListParagraph"/>
        <w:numPr>
          <w:ilvl w:val="0"/>
          <w:numId w:val="52"/>
        </w:numPr>
        <w:tabs>
          <w:tab w:pos="2005" w:val="left" w:leader="none"/>
        </w:tabs>
        <w:spacing w:line="328" w:lineRule="auto" w:before="146" w:after="0"/>
        <w:ind w:left="740" w:right="940" w:firstLine="640"/>
        <w:jc w:val="left"/>
        <w:rPr>
          <w:sz w:val="32"/>
        </w:rPr>
      </w:pPr>
      <w:r>
        <w:rPr>
          <w:sz w:val="32"/>
        </w:rPr>
        <w:t>因外部因素影响致使生产经营单位自身难以排除且构成重大风险的；</w:t>
      </w:r>
    </w:p>
    <w:p>
      <w:pPr>
        <w:pStyle w:val="ListParagraph"/>
        <w:numPr>
          <w:ilvl w:val="0"/>
          <w:numId w:val="52"/>
        </w:numPr>
        <w:tabs>
          <w:tab w:pos="2020" w:val="left" w:leader="none"/>
        </w:tabs>
        <w:spacing w:line="407" w:lineRule="exact" w:before="0" w:after="0"/>
        <w:ind w:left="2019" w:right="0" w:hanging="640"/>
        <w:jc w:val="left"/>
        <w:rPr>
          <w:sz w:val="32"/>
        </w:rPr>
      </w:pPr>
      <w:r>
        <w:rPr>
          <w:sz w:val="32"/>
        </w:rPr>
        <w:t>使用明令禁止或者淘汰设备、工艺的；</w:t>
      </w:r>
    </w:p>
    <w:p>
      <w:pPr>
        <w:pStyle w:val="ListParagraph"/>
        <w:numPr>
          <w:ilvl w:val="0"/>
          <w:numId w:val="52"/>
        </w:numPr>
        <w:tabs>
          <w:tab w:pos="2012" w:val="left" w:leader="none"/>
        </w:tabs>
        <w:spacing w:line="240" w:lineRule="auto" w:before="150" w:after="0"/>
        <w:ind w:left="2012" w:right="0" w:hanging="632"/>
        <w:jc w:val="left"/>
        <w:rPr>
          <w:sz w:val="32"/>
        </w:rPr>
      </w:pPr>
      <w:r>
        <w:rPr>
          <w:spacing w:val="-1"/>
          <w:sz w:val="32"/>
        </w:rPr>
        <w:t>外部安全距离发生变化，不能满足</w:t>
      </w:r>
      <w:r>
        <w:rPr>
          <w:sz w:val="32"/>
        </w:rPr>
        <w:t>GB50089要求的；</w:t>
      </w:r>
    </w:p>
    <w:p>
      <w:pPr>
        <w:pStyle w:val="ListParagraph"/>
        <w:numPr>
          <w:ilvl w:val="0"/>
          <w:numId w:val="52"/>
        </w:numPr>
        <w:tabs>
          <w:tab w:pos="2020" w:val="left" w:leader="none"/>
        </w:tabs>
        <w:spacing w:line="240" w:lineRule="auto" w:before="151" w:after="0"/>
        <w:ind w:left="2019" w:right="0" w:hanging="640"/>
        <w:jc w:val="left"/>
        <w:rPr>
          <w:sz w:val="32"/>
        </w:rPr>
      </w:pPr>
      <w:r>
        <w:rPr>
          <w:sz w:val="32"/>
        </w:rPr>
        <w:t>负有安全生产监督管理职责的部门认定的；</w:t>
      </w:r>
    </w:p>
    <w:p>
      <w:pPr>
        <w:pStyle w:val="ListParagraph"/>
        <w:numPr>
          <w:ilvl w:val="0"/>
          <w:numId w:val="52"/>
        </w:numPr>
        <w:tabs>
          <w:tab w:pos="2020" w:val="left" w:leader="none"/>
        </w:tabs>
        <w:spacing w:line="240" w:lineRule="auto" w:before="149" w:after="0"/>
        <w:ind w:left="2019" w:right="0" w:hanging="640"/>
        <w:jc w:val="left"/>
        <w:rPr>
          <w:sz w:val="32"/>
        </w:rPr>
      </w:pPr>
      <w:r>
        <w:rPr>
          <w:sz w:val="32"/>
        </w:rPr>
        <w:t>其他构成重大事故隐患的情形。</w:t>
      </w:r>
    </w:p>
    <w:p>
      <w:pPr>
        <w:pStyle w:val="ListParagraph"/>
        <w:numPr>
          <w:ilvl w:val="2"/>
          <w:numId w:val="51"/>
        </w:numPr>
        <w:tabs>
          <w:tab w:pos="1700" w:val="left" w:leader="none"/>
        </w:tabs>
        <w:spacing w:line="240" w:lineRule="auto" w:before="150" w:after="0"/>
        <w:ind w:left="1700" w:right="0" w:hanging="960"/>
        <w:jc w:val="left"/>
        <w:rPr>
          <w:sz w:val="32"/>
        </w:rPr>
      </w:pPr>
      <w:r>
        <w:rPr>
          <w:sz w:val="32"/>
        </w:rPr>
        <w:t>除重大事故隐患以外的隐患，为一般事故隐患。</w:t>
      </w:r>
    </w:p>
    <w:p>
      <w:pPr>
        <w:pStyle w:val="Heading3"/>
        <w:numPr>
          <w:ilvl w:val="1"/>
          <w:numId w:val="51"/>
        </w:numPr>
        <w:tabs>
          <w:tab w:pos="1384" w:val="left" w:leader="none"/>
        </w:tabs>
        <w:spacing w:line="240" w:lineRule="auto" w:before="180" w:after="0"/>
        <w:ind w:left="1383" w:right="0" w:hanging="644"/>
        <w:jc w:val="left"/>
      </w:pPr>
      <w:r>
        <w:rPr/>
        <w:t>分类</w:t>
      </w:r>
    </w:p>
    <w:p>
      <w:pPr>
        <w:pStyle w:val="BodyText"/>
        <w:spacing w:before="6"/>
        <w:ind w:left="0"/>
        <w:rPr>
          <w:rFonts w:ascii="Microsoft JhengHei"/>
          <w:b/>
          <w:sz w:val="17"/>
        </w:rPr>
      </w:pPr>
    </w:p>
    <w:p>
      <w:pPr>
        <w:pStyle w:val="ListParagraph"/>
        <w:numPr>
          <w:ilvl w:val="2"/>
          <w:numId w:val="51"/>
        </w:numPr>
        <w:tabs>
          <w:tab w:pos="1621" w:val="left" w:leader="none"/>
        </w:tabs>
        <w:spacing w:line="240" w:lineRule="auto" w:before="0" w:after="0"/>
        <w:ind w:left="1620" w:right="0" w:hanging="881"/>
        <w:jc w:val="left"/>
        <w:rPr>
          <w:sz w:val="32"/>
        </w:rPr>
      </w:pPr>
      <w:r>
        <w:rPr>
          <w:sz w:val="32"/>
        </w:rPr>
        <w:t>事故隐患分为基础管理类隐患和生产现场类隐患。</w:t>
      </w:r>
    </w:p>
    <w:p>
      <w:pPr>
        <w:spacing w:after="0" w:line="240" w:lineRule="auto"/>
        <w:jc w:val="left"/>
        <w:rPr>
          <w:sz w:val="32"/>
        </w:rPr>
        <w:sectPr>
          <w:pgSz w:w="11910" w:h="16840"/>
          <w:pgMar w:header="0" w:footer="1232" w:top="1520" w:bottom="1420" w:left="1060" w:right="860"/>
        </w:sectPr>
      </w:pPr>
    </w:p>
    <w:p>
      <w:pPr>
        <w:pStyle w:val="ListParagraph"/>
        <w:numPr>
          <w:ilvl w:val="2"/>
          <w:numId w:val="51"/>
        </w:numPr>
        <w:tabs>
          <w:tab w:pos="1621" w:val="left" w:leader="none"/>
        </w:tabs>
        <w:spacing w:line="240" w:lineRule="auto" w:before="32" w:after="0"/>
        <w:ind w:left="1620" w:right="0" w:hanging="881"/>
        <w:jc w:val="left"/>
        <w:rPr>
          <w:sz w:val="32"/>
        </w:rPr>
      </w:pPr>
      <w:r>
        <w:rPr>
          <w:sz w:val="32"/>
        </w:rPr>
        <w:t>基础管理类隐患包括以下方面存在的问题或缺陷：</w:t>
      </w:r>
    </w:p>
    <w:p>
      <w:pPr>
        <w:pStyle w:val="BodyText"/>
        <w:spacing w:before="10"/>
        <w:ind w:left="0"/>
        <w:rPr>
          <w:sz w:val="23"/>
        </w:rPr>
      </w:pPr>
    </w:p>
    <w:p>
      <w:pPr>
        <w:pStyle w:val="ListParagraph"/>
        <w:numPr>
          <w:ilvl w:val="0"/>
          <w:numId w:val="53"/>
        </w:numPr>
        <w:tabs>
          <w:tab w:pos="1801" w:val="left" w:leader="none"/>
        </w:tabs>
        <w:spacing w:line="240" w:lineRule="auto" w:before="0" w:after="0"/>
        <w:ind w:left="1800" w:right="0" w:hanging="641"/>
        <w:jc w:val="left"/>
        <w:rPr>
          <w:sz w:val="32"/>
        </w:rPr>
      </w:pPr>
      <w:r>
        <w:rPr>
          <w:sz w:val="32"/>
        </w:rPr>
        <w:t>证照、许可及建设程序；</w:t>
      </w:r>
    </w:p>
    <w:p>
      <w:pPr>
        <w:pStyle w:val="ListParagraph"/>
        <w:numPr>
          <w:ilvl w:val="0"/>
          <w:numId w:val="53"/>
        </w:numPr>
        <w:tabs>
          <w:tab w:pos="1801" w:val="left" w:leader="none"/>
        </w:tabs>
        <w:spacing w:line="240" w:lineRule="auto" w:before="149" w:after="0"/>
        <w:ind w:left="1800" w:right="0" w:hanging="641"/>
        <w:jc w:val="left"/>
        <w:rPr>
          <w:sz w:val="32"/>
        </w:rPr>
      </w:pPr>
      <w:r>
        <w:rPr>
          <w:sz w:val="32"/>
        </w:rPr>
        <w:t>安全生产管理机构设置及人员配备；</w:t>
      </w:r>
    </w:p>
    <w:p>
      <w:pPr>
        <w:pStyle w:val="ListParagraph"/>
        <w:numPr>
          <w:ilvl w:val="0"/>
          <w:numId w:val="53"/>
        </w:numPr>
        <w:tabs>
          <w:tab w:pos="1801" w:val="left" w:leader="none"/>
        </w:tabs>
        <w:spacing w:line="240" w:lineRule="auto" w:before="152" w:after="0"/>
        <w:ind w:left="1800" w:right="0" w:hanging="641"/>
        <w:jc w:val="left"/>
        <w:rPr>
          <w:sz w:val="32"/>
        </w:rPr>
      </w:pPr>
      <w:r>
        <w:rPr>
          <w:sz w:val="32"/>
        </w:rPr>
        <w:t>行业人员、设备准入；</w:t>
      </w:r>
    </w:p>
    <w:p>
      <w:pPr>
        <w:pStyle w:val="ListParagraph"/>
        <w:numPr>
          <w:ilvl w:val="0"/>
          <w:numId w:val="53"/>
        </w:numPr>
        <w:tabs>
          <w:tab w:pos="1801" w:val="left" w:leader="none"/>
        </w:tabs>
        <w:spacing w:line="240" w:lineRule="auto" w:before="149" w:after="0"/>
        <w:ind w:left="1800" w:right="0" w:hanging="641"/>
        <w:jc w:val="left"/>
        <w:rPr>
          <w:sz w:val="32"/>
        </w:rPr>
      </w:pPr>
      <w:r>
        <w:rPr>
          <w:sz w:val="32"/>
        </w:rPr>
        <w:t>安全生产责任制；</w:t>
      </w:r>
    </w:p>
    <w:p>
      <w:pPr>
        <w:pStyle w:val="ListParagraph"/>
        <w:numPr>
          <w:ilvl w:val="0"/>
          <w:numId w:val="53"/>
        </w:numPr>
        <w:tabs>
          <w:tab w:pos="1801" w:val="left" w:leader="none"/>
        </w:tabs>
        <w:spacing w:line="240" w:lineRule="auto" w:before="149" w:after="0"/>
        <w:ind w:left="1800" w:right="0" w:hanging="641"/>
        <w:jc w:val="left"/>
        <w:rPr>
          <w:sz w:val="32"/>
        </w:rPr>
      </w:pPr>
      <w:r>
        <w:rPr>
          <w:sz w:val="32"/>
        </w:rPr>
        <w:t>生产安全技术操作规程；</w:t>
      </w:r>
    </w:p>
    <w:p>
      <w:pPr>
        <w:pStyle w:val="ListParagraph"/>
        <w:numPr>
          <w:ilvl w:val="0"/>
          <w:numId w:val="53"/>
        </w:numPr>
        <w:tabs>
          <w:tab w:pos="1801" w:val="left" w:leader="none"/>
        </w:tabs>
        <w:spacing w:line="328" w:lineRule="auto" w:before="152" w:after="0"/>
        <w:ind w:left="1800" w:right="779" w:hanging="641"/>
        <w:jc w:val="left"/>
        <w:rPr>
          <w:sz w:val="32"/>
        </w:rPr>
      </w:pPr>
      <w:r>
        <w:rPr>
          <w:sz w:val="32"/>
        </w:rPr>
        <w:t>安全生产管理制度：教育培训、安全生产管理档案、</w:t>
      </w:r>
      <w:r>
        <w:rPr>
          <w:spacing w:val="-11"/>
          <w:sz w:val="32"/>
        </w:rPr>
        <w:t>安全生产投入、设备设施管理、应急管理、职业卫生</w:t>
      </w:r>
      <w:r>
        <w:rPr>
          <w:spacing w:val="-19"/>
          <w:sz w:val="32"/>
        </w:rPr>
        <w:t>基础管理、领导带班、事故报告、安全隐患排查治理、</w:t>
      </w:r>
      <w:r>
        <w:rPr>
          <w:sz w:val="32"/>
        </w:rPr>
        <w:t>风险管控、技术资料、相关方安全管理等；</w:t>
      </w:r>
    </w:p>
    <w:p>
      <w:pPr>
        <w:pStyle w:val="ListParagraph"/>
        <w:numPr>
          <w:ilvl w:val="0"/>
          <w:numId w:val="53"/>
        </w:numPr>
        <w:tabs>
          <w:tab w:pos="1641" w:val="left" w:leader="none"/>
        </w:tabs>
        <w:spacing w:line="402" w:lineRule="exact" w:before="0" w:after="0"/>
        <w:ind w:left="1640" w:right="0" w:hanging="481"/>
        <w:jc w:val="left"/>
        <w:rPr>
          <w:sz w:val="32"/>
        </w:rPr>
      </w:pPr>
      <w:r>
        <w:rPr>
          <w:sz w:val="32"/>
        </w:rPr>
        <w:t>其他。</w:t>
      </w:r>
    </w:p>
    <w:p>
      <w:pPr>
        <w:pStyle w:val="BodyText"/>
        <w:spacing w:before="10"/>
        <w:ind w:left="0"/>
        <w:rPr>
          <w:sz w:val="23"/>
        </w:rPr>
      </w:pPr>
    </w:p>
    <w:p>
      <w:pPr>
        <w:pStyle w:val="ListParagraph"/>
        <w:numPr>
          <w:ilvl w:val="2"/>
          <w:numId w:val="51"/>
        </w:numPr>
        <w:tabs>
          <w:tab w:pos="1621" w:val="left" w:leader="none"/>
        </w:tabs>
        <w:spacing w:line="240" w:lineRule="auto" w:before="0" w:after="0"/>
        <w:ind w:left="1620" w:right="0" w:hanging="881"/>
        <w:jc w:val="left"/>
        <w:rPr>
          <w:sz w:val="32"/>
        </w:rPr>
      </w:pPr>
      <w:r>
        <w:rPr>
          <w:sz w:val="32"/>
        </w:rPr>
        <w:t>生产现场类隐患包括以下方面存在的问题或缺陷：</w:t>
      </w:r>
    </w:p>
    <w:p>
      <w:pPr>
        <w:pStyle w:val="BodyText"/>
        <w:ind w:left="0"/>
        <w:rPr>
          <w:sz w:val="24"/>
        </w:rPr>
      </w:pPr>
    </w:p>
    <w:p>
      <w:pPr>
        <w:pStyle w:val="BodyText"/>
        <w:ind w:left="1160"/>
      </w:pPr>
      <w:r>
        <w:rPr/>
        <w:t>a) 作业场所、工（库）房及设施、设备；</w:t>
      </w:r>
    </w:p>
    <w:p>
      <w:pPr>
        <w:pStyle w:val="ListParagraph"/>
        <w:numPr>
          <w:ilvl w:val="0"/>
          <w:numId w:val="54"/>
        </w:numPr>
        <w:tabs>
          <w:tab w:pos="1641" w:val="left" w:leader="none"/>
        </w:tabs>
        <w:spacing w:line="240" w:lineRule="auto" w:before="150" w:after="0"/>
        <w:ind w:left="1640" w:right="0" w:hanging="481"/>
        <w:jc w:val="left"/>
        <w:rPr>
          <w:sz w:val="32"/>
        </w:rPr>
      </w:pPr>
      <w:r>
        <w:rPr>
          <w:sz w:val="32"/>
        </w:rPr>
        <w:t>防殉爆、隔爆措施；</w:t>
      </w:r>
    </w:p>
    <w:p>
      <w:pPr>
        <w:pStyle w:val="ListParagraph"/>
        <w:numPr>
          <w:ilvl w:val="0"/>
          <w:numId w:val="54"/>
        </w:numPr>
        <w:tabs>
          <w:tab w:pos="1641" w:val="left" w:leader="none"/>
        </w:tabs>
        <w:spacing w:line="240" w:lineRule="auto" w:before="149" w:after="0"/>
        <w:ind w:left="1640" w:right="0" w:hanging="481"/>
        <w:jc w:val="left"/>
        <w:rPr>
          <w:sz w:val="32"/>
        </w:rPr>
      </w:pPr>
      <w:r>
        <w:rPr>
          <w:sz w:val="32"/>
        </w:rPr>
        <w:t>自动控制、安全联锁装置；</w:t>
      </w:r>
    </w:p>
    <w:p>
      <w:pPr>
        <w:pStyle w:val="ListParagraph"/>
        <w:numPr>
          <w:ilvl w:val="0"/>
          <w:numId w:val="54"/>
        </w:numPr>
        <w:tabs>
          <w:tab w:pos="1641" w:val="left" w:leader="none"/>
        </w:tabs>
        <w:spacing w:line="326" w:lineRule="auto" w:before="151" w:after="0"/>
        <w:ind w:left="1160" w:right="2903" w:firstLine="0"/>
        <w:jc w:val="left"/>
        <w:rPr>
          <w:sz w:val="32"/>
        </w:rPr>
      </w:pPr>
      <w:r>
        <w:rPr>
          <w:spacing w:val="-1"/>
          <w:sz w:val="32"/>
        </w:rPr>
        <w:t>安防系统、视频监控系统、门禁系统； </w:t>
      </w:r>
      <w:r>
        <w:rPr>
          <w:sz w:val="32"/>
        </w:rPr>
        <w:t>e）电气与通讯、防静电与防雷；</w:t>
      </w:r>
    </w:p>
    <w:p>
      <w:pPr>
        <w:pStyle w:val="BodyText"/>
        <w:spacing w:line="328" w:lineRule="auto" w:before="4"/>
        <w:ind w:left="1160" w:right="4370"/>
      </w:pPr>
      <w:r>
        <w:rPr/>
        <w:t>f）消防雨淋、采暖与通风； g）</w:t>
      </w:r>
      <w:r>
        <w:rPr>
          <w:spacing w:val="-2"/>
        </w:rPr>
        <w:t>运输与储存、试验与销毁； </w:t>
      </w:r>
      <w:r>
        <w:rPr/>
        <w:t>h）内、外部安全距离；</w:t>
      </w:r>
    </w:p>
    <w:p>
      <w:pPr>
        <w:pStyle w:val="BodyText"/>
        <w:spacing w:line="405" w:lineRule="exact"/>
        <w:ind w:left="1160"/>
      </w:pPr>
      <w:r>
        <w:rPr>
          <w:w w:val="95"/>
        </w:rPr>
        <w:t>i）从业人员操作行为；</w:t>
      </w:r>
    </w:p>
    <w:p>
      <w:pPr>
        <w:pStyle w:val="BodyText"/>
        <w:spacing w:line="364" w:lineRule="auto" w:before="130"/>
        <w:ind w:left="1160" w:right="4810"/>
      </w:pPr>
      <w:r>
        <w:rPr/>
        <w:t>j）自然灾害与环境等方面； k）违反现场管控措施的；</w:t>
      </w:r>
    </w:p>
    <w:p>
      <w:pPr>
        <w:spacing w:after="0" w:line="364" w:lineRule="auto"/>
        <w:sectPr>
          <w:pgSz w:w="11910" w:h="16840"/>
          <w:pgMar w:header="0" w:footer="1232" w:top="1520" w:bottom="1420" w:left="1060" w:right="860"/>
        </w:sectPr>
      </w:pPr>
    </w:p>
    <w:p>
      <w:pPr>
        <w:pStyle w:val="BodyText"/>
        <w:spacing w:before="30"/>
        <w:ind w:left="1160"/>
      </w:pPr>
      <w:r>
        <w:rPr/>
        <w:t>l） 其他。</w:t>
      </w:r>
    </w:p>
    <w:p>
      <w:pPr>
        <w:pStyle w:val="BodyText"/>
        <w:spacing w:before="7"/>
        <w:ind w:left="0"/>
        <w:rPr>
          <w:sz w:val="30"/>
        </w:rPr>
      </w:pPr>
    </w:p>
    <w:p>
      <w:pPr>
        <w:pStyle w:val="ListParagraph"/>
        <w:numPr>
          <w:ilvl w:val="0"/>
          <w:numId w:val="51"/>
        </w:numPr>
        <w:tabs>
          <w:tab w:pos="1060" w:val="left" w:leader="none"/>
        </w:tabs>
        <w:spacing w:line="240" w:lineRule="auto" w:before="0" w:after="0"/>
        <w:ind w:left="1059" w:right="0" w:hanging="320"/>
        <w:jc w:val="both"/>
        <w:rPr>
          <w:rFonts w:ascii="黑体" w:eastAsia="黑体" w:hint="eastAsia"/>
          <w:sz w:val="32"/>
        </w:rPr>
      </w:pPr>
      <w:r>
        <w:rPr>
          <w:rFonts w:ascii="黑体" w:eastAsia="黑体" w:hint="eastAsia"/>
          <w:sz w:val="32"/>
        </w:rPr>
        <w:t>工作程序和内容</w:t>
      </w:r>
    </w:p>
    <w:p>
      <w:pPr>
        <w:pStyle w:val="Heading3"/>
        <w:numPr>
          <w:ilvl w:val="1"/>
          <w:numId w:val="51"/>
        </w:numPr>
        <w:tabs>
          <w:tab w:pos="1384" w:val="left" w:leader="none"/>
        </w:tabs>
        <w:spacing w:line="240" w:lineRule="auto" w:before="178" w:after="0"/>
        <w:ind w:left="1383" w:right="0" w:hanging="644"/>
        <w:jc w:val="both"/>
      </w:pPr>
      <w:r>
        <w:rPr/>
        <w:t>编制排查项目清单</w:t>
      </w:r>
    </w:p>
    <w:p>
      <w:pPr>
        <w:pStyle w:val="BodyText"/>
        <w:spacing w:before="6"/>
        <w:ind w:left="0"/>
        <w:rPr>
          <w:rFonts w:ascii="Microsoft JhengHei"/>
          <w:b/>
          <w:sz w:val="17"/>
        </w:rPr>
      </w:pPr>
    </w:p>
    <w:p>
      <w:pPr>
        <w:pStyle w:val="ListParagraph"/>
        <w:numPr>
          <w:ilvl w:val="2"/>
          <w:numId w:val="51"/>
        </w:numPr>
        <w:tabs>
          <w:tab w:pos="1700" w:val="left" w:leader="none"/>
        </w:tabs>
        <w:spacing w:line="240" w:lineRule="auto" w:before="0" w:after="0"/>
        <w:ind w:left="1700" w:right="0" w:hanging="960"/>
        <w:jc w:val="both"/>
        <w:rPr>
          <w:sz w:val="32"/>
        </w:rPr>
      </w:pPr>
      <w:r>
        <w:rPr>
          <w:sz w:val="32"/>
        </w:rPr>
        <w:t>基本要求</w:t>
      </w:r>
    </w:p>
    <w:p>
      <w:pPr>
        <w:pStyle w:val="BodyText"/>
        <w:spacing w:before="11"/>
        <w:ind w:left="0"/>
        <w:rPr>
          <w:sz w:val="23"/>
        </w:rPr>
      </w:pPr>
    </w:p>
    <w:p>
      <w:pPr>
        <w:pStyle w:val="BodyText"/>
        <w:spacing w:line="328" w:lineRule="auto"/>
        <w:ind w:left="740" w:right="940" w:firstLine="640"/>
        <w:jc w:val="both"/>
      </w:pPr>
      <w:r>
        <w:rPr>
          <w:spacing w:val="-1"/>
        </w:rPr>
        <w:t>企业每年应编制包含全部应该排查的项目内容清单，包</w:t>
      </w:r>
      <w:r>
        <w:rPr>
          <w:spacing w:val="11"/>
          <w:w w:val="95"/>
        </w:rPr>
        <w:t>括生产现场类事故隐患排查清单和基础管理类事故隐患排 </w:t>
      </w:r>
      <w:r>
        <w:rPr>
          <w:w w:val="95"/>
        </w:rPr>
        <w:t>查清单。事故隐患排查清单可依据6.2.1</w:t>
      </w:r>
      <w:r>
        <w:rPr>
          <w:spacing w:val="-5"/>
          <w:w w:val="95"/>
        </w:rPr>
        <w:t>、</w:t>
      </w:r>
      <w:r>
        <w:rPr>
          <w:w w:val="95"/>
        </w:rPr>
        <w:t>6.2.2条款并结合</w:t>
      </w:r>
      <w:r>
        <w:rPr/>
        <w:t>WJ/T</w:t>
      </w:r>
      <w:r>
        <w:rPr>
          <w:spacing w:val="-6"/>
        </w:rPr>
        <w:t> </w:t>
      </w:r>
      <w:r>
        <w:rPr/>
        <w:t>9075、工作危害分析法、有关事故案例等进行编制。</w:t>
      </w:r>
    </w:p>
    <w:p>
      <w:pPr>
        <w:pStyle w:val="ListParagraph"/>
        <w:numPr>
          <w:ilvl w:val="2"/>
          <w:numId w:val="51"/>
        </w:numPr>
        <w:tabs>
          <w:tab w:pos="1700" w:val="left" w:leader="none"/>
        </w:tabs>
        <w:spacing w:line="240" w:lineRule="auto" w:before="151" w:after="0"/>
        <w:ind w:left="1700" w:right="0" w:hanging="960"/>
        <w:jc w:val="both"/>
        <w:rPr>
          <w:sz w:val="32"/>
        </w:rPr>
      </w:pPr>
      <w:r>
        <w:rPr>
          <w:sz w:val="32"/>
        </w:rPr>
        <w:t>基础管理类隐患排查清单</w:t>
      </w:r>
    </w:p>
    <w:p>
      <w:pPr>
        <w:pStyle w:val="BodyText"/>
        <w:spacing w:before="10"/>
        <w:ind w:left="0"/>
        <w:rPr>
          <w:sz w:val="23"/>
        </w:rPr>
      </w:pPr>
    </w:p>
    <w:p>
      <w:pPr>
        <w:pStyle w:val="BodyText"/>
        <w:spacing w:line="328" w:lineRule="auto"/>
        <w:ind w:left="740" w:right="940" w:firstLine="640"/>
        <w:jc w:val="both"/>
      </w:pPr>
      <w:r>
        <w:rPr>
          <w:spacing w:val="-3"/>
        </w:rPr>
        <w:t>企业应依据基础管理类内容，逐项编制排查清单。至少</w:t>
      </w:r>
      <w:r>
        <w:rPr>
          <w:spacing w:val="-3"/>
          <w:w w:val="95"/>
        </w:rPr>
        <w:t>应包括基础管理名称、排查内容、排查标准、隐患判定、排 </w:t>
      </w:r>
      <w:r>
        <w:rPr>
          <w:spacing w:val="-3"/>
        </w:rPr>
        <w:t>查类型等信息，样式参见附录A。</w:t>
      </w:r>
    </w:p>
    <w:p>
      <w:pPr>
        <w:pStyle w:val="ListParagraph"/>
        <w:numPr>
          <w:ilvl w:val="2"/>
          <w:numId w:val="51"/>
        </w:numPr>
        <w:tabs>
          <w:tab w:pos="1700" w:val="left" w:leader="none"/>
        </w:tabs>
        <w:spacing w:line="240" w:lineRule="auto" w:before="151" w:after="0"/>
        <w:ind w:left="1700" w:right="0" w:hanging="960"/>
        <w:jc w:val="both"/>
        <w:rPr>
          <w:sz w:val="32"/>
        </w:rPr>
      </w:pPr>
      <w:r>
        <w:rPr>
          <w:sz w:val="32"/>
        </w:rPr>
        <w:t>生产现场类隐患排查清单</w:t>
      </w:r>
    </w:p>
    <w:p>
      <w:pPr>
        <w:pStyle w:val="BodyText"/>
        <w:spacing w:before="10"/>
        <w:ind w:left="0"/>
        <w:rPr>
          <w:sz w:val="23"/>
        </w:rPr>
      </w:pPr>
    </w:p>
    <w:p>
      <w:pPr>
        <w:pStyle w:val="BodyText"/>
        <w:spacing w:line="328" w:lineRule="auto"/>
        <w:ind w:left="740" w:right="937" w:firstLine="420"/>
        <w:jc w:val="both"/>
      </w:pPr>
      <w:r>
        <w:rPr>
          <w:spacing w:val="-9"/>
        </w:rPr>
        <w:t>企业应依据生产现场类内容，针对风险点控制措施和标准</w:t>
      </w:r>
      <w:r>
        <w:rPr>
          <w:spacing w:val="-6"/>
        </w:rPr>
        <w:t>规程要求，逐项编制排查清单。至少应包括风险点简况、排</w:t>
      </w:r>
      <w:r>
        <w:rPr>
          <w:spacing w:val="-5"/>
          <w:w w:val="95"/>
        </w:rPr>
        <w:t>查内容、排查标准、隐患判定、排查类型等信息，样式参见 </w:t>
      </w:r>
      <w:r>
        <w:rPr>
          <w:spacing w:val="-30"/>
        </w:rPr>
        <w:t>附录 </w:t>
      </w:r>
      <w:r>
        <w:rPr/>
        <w:t>B。</w:t>
      </w:r>
    </w:p>
    <w:p>
      <w:pPr>
        <w:pStyle w:val="Heading3"/>
        <w:numPr>
          <w:ilvl w:val="1"/>
          <w:numId w:val="51"/>
        </w:numPr>
        <w:tabs>
          <w:tab w:pos="1384" w:val="left" w:leader="none"/>
        </w:tabs>
        <w:spacing w:line="240" w:lineRule="auto" w:before="24" w:after="0"/>
        <w:ind w:left="1383" w:right="0" w:hanging="644"/>
        <w:jc w:val="both"/>
      </w:pPr>
      <w:r>
        <w:rPr/>
        <w:t>确定排查项目</w:t>
      </w:r>
    </w:p>
    <w:p>
      <w:pPr>
        <w:pStyle w:val="BodyText"/>
        <w:spacing w:before="6"/>
        <w:ind w:left="0"/>
        <w:rPr>
          <w:rFonts w:ascii="Microsoft JhengHei"/>
          <w:b/>
          <w:sz w:val="17"/>
        </w:rPr>
      </w:pPr>
    </w:p>
    <w:p>
      <w:pPr>
        <w:pStyle w:val="BodyText"/>
        <w:spacing w:line="326" w:lineRule="auto"/>
        <w:ind w:left="740" w:right="937" w:firstLine="640"/>
        <w:jc w:val="both"/>
      </w:pPr>
      <w:r>
        <w:rPr>
          <w:spacing w:val="-3"/>
        </w:rPr>
        <w:t>实施隐患排查前，应根据排查类型、人员数量、时间安</w:t>
      </w:r>
      <w:r>
        <w:rPr>
          <w:spacing w:val="-5"/>
        </w:rPr>
        <w:t>排和季节特点，在排查项目清单中选择确定具有针对性的具</w:t>
      </w:r>
      <w:r>
        <w:rPr>
          <w:spacing w:val="-6"/>
        </w:rPr>
        <w:t>体排查项目作为隐患排查的内容。隐患排查可分为生产现场</w:t>
      </w:r>
    </w:p>
    <w:p>
      <w:pPr>
        <w:spacing w:after="0" w:line="326" w:lineRule="auto"/>
        <w:jc w:val="both"/>
        <w:sectPr>
          <w:footerReference w:type="default" r:id="rId24"/>
          <w:pgSz w:w="11910" w:h="16840"/>
          <w:pgMar w:footer="1232" w:header="0" w:top="1500" w:bottom="1420" w:left="1060" w:right="860"/>
          <w:pgNumType w:start="140"/>
        </w:sectPr>
      </w:pPr>
    </w:p>
    <w:p>
      <w:pPr>
        <w:pStyle w:val="BodyText"/>
        <w:spacing w:line="326" w:lineRule="auto" w:before="32"/>
        <w:ind w:left="740" w:right="895"/>
      </w:pPr>
      <w:r>
        <w:rPr/>
        <w:t>类隐患排查或基础管理类隐患排查，两类隐患排查可同时进行。</w:t>
      </w:r>
    </w:p>
    <w:p>
      <w:pPr>
        <w:pStyle w:val="Heading3"/>
        <w:numPr>
          <w:ilvl w:val="1"/>
          <w:numId w:val="51"/>
        </w:numPr>
        <w:tabs>
          <w:tab w:pos="1384" w:val="left" w:leader="none"/>
        </w:tabs>
        <w:spacing w:line="240" w:lineRule="auto" w:before="34" w:after="0"/>
        <w:ind w:left="1383" w:right="0" w:hanging="644"/>
        <w:jc w:val="both"/>
      </w:pPr>
      <w:r>
        <w:rPr/>
        <w:t>组织实施</w:t>
      </w:r>
    </w:p>
    <w:p>
      <w:pPr>
        <w:pStyle w:val="BodyText"/>
        <w:spacing w:before="3"/>
        <w:ind w:left="0"/>
        <w:rPr>
          <w:rFonts w:ascii="Microsoft JhengHei"/>
          <w:b/>
          <w:sz w:val="17"/>
        </w:rPr>
      </w:pPr>
    </w:p>
    <w:p>
      <w:pPr>
        <w:pStyle w:val="ListParagraph"/>
        <w:numPr>
          <w:ilvl w:val="2"/>
          <w:numId w:val="51"/>
        </w:numPr>
        <w:tabs>
          <w:tab w:pos="1700" w:val="left" w:leader="none"/>
        </w:tabs>
        <w:spacing w:line="240" w:lineRule="auto" w:before="1" w:after="0"/>
        <w:ind w:left="1700" w:right="0" w:hanging="960"/>
        <w:jc w:val="both"/>
        <w:rPr>
          <w:sz w:val="32"/>
        </w:rPr>
      </w:pPr>
      <w:r>
        <w:rPr>
          <w:sz w:val="32"/>
        </w:rPr>
        <w:t>排查类型</w:t>
      </w:r>
    </w:p>
    <w:p>
      <w:pPr>
        <w:pStyle w:val="BodyText"/>
        <w:ind w:left="0"/>
        <w:rPr>
          <w:sz w:val="24"/>
        </w:rPr>
      </w:pPr>
    </w:p>
    <w:p>
      <w:pPr>
        <w:pStyle w:val="BodyText"/>
        <w:spacing w:line="326" w:lineRule="auto"/>
        <w:ind w:left="740" w:right="940" w:firstLine="640"/>
        <w:jc w:val="both"/>
      </w:pPr>
      <w:r>
        <w:rPr>
          <w:spacing w:val="-3"/>
        </w:rPr>
        <w:t>排查类型主要包括日常隐患排查、综合性隐患排查、专业性隐患排查、专项或季节性隐患排查、专家诊断性检查和</w:t>
      </w:r>
      <w:r>
        <w:rPr/>
        <w:t>企业各级负责人履职检查等。</w:t>
      </w:r>
    </w:p>
    <w:p>
      <w:pPr>
        <w:pStyle w:val="ListParagraph"/>
        <w:numPr>
          <w:ilvl w:val="2"/>
          <w:numId w:val="51"/>
        </w:numPr>
        <w:tabs>
          <w:tab w:pos="1700" w:val="left" w:leader="none"/>
        </w:tabs>
        <w:spacing w:line="240" w:lineRule="auto" w:before="163" w:after="0"/>
        <w:ind w:left="1700" w:right="0" w:hanging="960"/>
        <w:jc w:val="both"/>
        <w:rPr>
          <w:sz w:val="32"/>
        </w:rPr>
      </w:pPr>
      <w:r>
        <w:rPr>
          <w:sz w:val="32"/>
        </w:rPr>
        <w:t>排查要求</w:t>
      </w:r>
    </w:p>
    <w:p>
      <w:pPr>
        <w:pStyle w:val="BodyText"/>
        <w:spacing w:before="10"/>
        <w:ind w:left="0"/>
        <w:rPr>
          <w:sz w:val="23"/>
        </w:rPr>
      </w:pPr>
    </w:p>
    <w:p>
      <w:pPr>
        <w:pStyle w:val="BodyText"/>
        <w:spacing w:line="328" w:lineRule="auto"/>
        <w:ind w:left="740" w:right="940" w:firstLine="640"/>
        <w:jc w:val="both"/>
      </w:pPr>
      <w:r>
        <w:rPr>
          <w:spacing w:val="-3"/>
        </w:rPr>
        <w:t>隐患排查应做到全面覆盖、责任到人，定期排查与日常</w:t>
      </w:r>
      <w:r>
        <w:rPr>
          <w:spacing w:val="-4"/>
        </w:rPr>
        <w:t>管理相结合，专业排查与综合排查相结合，一般排查与重点</w:t>
      </w:r>
      <w:r>
        <w:rPr/>
        <w:t>排查相结合。</w:t>
      </w:r>
    </w:p>
    <w:p>
      <w:pPr>
        <w:pStyle w:val="ListParagraph"/>
        <w:numPr>
          <w:ilvl w:val="2"/>
          <w:numId w:val="51"/>
        </w:numPr>
        <w:tabs>
          <w:tab w:pos="1700" w:val="left" w:leader="none"/>
        </w:tabs>
        <w:spacing w:line="240" w:lineRule="auto" w:before="151" w:after="0"/>
        <w:ind w:left="1700" w:right="0" w:hanging="960"/>
        <w:jc w:val="both"/>
        <w:rPr>
          <w:sz w:val="32"/>
        </w:rPr>
      </w:pPr>
      <w:r>
        <w:rPr>
          <w:sz w:val="32"/>
        </w:rPr>
        <w:t>组织级别</w:t>
      </w:r>
    </w:p>
    <w:p>
      <w:pPr>
        <w:pStyle w:val="BodyText"/>
        <w:spacing w:before="11"/>
        <w:ind w:left="0"/>
        <w:rPr>
          <w:sz w:val="23"/>
        </w:rPr>
      </w:pPr>
    </w:p>
    <w:p>
      <w:pPr>
        <w:pStyle w:val="BodyText"/>
        <w:spacing w:line="328" w:lineRule="auto"/>
        <w:ind w:left="740" w:right="937" w:firstLine="640"/>
        <w:jc w:val="both"/>
      </w:pPr>
      <w:r>
        <w:rPr>
          <w:spacing w:val="13"/>
          <w:w w:val="95"/>
        </w:rPr>
        <w:t>企业应根据自身组织架构确定不同的排查组织级别和 </w:t>
      </w:r>
      <w:r>
        <w:rPr>
          <w:spacing w:val="-19"/>
          <w:w w:val="95"/>
        </w:rPr>
        <w:t>频次。排查组织级别一般包括企业集团级、企业级、部门</w:t>
      </w:r>
      <w:r>
        <w:rPr>
          <w:w w:val="95"/>
        </w:rPr>
        <w:t>（车 间</w:t>
      </w:r>
      <w:r>
        <w:rPr>
          <w:spacing w:val="-3"/>
          <w:w w:val="95"/>
        </w:rPr>
        <w:t>）级、班组级、岗位级。建立健全从主要负责人到从业人 </w:t>
      </w:r>
      <w:r>
        <w:rPr>
          <w:spacing w:val="-4"/>
        </w:rPr>
        <w:t>员，覆盖各单位、各部门、各班组、各岗位的事故隐患排查责任体系。</w:t>
      </w:r>
    </w:p>
    <w:p>
      <w:pPr>
        <w:pStyle w:val="ListParagraph"/>
        <w:numPr>
          <w:ilvl w:val="2"/>
          <w:numId w:val="51"/>
        </w:numPr>
        <w:tabs>
          <w:tab w:pos="1621" w:val="left" w:leader="none"/>
        </w:tabs>
        <w:spacing w:line="240" w:lineRule="auto" w:before="148" w:after="0"/>
        <w:ind w:left="1620" w:right="0" w:hanging="881"/>
        <w:jc w:val="both"/>
        <w:rPr>
          <w:sz w:val="32"/>
        </w:rPr>
      </w:pPr>
      <w:r>
        <w:rPr>
          <w:sz w:val="32"/>
        </w:rPr>
        <w:t>事故隐患排查周期</w:t>
      </w:r>
    </w:p>
    <w:p>
      <w:pPr>
        <w:pStyle w:val="BodyText"/>
        <w:spacing w:before="10"/>
        <w:ind w:left="0"/>
        <w:rPr>
          <w:sz w:val="23"/>
        </w:rPr>
      </w:pPr>
    </w:p>
    <w:p>
      <w:pPr>
        <w:pStyle w:val="BodyText"/>
        <w:spacing w:line="328" w:lineRule="auto" w:before="1"/>
        <w:ind w:left="740" w:right="937" w:firstLine="640"/>
        <w:jc w:val="both"/>
      </w:pPr>
      <w:r>
        <w:rPr>
          <w:spacing w:val="-1"/>
        </w:rPr>
        <w:t>根据风险点特性确定隐患排查周期，明确企业各级岗位</w:t>
      </w:r>
      <w:r>
        <w:rPr>
          <w:spacing w:val="-4"/>
        </w:rPr>
        <w:t>人员排查的内容，一般包括：一班三检、每班一次、每周一次、每月一次、每季一次、每半年一次等。隐患排查周期可</w:t>
      </w:r>
    </w:p>
    <w:p>
      <w:pPr>
        <w:spacing w:after="0" w:line="328" w:lineRule="auto"/>
        <w:jc w:val="both"/>
        <w:sectPr>
          <w:pgSz w:w="11910" w:h="16840"/>
          <w:pgMar w:header="0" w:footer="1232" w:top="1520" w:bottom="1420" w:left="1060" w:right="860"/>
        </w:sectPr>
      </w:pPr>
    </w:p>
    <w:p>
      <w:pPr>
        <w:pStyle w:val="BodyText"/>
        <w:spacing w:line="326" w:lineRule="auto" w:before="32"/>
        <w:ind w:left="740" w:right="925"/>
      </w:pPr>
      <w:r>
        <w:rPr/>
        <w:t>根据安全形势的变化、上级主管部门要求等情况适当增加。企业进行隐患排查的周期应至少满足：</w:t>
      </w:r>
    </w:p>
    <w:p>
      <w:pPr>
        <w:pStyle w:val="ListParagraph"/>
        <w:numPr>
          <w:ilvl w:val="0"/>
          <w:numId w:val="55"/>
        </w:numPr>
        <w:tabs>
          <w:tab w:pos="1801" w:val="left" w:leader="none"/>
        </w:tabs>
        <w:spacing w:line="328" w:lineRule="auto" w:before="3" w:after="0"/>
        <w:ind w:left="1800" w:right="940" w:hanging="641"/>
        <w:jc w:val="left"/>
        <w:rPr>
          <w:sz w:val="32"/>
        </w:rPr>
      </w:pPr>
      <w:r>
        <w:rPr>
          <w:spacing w:val="-7"/>
          <w:w w:val="95"/>
          <w:sz w:val="32"/>
        </w:rPr>
        <w:t>一班三检：一线作业人员</w:t>
      </w:r>
      <w:r>
        <w:rPr>
          <w:w w:val="95"/>
          <w:sz w:val="32"/>
        </w:rPr>
        <w:t>（</w:t>
      </w:r>
      <w:r>
        <w:rPr>
          <w:spacing w:val="-6"/>
          <w:w w:val="95"/>
          <w:sz w:val="32"/>
        </w:rPr>
        <w:t>操作工、库管员等</w:t>
      </w:r>
      <w:r>
        <w:rPr>
          <w:spacing w:val="-27"/>
          <w:w w:val="95"/>
          <w:sz w:val="32"/>
        </w:rPr>
        <w:t>）</w:t>
      </w:r>
      <w:r>
        <w:rPr>
          <w:w w:val="95"/>
          <w:sz w:val="32"/>
        </w:rPr>
        <w:t>进行 </w:t>
      </w:r>
      <w:r>
        <w:rPr>
          <w:sz w:val="32"/>
        </w:rPr>
        <w:t>本岗位班前、班中、班后现场排查并记录；</w:t>
      </w:r>
    </w:p>
    <w:p>
      <w:pPr>
        <w:pStyle w:val="ListParagraph"/>
        <w:numPr>
          <w:ilvl w:val="0"/>
          <w:numId w:val="55"/>
        </w:numPr>
        <w:tabs>
          <w:tab w:pos="1801" w:val="left" w:leader="none"/>
        </w:tabs>
        <w:spacing w:line="407" w:lineRule="exact" w:before="0" w:after="0"/>
        <w:ind w:left="1800" w:right="0" w:hanging="641"/>
        <w:jc w:val="left"/>
        <w:rPr>
          <w:sz w:val="32"/>
        </w:rPr>
      </w:pPr>
      <w:r>
        <w:rPr>
          <w:spacing w:val="-10"/>
          <w:w w:val="95"/>
          <w:sz w:val="32"/>
        </w:rPr>
        <w:t>每班一次：当班安全员、设备维修人员、班长、车间</w:t>
      </w:r>
    </w:p>
    <w:p>
      <w:pPr>
        <w:pStyle w:val="BodyText"/>
        <w:spacing w:before="149"/>
        <w:ind w:left="1800"/>
      </w:pPr>
      <w:r>
        <w:rPr/>
        <w:t>（库管）主任等进行生产现场排查并记录；</w:t>
      </w:r>
    </w:p>
    <w:p>
      <w:pPr>
        <w:pStyle w:val="ListParagraph"/>
        <w:numPr>
          <w:ilvl w:val="0"/>
          <w:numId w:val="55"/>
        </w:numPr>
        <w:tabs>
          <w:tab w:pos="1801" w:val="left" w:leader="none"/>
        </w:tabs>
        <w:spacing w:line="326" w:lineRule="auto" w:before="151" w:after="0"/>
        <w:ind w:left="1800" w:right="937" w:hanging="641"/>
        <w:jc w:val="left"/>
        <w:rPr>
          <w:sz w:val="32"/>
        </w:rPr>
      </w:pPr>
      <w:r>
        <w:rPr>
          <w:spacing w:val="-11"/>
          <w:w w:val="95"/>
          <w:sz w:val="32"/>
        </w:rPr>
        <w:t>每周一次：安全、技术、机电等业务部门主管进行专 </w:t>
      </w:r>
      <w:r>
        <w:rPr>
          <w:spacing w:val="-11"/>
          <w:sz w:val="32"/>
        </w:rPr>
        <w:t>业性排查并记录；</w:t>
      </w:r>
    </w:p>
    <w:p>
      <w:pPr>
        <w:pStyle w:val="ListParagraph"/>
        <w:numPr>
          <w:ilvl w:val="0"/>
          <w:numId w:val="55"/>
        </w:numPr>
        <w:tabs>
          <w:tab w:pos="1801" w:val="left" w:leader="none"/>
        </w:tabs>
        <w:spacing w:line="328" w:lineRule="auto" w:before="4" w:after="0"/>
        <w:ind w:left="1800" w:right="937" w:hanging="641"/>
        <w:jc w:val="left"/>
        <w:rPr>
          <w:sz w:val="32"/>
        </w:rPr>
      </w:pPr>
      <w:r>
        <w:rPr>
          <w:spacing w:val="-12"/>
          <w:w w:val="95"/>
          <w:sz w:val="32"/>
        </w:rPr>
        <w:t>每月一次：安全、生产、技术、机电设备等职能部门 </w:t>
      </w:r>
      <w:r>
        <w:rPr>
          <w:spacing w:val="-12"/>
          <w:sz w:val="32"/>
        </w:rPr>
        <w:t>或分管负责人全面隐患排查并记录；</w:t>
      </w:r>
    </w:p>
    <w:p>
      <w:pPr>
        <w:pStyle w:val="ListParagraph"/>
        <w:numPr>
          <w:ilvl w:val="0"/>
          <w:numId w:val="55"/>
        </w:numPr>
        <w:tabs>
          <w:tab w:pos="1801" w:val="left" w:leader="none"/>
        </w:tabs>
        <w:spacing w:line="326" w:lineRule="auto" w:before="0" w:after="0"/>
        <w:ind w:left="1800" w:right="937" w:hanging="641"/>
        <w:jc w:val="left"/>
        <w:rPr>
          <w:sz w:val="32"/>
        </w:rPr>
      </w:pPr>
      <w:r>
        <w:rPr>
          <w:spacing w:val="-12"/>
          <w:sz w:val="32"/>
        </w:rPr>
        <w:t>每季一次：企业主要负责人组织的全面隐患排查并记录；</w:t>
      </w:r>
    </w:p>
    <w:p>
      <w:pPr>
        <w:pStyle w:val="ListParagraph"/>
        <w:numPr>
          <w:ilvl w:val="0"/>
          <w:numId w:val="55"/>
        </w:numPr>
        <w:tabs>
          <w:tab w:pos="1801" w:val="left" w:leader="none"/>
        </w:tabs>
        <w:spacing w:line="326" w:lineRule="auto" w:before="3" w:after="0"/>
        <w:ind w:left="1800" w:right="940" w:hanging="641"/>
        <w:jc w:val="left"/>
        <w:rPr>
          <w:sz w:val="32"/>
        </w:rPr>
      </w:pPr>
      <w:r>
        <w:rPr>
          <w:spacing w:val="-11"/>
          <w:w w:val="95"/>
          <w:sz w:val="32"/>
        </w:rPr>
        <w:t>每半年一次：企业集团负责人组织涵盖所有生产、销 </w:t>
      </w:r>
      <w:r>
        <w:rPr>
          <w:spacing w:val="-11"/>
          <w:sz w:val="32"/>
        </w:rPr>
        <w:t>售场点的全面隐患排查并记录；</w:t>
      </w:r>
    </w:p>
    <w:p>
      <w:pPr>
        <w:pStyle w:val="ListParagraph"/>
        <w:numPr>
          <w:ilvl w:val="0"/>
          <w:numId w:val="55"/>
        </w:numPr>
        <w:tabs>
          <w:tab w:pos="1801" w:val="left" w:leader="none"/>
        </w:tabs>
        <w:spacing w:line="328" w:lineRule="auto" w:before="3" w:after="0"/>
        <w:ind w:left="1800" w:right="940" w:hanging="641"/>
        <w:jc w:val="left"/>
        <w:rPr>
          <w:sz w:val="32"/>
        </w:rPr>
      </w:pPr>
      <w:r>
        <w:rPr>
          <w:spacing w:val="-6"/>
          <w:w w:val="95"/>
          <w:sz w:val="32"/>
        </w:rPr>
        <w:t>对于三级及以上的风险点及其关键设备危险源、作业 </w:t>
      </w:r>
      <w:r>
        <w:rPr>
          <w:spacing w:val="-6"/>
          <w:sz w:val="32"/>
        </w:rPr>
        <w:t>活动应重点关注，明确排查责任人、排查周期。</w:t>
      </w:r>
    </w:p>
    <w:p>
      <w:pPr>
        <w:pStyle w:val="ListParagraph"/>
        <w:numPr>
          <w:ilvl w:val="0"/>
          <w:numId w:val="55"/>
        </w:numPr>
        <w:tabs>
          <w:tab w:pos="1801" w:val="left" w:leader="none"/>
        </w:tabs>
        <w:spacing w:line="328" w:lineRule="auto" w:before="0" w:after="0"/>
        <w:ind w:left="1800" w:right="779" w:hanging="641"/>
        <w:jc w:val="left"/>
        <w:rPr>
          <w:sz w:val="32"/>
        </w:rPr>
      </w:pPr>
      <w:r>
        <w:rPr>
          <w:sz w:val="32"/>
        </w:rPr>
        <w:t>按照有关规定，定期组织实施对设备、电气与通讯、</w:t>
      </w:r>
      <w:r>
        <w:rPr>
          <w:spacing w:val="-11"/>
          <w:sz w:val="32"/>
        </w:rPr>
        <w:t>消防、采暖与通风、自动控制、防静电与防雷、防爆</w:t>
      </w:r>
      <w:r>
        <w:rPr>
          <w:spacing w:val="-19"/>
          <w:sz w:val="32"/>
        </w:rPr>
        <w:t>设施、视频监控、门禁系统、作业场所、运输与储存、</w:t>
      </w:r>
      <w:r>
        <w:rPr>
          <w:spacing w:val="-12"/>
          <w:sz w:val="32"/>
        </w:rPr>
        <w:t>试验与销毁、外部环境变化、自然灾害等进行检测或安全性评估；</w:t>
      </w:r>
    </w:p>
    <w:p>
      <w:pPr>
        <w:pStyle w:val="ListParagraph"/>
        <w:numPr>
          <w:ilvl w:val="0"/>
          <w:numId w:val="55"/>
        </w:numPr>
        <w:tabs>
          <w:tab w:pos="1801" w:val="left" w:leader="none"/>
        </w:tabs>
        <w:spacing w:line="326" w:lineRule="auto" w:before="0" w:after="0"/>
        <w:ind w:left="1800" w:right="826" w:hanging="641"/>
        <w:jc w:val="left"/>
        <w:rPr>
          <w:sz w:val="32"/>
        </w:rPr>
      </w:pPr>
      <w:r>
        <w:rPr>
          <w:spacing w:val="-1"/>
          <w:sz w:val="32"/>
        </w:rPr>
        <w:t>当本企业获知相关企业发生安全事故及异常事件时， </w:t>
      </w:r>
      <w:r>
        <w:rPr>
          <w:sz w:val="32"/>
        </w:rPr>
        <w:t>应举一反三，及时进行专项隐患排查。</w:t>
      </w:r>
    </w:p>
    <w:p>
      <w:pPr>
        <w:pStyle w:val="ListParagraph"/>
        <w:numPr>
          <w:ilvl w:val="2"/>
          <w:numId w:val="51"/>
        </w:numPr>
        <w:tabs>
          <w:tab w:pos="1700" w:val="left" w:leader="none"/>
        </w:tabs>
        <w:spacing w:line="240" w:lineRule="auto" w:before="149" w:after="0"/>
        <w:ind w:left="1700" w:right="0" w:hanging="960"/>
        <w:jc w:val="left"/>
        <w:rPr>
          <w:sz w:val="32"/>
        </w:rPr>
      </w:pPr>
      <w:r>
        <w:rPr>
          <w:sz w:val="32"/>
        </w:rPr>
        <w:t>隐患判定</w:t>
      </w:r>
    </w:p>
    <w:p>
      <w:pPr>
        <w:spacing w:after="0" w:line="240" w:lineRule="auto"/>
        <w:jc w:val="left"/>
        <w:rPr>
          <w:sz w:val="32"/>
        </w:rPr>
        <w:sectPr>
          <w:pgSz w:w="11910" w:h="16840"/>
          <w:pgMar w:header="0" w:footer="1232" w:top="1520" w:bottom="1420" w:left="1060" w:right="860"/>
        </w:sectPr>
      </w:pPr>
    </w:p>
    <w:p>
      <w:pPr>
        <w:pStyle w:val="BodyText"/>
        <w:spacing w:line="326" w:lineRule="auto" w:before="32"/>
        <w:ind w:left="740" w:right="937" w:firstLine="640"/>
        <w:jc w:val="both"/>
      </w:pPr>
      <w:r>
        <w:rPr>
          <w:spacing w:val="-1"/>
        </w:rPr>
        <w:t>一般事故隐患按照企业相关程序规定进行判定，重大事</w:t>
      </w:r>
      <w:r>
        <w:rPr>
          <w:spacing w:val="6"/>
          <w:w w:val="95"/>
        </w:rPr>
        <w:t>故隐患由企业主要负责人组织有关人员按照</w:t>
      </w:r>
      <w:r>
        <w:rPr>
          <w:w w:val="95"/>
        </w:rPr>
        <w:t>6.1.1</w:t>
      </w:r>
      <w:r>
        <w:rPr>
          <w:spacing w:val="5"/>
          <w:w w:val="95"/>
        </w:rPr>
        <w:t>规定进行 </w:t>
      </w:r>
      <w:r>
        <w:rPr>
          <w:spacing w:val="5"/>
        </w:rPr>
        <w:t>判定。</w:t>
      </w:r>
    </w:p>
    <w:p>
      <w:pPr>
        <w:pStyle w:val="Heading3"/>
        <w:numPr>
          <w:ilvl w:val="1"/>
          <w:numId w:val="51"/>
        </w:numPr>
        <w:tabs>
          <w:tab w:pos="1384" w:val="left" w:leader="none"/>
        </w:tabs>
        <w:spacing w:line="240" w:lineRule="auto" w:before="35" w:after="0"/>
        <w:ind w:left="1383" w:right="0" w:hanging="644"/>
        <w:jc w:val="left"/>
      </w:pPr>
      <w:r>
        <w:rPr/>
        <w:t>隐患治理</w:t>
      </w:r>
    </w:p>
    <w:p>
      <w:pPr>
        <w:pStyle w:val="BodyText"/>
        <w:spacing w:before="6"/>
        <w:ind w:left="0"/>
        <w:rPr>
          <w:rFonts w:ascii="Microsoft JhengHei"/>
          <w:b/>
          <w:sz w:val="17"/>
        </w:rPr>
      </w:pPr>
    </w:p>
    <w:p>
      <w:pPr>
        <w:pStyle w:val="ListParagraph"/>
        <w:numPr>
          <w:ilvl w:val="2"/>
          <w:numId w:val="51"/>
        </w:numPr>
        <w:tabs>
          <w:tab w:pos="1700" w:val="left" w:leader="none"/>
        </w:tabs>
        <w:spacing w:line="240" w:lineRule="auto" w:before="1" w:after="0"/>
        <w:ind w:left="1700" w:right="0" w:hanging="960"/>
        <w:jc w:val="left"/>
        <w:rPr>
          <w:sz w:val="32"/>
        </w:rPr>
      </w:pPr>
      <w:r>
        <w:rPr>
          <w:sz w:val="32"/>
        </w:rPr>
        <w:t>隐患治理要求</w:t>
      </w:r>
    </w:p>
    <w:p>
      <w:pPr>
        <w:pStyle w:val="BodyText"/>
        <w:spacing w:before="10"/>
        <w:ind w:left="0"/>
        <w:rPr>
          <w:sz w:val="23"/>
        </w:rPr>
      </w:pPr>
    </w:p>
    <w:p>
      <w:pPr>
        <w:pStyle w:val="BodyText"/>
        <w:ind w:left="1380"/>
      </w:pPr>
      <w:r>
        <w:rPr/>
        <w:t>隐患治理应符合以下要求：</w:t>
      </w:r>
    </w:p>
    <w:p>
      <w:pPr>
        <w:pStyle w:val="ListParagraph"/>
        <w:numPr>
          <w:ilvl w:val="0"/>
          <w:numId w:val="56"/>
        </w:numPr>
        <w:tabs>
          <w:tab w:pos="1801" w:val="left" w:leader="none"/>
        </w:tabs>
        <w:spacing w:line="328" w:lineRule="auto" w:before="149" w:after="0"/>
        <w:ind w:left="1800" w:right="940" w:hanging="641"/>
        <w:jc w:val="left"/>
        <w:rPr>
          <w:sz w:val="32"/>
        </w:rPr>
      </w:pPr>
      <w:r>
        <w:rPr>
          <w:spacing w:val="-9"/>
          <w:sz w:val="32"/>
        </w:rPr>
        <w:t>治理措施包括岗位纠正、班组治理、车间治理、部门治理、公司治理等。</w:t>
      </w:r>
    </w:p>
    <w:p>
      <w:pPr>
        <w:pStyle w:val="ListParagraph"/>
        <w:numPr>
          <w:ilvl w:val="0"/>
          <w:numId w:val="56"/>
        </w:numPr>
        <w:tabs>
          <w:tab w:pos="1801" w:val="left" w:leader="none"/>
        </w:tabs>
        <w:spacing w:line="328" w:lineRule="auto" w:before="0" w:after="0"/>
        <w:ind w:left="1800" w:right="779" w:hanging="641"/>
        <w:jc w:val="left"/>
        <w:rPr>
          <w:sz w:val="32"/>
        </w:rPr>
      </w:pPr>
      <w:r>
        <w:rPr>
          <w:spacing w:val="-18"/>
          <w:w w:val="95"/>
          <w:sz w:val="32"/>
        </w:rPr>
        <w:t>隐患治理应做到方法科学、资金到位、治理及时有效、 </w:t>
      </w:r>
      <w:r>
        <w:rPr>
          <w:spacing w:val="-15"/>
          <w:sz w:val="32"/>
        </w:rPr>
        <w:t>责任到人、按时完成。事故隐患排除前或者排除过程</w:t>
      </w:r>
      <w:r>
        <w:rPr>
          <w:spacing w:val="8"/>
          <w:sz w:val="32"/>
        </w:rPr>
        <w:t>中无法保证安全的，应当从危险区域内撤出作业人</w:t>
      </w:r>
      <w:r>
        <w:rPr>
          <w:spacing w:val="-10"/>
          <w:sz w:val="32"/>
        </w:rPr>
        <w:t>员，并疏散可能危及的其他人员，设置警戒标志，暂</w:t>
      </w:r>
      <w:r>
        <w:rPr>
          <w:spacing w:val="-16"/>
          <w:sz w:val="32"/>
        </w:rPr>
        <w:t>时停产停业或者停止使用相关设施、设备；对暂时难</w:t>
      </w:r>
      <w:r>
        <w:rPr>
          <w:spacing w:val="8"/>
          <w:sz w:val="32"/>
        </w:rPr>
        <w:t>以停产或者停止使用后极易引发生产安全事故的相</w:t>
      </w:r>
      <w:r>
        <w:rPr>
          <w:spacing w:val="-10"/>
          <w:sz w:val="32"/>
        </w:rPr>
        <w:t>关设施、设备，应当加强维护保养和监测监控，防止事故发生。</w:t>
      </w:r>
    </w:p>
    <w:p>
      <w:pPr>
        <w:pStyle w:val="ListParagraph"/>
        <w:numPr>
          <w:ilvl w:val="0"/>
          <w:numId w:val="56"/>
        </w:numPr>
        <w:tabs>
          <w:tab w:pos="1801" w:val="left" w:leader="none"/>
        </w:tabs>
        <w:spacing w:line="397" w:lineRule="exact" w:before="0" w:after="0"/>
        <w:ind w:left="1800" w:right="0" w:hanging="641"/>
        <w:jc w:val="left"/>
        <w:rPr>
          <w:sz w:val="32"/>
        </w:rPr>
      </w:pPr>
      <w:r>
        <w:rPr>
          <w:sz w:val="32"/>
        </w:rPr>
        <w:t>对于可能引发的垮塌、泥石流、滑坡、雷击、火灾、</w:t>
      </w:r>
    </w:p>
    <w:p>
      <w:pPr>
        <w:pStyle w:val="BodyText"/>
        <w:spacing w:line="328" w:lineRule="auto" w:before="147"/>
        <w:ind w:left="1800" w:right="779"/>
      </w:pPr>
      <w:r>
        <w:rPr>
          <w:spacing w:val="-18"/>
        </w:rPr>
        <w:t>洪水等自然灾害隐患，企业应当按照有关法律、法规、</w:t>
      </w:r>
      <w:r>
        <w:rPr>
          <w:spacing w:val="-14"/>
        </w:rPr>
        <w:t>规章、标准和管控措施要求进行治理。在接到有关自</w:t>
      </w:r>
      <w:r>
        <w:rPr>
          <w:spacing w:val="-16"/>
        </w:rPr>
        <w:t>然灾害预报时，应当及时发出预警通知；发生自然灾</w:t>
      </w:r>
      <w:r>
        <w:rPr>
          <w:spacing w:val="-21"/>
        </w:rPr>
        <w:t>害可能危及生产经营单位和人员安全的情况时，应当</w:t>
      </w:r>
      <w:r>
        <w:rPr>
          <w:spacing w:val="-17"/>
        </w:rPr>
        <w:t>采取停止作业、撤离人员等防范措施，必要时向当地人民政府及负有安全生产监督管理职责的部门报告。</w:t>
      </w:r>
    </w:p>
    <w:p>
      <w:pPr>
        <w:spacing w:after="0" w:line="328" w:lineRule="auto"/>
        <w:sectPr>
          <w:pgSz w:w="11910" w:h="16840"/>
          <w:pgMar w:header="0" w:footer="1232" w:top="1520" w:bottom="1420" w:left="1060" w:right="860"/>
        </w:sectPr>
      </w:pPr>
    </w:p>
    <w:p>
      <w:pPr>
        <w:pStyle w:val="ListParagraph"/>
        <w:numPr>
          <w:ilvl w:val="0"/>
          <w:numId w:val="56"/>
        </w:numPr>
        <w:tabs>
          <w:tab w:pos="1801" w:val="left" w:leader="none"/>
        </w:tabs>
        <w:spacing w:line="326" w:lineRule="auto" w:before="32" w:after="0"/>
        <w:ind w:left="1800" w:right="937" w:hanging="641"/>
        <w:jc w:val="both"/>
        <w:rPr>
          <w:sz w:val="32"/>
        </w:rPr>
      </w:pPr>
      <w:r>
        <w:rPr>
          <w:spacing w:val="8"/>
          <w:w w:val="95"/>
          <w:sz w:val="32"/>
        </w:rPr>
        <w:t>对于因人为因素造成的外部环境变化引起的事故隐 </w:t>
      </w:r>
      <w:r>
        <w:rPr>
          <w:spacing w:val="-11"/>
          <w:sz w:val="32"/>
        </w:rPr>
        <w:t>患，企业应及时向当地人民政府及负有安全生产监督管理职责的部门报告，并按照有关程序进行治理。</w:t>
      </w:r>
    </w:p>
    <w:p>
      <w:pPr>
        <w:pStyle w:val="ListParagraph"/>
        <w:numPr>
          <w:ilvl w:val="2"/>
          <w:numId w:val="51"/>
        </w:numPr>
        <w:tabs>
          <w:tab w:pos="1700" w:val="left" w:leader="none"/>
        </w:tabs>
        <w:spacing w:line="240" w:lineRule="auto" w:before="163" w:after="0"/>
        <w:ind w:left="1700" w:right="0" w:hanging="960"/>
        <w:jc w:val="both"/>
        <w:rPr>
          <w:sz w:val="32"/>
        </w:rPr>
      </w:pPr>
      <w:r>
        <w:rPr>
          <w:sz w:val="32"/>
        </w:rPr>
        <w:t>隐患治理流程</w:t>
      </w:r>
    </w:p>
    <w:p>
      <w:pPr>
        <w:pStyle w:val="BodyText"/>
        <w:spacing w:before="10"/>
        <w:ind w:left="0"/>
        <w:rPr>
          <w:sz w:val="23"/>
        </w:rPr>
      </w:pPr>
    </w:p>
    <w:p>
      <w:pPr>
        <w:pStyle w:val="BodyText"/>
        <w:spacing w:line="328" w:lineRule="auto"/>
        <w:ind w:left="740" w:right="937" w:firstLine="640"/>
        <w:jc w:val="both"/>
      </w:pPr>
      <w:r>
        <w:rPr>
          <w:spacing w:val="-1"/>
        </w:rPr>
        <w:t>在每次隐患排查结束后对所发现的隐患，排查部门应签</w:t>
      </w:r>
      <w:r>
        <w:rPr>
          <w:spacing w:val="-3"/>
        </w:rPr>
        <w:t>发隐患整改通知单，对隐患治理责任单位、措施建议、完成</w:t>
      </w:r>
      <w:r>
        <w:rPr>
          <w:spacing w:val="-5"/>
        </w:rPr>
        <w:t>期限等提出要求。隐患存在单位在实施隐患治理前应当对隐</w:t>
      </w:r>
      <w:r>
        <w:rPr>
          <w:spacing w:val="-6"/>
          <w:w w:val="95"/>
        </w:rPr>
        <w:t>患存在的原因进行分析，并制定可靠的治理措施。隐患整改 </w:t>
      </w:r>
      <w:r>
        <w:rPr>
          <w:spacing w:val="-7"/>
        </w:rPr>
        <w:t>通知签发部门应当对隐患治理效果组织验收。企业每月至少</w:t>
      </w:r>
      <w:r>
        <w:rPr>
          <w:spacing w:val="-7"/>
          <w:w w:val="95"/>
        </w:rPr>
        <w:t>一次将隐患名称、存在位置、不符合状况、隐患等级、治理 </w:t>
      </w:r>
      <w:r>
        <w:rPr>
          <w:spacing w:val="-6"/>
        </w:rPr>
        <w:t>期限、治理措施要求及整改完成情况等信息应向负有安全生</w:t>
      </w:r>
      <w:r>
        <w:rPr>
          <w:spacing w:val="-7"/>
        </w:rPr>
        <w:t>产监督管理职责的部门报告并向职工公示。隐患整改通知单</w:t>
      </w:r>
      <w:r>
        <w:rPr>
          <w:spacing w:val="6"/>
          <w:w w:val="95"/>
        </w:rPr>
        <w:t>样式参见附录</w:t>
      </w:r>
      <w:r>
        <w:rPr>
          <w:spacing w:val="3"/>
          <w:w w:val="95"/>
        </w:rPr>
        <w:t>C</w:t>
      </w:r>
      <w:r>
        <w:rPr>
          <w:spacing w:val="4"/>
          <w:w w:val="95"/>
        </w:rPr>
        <w:t>、事故隐患排查治理完成情况公示样式参见 </w:t>
      </w:r>
      <w:r>
        <w:rPr>
          <w:spacing w:val="4"/>
        </w:rPr>
        <w:t>附录D。</w:t>
      </w:r>
    </w:p>
    <w:p>
      <w:pPr>
        <w:pStyle w:val="ListParagraph"/>
        <w:numPr>
          <w:ilvl w:val="2"/>
          <w:numId w:val="51"/>
        </w:numPr>
        <w:tabs>
          <w:tab w:pos="1700" w:val="left" w:leader="none"/>
        </w:tabs>
        <w:spacing w:line="240" w:lineRule="auto" w:before="138" w:after="0"/>
        <w:ind w:left="1700" w:right="0" w:hanging="960"/>
        <w:jc w:val="both"/>
        <w:rPr>
          <w:sz w:val="32"/>
        </w:rPr>
      </w:pPr>
      <w:r>
        <w:rPr>
          <w:sz w:val="32"/>
        </w:rPr>
        <w:t>一般事故隐患治理</w:t>
      </w:r>
    </w:p>
    <w:p>
      <w:pPr>
        <w:pStyle w:val="BodyText"/>
        <w:ind w:left="0"/>
        <w:rPr>
          <w:sz w:val="24"/>
        </w:rPr>
      </w:pPr>
    </w:p>
    <w:p>
      <w:pPr>
        <w:pStyle w:val="BodyText"/>
        <w:spacing w:line="326" w:lineRule="auto" w:before="1"/>
        <w:ind w:left="740" w:right="893" w:firstLine="640"/>
      </w:pPr>
      <w:r>
        <w:rPr/>
        <w:t>由企业相关部门、单位负责人组织整改，整改情况要安排专人进行验收确认。</w:t>
      </w:r>
    </w:p>
    <w:p>
      <w:pPr>
        <w:pStyle w:val="ListParagraph"/>
        <w:numPr>
          <w:ilvl w:val="2"/>
          <w:numId w:val="51"/>
        </w:numPr>
        <w:tabs>
          <w:tab w:pos="1700" w:val="left" w:leader="none"/>
        </w:tabs>
        <w:spacing w:line="240" w:lineRule="auto" w:before="159" w:after="0"/>
        <w:ind w:left="1700" w:right="0" w:hanging="960"/>
        <w:jc w:val="left"/>
        <w:rPr>
          <w:sz w:val="32"/>
        </w:rPr>
      </w:pPr>
      <w:r>
        <w:rPr>
          <w:sz w:val="32"/>
        </w:rPr>
        <w:t>重大事故隐患治理</w:t>
      </w:r>
    </w:p>
    <w:p>
      <w:pPr>
        <w:pStyle w:val="BodyText"/>
        <w:ind w:left="0"/>
        <w:rPr>
          <w:sz w:val="24"/>
        </w:rPr>
      </w:pPr>
    </w:p>
    <w:p>
      <w:pPr>
        <w:pStyle w:val="BodyText"/>
        <w:spacing w:line="326" w:lineRule="auto"/>
        <w:ind w:left="740" w:right="937" w:firstLine="640"/>
      </w:pPr>
      <w:r>
        <w:rPr>
          <w:spacing w:val="13"/>
          <w:w w:val="95"/>
        </w:rPr>
        <w:t>企业主要负责人应组织制定并实施重大事故隐患治理 </w:t>
      </w:r>
      <w:r>
        <w:rPr>
          <w:spacing w:val="13"/>
        </w:rPr>
        <w:t>方案。重大事故隐患治理方案应当包括以下内容：</w:t>
      </w:r>
    </w:p>
    <w:p>
      <w:pPr>
        <w:pStyle w:val="BodyText"/>
        <w:spacing w:line="328" w:lineRule="auto" w:before="3"/>
        <w:ind w:left="1160" w:right="5626"/>
      </w:pPr>
      <w:r>
        <w:rPr/>
        <w:t>a）</w:t>
      </w:r>
      <w:r>
        <w:rPr>
          <w:spacing w:val="-4"/>
        </w:rPr>
        <w:t> 隐患特点、成因； </w:t>
      </w:r>
      <w:r>
        <w:rPr/>
        <w:t>b）  目标和任务； c） 方法和措施；</w:t>
      </w:r>
    </w:p>
    <w:p>
      <w:pPr>
        <w:spacing w:after="0" w:line="328" w:lineRule="auto"/>
        <w:sectPr>
          <w:pgSz w:w="11910" w:h="16840"/>
          <w:pgMar w:header="0" w:footer="1232" w:top="1520" w:bottom="1420" w:left="1060" w:right="860"/>
        </w:sectPr>
      </w:pPr>
    </w:p>
    <w:p>
      <w:pPr>
        <w:pStyle w:val="BodyText"/>
        <w:spacing w:line="326" w:lineRule="auto" w:before="32"/>
        <w:ind w:left="1160" w:right="5290"/>
      </w:pPr>
      <w:r>
        <w:rPr/>
        <w:t>d） 物资和经费保障； e） 责任单位和责任人； f） 时限和要求；</w:t>
      </w:r>
    </w:p>
    <w:p>
      <w:pPr>
        <w:pStyle w:val="BodyText"/>
        <w:spacing w:before="7"/>
        <w:ind w:left="1160"/>
      </w:pPr>
      <w:r>
        <w:rPr/>
        <w:t>g） 验收部门及负责人。</w:t>
      </w:r>
    </w:p>
    <w:p>
      <w:pPr>
        <w:pStyle w:val="BodyText"/>
        <w:spacing w:before="10"/>
        <w:ind w:left="0"/>
        <w:rPr>
          <w:sz w:val="23"/>
        </w:rPr>
      </w:pPr>
    </w:p>
    <w:p>
      <w:pPr>
        <w:pStyle w:val="ListParagraph"/>
        <w:numPr>
          <w:ilvl w:val="2"/>
          <w:numId w:val="51"/>
        </w:numPr>
        <w:tabs>
          <w:tab w:pos="1700" w:val="left" w:leader="none"/>
        </w:tabs>
        <w:spacing w:line="240" w:lineRule="auto" w:before="0" w:after="0"/>
        <w:ind w:left="1700" w:right="0" w:hanging="960"/>
        <w:jc w:val="left"/>
        <w:rPr>
          <w:sz w:val="32"/>
        </w:rPr>
      </w:pPr>
      <w:r>
        <w:rPr>
          <w:sz w:val="32"/>
        </w:rPr>
        <w:t>隐患治理验收</w:t>
      </w:r>
    </w:p>
    <w:p>
      <w:pPr>
        <w:pStyle w:val="BodyText"/>
        <w:spacing w:before="11"/>
        <w:ind w:left="0"/>
        <w:rPr>
          <w:sz w:val="23"/>
        </w:rPr>
      </w:pPr>
    </w:p>
    <w:p>
      <w:pPr>
        <w:pStyle w:val="BodyText"/>
        <w:spacing w:line="328" w:lineRule="auto"/>
        <w:ind w:left="740" w:right="937" w:firstLine="640"/>
        <w:jc w:val="both"/>
      </w:pPr>
      <w:r>
        <w:rPr>
          <w:spacing w:val="-2"/>
        </w:rPr>
        <w:t>隐患治理完成后，企业应根据隐患级别组织本单位的相</w:t>
      </w:r>
      <w:r>
        <w:rPr>
          <w:spacing w:val="-3"/>
        </w:rPr>
        <w:t>关人员或专家对隐患的治理情况进行验收评估，必要时可委</w:t>
      </w:r>
      <w:r>
        <w:rPr>
          <w:spacing w:val="-4"/>
        </w:rPr>
        <w:t>托依法设立的为安全生产提供技术、管理服务的机构对隐患</w:t>
      </w:r>
      <w:r>
        <w:rPr>
          <w:spacing w:val="-6"/>
        </w:rPr>
        <w:t>的治理情况进行验收评估；需要进行复查验收的，按照有关</w:t>
      </w:r>
      <w:r>
        <w:rPr>
          <w:spacing w:val="-6"/>
          <w:w w:val="95"/>
        </w:rPr>
        <w:t>规定执行，形成闭环管理。参与验收评估的机构和人员对验 </w:t>
      </w:r>
      <w:r>
        <w:rPr>
          <w:spacing w:val="-7"/>
        </w:rPr>
        <w:t>收评估结果负责。重大事故隐患治理要做好登记及整改销号</w:t>
      </w:r>
      <w:r>
        <w:rPr>
          <w:spacing w:val="-5"/>
        </w:rPr>
        <w:t>审批。对政府督办的重大隐患，按有关规定执行。重大事故隐患登记及整改销号审批表样式参见附录E。</w:t>
      </w:r>
    </w:p>
    <w:p>
      <w:pPr>
        <w:pStyle w:val="ListParagraph"/>
        <w:numPr>
          <w:ilvl w:val="0"/>
          <w:numId w:val="51"/>
        </w:numPr>
        <w:tabs>
          <w:tab w:pos="1060" w:val="left" w:leader="none"/>
        </w:tabs>
        <w:spacing w:line="240" w:lineRule="auto" w:before="143" w:after="0"/>
        <w:ind w:left="1059" w:right="0" w:hanging="320"/>
        <w:jc w:val="left"/>
        <w:rPr>
          <w:rFonts w:ascii="黑体" w:eastAsia="黑体" w:hint="eastAsia"/>
          <w:sz w:val="32"/>
        </w:rPr>
      </w:pPr>
      <w:r>
        <w:rPr>
          <w:rFonts w:ascii="黑体" w:eastAsia="黑体" w:hint="eastAsia"/>
          <w:w w:val="95"/>
          <w:sz w:val="32"/>
        </w:rPr>
        <w:t>信息平台建设</w:t>
      </w:r>
    </w:p>
    <w:p>
      <w:pPr>
        <w:pStyle w:val="Heading3"/>
        <w:numPr>
          <w:ilvl w:val="1"/>
          <w:numId w:val="51"/>
        </w:numPr>
        <w:tabs>
          <w:tab w:pos="1384" w:val="left" w:leader="none"/>
        </w:tabs>
        <w:spacing w:line="240" w:lineRule="auto" w:before="180" w:after="0"/>
        <w:ind w:left="1383" w:right="0" w:hanging="644"/>
        <w:jc w:val="left"/>
      </w:pPr>
      <w:r>
        <w:rPr/>
        <w:t>基本要求</w:t>
      </w:r>
    </w:p>
    <w:p>
      <w:pPr>
        <w:pStyle w:val="BodyText"/>
        <w:spacing w:before="4"/>
        <w:ind w:left="0"/>
        <w:rPr>
          <w:rFonts w:ascii="Microsoft JhengHei"/>
          <w:b/>
          <w:sz w:val="17"/>
        </w:rPr>
      </w:pPr>
    </w:p>
    <w:p>
      <w:pPr>
        <w:pStyle w:val="BodyText"/>
        <w:spacing w:line="328" w:lineRule="auto"/>
        <w:ind w:left="740" w:right="937" w:firstLine="640"/>
        <w:jc w:val="both"/>
      </w:pPr>
      <w:r>
        <w:rPr>
          <w:spacing w:val="-2"/>
        </w:rPr>
        <w:t>企业宜采用信息化管理手段，通过工业互联网建立安全</w:t>
      </w:r>
      <w:r>
        <w:rPr>
          <w:spacing w:val="-5"/>
        </w:rPr>
        <w:t>生产双重预防信息平台，推动人员、装备、物资等安全生产要素的网络化连接、敏捷化响应和自动化调配，形成“快速</w:t>
      </w:r>
      <w:r>
        <w:rPr>
          <w:spacing w:val="-4"/>
          <w:w w:val="95"/>
        </w:rPr>
        <w:t>感知、实时监测、超前预警、联动处置、系统评估”等新型 </w:t>
      </w:r>
      <w:r>
        <w:rPr>
          <w:spacing w:val="-4"/>
        </w:rPr>
        <w:t>事故隐患治理能力体系。</w:t>
      </w:r>
    </w:p>
    <w:p>
      <w:pPr>
        <w:pStyle w:val="BodyText"/>
        <w:spacing w:line="381" w:lineRule="exact"/>
        <w:ind w:left="1160"/>
      </w:pPr>
      <w:r>
        <w:rPr/>
        <w:t>平台应具备安全风险分级管控、隐患排查治理、统计分析</w:t>
      </w:r>
    </w:p>
    <w:p>
      <w:pPr>
        <w:pStyle w:val="BodyText"/>
        <w:spacing w:line="364" w:lineRule="auto" w:before="214"/>
        <w:ind w:left="740" w:right="925"/>
      </w:pPr>
      <w:r>
        <w:rPr/>
        <w:t>及风险预警等功能，实现风险与隐患数据应用的无缝连接； 保障数据安全，具备权限分级功能。</w:t>
      </w:r>
    </w:p>
    <w:p>
      <w:pPr>
        <w:spacing w:after="0" w:line="364" w:lineRule="auto"/>
        <w:sectPr>
          <w:pgSz w:w="11910" w:h="16840"/>
          <w:pgMar w:header="0" w:footer="1232" w:top="1520" w:bottom="1420" w:left="1060" w:right="860"/>
        </w:sectPr>
      </w:pPr>
    </w:p>
    <w:p>
      <w:pPr>
        <w:pStyle w:val="Heading3"/>
        <w:numPr>
          <w:ilvl w:val="1"/>
          <w:numId w:val="51"/>
        </w:numPr>
        <w:tabs>
          <w:tab w:pos="1384" w:val="left" w:leader="none"/>
        </w:tabs>
        <w:spacing w:line="513" w:lineRule="exact" w:before="0" w:after="0"/>
        <w:ind w:left="1383" w:right="0" w:hanging="644"/>
        <w:jc w:val="left"/>
      </w:pPr>
      <w:r>
        <w:rPr/>
        <w:t>功能模块</w:t>
      </w:r>
    </w:p>
    <w:p>
      <w:pPr>
        <w:pStyle w:val="BodyText"/>
        <w:spacing w:before="6"/>
        <w:ind w:left="0"/>
        <w:rPr>
          <w:rFonts w:ascii="Microsoft JhengHei"/>
          <w:b/>
          <w:sz w:val="17"/>
        </w:rPr>
      </w:pPr>
    </w:p>
    <w:p>
      <w:pPr>
        <w:pStyle w:val="ListParagraph"/>
        <w:numPr>
          <w:ilvl w:val="2"/>
          <w:numId w:val="51"/>
        </w:numPr>
        <w:tabs>
          <w:tab w:pos="1700" w:val="left" w:leader="none"/>
        </w:tabs>
        <w:spacing w:line="240" w:lineRule="auto" w:before="0" w:after="0"/>
        <w:ind w:left="1700" w:right="0" w:hanging="960"/>
        <w:jc w:val="left"/>
        <w:rPr>
          <w:sz w:val="32"/>
        </w:rPr>
      </w:pPr>
      <w:r>
        <w:rPr>
          <w:sz w:val="32"/>
        </w:rPr>
        <w:t>风险分级管控模块</w:t>
      </w:r>
    </w:p>
    <w:p>
      <w:pPr>
        <w:pStyle w:val="BodyText"/>
        <w:spacing w:before="10"/>
        <w:ind w:left="0"/>
        <w:rPr>
          <w:sz w:val="23"/>
        </w:rPr>
      </w:pPr>
    </w:p>
    <w:p>
      <w:pPr>
        <w:pStyle w:val="BodyText"/>
        <w:spacing w:line="326" w:lineRule="auto"/>
        <w:ind w:left="740" w:right="779" w:firstLine="420"/>
      </w:pPr>
      <w:r>
        <w:rPr>
          <w:spacing w:val="-13"/>
          <w:w w:val="95"/>
        </w:rPr>
        <w:t>风险分级管控模块应实现对安全风险的记录、跟踪、统计、 </w:t>
      </w:r>
      <w:r>
        <w:rPr>
          <w:spacing w:val="-13"/>
        </w:rPr>
        <w:t>分析和上报全过程的信息化管理。应具备以下功能：</w:t>
      </w:r>
    </w:p>
    <w:p>
      <w:pPr>
        <w:pStyle w:val="ListParagraph"/>
        <w:numPr>
          <w:ilvl w:val="0"/>
          <w:numId w:val="57"/>
        </w:numPr>
        <w:tabs>
          <w:tab w:pos="1801" w:val="left" w:leader="none"/>
        </w:tabs>
        <w:spacing w:line="240" w:lineRule="auto" w:before="6" w:after="0"/>
        <w:ind w:left="1800" w:right="0" w:hanging="641"/>
        <w:jc w:val="left"/>
        <w:rPr>
          <w:sz w:val="32"/>
        </w:rPr>
      </w:pPr>
      <w:r>
        <w:rPr>
          <w:w w:val="99"/>
          <w:sz w:val="32"/>
        </w:rPr>
        <w:t>风险点的管理（增加、删除、编辑、查询等功能</w:t>
      </w:r>
      <w:r>
        <w:rPr>
          <w:spacing w:val="-161"/>
          <w:w w:val="99"/>
          <w:sz w:val="32"/>
        </w:rPr>
        <w:t>）</w:t>
      </w:r>
      <w:r>
        <w:rPr>
          <w:w w:val="99"/>
          <w:sz w:val="32"/>
        </w:rPr>
        <w:t>；</w:t>
      </w:r>
    </w:p>
    <w:p>
      <w:pPr>
        <w:pStyle w:val="ListParagraph"/>
        <w:numPr>
          <w:ilvl w:val="0"/>
          <w:numId w:val="57"/>
        </w:numPr>
        <w:tabs>
          <w:tab w:pos="1777" w:val="left" w:leader="none"/>
        </w:tabs>
        <w:spacing w:line="328" w:lineRule="auto" w:before="149" w:after="0"/>
        <w:ind w:left="1800" w:right="826" w:hanging="641"/>
        <w:jc w:val="left"/>
        <w:rPr>
          <w:sz w:val="32"/>
        </w:rPr>
      </w:pPr>
      <w:r>
        <w:rPr>
          <w:spacing w:val="-10"/>
          <w:sz w:val="32"/>
        </w:rPr>
        <w:t>年度、专项、岗位、临时风险辨识评估的管理</w:t>
      </w:r>
      <w:r>
        <w:rPr>
          <w:sz w:val="32"/>
        </w:rPr>
        <w:t>（辨识</w:t>
      </w:r>
      <w:r>
        <w:rPr>
          <w:spacing w:val="-1"/>
          <w:sz w:val="32"/>
        </w:rPr>
        <w:t>数据的录入、辅助辨识评估、辅助生成文件、审核、</w:t>
      </w:r>
      <w:r>
        <w:rPr>
          <w:sz w:val="32"/>
        </w:rPr>
        <w:t>结果上传等</w:t>
      </w:r>
      <w:r>
        <w:rPr>
          <w:spacing w:val="-159"/>
          <w:sz w:val="32"/>
        </w:rPr>
        <w:t>）</w:t>
      </w:r>
      <w:r>
        <w:rPr>
          <w:sz w:val="32"/>
        </w:rPr>
        <w:t>。</w:t>
      </w:r>
    </w:p>
    <w:p>
      <w:pPr>
        <w:pStyle w:val="ListParagraph"/>
        <w:numPr>
          <w:ilvl w:val="2"/>
          <w:numId w:val="51"/>
        </w:numPr>
        <w:tabs>
          <w:tab w:pos="1700" w:val="left" w:leader="none"/>
        </w:tabs>
        <w:spacing w:line="240" w:lineRule="auto" w:before="151" w:after="0"/>
        <w:ind w:left="1700" w:right="0" w:hanging="960"/>
        <w:jc w:val="left"/>
        <w:rPr>
          <w:sz w:val="32"/>
        </w:rPr>
      </w:pPr>
      <w:r>
        <w:rPr>
          <w:sz w:val="32"/>
        </w:rPr>
        <w:t>隐患排查治理模块</w:t>
      </w:r>
    </w:p>
    <w:p>
      <w:pPr>
        <w:pStyle w:val="BodyText"/>
        <w:spacing w:before="10"/>
        <w:ind w:left="0"/>
        <w:rPr>
          <w:sz w:val="23"/>
        </w:rPr>
      </w:pPr>
    </w:p>
    <w:p>
      <w:pPr>
        <w:pStyle w:val="BodyText"/>
        <w:spacing w:line="328" w:lineRule="auto" w:before="1"/>
        <w:ind w:left="740" w:right="925" w:firstLine="640"/>
      </w:pPr>
      <w:r>
        <w:rPr/>
        <w:t>隐患排查治理模块实现对隐患的记录统计、过程跟踪、逾期报警、信息上报的信息化管理。应具备以下主要功能：</w:t>
      </w:r>
    </w:p>
    <w:p>
      <w:pPr>
        <w:pStyle w:val="ListParagraph"/>
        <w:numPr>
          <w:ilvl w:val="0"/>
          <w:numId w:val="58"/>
        </w:numPr>
        <w:tabs>
          <w:tab w:pos="1801" w:val="left" w:leader="none"/>
        </w:tabs>
        <w:spacing w:line="407" w:lineRule="exact" w:before="0" w:after="0"/>
        <w:ind w:left="1800" w:right="0" w:hanging="641"/>
        <w:jc w:val="left"/>
        <w:rPr>
          <w:sz w:val="32"/>
        </w:rPr>
      </w:pPr>
      <w:r>
        <w:rPr>
          <w:sz w:val="32"/>
        </w:rPr>
        <w:t>隐患信息录入及与风险的关联；</w:t>
      </w:r>
    </w:p>
    <w:p>
      <w:pPr>
        <w:pStyle w:val="ListParagraph"/>
        <w:numPr>
          <w:ilvl w:val="0"/>
          <w:numId w:val="58"/>
        </w:numPr>
        <w:tabs>
          <w:tab w:pos="1801" w:val="left" w:leader="none"/>
        </w:tabs>
        <w:spacing w:line="328" w:lineRule="auto" w:before="149" w:after="0"/>
        <w:ind w:left="1800" w:right="826" w:hanging="641"/>
        <w:jc w:val="left"/>
        <w:rPr>
          <w:sz w:val="32"/>
        </w:rPr>
      </w:pPr>
      <w:r>
        <w:rPr>
          <w:spacing w:val="-1"/>
          <w:sz w:val="32"/>
        </w:rPr>
        <w:t>隐患整改、复查、销号等过程跟踪，实现闭环管理。</w:t>
      </w:r>
      <w:r>
        <w:rPr>
          <w:sz w:val="32"/>
        </w:rPr>
        <w:t>对于整改超期、或整改未达到要求的，进行预警；</w:t>
      </w:r>
    </w:p>
    <w:p>
      <w:pPr>
        <w:pStyle w:val="BodyText"/>
        <w:spacing w:line="407" w:lineRule="exact"/>
        <w:ind w:left="1160"/>
      </w:pPr>
      <w:r>
        <w:rPr/>
        <w:t>c) 实现重大隐患自动上报、跟踪督办。</w:t>
      </w:r>
    </w:p>
    <w:p>
      <w:pPr>
        <w:pStyle w:val="BodyText"/>
        <w:spacing w:before="10"/>
        <w:ind w:left="0"/>
        <w:rPr>
          <w:sz w:val="23"/>
        </w:rPr>
      </w:pPr>
    </w:p>
    <w:p>
      <w:pPr>
        <w:pStyle w:val="ListParagraph"/>
        <w:numPr>
          <w:ilvl w:val="2"/>
          <w:numId w:val="51"/>
        </w:numPr>
        <w:tabs>
          <w:tab w:pos="1700" w:val="left" w:leader="none"/>
        </w:tabs>
        <w:spacing w:line="240" w:lineRule="auto" w:before="0" w:after="0"/>
        <w:ind w:left="1700" w:right="0" w:hanging="960"/>
        <w:jc w:val="left"/>
        <w:rPr>
          <w:sz w:val="32"/>
        </w:rPr>
      </w:pPr>
      <w:r>
        <w:rPr>
          <w:sz w:val="32"/>
        </w:rPr>
        <w:t>统计分析及预警模块</w:t>
      </w:r>
    </w:p>
    <w:p>
      <w:pPr>
        <w:pStyle w:val="BodyText"/>
        <w:ind w:left="0"/>
        <w:rPr>
          <w:sz w:val="24"/>
        </w:rPr>
      </w:pPr>
    </w:p>
    <w:p>
      <w:pPr>
        <w:pStyle w:val="BodyText"/>
        <w:ind w:left="1380"/>
      </w:pPr>
      <w:r>
        <w:rPr/>
        <w:t>统计分析及预警模块应具备以下功能：</w:t>
      </w:r>
    </w:p>
    <w:p>
      <w:pPr>
        <w:pStyle w:val="ListParagraph"/>
        <w:numPr>
          <w:ilvl w:val="0"/>
          <w:numId w:val="59"/>
        </w:numPr>
        <w:tabs>
          <w:tab w:pos="1744" w:val="left" w:leader="none"/>
        </w:tabs>
        <w:spacing w:line="326" w:lineRule="auto" w:before="150" w:after="0"/>
        <w:ind w:left="1800" w:right="940" w:hanging="641"/>
        <w:jc w:val="left"/>
        <w:rPr>
          <w:sz w:val="32"/>
        </w:rPr>
      </w:pPr>
      <w:r>
        <w:rPr>
          <w:spacing w:val="-4"/>
          <w:sz w:val="32"/>
        </w:rPr>
        <w:t>实现安全风险和隐患的多维度统计分析，自动生成报表；</w:t>
      </w:r>
    </w:p>
    <w:p>
      <w:pPr>
        <w:pStyle w:val="ListParagraph"/>
        <w:numPr>
          <w:ilvl w:val="0"/>
          <w:numId w:val="59"/>
        </w:numPr>
        <w:tabs>
          <w:tab w:pos="1801" w:val="left" w:leader="none"/>
        </w:tabs>
        <w:spacing w:line="240" w:lineRule="auto" w:before="5" w:after="0"/>
        <w:ind w:left="1800" w:right="0" w:hanging="641"/>
        <w:jc w:val="left"/>
        <w:rPr>
          <w:sz w:val="32"/>
        </w:rPr>
      </w:pPr>
      <w:r>
        <w:rPr>
          <w:sz w:val="32"/>
        </w:rPr>
        <w:t>实现安全风险等级变化和隐患数据变化的预警功能；</w:t>
      </w:r>
    </w:p>
    <w:p>
      <w:pPr>
        <w:pStyle w:val="ListParagraph"/>
        <w:numPr>
          <w:ilvl w:val="0"/>
          <w:numId w:val="59"/>
        </w:numPr>
        <w:tabs>
          <w:tab w:pos="1801" w:val="left" w:leader="none"/>
        </w:tabs>
        <w:spacing w:line="326" w:lineRule="auto" w:before="149" w:after="0"/>
        <w:ind w:left="1800" w:right="826" w:hanging="641"/>
        <w:jc w:val="left"/>
        <w:rPr>
          <w:sz w:val="32"/>
        </w:rPr>
      </w:pPr>
      <w:r>
        <w:rPr>
          <w:spacing w:val="-1"/>
          <w:sz w:val="32"/>
        </w:rPr>
        <w:t>与风险点关联，实现安全风险动态管理的直观展现， </w:t>
      </w:r>
      <w:r>
        <w:rPr>
          <w:sz w:val="32"/>
        </w:rPr>
        <w:t>宜与安全生产相关系统集成。</w:t>
      </w:r>
    </w:p>
    <w:p>
      <w:pPr>
        <w:spacing w:after="0" w:line="326" w:lineRule="auto"/>
        <w:jc w:val="left"/>
        <w:rPr>
          <w:sz w:val="32"/>
        </w:rPr>
        <w:sectPr>
          <w:pgSz w:w="11910" w:h="16840"/>
          <w:pgMar w:header="0" w:footer="1232" w:top="1500" w:bottom="1420" w:left="1060" w:right="860"/>
        </w:sectPr>
      </w:pPr>
    </w:p>
    <w:p>
      <w:pPr>
        <w:pStyle w:val="Heading3"/>
        <w:numPr>
          <w:ilvl w:val="1"/>
          <w:numId w:val="51"/>
        </w:numPr>
        <w:tabs>
          <w:tab w:pos="1384" w:val="left" w:leader="none"/>
        </w:tabs>
        <w:spacing w:line="513" w:lineRule="exact" w:before="0" w:after="0"/>
        <w:ind w:left="1383" w:right="0" w:hanging="644"/>
        <w:jc w:val="left"/>
      </w:pPr>
      <w:r>
        <w:rPr/>
        <w:t>系统接口</w:t>
      </w:r>
    </w:p>
    <w:p>
      <w:pPr>
        <w:pStyle w:val="BodyText"/>
        <w:spacing w:before="6"/>
        <w:ind w:left="0"/>
        <w:rPr>
          <w:rFonts w:ascii="Microsoft JhengHei"/>
          <w:b/>
          <w:sz w:val="17"/>
        </w:rPr>
      </w:pPr>
    </w:p>
    <w:p>
      <w:pPr>
        <w:pStyle w:val="BodyText"/>
        <w:ind w:left="1380"/>
      </w:pPr>
      <w:r>
        <w:rPr/>
        <w:t>系统接口应具备以下功能：</w:t>
      </w:r>
    </w:p>
    <w:p>
      <w:pPr>
        <w:pStyle w:val="ListParagraph"/>
        <w:numPr>
          <w:ilvl w:val="0"/>
          <w:numId w:val="60"/>
        </w:numPr>
        <w:tabs>
          <w:tab w:pos="1801" w:val="left" w:leader="none"/>
        </w:tabs>
        <w:spacing w:line="240" w:lineRule="auto" w:before="149" w:after="0"/>
        <w:ind w:left="1800" w:right="0" w:hanging="641"/>
        <w:jc w:val="left"/>
        <w:rPr>
          <w:sz w:val="32"/>
        </w:rPr>
      </w:pPr>
      <w:r>
        <w:rPr>
          <w:sz w:val="32"/>
        </w:rPr>
        <w:t>应具备信息提醒接口，实现预警信息的及时推送；</w:t>
      </w:r>
    </w:p>
    <w:p>
      <w:pPr>
        <w:pStyle w:val="ListParagraph"/>
        <w:numPr>
          <w:ilvl w:val="0"/>
          <w:numId w:val="60"/>
        </w:numPr>
        <w:tabs>
          <w:tab w:pos="1763" w:val="left" w:leader="none"/>
        </w:tabs>
        <w:spacing w:line="328" w:lineRule="auto" w:before="149" w:after="0"/>
        <w:ind w:left="1800" w:right="937" w:hanging="641"/>
        <w:jc w:val="left"/>
        <w:rPr>
          <w:sz w:val="32"/>
        </w:rPr>
      </w:pPr>
      <w:r>
        <w:rPr>
          <w:spacing w:val="-6"/>
          <w:w w:val="95"/>
          <w:sz w:val="32"/>
        </w:rPr>
        <w:t>应具备对外提供数据接口，实现风险、隐患等数据与 </w:t>
      </w:r>
      <w:r>
        <w:rPr>
          <w:spacing w:val="-6"/>
          <w:sz w:val="32"/>
        </w:rPr>
        <w:t>其他系统的对接。</w:t>
      </w:r>
    </w:p>
    <w:p>
      <w:pPr>
        <w:pStyle w:val="Heading3"/>
        <w:numPr>
          <w:ilvl w:val="1"/>
          <w:numId w:val="51"/>
        </w:numPr>
        <w:tabs>
          <w:tab w:pos="1384" w:val="left" w:leader="none"/>
        </w:tabs>
        <w:spacing w:line="240" w:lineRule="auto" w:before="26" w:after="0"/>
        <w:ind w:left="1383" w:right="0" w:hanging="644"/>
        <w:jc w:val="left"/>
      </w:pPr>
      <w:r>
        <w:rPr/>
        <w:t>系统管理</w:t>
      </w:r>
    </w:p>
    <w:p>
      <w:pPr>
        <w:pStyle w:val="BodyText"/>
        <w:spacing w:before="6"/>
        <w:ind w:left="0"/>
        <w:rPr>
          <w:rFonts w:ascii="Microsoft JhengHei"/>
          <w:b/>
          <w:sz w:val="17"/>
        </w:rPr>
      </w:pPr>
    </w:p>
    <w:p>
      <w:pPr>
        <w:pStyle w:val="BodyText"/>
        <w:spacing w:line="328" w:lineRule="auto" w:before="1"/>
        <w:ind w:left="740" w:right="779" w:firstLine="640"/>
      </w:pPr>
      <w:r>
        <w:rPr>
          <w:spacing w:val="13"/>
        </w:rPr>
        <w:t>企业的双重预防体系系统管理员应定期对信息系统中</w:t>
      </w:r>
      <w:r>
        <w:rPr>
          <w:spacing w:val="4"/>
        </w:rPr>
        <w:t>涉及本单位相关内容进行定期更新和维护，更新内容主要包</w:t>
      </w:r>
      <w:r>
        <w:rPr>
          <w:spacing w:val="-12"/>
          <w:w w:val="95"/>
        </w:rPr>
        <w:t>括企业管理机构、生产工艺、设备设施、安全风险评价清单、 </w:t>
      </w:r>
      <w:r>
        <w:rPr>
          <w:spacing w:val="-9"/>
        </w:rPr>
        <w:t>风险点</w:t>
      </w:r>
      <w:r>
        <w:rPr/>
        <w:t>（源</w:t>
      </w:r>
      <w:r>
        <w:rPr>
          <w:spacing w:val="-3"/>
        </w:rPr>
        <w:t>）</w:t>
      </w:r>
      <w:r>
        <w:rPr>
          <w:spacing w:val="-2"/>
        </w:rPr>
        <w:t>数据库、风险点隐患排查清单、隐患排查治理信息数据库等内容。</w:t>
      </w:r>
    </w:p>
    <w:p>
      <w:pPr>
        <w:pStyle w:val="ListParagraph"/>
        <w:numPr>
          <w:ilvl w:val="0"/>
          <w:numId w:val="51"/>
        </w:numPr>
        <w:tabs>
          <w:tab w:pos="1060" w:val="left" w:leader="none"/>
        </w:tabs>
        <w:spacing w:line="240" w:lineRule="auto" w:before="148" w:after="0"/>
        <w:ind w:left="1059" w:right="0" w:hanging="320"/>
        <w:jc w:val="left"/>
        <w:rPr>
          <w:rFonts w:ascii="黑体" w:eastAsia="黑体" w:hint="eastAsia"/>
          <w:sz w:val="32"/>
        </w:rPr>
      </w:pPr>
      <w:r>
        <w:rPr>
          <w:rFonts w:ascii="黑体" w:eastAsia="黑体" w:hint="eastAsia"/>
          <w:sz w:val="32"/>
        </w:rPr>
        <w:t>事故隐患排查治理档案</w:t>
      </w:r>
    </w:p>
    <w:p>
      <w:pPr>
        <w:pStyle w:val="Heading3"/>
        <w:numPr>
          <w:ilvl w:val="1"/>
          <w:numId w:val="51"/>
        </w:numPr>
        <w:tabs>
          <w:tab w:pos="1384" w:val="left" w:leader="none"/>
        </w:tabs>
        <w:spacing w:line="240" w:lineRule="auto" w:before="178" w:after="0"/>
        <w:ind w:left="1383" w:right="0" w:hanging="644"/>
        <w:jc w:val="left"/>
      </w:pPr>
      <w:r>
        <w:rPr/>
        <w:t>建立事故隐患排查治理台账</w:t>
      </w:r>
    </w:p>
    <w:p>
      <w:pPr>
        <w:pStyle w:val="BodyText"/>
        <w:spacing w:before="6"/>
        <w:ind w:left="0"/>
        <w:rPr>
          <w:rFonts w:ascii="Microsoft JhengHei"/>
          <w:b/>
          <w:sz w:val="17"/>
        </w:rPr>
      </w:pPr>
    </w:p>
    <w:p>
      <w:pPr>
        <w:pStyle w:val="BodyText"/>
        <w:spacing w:line="328" w:lineRule="auto"/>
        <w:ind w:left="740" w:right="937" w:firstLine="640"/>
        <w:jc w:val="both"/>
      </w:pPr>
      <w:r>
        <w:rPr>
          <w:spacing w:val="13"/>
          <w:w w:val="95"/>
        </w:rPr>
        <w:t>企业每年应依据排查出的隐患，编制隐患排查治理台 </w:t>
      </w:r>
      <w:r>
        <w:rPr/>
        <w:t>账，包括基础管理类事故隐患台账和生产现场类事故隐患台</w:t>
      </w:r>
      <w:r>
        <w:rPr>
          <w:spacing w:val="-3"/>
          <w:w w:val="95"/>
        </w:rPr>
        <w:t>账，台账内容至少应包括计划、排查、整改、验收等过程记 </w:t>
      </w:r>
      <w:r>
        <w:rPr>
          <w:spacing w:val="5"/>
          <w:w w:val="95"/>
        </w:rPr>
        <w:t>录。基础管理类事故隐患排查治理台账样式参见附录</w:t>
      </w:r>
      <w:r>
        <w:rPr>
          <w:spacing w:val="8"/>
          <w:w w:val="95"/>
        </w:rPr>
        <w:t>F</w:t>
      </w:r>
      <w:r>
        <w:rPr>
          <w:spacing w:val="3"/>
          <w:w w:val="95"/>
        </w:rPr>
        <w:t>、现 </w:t>
      </w:r>
      <w:r>
        <w:rPr>
          <w:spacing w:val="3"/>
        </w:rPr>
        <w:t>场管理类事故隐患排查治理台帐样式参见附录G。</w:t>
      </w:r>
    </w:p>
    <w:p>
      <w:pPr>
        <w:pStyle w:val="Heading3"/>
        <w:numPr>
          <w:ilvl w:val="1"/>
          <w:numId w:val="51"/>
        </w:numPr>
        <w:tabs>
          <w:tab w:pos="1384" w:val="left" w:leader="none"/>
        </w:tabs>
        <w:spacing w:line="240" w:lineRule="auto" w:before="21" w:after="0"/>
        <w:ind w:left="1383" w:right="0" w:hanging="644"/>
        <w:jc w:val="left"/>
      </w:pPr>
      <w:r>
        <w:rPr/>
        <w:t>实施隐患排查治理档案管理</w:t>
      </w:r>
    </w:p>
    <w:p>
      <w:pPr>
        <w:pStyle w:val="BodyText"/>
        <w:spacing w:before="6"/>
        <w:ind w:left="0"/>
        <w:rPr>
          <w:rFonts w:ascii="Microsoft JhengHei"/>
          <w:b/>
          <w:sz w:val="17"/>
        </w:rPr>
      </w:pPr>
    </w:p>
    <w:p>
      <w:pPr>
        <w:pStyle w:val="BodyText"/>
        <w:spacing w:line="326" w:lineRule="auto"/>
        <w:ind w:left="740" w:right="937" w:firstLine="640"/>
      </w:pPr>
      <w:r>
        <w:rPr>
          <w:spacing w:val="13"/>
          <w:w w:val="95"/>
        </w:rPr>
        <w:t>隐患排查治理的记录自隐患治理验收完毕之日起至少 </w:t>
      </w:r>
      <w:r>
        <w:rPr>
          <w:spacing w:val="13"/>
        </w:rPr>
        <w:t>保存三年，档案至少应包括：</w:t>
      </w:r>
    </w:p>
    <w:p>
      <w:pPr>
        <w:pStyle w:val="ListParagraph"/>
        <w:numPr>
          <w:ilvl w:val="0"/>
          <w:numId w:val="61"/>
        </w:numPr>
        <w:tabs>
          <w:tab w:pos="1861" w:val="left" w:leader="none"/>
        </w:tabs>
        <w:spacing w:line="240" w:lineRule="auto" w:before="4" w:after="0"/>
        <w:ind w:left="1860" w:right="0" w:hanging="481"/>
        <w:jc w:val="left"/>
        <w:rPr>
          <w:sz w:val="32"/>
        </w:rPr>
      </w:pPr>
      <w:r>
        <w:rPr>
          <w:sz w:val="32"/>
        </w:rPr>
        <w:t>事故隐患排查治理制度；</w:t>
      </w:r>
    </w:p>
    <w:p>
      <w:pPr>
        <w:spacing w:after="0" w:line="240" w:lineRule="auto"/>
        <w:jc w:val="left"/>
        <w:rPr>
          <w:sz w:val="32"/>
        </w:rPr>
        <w:sectPr>
          <w:pgSz w:w="11910" w:h="16840"/>
          <w:pgMar w:header="0" w:footer="1232" w:top="1500" w:bottom="1420" w:left="1060" w:right="860"/>
        </w:sectPr>
      </w:pPr>
    </w:p>
    <w:p>
      <w:pPr>
        <w:pStyle w:val="ListParagraph"/>
        <w:numPr>
          <w:ilvl w:val="0"/>
          <w:numId w:val="61"/>
        </w:numPr>
        <w:tabs>
          <w:tab w:pos="1861" w:val="left" w:leader="none"/>
        </w:tabs>
        <w:spacing w:line="240" w:lineRule="auto" w:before="32" w:after="0"/>
        <w:ind w:left="1860" w:right="0" w:hanging="481"/>
        <w:jc w:val="left"/>
        <w:rPr>
          <w:sz w:val="32"/>
        </w:rPr>
      </w:pPr>
      <w:r>
        <w:rPr>
          <w:sz w:val="32"/>
        </w:rPr>
        <w:t>事故隐患排查清单；</w:t>
      </w:r>
    </w:p>
    <w:p>
      <w:pPr>
        <w:pStyle w:val="ListParagraph"/>
        <w:numPr>
          <w:ilvl w:val="0"/>
          <w:numId w:val="61"/>
        </w:numPr>
        <w:tabs>
          <w:tab w:pos="1861" w:val="left" w:leader="none"/>
        </w:tabs>
        <w:spacing w:line="240" w:lineRule="auto" w:before="149" w:after="0"/>
        <w:ind w:left="1860" w:right="0" w:hanging="481"/>
        <w:jc w:val="left"/>
        <w:rPr>
          <w:sz w:val="32"/>
        </w:rPr>
      </w:pPr>
      <w:r>
        <w:rPr>
          <w:sz w:val="32"/>
        </w:rPr>
        <w:t>事故隐患排查治理台账；</w:t>
      </w:r>
    </w:p>
    <w:p>
      <w:pPr>
        <w:pStyle w:val="ListParagraph"/>
        <w:numPr>
          <w:ilvl w:val="0"/>
          <w:numId w:val="61"/>
        </w:numPr>
        <w:tabs>
          <w:tab w:pos="1861" w:val="left" w:leader="none"/>
        </w:tabs>
        <w:spacing w:line="240" w:lineRule="auto" w:before="149" w:after="0"/>
        <w:ind w:left="1860" w:right="0" w:hanging="481"/>
        <w:jc w:val="left"/>
        <w:rPr>
          <w:sz w:val="32"/>
        </w:rPr>
      </w:pPr>
      <w:r>
        <w:rPr>
          <w:sz w:val="32"/>
        </w:rPr>
        <w:t>事故隐患排查治理情况公示资料；</w:t>
      </w:r>
    </w:p>
    <w:p>
      <w:pPr>
        <w:pStyle w:val="ListParagraph"/>
        <w:numPr>
          <w:ilvl w:val="0"/>
          <w:numId w:val="61"/>
        </w:numPr>
        <w:tabs>
          <w:tab w:pos="1861" w:val="left" w:leader="none"/>
        </w:tabs>
        <w:spacing w:line="240" w:lineRule="auto" w:before="152" w:after="0"/>
        <w:ind w:left="1860" w:right="0" w:hanging="481"/>
        <w:jc w:val="left"/>
        <w:rPr>
          <w:sz w:val="32"/>
        </w:rPr>
      </w:pPr>
      <w:r>
        <w:rPr>
          <w:sz w:val="32"/>
        </w:rPr>
        <w:t>重大事故隐患登记及整改销号审批表；</w:t>
      </w:r>
    </w:p>
    <w:p>
      <w:pPr>
        <w:pStyle w:val="ListParagraph"/>
        <w:numPr>
          <w:ilvl w:val="0"/>
          <w:numId w:val="61"/>
        </w:numPr>
        <w:tabs>
          <w:tab w:pos="1866" w:val="left" w:leader="none"/>
        </w:tabs>
        <w:spacing w:line="326" w:lineRule="auto" w:before="149" w:after="0"/>
        <w:ind w:left="740" w:right="940" w:firstLine="640"/>
        <w:jc w:val="left"/>
        <w:rPr>
          <w:sz w:val="32"/>
        </w:rPr>
      </w:pPr>
      <w:r>
        <w:rPr>
          <w:spacing w:val="6"/>
          <w:w w:val="95"/>
          <w:sz w:val="32"/>
        </w:rPr>
        <w:t>重大事故隐患排查、评估记录，隐患整改复查验收 </w:t>
      </w:r>
      <w:r>
        <w:rPr>
          <w:spacing w:val="6"/>
          <w:sz w:val="32"/>
        </w:rPr>
        <w:t>记录等，应单独建档管理。</w:t>
      </w:r>
    </w:p>
    <w:p>
      <w:pPr>
        <w:pStyle w:val="ListParagraph"/>
        <w:numPr>
          <w:ilvl w:val="0"/>
          <w:numId w:val="51"/>
        </w:numPr>
        <w:tabs>
          <w:tab w:pos="1220" w:val="left" w:leader="none"/>
        </w:tabs>
        <w:spacing w:line="240" w:lineRule="auto" w:before="161" w:after="0"/>
        <w:ind w:left="1220" w:right="0" w:hanging="480"/>
        <w:jc w:val="left"/>
        <w:rPr>
          <w:rFonts w:ascii="黑体" w:eastAsia="黑体" w:hint="eastAsia"/>
          <w:sz w:val="32"/>
        </w:rPr>
      </w:pPr>
      <w:r>
        <w:rPr>
          <w:rFonts w:ascii="黑体" w:eastAsia="黑体" w:hint="eastAsia"/>
          <w:sz w:val="32"/>
        </w:rPr>
        <w:t>持续改进</w:t>
      </w:r>
    </w:p>
    <w:p>
      <w:pPr>
        <w:pStyle w:val="Heading3"/>
        <w:numPr>
          <w:ilvl w:val="1"/>
          <w:numId w:val="51"/>
        </w:numPr>
        <w:tabs>
          <w:tab w:pos="1465" w:val="left" w:leader="none"/>
        </w:tabs>
        <w:spacing w:line="240" w:lineRule="auto" w:before="178" w:after="0"/>
        <w:ind w:left="1464" w:right="0" w:hanging="725"/>
        <w:jc w:val="left"/>
      </w:pPr>
      <w:r>
        <w:rPr/>
        <w:t>更新</w:t>
      </w:r>
    </w:p>
    <w:p>
      <w:pPr>
        <w:pStyle w:val="BodyText"/>
        <w:spacing w:before="6"/>
        <w:ind w:left="0"/>
        <w:rPr>
          <w:rFonts w:ascii="Microsoft JhengHei"/>
          <w:b/>
          <w:sz w:val="17"/>
        </w:rPr>
      </w:pPr>
    </w:p>
    <w:p>
      <w:pPr>
        <w:pStyle w:val="BodyText"/>
        <w:spacing w:line="328" w:lineRule="auto"/>
        <w:ind w:left="740" w:right="925" w:firstLine="640"/>
        <w:jc w:val="both"/>
      </w:pPr>
      <w:r>
        <w:rPr/>
        <w:t>企业应主动根据以下情况对隐患排查治理体系的影响， 及时更新隐患排查治理的范围、隐患等级和类别、隐患信息等内容，主要包括：</w:t>
      </w:r>
    </w:p>
    <w:p>
      <w:pPr>
        <w:pStyle w:val="BodyText"/>
        <w:spacing w:line="405" w:lineRule="exact"/>
        <w:ind w:left="1184"/>
      </w:pPr>
      <w:r>
        <w:rPr/>
        <w:t>a）法律、法规、规章、标准变化或更新；</w:t>
      </w:r>
    </w:p>
    <w:p>
      <w:pPr>
        <w:pStyle w:val="ListParagraph"/>
        <w:numPr>
          <w:ilvl w:val="0"/>
          <w:numId w:val="62"/>
        </w:numPr>
        <w:tabs>
          <w:tab w:pos="1664" w:val="left" w:leader="none"/>
        </w:tabs>
        <w:spacing w:line="328" w:lineRule="auto" w:before="150" w:after="0"/>
        <w:ind w:left="1592" w:right="940" w:hanging="408"/>
        <w:jc w:val="left"/>
        <w:rPr>
          <w:sz w:val="32"/>
        </w:rPr>
      </w:pPr>
      <w:r>
        <w:rPr/>
        <w:tab/>
      </w:r>
      <w:r>
        <w:rPr>
          <w:sz w:val="32"/>
        </w:rPr>
        <w:t>企业组织形式、作业场所及安全管理体系发生重大变化；</w:t>
      </w:r>
    </w:p>
    <w:p>
      <w:pPr>
        <w:pStyle w:val="ListParagraph"/>
        <w:numPr>
          <w:ilvl w:val="0"/>
          <w:numId w:val="62"/>
        </w:numPr>
        <w:tabs>
          <w:tab w:pos="1664" w:val="left" w:leader="none"/>
        </w:tabs>
        <w:spacing w:line="407" w:lineRule="exact" w:before="0" w:after="0"/>
        <w:ind w:left="1664" w:right="0" w:hanging="480"/>
        <w:jc w:val="left"/>
        <w:rPr>
          <w:sz w:val="32"/>
        </w:rPr>
      </w:pPr>
      <w:r>
        <w:rPr>
          <w:sz w:val="32"/>
        </w:rPr>
        <w:t>企业生产工艺技术及设备发生重大变化；</w:t>
      </w:r>
    </w:p>
    <w:p>
      <w:pPr>
        <w:pStyle w:val="ListParagraph"/>
        <w:numPr>
          <w:ilvl w:val="0"/>
          <w:numId w:val="62"/>
        </w:numPr>
        <w:tabs>
          <w:tab w:pos="1664" w:val="left" w:leader="none"/>
        </w:tabs>
        <w:spacing w:line="240" w:lineRule="auto" w:before="149" w:after="0"/>
        <w:ind w:left="1664" w:right="0" w:hanging="480"/>
        <w:jc w:val="left"/>
        <w:rPr>
          <w:sz w:val="32"/>
        </w:rPr>
      </w:pPr>
      <w:r>
        <w:rPr>
          <w:sz w:val="32"/>
        </w:rPr>
        <w:t>发生事故和相关重大事件的；</w:t>
      </w:r>
    </w:p>
    <w:p>
      <w:pPr>
        <w:pStyle w:val="ListParagraph"/>
        <w:numPr>
          <w:ilvl w:val="0"/>
          <w:numId w:val="62"/>
        </w:numPr>
        <w:tabs>
          <w:tab w:pos="1664" w:val="left" w:leader="none"/>
        </w:tabs>
        <w:spacing w:line="240" w:lineRule="auto" w:before="151" w:after="0"/>
        <w:ind w:left="1664" w:right="0" w:hanging="480"/>
        <w:jc w:val="left"/>
        <w:rPr>
          <w:sz w:val="32"/>
        </w:rPr>
      </w:pPr>
      <w:r>
        <w:rPr>
          <w:sz w:val="32"/>
        </w:rPr>
        <w:t>其它应当进行更新的情形。</w:t>
      </w:r>
    </w:p>
    <w:p>
      <w:pPr>
        <w:pStyle w:val="Heading3"/>
        <w:numPr>
          <w:ilvl w:val="1"/>
          <w:numId w:val="51"/>
        </w:numPr>
        <w:tabs>
          <w:tab w:pos="1465" w:val="left" w:leader="none"/>
        </w:tabs>
        <w:spacing w:line="240" w:lineRule="auto" w:before="178" w:after="0"/>
        <w:ind w:left="1464" w:right="0" w:hanging="725"/>
        <w:jc w:val="left"/>
      </w:pPr>
      <w:r>
        <w:rPr/>
        <w:t>评审</w:t>
      </w:r>
    </w:p>
    <w:p>
      <w:pPr>
        <w:pStyle w:val="BodyText"/>
        <w:spacing w:before="6"/>
        <w:ind w:left="0"/>
        <w:rPr>
          <w:rFonts w:ascii="Microsoft JhengHei"/>
          <w:b/>
          <w:sz w:val="17"/>
        </w:rPr>
      </w:pPr>
    </w:p>
    <w:p>
      <w:pPr>
        <w:pStyle w:val="BodyText"/>
        <w:spacing w:line="326" w:lineRule="auto" w:before="1"/>
        <w:ind w:left="740" w:right="779" w:firstLine="640"/>
      </w:pPr>
      <w:r>
        <w:rPr/>
        <w:t>企业应每年不少于一次对隐患排查治理体系运行情况</w:t>
      </w:r>
      <w:r>
        <w:rPr>
          <w:w w:val="95"/>
        </w:rPr>
        <w:t>进行评审，当发生变更时应及时组织评审，并保存评审记录。</w:t>
      </w:r>
    </w:p>
    <w:p>
      <w:pPr>
        <w:pStyle w:val="Heading3"/>
        <w:numPr>
          <w:ilvl w:val="1"/>
          <w:numId w:val="51"/>
        </w:numPr>
        <w:tabs>
          <w:tab w:pos="1465" w:val="left" w:leader="none"/>
        </w:tabs>
        <w:spacing w:line="240" w:lineRule="auto" w:before="34" w:after="0"/>
        <w:ind w:left="1464" w:right="0" w:hanging="725"/>
        <w:jc w:val="left"/>
      </w:pPr>
      <w:r>
        <w:rPr/>
        <w:t>改进</w:t>
      </w:r>
    </w:p>
    <w:p>
      <w:pPr>
        <w:spacing w:after="0" w:line="240" w:lineRule="auto"/>
        <w:jc w:val="left"/>
        <w:sectPr>
          <w:pgSz w:w="11910" w:h="16840"/>
          <w:pgMar w:header="0" w:footer="1232" w:top="1520" w:bottom="1420" w:left="1060" w:right="860"/>
        </w:sectPr>
      </w:pPr>
    </w:p>
    <w:p>
      <w:pPr>
        <w:pStyle w:val="BodyText"/>
        <w:spacing w:line="326" w:lineRule="auto" w:before="32"/>
        <w:ind w:left="740" w:right="895" w:firstLine="640"/>
      </w:pPr>
      <w:r>
        <w:rPr/>
        <w:t>评审后需要对隐患排查治理体系实施改进的，由企业主要负责人组织制定方案实施改进。同时应保存体系改进措施、实施情况和效果验证等记录。</w:t>
      </w:r>
    </w:p>
    <w:p>
      <w:pPr>
        <w:pStyle w:val="ListParagraph"/>
        <w:numPr>
          <w:ilvl w:val="0"/>
          <w:numId w:val="51"/>
        </w:numPr>
        <w:tabs>
          <w:tab w:pos="1220" w:val="left" w:leader="none"/>
        </w:tabs>
        <w:spacing w:line="240" w:lineRule="auto" w:before="163" w:after="0"/>
        <w:ind w:left="1220" w:right="0" w:hanging="480"/>
        <w:jc w:val="left"/>
        <w:rPr>
          <w:rFonts w:ascii="黑体" w:eastAsia="黑体" w:hint="eastAsia"/>
          <w:sz w:val="32"/>
        </w:rPr>
      </w:pPr>
      <w:r>
        <w:rPr>
          <w:rFonts w:ascii="黑体" w:eastAsia="黑体" w:hint="eastAsia"/>
          <w:sz w:val="32"/>
        </w:rPr>
        <w:t>沟通</w:t>
      </w:r>
    </w:p>
    <w:p>
      <w:pPr>
        <w:pStyle w:val="BodyText"/>
        <w:spacing w:line="328" w:lineRule="auto" w:before="149"/>
        <w:ind w:left="740" w:right="937" w:firstLine="640"/>
        <w:jc w:val="both"/>
      </w:pPr>
      <w:r>
        <w:rPr>
          <w:spacing w:val="13"/>
          <w:w w:val="95"/>
        </w:rPr>
        <w:t>企业应建立不同职能和层级间的内部沟通和用于与相 </w:t>
      </w:r>
      <w:r>
        <w:rPr/>
        <w:t>关方的外部沟通机制，及时有效传递隐患信息，提高隐患排查治理的效果和效率。</w:t>
      </w:r>
    </w:p>
    <w:p>
      <w:pPr>
        <w:spacing w:after="0" w:line="328" w:lineRule="auto"/>
        <w:jc w:val="both"/>
        <w:sectPr>
          <w:pgSz w:w="11910" w:h="16840"/>
          <w:pgMar w:header="0" w:footer="1232" w:top="1520" w:bottom="1420" w:left="1060" w:right="860"/>
        </w:sectPr>
      </w:pPr>
    </w:p>
    <w:p>
      <w:pPr>
        <w:spacing w:before="157"/>
        <w:ind w:left="504" w:right="705" w:firstLine="0"/>
        <w:jc w:val="center"/>
        <w:rPr>
          <w:sz w:val="24"/>
        </w:rPr>
      </w:pPr>
      <w:r>
        <w:rPr>
          <w:sz w:val="24"/>
        </w:rPr>
        <w:t>附 录 A</w:t>
      </w:r>
    </w:p>
    <w:p>
      <w:pPr>
        <w:spacing w:before="5"/>
        <w:ind w:left="504" w:right="705" w:firstLine="0"/>
        <w:jc w:val="center"/>
        <w:rPr>
          <w:sz w:val="24"/>
        </w:rPr>
      </w:pPr>
      <w:r>
        <w:rPr>
          <w:sz w:val="24"/>
        </w:rPr>
        <w:t>（资料性）</w:t>
      </w:r>
    </w:p>
    <w:p>
      <w:pPr>
        <w:tabs>
          <w:tab w:pos="839" w:val="left" w:leader="none"/>
        </w:tabs>
        <w:spacing w:before="4"/>
        <w:ind w:left="0" w:right="201" w:firstLine="0"/>
        <w:jc w:val="center"/>
        <w:rPr>
          <w:sz w:val="24"/>
        </w:rPr>
      </w:pPr>
      <w:r>
        <w:rPr>
          <w:rFonts w:ascii="Times New Roman" w:eastAsia="Times New Roman"/>
          <w:sz w:val="24"/>
          <w:u w:val="single"/>
        </w:rPr>
        <w:t> </w:t>
        <w:tab/>
      </w:r>
      <w:r>
        <w:rPr>
          <w:sz w:val="24"/>
        </w:rPr>
        <w:t>年度基础管理类事故隐患排查清单（样表）</w:t>
      </w:r>
    </w:p>
    <w:tbl>
      <w:tblPr>
        <w:tblW w:w="0" w:type="auto"/>
        <w:jc w:val="left"/>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3"/>
        <w:gridCol w:w="736"/>
        <w:gridCol w:w="906"/>
        <w:gridCol w:w="908"/>
        <w:gridCol w:w="908"/>
        <w:gridCol w:w="758"/>
        <w:gridCol w:w="759"/>
        <w:gridCol w:w="758"/>
        <w:gridCol w:w="759"/>
        <w:gridCol w:w="736"/>
        <w:gridCol w:w="729"/>
      </w:tblGrid>
      <w:tr>
        <w:trPr>
          <w:trHeight w:val="624" w:hRule="atLeast"/>
        </w:trPr>
        <w:tc>
          <w:tcPr>
            <w:tcW w:w="463" w:type="dxa"/>
            <w:vMerge w:val="restart"/>
          </w:tcPr>
          <w:p>
            <w:pPr>
              <w:pStyle w:val="TableParagraph"/>
              <w:spacing w:before="12"/>
              <w:rPr>
                <w:sz w:val="24"/>
              </w:rPr>
            </w:pPr>
          </w:p>
          <w:p>
            <w:pPr>
              <w:pStyle w:val="TableParagraph"/>
              <w:spacing w:line="242" w:lineRule="auto"/>
              <w:ind w:left="110" w:right="100"/>
              <w:rPr>
                <w:sz w:val="24"/>
              </w:rPr>
            </w:pPr>
            <w:r>
              <w:rPr>
                <w:sz w:val="24"/>
              </w:rPr>
              <w:t>序号</w:t>
            </w:r>
          </w:p>
        </w:tc>
        <w:tc>
          <w:tcPr>
            <w:tcW w:w="736" w:type="dxa"/>
            <w:vMerge w:val="restart"/>
          </w:tcPr>
          <w:p>
            <w:pPr>
              <w:pStyle w:val="TableParagraph"/>
              <w:spacing w:line="242" w:lineRule="auto" w:before="164"/>
              <w:ind w:left="127" w:right="116"/>
              <w:jc w:val="both"/>
              <w:rPr>
                <w:sz w:val="24"/>
              </w:rPr>
            </w:pPr>
            <w:r>
              <w:rPr>
                <w:sz w:val="24"/>
              </w:rPr>
              <w:t>基础管理项目</w:t>
            </w:r>
          </w:p>
        </w:tc>
        <w:tc>
          <w:tcPr>
            <w:tcW w:w="906" w:type="dxa"/>
            <w:vMerge w:val="restart"/>
          </w:tcPr>
          <w:p>
            <w:pPr>
              <w:pStyle w:val="TableParagraph"/>
              <w:spacing w:before="12"/>
              <w:rPr>
                <w:sz w:val="24"/>
              </w:rPr>
            </w:pPr>
          </w:p>
          <w:p>
            <w:pPr>
              <w:pStyle w:val="TableParagraph"/>
              <w:spacing w:line="242" w:lineRule="auto"/>
              <w:ind w:left="331" w:right="82" w:hanging="240"/>
              <w:rPr>
                <w:sz w:val="24"/>
              </w:rPr>
            </w:pPr>
            <w:r>
              <w:rPr>
                <w:sz w:val="24"/>
              </w:rPr>
              <w:t>排查内容</w:t>
            </w:r>
          </w:p>
        </w:tc>
        <w:tc>
          <w:tcPr>
            <w:tcW w:w="908" w:type="dxa"/>
            <w:vMerge w:val="restart"/>
          </w:tcPr>
          <w:p>
            <w:pPr>
              <w:pStyle w:val="TableParagraph"/>
              <w:spacing w:before="12"/>
              <w:rPr>
                <w:sz w:val="24"/>
              </w:rPr>
            </w:pPr>
          </w:p>
          <w:p>
            <w:pPr>
              <w:pStyle w:val="TableParagraph"/>
              <w:spacing w:line="242" w:lineRule="auto"/>
              <w:ind w:left="333" w:right="82" w:hanging="240"/>
              <w:rPr>
                <w:sz w:val="24"/>
              </w:rPr>
            </w:pPr>
            <w:r>
              <w:rPr>
                <w:sz w:val="24"/>
              </w:rPr>
              <w:t>排查标准</w:t>
            </w:r>
          </w:p>
        </w:tc>
        <w:tc>
          <w:tcPr>
            <w:tcW w:w="908" w:type="dxa"/>
            <w:vMerge w:val="restart"/>
          </w:tcPr>
          <w:p>
            <w:pPr>
              <w:pStyle w:val="TableParagraph"/>
              <w:spacing w:before="12"/>
              <w:rPr>
                <w:sz w:val="24"/>
              </w:rPr>
            </w:pPr>
          </w:p>
          <w:p>
            <w:pPr>
              <w:pStyle w:val="TableParagraph"/>
              <w:spacing w:line="242" w:lineRule="auto"/>
              <w:ind w:left="334" w:right="81" w:hanging="240"/>
              <w:rPr>
                <w:sz w:val="24"/>
              </w:rPr>
            </w:pPr>
            <w:r>
              <w:rPr>
                <w:sz w:val="24"/>
              </w:rPr>
              <w:t>隐患判定</w:t>
            </w:r>
          </w:p>
        </w:tc>
        <w:tc>
          <w:tcPr>
            <w:tcW w:w="1517" w:type="dxa"/>
            <w:gridSpan w:val="2"/>
          </w:tcPr>
          <w:p>
            <w:pPr>
              <w:pStyle w:val="TableParagraph"/>
              <w:spacing w:before="3"/>
              <w:ind w:left="278"/>
              <w:rPr>
                <w:sz w:val="24"/>
              </w:rPr>
            </w:pPr>
            <w:r>
              <w:rPr>
                <w:sz w:val="24"/>
              </w:rPr>
              <w:t>排查类型</w:t>
            </w:r>
          </w:p>
          <w:p>
            <w:pPr>
              <w:pStyle w:val="TableParagraph"/>
              <w:spacing w:line="289" w:lineRule="exact" w:before="4"/>
              <w:ind w:left="398"/>
              <w:rPr>
                <w:sz w:val="24"/>
              </w:rPr>
            </w:pPr>
            <w:r>
              <w:rPr>
                <w:sz w:val="24"/>
              </w:rPr>
              <w:t>（一）</w:t>
            </w:r>
          </w:p>
        </w:tc>
        <w:tc>
          <w:tcPr>
            <w:tcW w:w="1517" w:type="dxa"/>
            <w:gridSpan w:val="2"/>
          </w:tcPr>
          <w:p>
            <w:pPr>
              <w:pStyle w:val="TableParagraph"/>
              <w:spacing w:before="3"/>
              <w:ind w:left="278"/>
              <w:rPr>
                <w:sz w:val="24"/>
              </w:rPr>
            </w:pPr>
            <w:r>
              <w:rPr>
                <w:sz w:val="24"/>
              </w:rPr>
              <w:t>排查类型</w:t>
            </w:r>
          </w:p>
          <w:p>
            <w:pPr>
              <w:pStyle w:val="TableParagraph"/>
              <w:spacing w:line="289" w:lineRule="exact" w:before="4"/>
              <w:ind w:left="398"/>
              <w:rPr>
                <w:sz w:val="24"/>
              </w:rPr>
            </w:pPr>
            <w:r>
              <w:rPr>
                <w:sz w:val="24"/>
              </w:rPr>
              <w:t>（二）</w:t>
            </w:r>
          </w:p>
        </w:tc>
        <w:tc>
          <w:tcPr>
            <w:tcW w:w="1465" w:type="dxa"/>
            <w:gridSpan w:val="2"/>
          </w:tcPr>
          <w:p>
            <w:pPr>
              <w:pStyle w:val="TableParagraph"/>
              <w:spacing w:before="3"/>
              <w:ind w:left="251"/>
              <w:rPr>
                <w:sz w:val="24"/>
              </w:rPr>
            </w:pPr>
            <w:r>
              <w:rPr>
                <w:sz w:val="24"/>
              </w:rPr>
              <w:t>排查类型</w:t>
            </w:r>
          </w:p>
          <w:p>
            <w:pPr>
              <w:pStyle w:val="TableParagraph"/>
              <w:spacing w:line="289" w:lineRule="exact" w:before="4"/>
              <w:ind w:left="371"/>
              <w:rPr>
                <w:sz w:val="24"/>
              </w:rPr>
            </w:pPr>
            <w:r>
              <w:rPr>
                <w:sz w:val="24"/>
              </w:rPr>
              <w:t>（…）</w:t>
            </w:r>
          </w:p>
        </w:tc>
      </w:tr>
      <w:tr>
        <w:trPr>
          <w:trHeight w:val="623" w:hRule="atLeast"/>
        </w:trPr>
        <w:tc>
          <w:tcPr>
            <w:tcW w:w="463" w:type="dxa"/>
            <w:vMerge/>
            <w:tcBorders>
              <w:top w:val="nil"/>
            </w:tcBorders>
          </w:tcPr>
          <w:p>
            <w:pPr>
              <w:rPr>
                <w:sz w:val="2"/>
                <w:szCs w:val="2"/>
              </w:rPr>
            </w:pPr>
          </w:p>
        </w:tc>
        <w:tc>
          <w:tcPr>
            <w:tcW w:w="736" w:type="dxa"/>
            <w:vMerge/>
            <w:tcBorders>
              <w:top w:val="nil"/>
            </w:tcBorders>
          </w:tcPr>
          <w:p>
            <w:pPr>
              <w:rPr>
                <w:sz w:val="2"/>
                <w:szCs w:val="2"/>
              </w:rPr>
            </w:pPr>
          </w:p>
        </w:tc>
        <w:tc>
          <w:tcPr>
            <w:tcW w:w="906" w:type="dxa"/>
            <w:vMerge/>
            <w:tcBorders>
              <w:top w:val="nil"/>
            </w:tcBorders>
          </w:tcPr>
          <w:p>
            <w:pPr>
              <w:rPr>
                <w:sz w:val="2"/>
                <w:szCs w:val="2"/>
              </w:rPr>
            </w:pPr>
          </w:p>
        </w:tc>
        <w:tc>
          <w:tcPr>
            <w:tcW w:w="908" w:type="dxa"/>
            <w:vMerge/>
            <w:tcBorders>
              <w:top w:val="nil"/>
            </w:tcBorders>
          </w:tcPr>
          <w:p>
            <w:pPr>
              <w:rPr>
                <w:sz w:val="2"/>
                <w:szCs w:val="2"/>
              </w:rPr>
            </w:pPr>
          </w:p>
        </w:tc>
        <w:tc>
          <w:tcPr>
            <w:tcW w:w="908" w:type="dxa"/>
            <w:vMerge/>
            <w:tcBorders>
              <w:top w:val="nil"/>
            </w:tcBorders>
          </w:tcPr>
          <w:p>
            <w:pPr>
              <w:rPr>
                <w:sz w:val="2"/>
                <w:szCs w:val="2"/>
              </w:rPr>
            </w:pPr>
          </w:p>
        </w:tc>
        <w:tc>
          <w:tcPr>
            <w:tcW w:w="758" w:type="dxa"/>
          </w:tcPr>
          <w:p>
            <w:pPr>
              <w:pStyle w:val="TableParagraph"/>
              <w:spacing w:before="3"/>
              <w:ind w:left="139"/>
              <w:rPr>
                <w:sz w:val="24"/>
              </w:rPr>
            </w:pPr>
            <w:r>
              <w:rPr>
                <w:sz w:val="24"/>
              </w:rPr>
              <w:t>排查</w:t>
            </w:r>
          </w:p>
          <w:p>
            <w:pPr>
              <w:pStyle w:val="TableParagraph"/>
              <w:spacing w:line="289" w:lineRule="exact" w:before="4"/>
              <w:ind w:left="139"/>
              <w:rPr>
                <w:sz w:val="24"/>
              </w:rPr>
            </w:pPr>
            <w:r>
              <w:rPr>
                <w:sz w:val="24"/>
              </w:rPr>
              <w:t>周期</w:t>
            </w:r>
          </w:p>
        </w:tc>
        <w:tc>
          <w:tcPr>
            <w:tcW w:w="759" w:type="dxa"/>
          </w:tcPr>
          <w:p>
            <w:pPr>
              <w:pStyle w:val="TableParagraph"/>
              <w:spacing w:before="3"/>
              <w:ind w:left="137"/>
              <w:rPr>
                <w:sz w:val="24"/>
              </w:rPr>
            </w:pPr>
            <w:r>
              <w:rPr>
                <w:sz w:val="24"/>
              </w:rPr>
              <w:t>组织</w:t>
            </w:r>
          </w:p>
          <w:p>
            <w:pPr>
              <w:pStyle w:val="TableParagraph"/>
              <w:spacing w:line="289" w:lineRule="exact" w:before="4"/>
              <w:ind w:left="137"/>
              <w:rPr>
                <w:sz w:val="24"/>
              </w:rPr>
            </w:pPr>
            <w:r>
              <w:rPr>
                <w:sz w:val="24"/>
              </w:rPr>
              <w:t>级别</w:t>
            </w:r>
          </w:p>
        </w:tc>
        <w:tc>
          <w:tcPr>
            <w:tcW w:w="758" w:type="dxa"/>
          </w:tcPr>
          <w:p>
            <w:pPr>
              <w:pStyle w:val="TableParagraph"/>
              <w:spacing w:before="3"/>
              <w:ind w:left="139"/>
              <w:rPr>
                <w:sz w:val="24"/>
              </w:rPr>
            </w:pPr>
            <w:r>
              <w:rPr>
                <w:sz w:val="24"/>
              </w:rPr>
              <w:t>排查</w:t>
            </w:r>
          </w:p>
          <w:p>
            <w:pPr>
              <w:pStyle w:val="TableParagraph"/>
              <w:spacing w:line="289" w:lineRule="exact" w:before="4"/>
              <w:ind w:left="139"/>
              <w:rPr>
                <w:sz w:val="24"/>
              </w:rPr>
            </w:pPr>
            <w:r>
              <w:rPr>
                <w:sz w:val="24"/>
              </w:rPr>
              <w:t>周期</w:t>
            </w:r>
          </w:p>
        </w:tc>
        <w:tc>
          <w:tcPr>
            <w:tcW w:w="759" w:type="dxa"/>
          </w:tcPr>
          <w:p>
            <w:pPr>
              <w:pStyle w:val="TableParagraph"/>
              <w:spacing w:before="3"/>
              <w:ind w:left="139"/>
              <w:rPr>
                <w:sz w:val="24"/>
              </w:rPr>
            </w:pPr>
            <w:r>
              <w:rPr>
                <w:sz w:val="24"/>
              </w:rPr>
              <w:t>组织</w:t>
            </w:r>
          </w:p>
          <w:p>
            <w:pPr>
              <w:pStyle w:val="TableParagraph"/>
              <w:spacing w:line="289" w:lineRule="exact" w:before="4"/>
              <w:ind w:left="139"/>
              <w:rPr>
                <w:sz w:val="24"/>
              </w:rPr>
            </w:pPr>
            <w:r>
              <w:rPr>
                <w:sz w:val="24"/>
              </w:rPr>
              <w:t>级别</w:t>
            </w:r>
          </w:p>
        </w:tc>
        <w:tc>
          <w:tcPr>
            <w:tcW w:w="736" w:type="dxa"/>
          </w:tcPr>
          <w:p>
            <w:pPr>
              <w:pStyle w:val="TableParagraph"/>
              <w:spacing w:before="3"/>
              <w:ind w:left="127"/>
              <w:rPr>
                <w:sz w:val="24"/>
              </w:rPr>
            </w:pPr>
            <w:r>
              <w:rPr>
                <w:sz w:val="24"/>
              </w:rPr>
              <w:t>排查</w:t>
            </w:r>
          </w:p>
          <w:p>
            <w:pPr>
              <w:pStyle w:val="TableParagraph"/>
              <w:spacing w:line="289" w:lineRule="exact" w:before="4"/>
              <w:ind w:left="127"/>
              <w:rPr>
                <w:sz w:val="24"/>
              </w:rPr>
            </w:pPr>
            <w:r>
              <w:rPr>
                <w:sz w:val="24"/>
              </w:rPr>
              <w:t>周期</w:t>
            </w:r>
          </w:p>
        </w:tc>
        <w:tc>
          <w:tcPr>
            <w:tcW w:w="729" w:type="dxa"/>
          </w:tcPr>
          <w:p>
            <w:pPr>
              <w:pStyle w:val="TableParagraph"/>
              <w:spacing w:before="3"/>
              <w:ind w:left="123"/>
              <w:rPr>
                <w:sz w:val="24"/>
              </w:rPr>
            </w:pPr>
            <w:r>
              <w:rPr>
                <w:sz w:val="24"/>
              </w:rPr>
              <w:t>组织</w:t>
            </w:r>
          </w:p>
          <w:p>
            <w:pPr>
              <w:pStyle w:val="TableParagraph"/>
              <w:spacing w:line="289" w:lineRule="exact" w:before="4"/>
              <w:ind w:left="123"/>
              <w:rPr>
                <w:sz w:val="24"/>
              </w:rPr>
            </w:pPr>
            <w:r>
              <w:rPr>
                <w:sz w:val="24"/>
              </w:rPr>
              <w:t>级别</w:t>
            </w:r>
          </w:p>
        </w:tc>
      </w:tr>
      <w:tr>
        <w:trPr>
          <w:trHeight w:val="312" w:hRule="atLeast"/>
        </w:trPr>
        <w:tc>
          <w:tcPr>
            <w:tcW w:w="463" w:type="dxa"/>
          </w:tcPr>
          <w:p>
            <w:pPr>
              <w:pStyle w:val="TableParagraph"/>
              <w:rPr>
                <w:rFonts w:ascii="Times New Roman"/>
                <w:sz w:val="22"/>
              </w:rPr>
            </w:pPr>
          </w:p>
        </w:tc>
        <w:tc>
          <w:tcPr>
            <w:tcW w:w="736" w:type="dxa"/>
          </w:tcPr>
          <w:p>
            <w:pPr>
              <w:pStyle w:val="TableParagraph"/>
              <w:rPr>
                <w:rFonts w:ascii="Times New Roman"/>
                <w:sz w:val="22"/>
              </w:rPr>
            </w:pPr>
          </w:p>
        </w:tc>
        <w:tc>
          <w:tcPr>
            <w:tcW w:w="906" w:type="dxa"/>
          </w:tcPr>
          <w:p>
            <w:pPr>
              <w:pStyle w:val="TableParagraph"/>
              <w:rPr>
                <w:rFonts w:ascii="Times New Roman"/>
                <w:sz w:val="22"/>
              </w:rPr>
            </w:pPr>
          </w:p>
        </w:tc>
        <w:tc>
          <w:tcPr>
            <w:tcW w:w="908" w:type="dxa"/>
          </w:tcPr>
          <w:p>
            <w:pPr>
              <w:pStyle w:val="TableParagraph"/>
              <w:rPr>
                <w:rFonts w:ascii="Times New Roman"/>
                <w:sz w:val="22"/>
              </w:rPr>
            </w:pPr>
          </w:p>
        </w:tc>
        <w:tc>
          <w:tcPr>
            <w:tcW w:w="908" w:type="dxa"/>
          </w:tcPr>
          <w:p>
            <w:pPr>
              <w:pStyle w:val="TableParagraph"/>
              <w:rPr>
                <w:rFonts w:ascii="Times New Roman"/>
                <w:sz w:val="22"/>
              </w:rPr>
            </w:pPr>
          </w:p>
        </w:tc>
        <w:tc>
          <w:tcPr>
            <w:tcW w:w="758" w:type="dxa"/>
          </w:tcPr>
          <w:p>
            <w:pPr>
              <w:pStyle w:val="TableParagraph"/>
              <w:rPr>
                <w:rFonts w:ascii="Times New Roman"/>
                <w:sz w:val="22"/>
              </w:rPr>
            </w:pPr>
          </w:p>
        </w:tc>
        <w:tc>
          <w:tcPr>
            <w:tcW w:w="759" w:type="dxa"/>
          </w:tcPr>
          <w:p>
            <w:pPr>
              <w:pStyle w:val="TableParagraph"/>
              <w:rPr>
                <w:rFonts w:ascii="Times New Roman"/>
                <w:sz w:val="22"/>
              </w:rPr>
            </w:pPr>
          </w:p>
        </w:tc>
        <w:tc>
          <w:tcPr>
            <w:tcW w:w="758" w:type="dxa"/>
          </w:tcPr>
          <w:p>
            <w:pPr>
              <w:pStyle w:val="TableParagraph"/>
              <w:rPr>
                <w:rFonts w:ascii="Times New Roman"/>
                <w:sz w:val="22"/>
              </w:rPr>
            </w:pPr>
          </w:p>
        </w:tc>
        <w:tc>
          <w:tcPr>
            <w:tcW w:w="759" w:type="dxa"/>
          </w:tcPr>
          <w:p>
            <w:pPr>
              <w:pStyle w:val="TableParagraph"/>
              <w:rPr>
                <w:rFonts w:ascii="Times New Roman"/>
                <w:sz w:val="22"/>
              </w:rPr>
            </w:pPr>
          </w:p>
        </w:tc>
        <w:tc>
          <w:tcPr>
            <w:tcW w:w="736" w:type="dxa"/>
          </w:tcPr>
          <w:p>
            <w:pPr>
              <w:pStyle w:val="TableParagraph"/>
              <w:rPr>
                <w:rFonts w:ascii="Times New Roman"/>
                <w:sz w:val="22"/>
              </w:rPr>
            </w:pPr>
          </w:p>
        </w:tc>
        <w:tc>
          <w:tcPr>
            <w:tcW w:w="729" w:type="dxa"/>
          </w:tcPr>
          <w:p>
            <w:pPr>
              <w:pStyle w:val="TableParagraph"/>
              <w:rPr>
                <w:rFonts w:ascii="Times New Roman"/>
                <w:sz w:val="22"/>
              </w:rPr>
            </w:pPr>
          </w:p>
        </w:tc>
      </w:tr>
      <w:tr>
        <w:trPr>
          <w:trHeight w:val="312" w:hRule="atLeast"/>
        </w:trPr>
        <w:tc>
          <w:tcPr>
            <w:tcW w:w="463" w:type="dxa"/>
          </w:tcPr>
          <w:p>
            <w:pPr>
              <w:pStyle w:val="TableParagraph"/>
              <w:rPr>
                <w:rFonts w:ascii="Times New Roman"/>
                <w:sz w:val="22"/>
              </w:rPr>
            </w:pPr>
          </w:p>
        </w:tc>
        <w:tc>
          <w:tcPr>
            <w:tcW w:w="736" w:type="dxa"/>
          </w:tcPr>
          <w:p>
            <w:pPr>
              <w:pStyle w:val="TableParagraph"/>
              <w:rPr>
                <w:rFonts w:ascii="Times New Roman"/>
                <w:sz w:val="22"/>
              </w:rPr>
            </w:pPr>
          </w:p>
        </w:tc>
        <w:tc>
          <w:tcPr>
            <w:tcW w:w="906" w:type="dxa"/>
          </w:tcPr>
          <w:p>
            <w:pPr>
              <w:pStyle w:val="TableParagraph"/>
              <w:rPr>
                <w:rFonts w:ascii="Times New Roman"/>
                <w:sz w:val="22"/>
              </w:rPr>
            </w:pPr>
          </w:p>
        </w:tc>
        <w:tc>
          <w:tcPr>
            <w:tcW w:w="908" w:type="dxa"/>
          </w:tcPr>
          <w:p>
            <w:pPr>
              <w:pStyle w:val="TableParagraph"/>
              <w:rPr>
                <w:rFonts w:ascii="Times New Roman"/>
                <w:sz w:val="22"/>
              </w:rPr>
            </w:pPr>
          </w:p>
        </w:tc>
        <w:tc>
          <w:tcPr>
            <w:tcW w:w="908" w:type="dxa"/>
          </w:tcPr>
          <w:p>
            <w:pPr>
              <w:pStyle w:val="TableParagraph"/>
              <w:rPr>
                <w:rFonts w:ascii="Times New Roman"/>
                <w:sz w:val="22"/>
              </w:rPr>
            </w:pPr>
          </w:p>
        </w:tc>
        <w:tc>
          <w:tcPr>
            <w:tcW w:w="758" w:type="dxa"/>
          </w:tcPr>
          <w:p>
            <w:pPr>
              <w:pStyle w:val="TableParagraph"/>
              <w:rPr>
                <w:rFonts w:ascii="Times New Roman"/>
                <w:sz w:val="22"/>
              </w:rPr>
            </w:pPr>
          </w:p>
        </w:tc>
        <w:tc>
          <w:tcPr>
            <w:tcW w:w="759" w:type="dxa"/>
          </w:tcPr>
          <w:p>
            <w:pPr>
              <w:pStyle w:val="TableParagraph"/>
              <w:rPr>
                <w:rFonts w:ascii="Times New Roman"/>
                <w:sz w:val="22"/>
              </w:rPr>
            </w:pPr>
          </w:p>
        </w:tc>
        <w:tc>
          <w:tcPr>
            <w:tcW w:w="758" w:type="dxa"/>
          </w:tcPr>
          <w:p>
            <w:pPr>
              <w:pStyle w:val="TableParagraph"/>
              <w:rPr>
                <w:rFonts w:ascii="Times New Roman"/>
                <w:sz w:val="22"/>
              </w:rPr>
            </w:pPr>
          </w:p>
        </w:tc>
        <w:tc>
          <w:tcPr>
            <w:tcW w:w="759" w:type="dxa"/>
          </w:tcPr>
          <w:p>
            <w:pPr>
              <w:pStyle w:val="TableParagraph"/>
              <w:rPr>
                <w:rFonts w:ascii="Times New Roman"/>
                <w:sz w:val="22"/>
              </w:rPr>
            </w:pPr>
          </w:p>
        </w:tc>
        <w:tc>
          <w:tcPr>
            <w:tcW w:w="736" w:type="dxa"/>
          </w:tcPr>
          <w:p>
            <w:pPr>
              <w:pStyle w:val="TableParagraph"/>
              <w:rPr>
                <w:rFonts w:ascii="Times New Roman"/>
                <w:sz w:val="22"/>
              </w:rPr>
            </w:pPr>
          </w:p>
        </w:tc>
        <w:tc>
          <w:tcPr>
            <w:tcW w:w="729" w:type="dxa"/>
          </w:tcPr>
          <w:p>
            <w:pPr>
              <w:pStyle w:val="TableParagraph"/>
              <w:rPr>
                <w:rFonts w:ascii="Times New Roman"/>
                <w:sz w:val="22"/>
              </w:rPr>
            </w:pPr>
          </w:p>
        </w:tc>
      </w:tr>
      <w:tr>
        <w:trPr>
          <w:trHeight w:val="312" w:hRule="atLeast"/>
        </w:trPr>
        <w:tc>
          <w:tcPr>
            <w:tcW w:w="463" w:type="dxa"/>
          </w:tcPr>
          <w:p>
            <w:pPr>
              <w:pStyle w:val="TableParagraph"/>
              <w:rPr>
                <w:rFonts w:ascii="Times New Roman"/>
                <w:sz w:val="22"/>
              </w:rPr>
            </w:pPr>
          </w:p>
        </w:tc>
        <w:tc>
          <w:tcPr>
            <w:tcW w:w="736" w:type="dxa"/>
          </w:tcPr>
          <w:p>
            <w:pPr>
              <w:pStyle w:val="TableParagraph"/>
              <w:rPr>
                <w:rFonts w:ascii="Times New Roman"/>
                <w:sz w:val="22"/>
              </w:rPr>
            </w:pPr>
          </w:p>
        </w:tc>
        <w:tc>
          <w:tcPr>
            <w:tcW w:w="906" w:type="dxa"/>
          </w:tcPr>
          <w:p>
            <w:pPr>
              <w:pStyle w:val="TableParagraph"/>
              <w:rPr>
                <w:rFonts w:ascii="Times New Roman"/>
                <w:sz w:val="22"/>
              </w:rPr>
            </w:pPr>
          </w:p>
        </w:tc>
        <w:tc>
          <w:tcPr>
            <w:tcW w:w="908" w:type="dxa"/>
          </w:tcPr>
          <w:p>
            <w:pPr>
              <w:pStyle w:val="TableParagraph"/>
              <w:rPr>
                <w:rFonts w:ascii="Times New Roman"/>
                <w:sz w:val="22"/>
              </w:rPr>
            </w:pPr>
          </w:p>
        </w:tc>
        <w:tc>
          <w:tcPr>
            <w:tcW w:w="908" w:type="dxa"/>
          </w:tcPr>
          <w:p>
            <w:pPr>
              <w:pStyle w:val="TableParagraph"/>
              <w:rPr>
                <w:rFonts w:ascii="Times New Roman"/>
                <w:sz w:val="22"/>
              </w:rPr>
            </w:pPr>
          </w:p>
        </w:tc>
        <w:tc>
          <w:tcPr>
            <w:tcW w:w="758" w:type="dxa"/>
          </w:tcPr>
          <w:p>
            <w:pPr>
              <w:pStyle w:val="TableParagraph"/>
              <w:rPr>
                <w:rFonts w:ascii="Times New Roman"/>
                <w:sz w:val="22"/>
              </w:rPr>
            </w:pPr>
          </w:p>
        </w:tc>
        <w:tc>
          <w:tcPr>
            <w:tcW w:w="759" w:type="dxa"/>
          </w:tcPr>
          <w:p>
            <w:pPr>
              <w:pStyle w:val="TableParagraph"/>
              <w:rPr>
                <w:rFonts w:ascii="Times New Roman"/>
                <w:sz w:val="22"/>
              </w:rPr>
            </w:pPr>
          </w:p>
        </w:tc>
        <w:tc>
          <w:tcPr>
            <w:tcW w:w="758" w:type="dxa"/>
          </w:tcPr>
          <w:p>
            <w:pPr>
              <w:pStyle w:val="TableParagraph"/>
              <w:rPr>
                <w:rFonts w:ascii="Times New Roman"/>
                <w:sz w:val="22"/>
              </w:rPr>
            </w:pPr>
          </w:p>
        </w:tc>
        <w:tc>
          <w:tcPr>
            <w:tcW w:w="759" w:type="dxa"/>
          </w:tcPr>
          <w:p>
            <w:pPr>
              <w:pStyle w:val="TableParagraph"/>
              <w:rPr>
                <w:rFonts w:ascii="Times New Roman"/>
                <w:sz w:val="22"/>
              </w:rPr>
            </w:pPr>
          </w:p>
        </w:tc>
        <w:tc>
          <w:tcPr>
            <w:tcW w:w="736" w:type="dxa"/>
          </w:tcPr>
          <w:p>
            <w:pPr>
              <w:pStyle w:val="TableParagraph"/>
              <w:rPr>
                <w:rFonts w:ascii="Times New Roman"/>
                <w:sz w:val="22"/>
              </w:rPr>
            </w:pPr>
          </w:p>
        </w:tc>
        <w:tc>
          <w:tcPr>
            <w:tcW w:w="729" w:type="dxa"/>
          </w:tcPr>
          <w:p>
            <w:pPr>
              <w:pStyle w:val="TableParagraph"/>
              <w:rPr>
                <w:rFonts w:ascii="Times New Roman"/>
                <w:sz w:val="22"/>
              </w:rPr>
            </w:pPr>
          </w:p>
        </w:tc>
      </w:tr>
      <w:tr>
        <w:trPr>
          <w:trHeight w:val="311" w:hRule="atLeast"/>
        </w:trPr>
        <w:tc>
          <w:tcPr>
            <w:tcW w:w="463" w:type="dxa"/>
          </w:tcPr>
          <w:p>
            <w:pPr>
              <w:pStyle w:val="TableParagraph"/>
              <w:rPr>
                <w:rFonts w:ascii="Times New Roman"/>
                <w:sz w:val="22"/>
              </w:rPr>
            </w:pPr>
          </w:p>
        </w:tc>
        <w:tc>
          <w:tcPr>
            <w:tcW w:w="736" w:type="dxa"/>
          </w:tcPr>
          <w:p>
            <w:pPr>
              <w:pStyle w:val="TableParagraph"/>
              <w:rPr>
                <w:rFonts w:ascii="Times New Roman"/>
                <w:sz w:val="22"/>
              </w:rPr>
            </w:pPr>
          </w:p>
        </w:tc>
        <w:tc>
          <w:tcPr>
            <w:tcW w:w="906" w:type="dxa"/>
          </w:tcPr>
          <w:p>
            <w:pPr>
              <w:pStyle w:val="TableParagraph"/>
              <w:rPr>
                <w:rFonts w:ascii="Times New Roman"/>
                <w:sz w:val="22"/>
              </w:rPr>
            </w:pPr>
          </w:p>
        </w:tc>
        <w:tc>
          <w:tcPr>
            <w:tcW w:w="908" w:type="dxa"/>
          </w:tcPr>
          <w:p>
            <w:pPr>
              <w:pStyle w:val="TableParagraph"/>
              <w:rPr>
                <w:rFonts w:ascii="Times New Roman"/>
                <w:sz w:val="22"/>
              </w:rPr>
            </w:pPr>
          </w:p>
        </w:tc>
        <w:tc>
          <w:tcPr>
            <w:tcW w:w="908" w:type="dxa"/>
          </w:tcPr>
          <w:p>
            <w:pPr>
              <w:pStyle w:val="TableParagraph"/>
              <w:rPr>
                <w:rFonts w:ascii="Times New Roman"/>
                <w:sz w:val="22"/>
              </w:rPr>
            </w:pPr>
          </w:p>
        </w:tc>
        <w:tc>
          <w:tcPr>
            <w:tcW w:w="758" w:type="dxa"/>
          </w:tcPr>
          <w:p>
            <w:pPr>
              <w:pStyle w:val="TableParagraph"/>
              <w:rPr>
                <w:rFonts w:ascii="Times New Roman"/>
                <w:sz w:val="22"/>
              </w:rPr>
            </w:pPr>
          </w:p>
        </w:tc>
        <w:tc>
          <w:tcPr>
            <w:tcW w:w="759" w:type="dxa"/>
          </w:tcPr>
          <w:p>
            <w:pPr>
              <w:pStyle w:val="TableParagraph"/>
              <w:rPr>
                <w:rFonts w:ascii="Times New Roman"/>
                <w:sz w:val="22"/>
              </w:rPr>
            </w:pPr>
          </w:p>
        </w:tc>
        <w:tc>
          <w:tcPr>
            <w:tcW w:w="758" w:type="dxa"/>
          </w:tcPr>
          <w:p>
            <w:pPr>
              <w:pStyle w:val="TableParagraph"/>
              <w:rPr>
                <w:rFonts w:ascii="Times New Roman"/>
                <w:sz w:val="22"/>
              </w:rPr>
            </w:pPr>
          </w:p>
        </w:tc>
        <w:tc>
          <w:tcPr>
            <w:tcW w:w="759" w:type="dxa"/>
          </w:tcPr>
          <w:p>
            <w:pPr>
              <w:pStyle w:val="TableParagraph"/>
              <w:rPr>
                <w:rFonts w:ascii="Times New Roman"/>
                <w:sz w:val="22"/>
              </w:rPr>
            </w:pPr>
          </w:p>
        </w:tc>
        <w:tc>
          <w:tcPr>
            <w:tcW w:w="736" w:type="dxa"/>
          </w:tcPr>
          <w:p>
            <w:pPr>
              <w:pStyle w:val="TableParagraph"/>
              <w:rPr>
                <w:rFonts w:ascii="Times New Roman"/>
                <w:sz w:val="22"/>
              </w:rPr>
            </w:pPr>
          </w:p>
        </w:tc>
        <w:tc>
          <w:tcPr>
            <w:tcW w:w="729" w:type="dxa"/>
          </w:tcPr>
          <w:p>
            <w:pPr>
              <w:pStyle w:val="TableParagraph"/>
              <w:rPr>
                <w:rFonts w:ascii="Times New Roman"/>
                <w:sz w:val="22"/>
              </w:rPr>
            </w:pPr>
          </w:p>
        </w:tc>
      </w:tr>
    </w:tbl>
    <w:p>
      <w:pPr>
        <w:spacing w:line="242" w:lineRule="auto" w:before="3"/>
        <w:ind w:left="740" w:right="940" w:firstLine="480"/>
        <w:jc w:val="left"/>
        <w:rPr>
          <w:sz w:val="24"/>
        </w:rPr>
      </w:pPr>
      <w:r>
        <w:rPr>
          <w:sz w:val="24"/>
        </w:rPr>
        <w:t>注1：排查类型主要包括综合性隐患排查、专业性隐患排查、专项或季节性隐患排查、专家诊断性检查和企业各级负责人履职检查等。</w:t>
      </w:r>
    </w:p>
    <w:p>
      <w:pPr>
        <w:spacing w:line="242" w:lineRule="auto" w:before="3"/>
        <w:ind w:left="1220" w:right="1445" w:firstLine="0"/>
        <w:jc w:val="left"/>
        <w:rPr>
          <w:sz w:val="24"/>
        </w:rPr>
      </w:pPr>
      <w:r>
        <w:rPr>
          <w:sz w:val="24"/>
        </w:rPr>
        <w:t>注2：组织级别包括企业集团级、企业级、部门（车间）级、班组级。注3：“隐患判定”栏在隐患排查判定后填写。</w:t>
      </w:r>
    </w:p>
    <w:p>
      <w:pPr>
        <w:spacing w:after="0" w:line="242" w:lineRule="auto"/>
        <w:jc w:val="left"/>
        <w:rPr>
          <w:sz w:val="24"/>
        </w:rPr>
        <w:sectPr>
          <w:footerReference w:type="default" r:id="rId25"/>
          <w:pgSz w:w="11910" w:h="16840"/>
          <w:pgMar w:footer="1232" w:header="0" w:top="1580" w:bottom="1420" w:left="1060" w:right="860"/>
          <w:pgNumType w:start="150"/>
        </w:sectPr>
      </w:pPr>
    </w:p>
    <w:p>
      <w:pPr>
        <w:spacing w:before="157"/>
        <w:ind w:left="504" w:right="705" w:firstLine="0"/>
        <w:jc w:val="center"/>
        <w:rPr>
          <w:sz w:val="24"/>
        </w:rPr>
      </w:pPr>
      <w:r>
        <w:rPr>
          <w:sz w:val="24"/>
        </w:rPr>
        <w:t>附录B</w:t>
      </w:r>
    </w:p>
    <w:p>
      <w:pPr>
        <w:spacing w:before="5"/>
        <w:ind w:left="504" w:right="705" w:firstLine="0"/>
        <w:jc w:val="center"/>
        <w:rPr>
          <w:sz w:val="24"/>
        </w:rPr>
      </w:pPr>
      <w:r>
        <w:rPr>
          <w:sz w:val="24"/>
        </w:rPr>
        <w:t>（资料性）</w:t>
      </w:r>
    </w:p>
    <w:p>
      <w:pPr>
        <w:tabs>
          <w:tab w:pos="599" w:val="left" w:leader="none"/>
        </w:tabs>
        <w:spacing w:before="4"/>
        <w:ind w:left="0" w:right="201" w:firstLine="0"/>
        <w:jc w:val="center"/>
        <w:rPr>
          <w:sz w:val="24"/>
        </w:rPr>
      </w:pPr>
      <w:r>
        <w:rPr>
          <w:rFonts w:ascii="Times New Roman" w:eastAsia="Times New Roman"/>
          <w:sz w:val="24"/>
          <w:u w:val="single"/>
        </w:rPr>
        <w:t> </w:t>
        <w:tab/>
      </w:r>
      <w:r>
        <w:rPr>
          <w:sz w:val="24"/>
        </w:rPr>
        <w:t>年度生产现场类事故隐患排查清单（样表）</w:t>
      </w:r>
    </w:p>
    <w:tbl>
      <w:tblPr>
        <w:tblW w:w="0" w:type="auto"/>
        <w:jc w:val="left"/>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0"/>
        <w:gridCol w:w="856"/>
        <w:gridCol w:w="721"/>
        <w:gridCol w:w="723"/>
        <w:gridCol w:w="721"/>
        <w:gridCol w:w="721"/>
        <w:gridCol w:w="721"/>
        <w:gridCol w:w="588"/>
        <w:gridCol w:w="588"/>
        <w:gridCol w:w="588"/>
        <w:gridCol w:w="588"/>
        <w:gridCol w:w="564"/>
        <w:gridCol w:w="591"/>
      </w:tblGrid>
      <w:tr>
        <w:trPr>
          <w:trHeight w:val="312" w:hRule="atLeast"/>
        </w:trPr>
        <w:tc>
          <w:tcPr>
            <w:tcW w:w="450" w:type="dxa"/>
            <w:vMerge w:val="restart"/>
          </w:tcPr>
          <w:p>
            <w:pPr>
              <w:pStyle w:val="TableParagraph"/>
              <w:rPr>
                <w:sz w:val="24"/>
              </w:rPr>
            </w:pPr>
          </w:p>
          <w:p>
            <w:pPr>
              <w:pStyle w:val="TableParagraph"/>
              <w:spacing w:before="8"/>
              <w:rPr>
                <w:sz w:val="25"/>
              </w:rPr>
            </w:pPr>
          </w:p>
          <w:p>
            <w:pPr>
              <w:pStyle w:val="TableParagraph"/>
              <w:spacing w:line="242" w:lineRule="auto" w:before="1"/>
              <w:ind w:left="105" w:right="92"/>
              <w:rPr>
                <w:sz w:val="24"/>
              </w:rPr>
            </w:pPr>
            <w:r>
              <w:rPr>
                <w:sz w:val="24"/>
              </w:rPr>
              <w:t>序号</w:t>
            </w:r>
          </w:p>
        </w:tc>
        <w:tc>
          <w:tcPr>
            <w:tcW w:w="2300" w:type="dxa"/>
            <w:gridSpan w:val="3"/>
          </w:tcPr>
          <w:p>
            <w:pPr>
              <w:pStyle w:val="TableParagraph"/>
              <w:spacing w:line="289" w:lineRule="exact" w:before="3"/>
              <w:ind w:left="550"/>
              <w:rPr>
                <w:sz w:val="24"/>
              </w:rPr>
            </w:pPr>
            <w:r>
              <w:rPr>
                <w:sz w:val="24"/>
              </w:rPr>
              <w:t>风险点简况</w:t>
            </w:r>
          </w:p>
        </w:tc>
        <w:tc>
          <w:tcPr>
            <w:tcW w:w="721" w:type="dxa"/>
            <w:vMerge w:val="restart"/>
          </w:tcPr>
          <w:p>
            <w:pPr>
              <w:pStyle w:val="TableParagraph"/>
              <w:rPr>
                <w:sz w:val="24"/>
              </w:rPr>
            </w:pPr>
          </w:p>
          <w:p>
            <w:pPr>
              <w:pStyle w:val="TableParagraph"/>
              <w:spacing w:before="8"/>
              <w:rPr>
                <w:sz w:val="25"/>
              </w:rPr>
            </w:pPr>
          </w:p>
          <w:p>
            <w:pPr>
              <w:pStyle w:val="TableParagraph"/>
              <w:spacing w:line="242" w:lineRule="auto" w:before="1"/>
              <w:ind w:left="120" w:right="108"/>
              <w:rPr>
                <w:sz w:val="24"/>
              </w:rPr>
            </w:pPr>
            <w:r>
              <w:rPr>
                <w:sz w:val="24"/>
              </w:rPr>
              <w:t>排查内容</w:t>
            </w:r>
          </w:p>
        </w:tc>
        <w:tc>
          <w:tcPr>
            <w:tcW w:w="721" w:type="dxa"/>
            <w:vMerge w:val="restart"/>
          </w:tcPr>
          <w:p>
            <w:pPr>
              <w:pStyle w:val="TableParagraph"/>
              <w:rPr>
                <w:sz w:val="24"/>
              </w:rPr>
            </w:pPr>
          </w:p>
          <w:p>
            <w:pPr>
              <w:pStyle w:val="TableParagraph"/>
              <w:spacing w:before="8"/>
              <w:rPr>
                <w:sz w:val="25"/>
              </w:rPr>
            </w:pPr>
          </w:p>
          <w:p>
            <w:pPr>
              <w:pStyle w:val="TableParagraph"/>
              <w:spacing w:line="242" w:lineRule="auto" w:before="1"/>
              <w:ind w:left="119" w:right="109"/>
              <w:rPr>
                <w:sz w:val="24"/>
              </w:rPr>
            </w:pPr>
            <w:r>
              <w:rPr>
                <w:sz w:val="24"/>
              </w:rPr>
              <w:t>排查标准</w:t>
            </w:r>
          </w:p>
        </w:tc>
        <w:tc>
          <w:tcPr>
            <w:tcW w:w="721" w:type="dxa"/>
            <w:vMerge w:val="restart"/>
          </w:tcPr>
          <w:p>
            <w:pPr>
              <w:pStyle w:val="TableParagraph"/>
              <w:rPr>
                <w:sz w:val="24"/>
              </w:rPr>
            </w:pPr>
          </w:p>
          <w:p>
            <w:pPr>
              <w:pStyle w:val="TableParagraph"/>
              <w:spacing w:before="8"/>
              <w:rPr>
                <w:sz w:val="25"/>
              </w:rPr>
            </w:pPr>
          </w:p>
          <w:p>
            <w:pPr>
              <w:pStyle w:val="TableParagraph"/>
              <w:spacing w:line="242" w:lineRule="auto" w:before="1"/>
              <w:ind w:left="120" w:right="108"/>
              <w:rPr>
                <w:sz w:val="24"/>
              </w:rPr>
            </w:pPr>
            <w:r>
              <w:rPr>
                <w:sz w:val="24"/>
              </w:rPr>
              <w:t>隐患判定</w:t>
            </w:r>
          </w:p>
        </w:tc>
        <w:tc>
          <w:tcPr>
            <w:tcW w:w="1176" w:type="dxa"/>
            <w:gridSpan w:val="2"/>
            <w:vMerge w:val="restart"/>
          </w:tcPr>
          <w:p>
            <w:pPr>
              <w:pStyle w:val="TableParagraph"/>
              <w:spacing w:before="8"/>
              <w:ind w:left="107"/>
              <w:rPr>
                <w:sz w:val="24"/>
              </w:rPr>
            </w:pPr>
            <w:r>
              <w:rPr>
                <w:sz w:val="24"/>
              </w:rPr>
              <w:t>排查类型</w:t>
            </w:r>
          </w:p>
          <w:p>
            <w:pPr>
              <w:pStyle w:val="TableParagraph"/>
              <w:spacing w:line="294" w:lineRule="exact" w:before="4"/>
              <w:ind w:left="227"/>
              <w:rPr>
                <w:sz w:val="24"/>
              </w:rPr>
            </w:pPr>
            <w:r>
              <w:rPr>
                <w:sz w:val="24"/>
              </w:rPr>
              <w:t>（一）</w:t>
            </w:r>
          </w:p>
        </w:tc>
        <w:tc>
          <w:tcPr>
            <w:tcW w:w="1176" w:type="dxa"/>
            <w:gridSpan w:val="2"/>
            <w:vMerge w:val="restart"/>
          </w:tcPr>
          <w:p>
            <w:pPr>
              <w:pStyle w:val="TableParagraph"/>
              <w:spacing w:before="8"/>
              <w:ind w:left="107"/>
              <w:rPr>
                <w:sz w:val="24"/>
              </w:rPr>
            </w:pPr>
            <w:r>
              <w:rPr>
                <w:sz w:val="24"/>
              </w:rPr>
              <w:t>排查类型</w:t>
            </w:r>
          </w:p>
          <w:p>
            <w:pPr>
              <w:pStyle w:val="TableParagraph"/>
              <w:spacing w:line="294" w:lineRule="exact" w:before="4"/>
              <w:ind w:left="227"/>
              <w:rPr>
                <w:sz w:val="24"/>
              </w:rPr>
            </w:pPr>
            <w:r>
              <w:rPr>
                <w:sz w:val="24"/>
              </w:rPr>
              <w:t>（二）</w:t>
            </w:r>
          </w:p>
        </w:tc>
        <w:tc>
          <w:tcPr>
            <w:tcW w:w="1155" w:type="dxa"/>
            <w:gridSpan w:val="2"/>
            <w:vMerge w:val="restart"/>
          </w:tcPr>
          <w:p>
            <w:pPr>
              <w:pStyle w:val="TableParagraph"/>
              <w:spacing w:before="8"/>
              <w:ind w:left="95"/>
              <w:rPr>
                <w:sz w:val="24"/>
              </w:rPr>
            </w:pPr>
            <w:r>
              <w:rPr>
                <w:sz w:val="24"/>
              </w:rPr>
              <w:t>排查类型</w:t>
            </w:r>
          </w:p>
          <w:p>
            <w:pPr>
              <w:pStyle w:val="TableParagraph"/>
              <w:spacing w:line="294" w:lineRule="exact" w:before="4"/>
              <w:ind w:left="215"/>
              <w:rPr>
                <w:sz w:val="24"/>
              </w:rPr>
            </w:pPr>
            <w:r>
              <w:rPr>
                <w:sz w:val="24"/>
              </w:rPr>
              <w:t>（…）</w:t>
            </w:r>
          </w:p>
        </w:tc>
      </w:tr>
      <w:tr>
        <w:trPr>
          <w:trHeight w:val="312" w:hRule="atLeast"/>
        </w:trPr>
        <w:tc>
          <w:tcPr>
            <w:tcW w:w="450" w:type="dxa"/>
            <w:vMerge/>
            <w:tcBorders>
              <w:top w:val="nil"/>
            </w:tcBorders>
          </w:tcPr>
          <w:p>
            <w:pPr>
              <w:rPr>
                <w:sz w:val="2"/>
                <w:szCs w:val="2"/>
              </w:rPr>
            </w:pPr>
          </w:p>
        </w:tc>
        <w:tc>
          <w:tcPr>
            <w:tcW w:w="856" w:type="dxa"/>
            <w:vMerge w:val="restart"/>
          </w:tcPr>
          <w:p>
            <w:pPr>
              <w:pStyle w:val="TableParagraph"/>
              <w:rPr>
                <w:sz w:val="24"/>
              </w:rPr>
            </w:pPr>
          </w:p>
          <w:p>
            <w:pPr>
              <w:pStyle w:val="TableParagraph"/>
              <w:spacing w:line="242" w:lineRule="auto" w:before="168"/>
              <w:ind w:left="188" w:right="55" w:hanging="120"/>
              <w:rPr>
                <w:sz w:val="24"/>
              </w:rPr>
            </w:pPr>
            <w:r>
              <w:rPr>
                <w:sz w:val="24"/>
              </w:rPr>
              <w:t>风险点名称</w:t>
            </w:r>
          </w:p>
        </w:tc>
        <w:tc>
          <w:tcPr>
            <w:tcW w:w="721" w:type="dxa"/>
            <w:vMerge w:val="restart"/>
          </w:tcPr>
          <w:p>
            <w:pPr>
              <w:pStyle w:val="TableParagraph"/>
              <w:rPr>
                <w:sz w:val="24"/>
              </w:rPr>
            </w:pPr>
          </w:p>
          <w:p>
            <w:pPr>
              <w:pStyle w:val="TableParagraph"/>
              <w:spacing w:line="242" w:lineRule="auto" w:before="168"/>
              <w:ind w:left="119" w:right="109"/>
              <w:rPr>
                <w:sz w:val="24"/>
              </w:rPr>
            </w:pPr>
            <w:r>
              <w:rPr>
                <w:sz w:val="24"/>
              </w:rPr>
              <w:t>责任单位</w:t>
            </w:r>
          </w:p>
        </w:tc>
        <w:tc>
          <w:tcPr>
            <w:tcW w:w="723" w:type="dxa"/>
            <w:vMerge w:val="restart"/>
          </w:tcPr>
          <w:p>
            <w:pPr>
              <w:pStyle w:val="TableParagraph"/>
              <w:rPr>
                <w:sz w:val="24"/>
              </w:rPr>
            </w:pPr>
          </w:p>
          <w:p>
            <w:pPr>
              <w:pStyle w:val="TableParagraph"/>
              <w:spacing w:line="242" w:lineRule="auto" w:before="168"/>
              <w:ind w:left="120" w:right="110"/>
              <w:rPr>
                <w:sz w:val="24"/>
              </w:rPr>
            </w:pPr>
            <w:r>
              <w:rPr>
                <w:sz w:val="24"/>
              </w:rPr>
              <w:t>风险等级</w:t>
            </w:r>
          </w:p>
        </w:tc>
        <w:tc>
          <w:tcPr>
            <w:tcW w:w="721" w:type="dxa"/>
            <w:vMerge/>
            <w:tcBorders>
              <w:top w:val="nil"/>
            </w:tcBorders>
          </w:tcPr>
          <w:p>
            <w:pPr>
              <w:rPr>
                <w:sz w:val="2"/>
                <w:szCs w:val="2"/>
              </w:rPr>
            </w:pPr>
          </w:p>
        </w:tc>
        <w:tc>
          <w:tcPr>
            <w:tcW w:w="721" w:type="dxa"/>
            <w:vMerge/>
            <w:tcBorders>
              <w:top w:val="nil"/>
            </w:tcBorders>
          </w:tcPr>
          <w:p>
            <w:pPr>
              <w:rPr>
                <w:sz w:val="2"/>
                <w:szCs w:val="2"/>
              </w:rPr>
            </w:pPr>
          </w:p>
        </w:tc>
        <w:tc>
          <w:tcPr>
            <w:tcW w:w="721" w:type="dxa"/>
            <w:vMerge/>
            <w:tcBorders>
              <w:top w:val="nil"/>
            </w:tcBorders>
          </w:tcPr>
          <w:p>
            <w:pPr>
              <w:rPr>
                <w:sz w:val="2"/>
                <w:szCs w:val="2"/>
              </w:rPr>
            </w:pPr>
          </w:p>
        </w:tc>
        <w:tc>
          <w:tcPr>
            <w:tcW w:w="1176" w:type="dxa"/>
            <w:gridSpan w:val="2"/>
            <w:vMerge/>
            <w:tcBorders>
              <w:top w:val="nil"/>
            </w:tcBorders>
          </w:tcPr>
          <w:p>
            <w:pPr>
              <w:rPr>
                <w:sz w:val="2"/>
                <w:szCs w:val="2"/>
              </w:rPr>
            </w:pPr>
          </w:p>
        </w:tc>
        <w:tc>
          <w:tcPr>
            <w:tcW w:w="1176" w:type="dxa"/>
            <w:gridSpan w:val="2"/>
            <w:vMerge/>
            <w:tcBorders>
              <w:top w:val="nil"/>
            </w:tcBorders>
          </w:tcPr>
          <w:p>
            <w:pPr>
              <w:rPr>
                <w:sz w:val="2"/>
                <w:szCs w:val="2"/>
              </w:rPr>
            </w:pPr>
          </w:p>
        </w:tc>
        <w:tc>
          <w:tcPr>
            <w:tcW w:w="1155" w:type="dxa"/>
            <w:gridSpan w:val="2"/>
            <w:vMerge/>
            <w:tcBorders>
              <w:top w:val="nil"/>
            </w:tcBorders>
          </w:tcPr>
          <w:p>
            <w:pPr>
              <w:rPr>
                <w:sz w:val="2"/>
                <w:szCs w:val="2"/>
              </w:rPr>
            </w:pPr>
          </w:p>
        </w:tc>
      </w:tr>
      <w:tr>
        <w:trPr>
          <w:trHeight w:val="1247" w:hRule="atLeast"/>
        </w:trPr>
        <w:tc>
          <w:tcPr>
            <w:tcW w:w="450" w:type="dxa"/>
            <w:vMerge/>
            <w:tcBorders>
              <w:top w:val="nil"/>
            </w:tcBorders>
          </w:tcPr>
          <w:p>
            <w:pPr>
              <w:rPr>
                <w:sz w:val="2"/>
                <w:szCs w:val="2"/>
              </w:rPr>
            </w:pPr>
          </w:p>
        </w:tc>
        <w:tc>
          <w:tcPr>
            <w:tcW w:w="856" w:type="dxa"/>
            <w:vMerge/>
            <w:tcBorders>
              <w:top w:val="nil"/>
            </w:tcBorders>
          </w:tcPr>
          <w:p>
            <w:pPr>
              <w:rPr>
                <w:sz w:val="2"/>
                <w:szCs w:val="2"/>
              </w:rPr>
            </w:pPr>
          </w:p>
        </w:tc>
        <w:tc>
          <w:tcPr>
            <w:tcW w:w="721" w:type="dxa"/>
            <w:vMerge/>
            <w:tcBorders>
              <w:top w:val="nil"/>
            </w:tcBorders>
          </w:tcPr>
          <w:p>
            <w:pPr>
              <w:rPr>
                <w:sz w:val="2"/>
                <w:szCs w:val="2"/>
              </w:rPr>
            </w:pPr>
          </w:p>
        </w:tc>
        <w:tc>
          <w:tcPr>
            <w:tcW w:w="723" w:type="dxa"/>
            <w:vMerge/>
            <w:tcBorders>
              <w:top w:val="nil"/>
            </w:tcBorders>
          </w:tcPr>
          <w:p>
            <w:pPr>
              <w:rPr>
                <w:sz w:val="2"/>
                <w:szCs w:val="2"/>
              </w:rPr>
            </w:pPr>
          </w:p>
        </w:tc>
        <w:tc>
          <w:tcPr>
            <w:tcW w:w="721" w:type="dxa"/>
            <w:vMerge/>
            <w:tcBorders>
              <w:top w:val="nil"/>
            </w:tcBorders>
          </w:tcPr>
          <w:p>
            <w:pPr>
              <w:rPr>
                <w:sz w:val="2"/>
                <w:szCs w:val="2"/>
              </w:rPr>
            </w:pPr>
          </w:p>
        </w:tc>
        <w:tc>
          <w:tcPr>
            <w:tcW w:w="721" w:type="dxa"/>
            <w:vMerge/>
            <w:tcBorders>
              <w:top w:val="nil"/>
            </w:tcBorders>
          </w:tcPr>
          <w:p>
            <w:pPr>
              <w:rPr>
                <w:sz w:val="2"/>
                <w:szCs w:val="2"/>
              </w:rPr>
            </w:pPr>
          </w:p>
        </w:tc>
        <w:tc>
          <w:tcPr>
            <w:tcW w:w="721" w:type="dxa"/>
            <w:vMerge/>
            <w:tcBorders>
              <w:top w:val="nil"/>
            </w:tcBorders>
          </w:tcPr>
          <w:p>
            <w:pPr>
              <w:rPr>
                <w:sz w:val="2"/>
                <w:szCs w:val="2"/>
              </w:rPr>
            </w:pPr>
          </w:p>
        </w:tc>
        <w:tc>
          <w:tcPr>
            <w:tcW w:w="588" w:type="dxa"/>
          </w:tcPr>
          <w:p>
            <w:pPr>
              <w:pStyle w:val="TableParagraph"/>
              <w:spacing w:line="242" w:lineRule="auto" w:before="2"/>
              <w:ind w:left="174" w:right="161"/>
              <w:jc w:val="both"/>
              <w:rPr>
                <w:sz w:val="24"/>
              </w:rPr>
            </w:pPr>
            <w:r>
              <w:rPr>
                <w:sz w:val="24"/>
              </w:rPr>
              <w:t>排查周</w:t>
            </w:r>
          </w:p>
          <w:p>
            <w:pPr>
              <w:pStyle w:val="TableParagraph"/>
              <w:spacing w:line="290" w:lineRule="exact" w:before="4"/>
              <w:ind w:left="174"/>
              <w:rPr>
                <w:sz w:val="24"/>
              </w:rPr>
            </w:pPr>
            <w:r>
              <w:rPr>
                <w:sz w:val="24"/>
              </w:rPr>
              <w:t>期</w:t>
            </w:r>
          </w:p>
        </w:tc>
        <w:tc>
          <w:tcPr>
            <w:tcW w:w="588" w:type="dxa"/>
          </w:tcPr>
          <w:p>
            <w:pPr>
              <w:pStyle w:val="TableParagraph"/>
              <w:spacing w:line="242" w:lineRule="auto" w:before="2"/>
              <w:ind w:left="174" w:right="161"/>
              <w:jc w:val="both"/>
              <w:rPr>
                <w:sz w:val="24"/>
              </w:rPr>
            </w:pPr>
            <w:r>
              <w:rPr>
                <w:sz w:val="24"/>
              </w:rPr>
              <w:t>组织级</w:t>
            </w:r>
          </w:p>
          <w:p>
            <w:pPr>
              <w:pStyle w:val="TableParagraph"/>
              <w:spacing w:line="290" w:lineRule="exact" w:before="4"/>
              <w:ind w:left="174"/>
              <w:rPr>
                <w:sz w:val="24"/>
              </w:rPr>
            </w:pPr>
            <w:r>
              <w:rPr>
                <w:sz w:val="24"/>
              </w:rPr>
              <w:t>别</w:t>
            </w:r>
          </w:p>
        </w:tc>
        <w:tc>
          <w:tcPr>
            <w:tcW w:w="588" w:type="dxa"/>
          </w:tcPr>
          <w:p>
            <w:pPr>
              <w:pStyle w:val="TableParagraph"/>
              <w:spacing w:line="242" w:lineRule="auto" w:before="2"/>
              <w:ind w:left="174" w:right="161"/>
              <w:jc w:val="both"/>
              <w:rPr>
                <w:sz w:val="24"/>
              </w:rPr>
            </w:pPr>
            <w:r>
              <w:rPr>
                <w:sz w:val="24"/>
              </w:rPr>
              <w:t>排查周</w:t>
            </w:r>
          </w:p>
          <w:p>
            <w:pPr>
              <w:pStyle w:val="TableParagraph"/>
              <w:spacing w:line="290" w:lineRule="exact" w:before="4"/>
              <w:ind w:left="174"/>
              <w:rPr>
                <w:sz w:val="24"/>
              </w:rPr>
            </w:pPr>
            <w:r>
              <w:rPr>
                <w:sz w:val="24"/>
              </w:rPr>
              <w:t>期</w:t>
            </w:r>
          </w:p>
        </w:tc>
        <w:tc>
          <w:tcPr>
            <w:tcW w:w="588" w:type="dxa"/>
          </w:tcPr>
          <w:p>
            <w:pPr>
              <w:pStyle w:val="TableParagraph"/>
              <w:spacing w:line="242" w:lineRule="auto" w:before="2"/>
              <w:ind w:left="174" w:right="161"/>
              <w:jc w:val="both"/>
              <w:rPr>
                <w:sz w:val="24"/>
              </w:rPr>
            </w:pPr>
            <w:r>
              <w:rPr>
                <w:sz w:val="24"/>
              </w:rPr>
              <w:t>组织级</w:t>
            </w:r>
          </w:p>
          <w:p>
            <w:pPr>
              <w:pStyle w:val="TableParagraph"/>
              <w:spacing w:line="290" w:lineRule="exact" w:before="4"/>
              <w:ind w:left="174"/>
              <w:rPr>
                <w:sz w:val="24"/>
              </w:rPr>
            </w:pPr>
            <w:r>
              <w:rPr>
                <w:sz w:val="24"/>
              </w:rPr>
              <w:t>别</w:t>
            </w:r>
          </w:p>
        </w:tc>
        <w:tc>
          <w:tcPr>
            <w:tcW w:w="564" w:type="dxa"/>
          </w:tcPr>
          <w:p>
            <w:pPr>
              <w:pStyle w:val="TableParagraph"/>
              <w:spacing w:line="242" w:lineRule="auto" w:before="2"/>
              <w:ind w:left="162" w:right="149"/>
              <w:jc w:val="both"/>
              <w:rPr>
                <w:sz w:val="24"/>
              </w:rPr>
            </w:pPr>
            <w:r>
              <w:rPr>
                <w:sz w:val="24"/>
              </w:rPr>
              <w:t>排查周</w:t>
            </w:r>
          </w:p>
          <w:p>
            <w:pPr>
              <w:pStyle w:val="TableParagraph"/>
              <w:spacing w:line="290" w:lineRule="exact" w:before="4"/>
              <w:ind w:left="162"/>
              <w:rPr>
                <w:sz w:val="24"/>
              </w:rPr>
            </w:pPr>
            <w:r>
              <w:rPr>
                <w:sz w:val="24"/>
              </w:rPr>
              <w:t>期</w:t>
            </w:r>
          </w:p>
        </w:tc>
        <w:tc>
          <w:tcPr>
            <w:tcW w:w="591" w:type="dxa"/>
          </w:tcPr>
          <w:p>
            <w:pPr>
              <w:pStyle w:val="TableParagraph"/>
              <w:spacing w:line="242" w:lineRule="auto" w:before="2"/>
              <w:ind w:left="174" w:right="164"/>
              <w:jc w:val="both"/>
              <w:rPr>
                <w:sz w:val="24"/>
              </w:rPr>
            </w:pPr>
            <w:r>
              <w:rPr>
                <w:sz w:val="24"/>
              </w:rPr>
              <w:t>组织级</w:t>
            </w:r>
          </w:p>
          <w:p>
            <w:pPr>
              <w:pStyle w:val="TableParagraph"/>
              <w:spacing w:line="290" w:lineRule="exact" w:before="4"/>
              <w:ind w:left="174"/>
              <w:rPr>
                <w:sz w:val="24"/>
              </w:rPr>
            </w:pPr>
            <w:r>
              <w:rPr>
                <w:sz w:val="24"/>
              </w:rPr>
              <w:t>别</w:t>
            </w:r>
          </w:p>
        </w:tc>
      </w:tr>
      <w:tr>
        <w:trPr>
          <w:trHeight w:val="312" w:hRule="atLeast"/>
        </w:trPr>
        <w:tc>
          <w:tcPr>
            <w:tcW w:w="450" w:type="dxa"/>
          </w:tcPr>
          <w:p>
            <w:pPr>
              <w:pStyle w:val="TableParagraph"/>
              <w:rPr>
                <w:rFonts w:ascii="Times New Roman"/>
                <w:sz w:val="22"/>
              </w:rPr>
            </w:pPr>
          </w:p>
        </w:tc>
        <w:tc>
          <w:tcPr>
            <w:tcW w:w="856" w:type="dxa"/>
          </w:tcPr>
          <w:p>
            <w:pPr>
              <w:pStyle w:val="TableParagraph"/>
              <w:rPr>
                <w:rFonts w:ascii="Times New Roman"/>
                <w:sz w:val="22"/>
              </w:rPr>
            </w:pPr>
          </w:p>
        </w:tc>
        <w:tc>
          <w:tcPr>
            <w:tcW w:w="721" w:type="dxa"/>
          </w:tcPr>
          <w:p>
            <w:pPr>
              <w:pStyle w:val="TableParagraph"/>
              <w:rPr>
                <w:rFonts w:ascii="Times New Roman"/>
                <w:sz w:val="22"/>
              </w:rPr>
            </w:pPr>
          </w:p>
        </w:tc>
        <w:tc>
          <w:tcPr>
            <w:tcW w:w="723" w:type="dxa"/>
          </w:tcPr>
          <w:p>
            <w:pPr>
              <w:pStyle w:val="TableParagraph"/>
              <w:rPr>
                <w:rFonts w:ascii="Times New Roman"/>
                <w:sz w:val="22"/>
              </w:rPr>
            </w:pPr>
          </w:p>
        </w:tc>
        <w:tc>
          <w:tcPr>
            <w:tcW w:w="721" w:type="dxa"/>
          </w:tcPr>
          <w:p>
            <w:pPr>
              <w:pStyle w:val="TableParagraph"/>
              <w:rPr>
                <w:rFonts w:ascii="Times New Roman"/>
                <w:sz w:val="22"/>
              </w:rPr>
            </w:pPr>
          </w:p>
        </w:tc>
        <w:tc>
          <w:tcPr>
            <w:tcW w:w="721" w:type="dxa"/>
          </w:tcPr>
          <w:p>
            <w:pPr>
              <w:pStyle w:val="TableParagraph"/>
              <w:rPr>
                <w:rFonts w:ascii="Times New Roman"/>
                <w:sz w:val="22"/>
              </w:rPr>
            </w:pPr>
          </w:p>
        </w:tc>
        <w:tc>
          <w:tcPr>
            <w:tcW w:w="721" w:type="dxa"/>
          </w:tcPr>
          <w:p>
            <w:pPr>
              <w:pStyle w:val="TableParagraph"/>
              <w:rPr>
                <w:rFonts w:ascii="Times New Roman"/>
                <w:sz w:val="22"/>
              </w:rPr>
            </w:pPr>
          </w:p>
        </w:tc>
        <w:tc>
          <w:tcPr>
            <w:tcW w:w="588" w:type="dxa"/>
          </w:tcPr>
          <w:p>
            <w:pPr>
              <w:pStyle w:val="TableParagraph"/>
              <w:rPr>
                <w:rFonts w:ascii="Times New Roman"/>
                <w:sz w:val="22"/>
              </w:rPr>
            </w:pPr>
          </w:p>
        </w:tc>
        <w:tc>
          <w:tcPr>
            <w:tcW w:w="588" w:type="dxa"/>
          </w:tcPr>
          <w:p>
            <w:pPr>
              <w:pStyle w:val="TableParagraph"/>
              <w:rPr>
                <w:rFonts w:ascii="Times New Roman"/>
                <w:sz w:val="22"/>
              </w:rPr>
            </w:pPr>
          </w:p>
        </w:tc>
        <w:tc>
          <w:tcPr>
            <w:tcW w:w="588" w:type="dxa"/>
          </w:tcPr>
          <w:p>
            <w:pPr>
              <w:pStyle w:val="TableParagraph"/>
              <w:rPr>
                <w:rFonts w:ascii="Times New Roman"/>
                <w:sz w:val="22"/>
              </w:rPr>
            </w:pPr>
          </w:p>
        </w:tc>
        <w:tc>
          <w:tcPr>
            <w:tcW w:w="588" w:type="dxa"/>
          </w:tcPr>
          <w:p>
            <w:pPr>
              <w:pStyle w:val="TableParagraph"/>
              <w:rPr>
                <w:rFonts w:ascii="Times New Roman"/>
                <w:sz w:val="22"/>
              </w:rPr>
            </w:pPr>
          </w:p>
        </w:tc>
        <w:tc>
          <w:tcPr>
            <w:tcW w:w="564" w:type="dxa"/>
          </w:tcPr>
          <w:p>
            <w:pPr>
              <w:pStyle w:val="TableParagraph"/>
              <w:rPr>
                <w:rFonts w:ascii="Times New Roman"/>
                <w:sz w:val="22"/>
              </w:rPr>
            </w:pPr>
          </w:p>
        </w:tc>
        <w:tc>
          <w:tcPr>
            <w:tcW w:w="591" w:type="dxa"/>
          </w:tcPr>
          <w:p>
            <w:pPr>
              <w:pStyle w:val="TableParagraph"/>
              <w:rPr>
                <w:rFonts w:ascii="Times New Roman"/>
                <w:sz w:val="22"/>
              </w:rPr>
            </w:pPr>
          </w:p>
        </w:tc>
      </w:tr>
      <w:tr>
        <w:trPr>
          <w:trHeight w:val="311" w:hRule="atLeast"/>
        </w:trPr>
        <w:tc>
          <w:tcPr>
            <w:tcW w:w="450" w:type="dxa"/>
          </w:tcPr>
          <w:p>
            <w:pPr>
              <w:pStyle w:val="TableParagraph"/>
              <w:rPr>
                <w:rFonts w:ascii="Times New Roman"/>
                <w:sz w:val="22"/>
              </w:rPr>
            </w:pPr>
          </w:p>
        </w:tc>
        <w:tc>
          <w:tcPr>
            <w:tcW w:w="856" w:type="dxa"/>
          </w:tcPr>
          <w:p>
            <w:pPr>
              <w:pStyle w:val="TableParagraph"/>
              <w:rPr>
                <w:rFonts w:ascii="Times New Roman"/>
                <w:sz w:val="22"/>
              </w:rPr>
            </w:pPr>
          </w:p>
        </w:tc>
        <w:tc>
          <w:tcPr>
            <w:tcW w:w="721" w:type="dxa"/>
          </w:tcPr>
          <w:p>
            <w:pPr>
              <w:pStyle w:val="TableParagraph"/>
              <w:rPr>
                <w:rFonts w:ascii="Times New Roman"/>
                <w:sz w:val="22"/>
              </w:rPr>
            </w:pPr>
          </w:p>
        </w:tc>
        <w:tc>
          <w:tcPr>
            <w:tcW w:w="723" w:type="dxa"/>
          </w:tcPr>
          <w:p>
            <w:pPr>
              <w:pStyle w:val="TableParagraph"/>
              <w:rPr>
                <w:rFonts w:ascii="Times New Roman"/>
                <w:sz w:val="22"/>
              </w:rPr>
            </w:pPr>
          </w:p>
        </w:tc>
        <w:tc>
          <w:tcPr>
            <w:tcW w:w="721" w:type="dxa"/>
          </w:tcPr>
          <w:p>
            <w:pPr>
              <w:pStyle w:val="TableParagraph"/>
              <w:rPr>
                <w:rFonts w:ascii="Times New Roman"/>
                <w:sz w:val="22"/>
              </w:rPr>
            </w:pPr>
          </w:p>
        </w:tc>
        <w:tc>
          <w:tcPr>
            <w:tcW w:w="721" w:type="dxa"/>
          </w:tcPr>
          <w:p>
            <w:pPr>
              <w:pStyle w:val="TableParagraph"/>
              <w:rPr>
                <w:rFonts w:ascii="Times New Roman"/>
                <w:sz w:val="22"/>
              </w:rPr>
            </w:pPr>
          </w:p>
        </w:tc>
        <w:tc>
          <w:tcPr>
            <w:tcW w:w="721" w:type="dxa"/>
          </w:tcPr>
          <w:p>
            <w:pPr>
              <w:pStyle w:val="TableParagraph"/>
              <w:rPr>
                <w:rFonts w:ascii="Times New Roman"/>
                <w:sz w:val="22"/>
              </w:rPr>
            </w:pPr>
          </w:p>
        </w:tc>
        <w:tc>
          <w:tcPr>
            <w:tcW w:w="588" w:type="dxa"/>
          </w:tcPr>
          <w:p>
            <w:pPr>
              <w:pStyle w:val="TableParagraph"/>
              <w:rPr>
                <w:rFonts w:ascii="Times New Roman"/>
                <w:sz w:val="22"/>
              </w:rPr>
            </w:pPr>
          </w:p>
        </w:tc>
        <w:tc>
          <w:tcPr>
            <w:tcW w:w="588" w:type="dxa"/>
          </w:tcPr>
          <w:p>
            <w:pPr>
              <w:pStyle w:val="TableParagraph"/>
              <w:rPr>
                <w:rFonts w:ascii="Times New Roman"/>
                <w:sz w:val="22"/>
              </w:rPr>
            </w:pPr>
          </w:p>
        </w:tc>
        <w:tc>
          <w:tcPr>
            <w:tcW w:w="588" w:type="dxa"/>
          </w:tcPr>
          <w:p>
            <w:pPr>
              <w:pStyle w:val="TableParagraph"/>
              <w:rPr>
                <w:rFonts w:ascii="Times New Roman"/>
                <w:sz w:val="22"/>
              </w:rPr>
            </w:pPr>
          </w:p>
        </w:tc>
        <w:tc>
          <w:tcPr>
            <w:tcW w:w="588" w:type="dxa"/>
          </w:tcPr>
          <w:p>
            <w:pPr>
              <w:pStyle w:val="TableParagraph"/>
              <w:rPr>
                <w:rFonts w:ascii="Times New Roman"/>
                <w:sz w:val="22"/>
              </w:rPr>
            </w:pPr>
          </w:p>
        </w:tc>
        <w:tc>
          <w:tcPr>
            <w:tcW w:w="564" w:type="dxa"/>
          </w:tcPr>
          <w:p>
            <w:pPr>
              <w:pStyle w:val="TableParagraph"/>
              <w:rPr>
                <w:rFonts w:ascii="Times New Roman"/>
                <w:sz w:val="22"/>
              </w:rPr>
            </w:pPr>
          </w:p>
        </w:tc>
        <w:tc>
          <w:tcPr>
            <w:tcW w:w="591" w:type="dxa"/>
          </w:tcPr>
          <w:p>
            <w:pPr>
              <w:pStyle w:val="TableParagraph"/>
              <w:rPr>
                <w:rFonts w:ascii="Times New Roman"/>
                <w:sz w:val="22"/>
              </w:rPr>
            </w:pPr>
          </w:p>
        </w:tc>
      </w:tr>
      <w:tr>
        <w:trPr>
          <w:trHeight w:val="312" w:hRule="atLeast"/>
        </w:trPr>
        <w:tc>
          <w:tcPr>
            <w:tcW w:w="450" w:type="dxa"/>
          </w:tcPr>
          <w:p>
            <w:pPr>
              <w:pStyle w:val="TableParagraph"/>
              <w:rPr>
                <w:rFonts w:ascii="Times New Roman"/>
                <w:sz w:val="22"/>
              </w:rPr>
            </w:pPr>
          </w:p>
        </w:tc>
        <w:tc>
          <w:tcPr>
            <w:tcW w:w="856" w:type="dxa"/>
          </w:tcPr>
          <w:p>
            <w:pPr>
              <w:pStyle w:val="TableParagraph"/>
              <w:rPr>
                <w:rFonts w:ascii="Times New Roman"/>
                <w:sz w:val="22"/>
              </w:rPr>
            </w:pPr>
          </w:p>
        </w:tc>
        <w:tc>
          <w:tcPr>
            <w:tcW w:w="721" w:type="dxa"/>
          </w:tcPr>
          <w:p>
            <w:pPr>
              <w:pStyle w:val="TableParagraph"/>
              <w:rPr>
                <w:rFonts w:ascii="Times New Roman"/>
                <w:sz w:val="22"/>
              </w:rPr>
            </w:pPr>
          </w:p>
        </w:tc>
        <w:tc>
          <w:tcPr>
            <w:tcW w:w="723" w:type="dxa"/>
          </w:tcPr>
          <w:p>
            <w:pPr>
              <w:pStyle w:val="TableParagraph"/>
              <w:rPr>
                <w:rFonts w:ascii="Times New Roman"/>
                <w:sz w:val="22"/>
              </w:rPr>
            </w:pPr>
          </w:p>
        </w:tc>
        <w:tc>
          <w:tcPr>
            <w:tcW w:w="721" w:type="dxa"/>
          </w:tcPr>
          <w:p>
            <w:pPr>
              <w:pStyle w:val="TableParagraph"/>
              <w:rPr>
                <w:rFonts w:ascii="Times New Roman"/>
                <w:sz w:val="22"/>
              </w:rPr>
            </w:pPr>
          </w:p>
        </w:tc>
        <w:tc>
          <w:tcPr>
            <w:tcW w:w="721" w:type="dxa"/>
          </w:tcPr>
          <w:p>
            <w:pPr>
              <w:pStyle w:val="TableParagraph"/>
              <w:rPr>
                <w:rFonts w:ascii="Times New Roman"/>
                <w:sz w:val="22"/>
              </w:rPr>
            </w:pPr>
          </w:p>
        </w:tc>
        <w:tc>
          <w:tcPr>
            <w:tcW w:w="721" w:type="dxa"/>
          </w:tcPr>
          <w:p>
            <w:pPr>
              <w:pStyle w:val="TableParagraph"/>
              <w:rPr>
                <w:rFonts w:ascii="Times New Roman"/>
                <w:sz w:val="22"/>
              </w:rPr>
            </w:pPr>
          </w:p>
        </w:tc>
        <w:tc>
          <w:tcPr>
            <w:tcW w:w="588" w:type="dxa"/>
          </w:tcPr>
          <w:p>
            <w:pPr>
              <w:pStyle w:val="TableParagraph"/>
              <w:rPr>
                <w:rFonts w:ascii="Times New Roman"/>
                <w:sz w:val="22"/>
              </w:rPr>
            </w:pPr>
          </w:p>
        </w:tc>
        <w:tc>
          <w:tcPr>
            <w:tcW w:w="588" w:type="dxa"/>
          </w:tcPr>
          <w:p>
            <w:pPr>
              <w:pStyle w:val="TableParagraph"/>
              <w:rPr>
                <w:rFonts w:ascii="Times New Roman"/>
                <w:sz w:val="22"/>
              </w:rPr>
            </w:pPr>
          </w:p>
        </w:tc>
        <w:tc>
          <w:tcPr>
            <w:tcW w:w="588" w:type="dxa"/>
          </w:tcPr>
          <w:p>
            <w:pPr>
              <w:pStyle w:val="TableParagraph"/>
              <w:rPr>
                <w:rFonts w:ascii="Times New Roman"/>
                <w:sz w:val="22"/>
              </w:rPr>
            </w:pPr>
          </w:p>
        </w:tc>
        <w:tc>
          <w:tcPr>
            <w:tcW w:w="588" w:type="dxa"/>
          </w:tcPr>
          <w:p>
            <w:pPr>
              <w:pStyle w:val="TableParagraph"/>
              <w:rPr>
                <w:rFonts w:ascii="Times New Roman"/>
                <w:sz w:val="22"/>
              </w:rPr>
            </w:pPr>
          </w:p>
        </w:tc>
        <w:tc>
          <w:tcPr>
            <w:tcW w:w="564" w:type="dxa"/>
          </w:tcPr>
          <w:p>
            <w:pPr>
              <w:pStyle w:val="TableParagraph"/>
              <w:rPr>
                <w:rFonts w:ascii="Times New Roman"/>
                <w:sz w:val="22"/>
              </w:rPr>
            </w:pPr>
          </w:p>
        </w:tc>
        <w:tc>
          <w:tcPr>
            <w:tcW w:w="591" w:type="dxa"/>
          </w:tcPr>
          <w:p>
            <w:pPr>
              <w:pStyle w:val="TableParagraph"/>
              <w:rPr>
                <w:rFonts w:ascii="Times New Roman"/>
                <w:sz w:val="22"/>
              </w:rPr>
            </w:pPr>
          </w:p>
        </w:tc>
      </w:tr>
      <w:tr>
        <w:trPr>
          <w:trHeight w:val="311" w:hRule="atLeast"/>
        </w:trPr>
        <w:tc>
          <w:tcPr>
            <w:tcW w:w="450" w:type="dxa"/>
          </w:tcPr>
          <w:p>
            <w:pPr>
              <w:pStyle w:val="TableParagraph"/>
              <w:rPr>
                <w:rFonts w:ascii="Times New Roman"/>
                <w:sz w:val="22"/>
              </w:rPr>
            </w:pPr>
          </w:p>
        </w:tc>
        <w:tc>
          <w:tcPr>
            <w:tcW w:w="856" w:type="dxa"/>
          </w:tcPr>
          <w:p>
            <w:pPr>
              <w:pStyle w:val="TableParagraph"/>
              <w:rPr>
                <w:rFonts w:ascii="Times New Roman"/>
                <w:sz w:val="22"/>
              </w:rPr>
            </w:pPr>
          </w:p>
        </w:tc>
        <w:tc>
          <w:tcPr>
            <w:tcW w:w="721" w:type="dxa"/>
          </w:tcPr>
          <w:p>
            <w:pPr>
              <w:pStyle w:val="TableParagraph"/>
              <w:rPr>
                <w:rFonts w:ascii="Times New Roman"/>
                <w:sz w:val="22"/>
              </w:rPr>
            </w:pPr>
          </w:p>
        </w:tc>
        <w:tc>
          <w:tcPr>
            <w:tcW w:w="723" w:type="dxa"/>
          </w:tcPr>
          <w:p>
            <w:pPr>
              <w:pStyle w:val="TableParagraph"/>
              <w:rPr>
                <w:rFonts w:ascii="Times New Roman"/>
                <w:sz w:val="22"/>
              </w:rPr>
            </w:pPr>
          </w:p>
        </w:tc>
        <w:tc>
          <w:tcPr>
            <w:tcW w:w="721" w:type="dxa"/>
          </w:tcPr>
          <w:p>
            <w:pPr>
              <w:pStyle w:val="TableParagraph"/>
              <w:rPr>
                <w:rFonts w:ascii="Times New Roman"/>
                <w:sz w:val="22"/>
              </w:rPr>
            </w:pPr>
          </w:p>
        </w:tc>
        <w:tc>
          <w:tcPr>
            <w:tcW w:w="721" w:type="dxa"/>
          </w:tcPr>
          <w:p>
            <w:pPr>
              <w:pStyle w:val="TableParagraph"/>
              <w:rPr>
                <w:rFonts w:ascii="Times New Roman"/>
                <w:sz w:val="22"/>
              </w:rPr>
            </w:pPr>
          </w:p>
        </w:tc>
        <w:tc>
          <w:tcPr>
            <w:tcW w:w="721" w:type="dxa"/>
          </w:tcPr>
          <w:p>
            <w:pPr>
              <w:pStyle w:val="TableParagraph"/>
              <w:rPr>
                <w:rFonts w:ascii="Times New Roman"/>
                <w:sz w:val="22"/>
              </w:rPr>
            </w:pPr>
          </w:p>
        </w:tc>
        <w:tc>
          <w:tcPr>
            <w:tcW w:w="588" w:type="dxa"/>
          </w:tcPr>
          <w:p>
            <w:pPr>
              <w:pStyle w:val="TableParagraph"/>
              <w:rPr>
                <w:rFonts w:ascii="Times New Roman"/>
                <w:sz w:val="22"/>
              </w:rPr>
            </w:pPr>
          </w:p>
        </w:tc>
        <w:tc>
          <w:tcPr>
            <w:tcW w:w="588" w:type="dxa"/>
          </w:tcPr>
          <w:p>
            <w:pPr>
              <w:pStyle w:val="TableParagraph"/>
              <w:rPr>
                <w:rFonts w:ascii="Times New Roman"/>
                <w:sz w:val="22"/>
              </w:rPr>
            </w:pPr>
          </w:p>
        </w:tc>
        <w:tc>
          <w:tcPr>
            <w:tcW w:w="588" w:type="dxa"/>
          </w:tcPr>
          <w:p>
            <w:pPr>
              <w:pStyle w:val="TableParagraph"/>
              <w:rPr>
                <w:rFonts w:ascii="Times New Roman"/>
                <w:sz w:val="22"/>
              </w:rPr>
            </w:pPr>
          </w:p>
        </w:tc>
        <w:tc>
          <w:tcPr>
            <w:tcW w:w="588" w:type="dxa"/>
          </w:tcPr>
          <w:p>
            <w:pPr>
              <w:pStyle w:val="TableParagraph"/>
              <w:rPr>
                <w:rFonts w:ascii="Times New Roman"/>
                <w:sz w:val="22"/>
              </w:rPr>
            </w:pPr>
          </w:p>
        </w:tc>
        <w:tc>
          <w:tcPr>
            <w:tcW w:w="564" w:type="dxa"/>
          </w:tcPr>
          <w:p>
            <w:pPr>
              <w:pStyle w:val="TableParagraph"/>
              <w:rPr>
                <w:rFonts w:ascii="Times New Roman"/>
                <w:sz w:val="22"/>
              </w:rPr>
            </w:pPr>
          </w:p>
        </w:tc>
        <w:tc>
          <w:tcPr>
            <w:tcW w:w="591" w:type="dxa"/>
          </w:tcPr>
          <w:p>
            <w:pPr>
              <w:pStyle w:val="TableParagraph"/>
              <w:rPr>
                <w:rFonts w:ascii="Times New Roman"/>
                <w:sz w:val="22"/>
              </w:rPr>
            </w:pPr>
          </w:p>
        </w:tc>
      </w:tr>
    </w:tbl>
    <w:p>
      <w:pPr>
        <w:spacing w:line="242" w:lineRule="auto" w:before="3"/>
        <w:ind w:left="740" w:right="940" w:firstLine="480"/>
        <w:jc w:val="left"/>
        <w:rPr>
          <w:sz w:val="24"/>
        </w:rPr>
      </w:pPr>
      <w:r>
        <w:rPr>
          <w:sz w:val="24"/>
        </w:rPr>
        <w:t>注1：排查类型主要包括综合性隐患排查、专业性隐患排查、专项或季节性隐患排查、专家诊断性检查和企业各级负责人履职检查等。</w:t>
      </w:r>
    </w:p>
    <w:p>
      <w:pPr>
        <w:spacing w:line="242" w:lineRule="auto" w:before="3"/>
        <w:ind w:left="1220" w:right="1445" w:firstLine="0"/>
        <w:jc w:val="left"/>
        <w:rPr>
          <w:sz w:val="24"/>
        </w:rPr>
      </w:pPr>
      <w:r>
        <w:rPr>
          <w:sz w:val="24"/>
        </w:rPr>
        <w:t>注2：组织级别包括企业集团级、企业级、部门（车间）级、班组级。注3：“隐患判定”栏在隐患排查判定后填写。</w:t>
      </w:r>
    </w:p>
    <w:p>
      <w:pPr>
        <w:spacing w:after="0" w:line="242" w:lineRule="auto"/>
        <w:jc w:val="left"/>
        <w:rPr>
          <w:sz w:val="24"/>
        </w:rPr>
        <w:sectPr>
          <w:pgSz w:w="11910" w:h="16840"/>
          <w:pgMar w:header="0" w:footer="1232" w:top="1580" w:bottom="1420" w:left="1060" w:right="860"/>
        </w:sectPr>
      </w:pPr>
    </w:p>
    <w:p>
      <w:pPr>
        <w:spacing w:before="157"/>
        <w:ind w:left="504" w:right="705" w:firstLine="0"/>
        <w:jc w:val="center"/>
        <w:rPr>
          <w:sz w:val="24"/>
        </w:rPr>
      </w:pPr>
      <w:r>
        <w:rPr>
          <w:sz w:val="24"/>
        </w:rPr>
        <w:t>附录C</w:t>
      </w:r>
    </w:p>
    <w:p>
      <w:pPr>
        <w:spacing w:before="5"/>
        <w:ind w:left="504" w:right="705" w:firstLine="0"/>
        <w:jc w:val="center"/>
        <w:rPr>
          <w:sz w:val="24"/>
        </w:rPr>
      </w:pPr>
      <w:r>
        <w:rPr>
          <w:sz w:val="24"/>
        </w:rPr>
        <w:t>（资料性）</w:t>
      </w:r>
    </w:p>
    <w:p>
      <w:pPr>
        <w:spacing w:before="4"/>
        <w:ind w:left="504" w:right="705" w:firstLine="0"/>
        <w:jc w:val="center"/>
        <w:rPr>
          <w:sz w:val="24"/>
        </w:rPr>
      </w:pPr>
      <w:r>
        <w:rPr>
          <w:sz w:val="24"/>
        </w:rPr>
        <w:t>隐患整改通知单（样表）</w:t>
      </w:r>
    </w:p>
    <w:p>
      <w:pPr>
        <w:tabs>
          <w:tab w:pos="6373" w:val="left" w:leader="none"/>
        </w:tabs>
        <w:spacing w:before="5"/>
        <w:ind w:left="14" w:right="0" w:firstLine="0"/>
        <w:jc w:val="center"/>
        <w:rPr>
          <w:sz w:val="24"/>
        </w:rPr>
      </w:pPr>
      <w:r>
        <w:rPr>
          <w:sz w:val="24"/>
        </w:rPr>
        <w:t>年 月 日</w:t>
        <w:tab/>
        <w:t>编号：</w:t>
      </w:r>
    </w:p>
    <w:tbl>
      <w:tblPr>
        <w:tblW w:w="0" w:type="auto"/>
        <w:jc w:val="left"/>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59"/>
        <w:gridCol w:w="3014"/>
        <w:gridCol w:w="1082"/>
        <w:gridCol w:w="251"/>
        <w:gridCol w:w="2314"/>
      </w:tblGrid>
      <w:tr>
        <w:trPr>
          <w:trHeight w:val="312" w:hRule="atLeast"/>
        </w:trPr>
        <w:tc>
          <w:tcPr>
            <w:tcW w:w="1759" w:type="dxa"/>
          </w:tcPr>
          <w:p>
            <w:pPr>
              <w:pStyle w:val="TableParagraph"/>
              <w:spacing w:line="289" w:lineRule="exact" w:before="3"/>
              <w:ind w:left="138" w:right="131"/>
              <w:jc w:val="center"/>
              <w:rPr>
                <w:sz w:val="24"/>
              </w:rPr>
            </w:pPr>
            <w:r>
              <w:rPr>
                <w:sz w:val="24"/>
              </w:rPr>
              <w:t>排查部门</w:t>
            </w:r>
          </w:p>
        </w:tc>
        <w:tc>
          <w:tcPr>
            <w:tcW w:w="3014" w:type="dxa"/>
          </w:tcPr>
          <w:p>
            <w:pPr>
              <w:pStyle w:val="TableParagraph"/>
              <w:rPr>
                <w:rFonts w:ascii="Times New Roman"/>
                <w:sz w:val="22"/>
              </w:rPr>
            </w:pPr>
          </w:p>
        </w:tc>
        <w:tc>
          <w:tcPr>
            <w:tcW w:w="1082" w:type="dxa"/>
          </w:tcPr>
          <w:p>
            <w:pPr>
              <w:pStyle w:val="TableParagraph"/>
              <w:spacing w:line="289" w:lineRule="exact" w:before="3"/>
              <w:ind w:left="161"/>
              <w:rPr>
                <w:sz w:val="24"/>
              </w:rPr>
            </w:pPr>
            <w:r>
              <w:rPr>
                <w:sz w:val="24"/>
              </w:rPr>
              <w:t>负责人</w:t>
            </w:r>
          </w:p>
        </w:tc>
        <w:tc>
          <w:tcPr>
            <w:tcW w:w="2565" w:type="dxa"/>
            <w:gridSpan w:val="2"/>
          </w:tcPr>
          <w:p>
            <w:pPr>
              <w:pStyle w:val="TableParagraph"/>
              <w:rPr>
                <w:rFonts w:ascii="Times New Roman"/>
                <w:sz w:val="22"/>
              </w:rPr>
            </w:pPr>
          </w:p>
        </w:tc>
      </w:tr>
      <w:tr>
        <w:trPr>
          <w:trHeight w:val="935" w:hRule="atLeast"/>
        </w:trPr>
        <w:tc>
          <w:tcPr>
            <w:tcW w:w="1759" w:type="dxa"/>
          </w:tcPr>
          <w:p>
            <w:pPr>
              <w:pStyle w:val="TableParagraph"/>
              <w:spacing w:before="7"/>
              <w:rPr>
                <w:sz w:val="24"/>
              </w:rPr>
            </w:pPr>
          </w:p>
          <w:p>
            <w:pPr>
              <w:pStyle w:val="TableParagraph"/>
              <w:ind w:left="138" w:right="131"/>
              <w:jc w:val="center"/>
              <w:rPr>
                <w:sz w:val="24"/>
              </w:rPr>
            </w:pPr>
            <w:r>
              <w:rPr>
                <w:sz w:val="24"/>
              </w:rPr>
              <w:t>存在的隐患</w:t>
            </w:r>
          </w:p>
        </w:tc>
        <w:tc>
          <w:tcPr>
            <w:tcW w:w="6661" w:type="dxa"/>
            <w:gridSpan w:val="4"/>
          </w:tcPr>
          <w:p>
            <w:pPr>
              <w:pStyle w:val="TableParagraph"/>
              <w:rPr>
                <w:rFonts w:ascii="Times New Roman"/>
                <w:sz w:val="22"/>
              </w:rPr>
            </w:pPr>
          </w:p>
        </w:tc>
      </w:tr>
      <w:tr>
        <w:trPr>
          <w:trHeight w:val="935" w:hRule="atLeast"/>
        </w:trPr>
        <w:tc>
          <w:tcPr>
            <w:tcW w:w="1759" w:type="dxa"/>
          </w:tcPr>
          <w:p>
            <w:pPr>
              <w:pStyle w:val="TableParagraph"/>
              <w:spacing w:before="6"/>
              <w:rPr>
                <w:sz w:val="24"/>
              </w:rPr>
            </w:pPr>
          </w:p>
          <w:p>
            <w:pPr>
              <w:pStyle w:val="TableParagraph"/>
              <w:spacing w:before="1"/>
              <w:ind w:left="138" w:right="131"/>
              <w:jc w:val="center"/>
              <w:rPr>
                <w:sz w:val="24"/>
              </w:rPr>
            </w:pPr>
            <w:r>
              <w:rPr>
                <w:sz w:val="24"/>
              </w:rPr>
              <w:t>隐患判定</w:t>
            </w:r>
          </w:p>
        </w:tc>
        <w:tc>
          <w:tcPr>
            <w:tcW w:w="6661" w:type="dxa"/>
            <w:gridSpan w:val="4"/>
          </w:tcPr>
          <w:p>
            <w:pPr>
              <w:pStyle w:val="TableParagraph"/>
              <w:rPr>
                <w:rFonts w:ascii="Times New Roman"/>
                <w:sz w:val="22"/>
              </w:rPr>
            </w:pPr>
          </w:p>
        </w:tc>
      </w:tr>
      <w:tr>
        <w:trPr>
          <w:trHeight w:val="936" w:hRule="atLeast"/>
        </w:trPr>
        <w:tc>
          <w:tcPr>
            <w:tcW w:w="1759" w:type="dxa"/>
          </w:tcPr>
          <w:p>
            <w:pPr>
              <w:pStyle w:val="TableParagraph"/>
              <w:spacing w:line="242" w:lineRule="auto" w:before="158"/>
              <w:ind w:left="518" w:right="388" w:hanging="120"/>
              <w:rPr>
                <w:sz w:val="24"/>
              </w:rPr>
            </w:pPr>
            <w:r>
              <w:rPr>
                <w:sz w:val="24"/>
              </w:rPr>
              <w:t>整改措施及要求</w:t>
            </w:r>
          </w:p>
        </w:tc>
        <w:tc>
          <w:tcPr>
            <w:tcW w:w="6661" w:type="dxa"/>
            <w:gridSpan w:val="4"/>
          </w:tcPr>
          <w:p>
            <w:pPr>
              <w:pStyle w:val="TableParagraph"/>
              <w:rPr>
                <w:rFonts w:ascii="Times New Roman"/>
                <w:sz w:val="22"/>
              </w:rPr>
            </w:pPr>
          </w:p>
        </w:tc>
      </w:tr>
      <w:tr>
        <w:trPr>
          <w:trHeight w:val="623" w:hRule="atLeast"/>
        </w:trPr>
        <w:tc>
          <w:tcPr>
            <w:tcW w:w="1759" w:type="dxa"/>
          </w:tcPr>
          <w:p>
            <w:pPr>
              <w:pStyle w:val="TableParagraph"/>
              <w:spacing w:before="160"/>
              <w:ind w:left="138" w:right="131"/>
              <w:jc w:val="center"/>
              <w:rPr>
                <w:sz w:val="24"/>
              </w:rPr>
            </w:pPr>
            <w:r>
              <w:rPr>
                <w:sz w:val="24"/>
              </w:rPr>
              <w:t>排查人员签字</w:t>
            </w:r>
          </w:p>
        </w:tc>
        <w:tc>
          <w:tcPr>
            <w:tcW w:w="3014" w:type="dxa"/>
          </w:tcPr>
          <w:p>
            <w:pPr>
              <w:pStyle w:val="TableParagraph"/>
              <w:rPr>
                <w:rFonts w:ascii="Times New Roman"/>
                <w:sz w:val="22"/>
              </w:rPr>
            </w:pPr>
          </w:p>
        </w:tc>
        <w:tc>
          <w:tcPr>
            <w:tcW w:w="1333" w:type="dxa"/>
            <w:gridSpan w:val="2"/>
          </w:tcPr>
          <w:p>
            <w:pPr>
              <w:pStyle w:val="TableParagraph"/>
              <w:spacing w:before="4"/>
              <w:ind w:left="204"/>
              <w:rPr>
                <w:sz w:val="24"/>
              </w:rPr>
            </w:pPr>
            <w:r>
              <w:rPr>
                <w:sz w:val="24"/>
              </w:rPr>
              <w:t>整改责任</w:t>
            </w:r>
          </w:p>
          <w:p>
            <w:pPr>
              <w:pStyle w:val="TableParagraph"/>
              <w:spacing w:line="288" w:lineRule="exact" w:before="4"/>
              <w:ind w:left="324"/>
              <w:rPr>
                <w:sz w:val="24"/>
              </w:rPr>
            </w:pPr>
            <w:r>
              <w:rPr>
                <w:sz w:val="24"/>
              </w:rPr>
              <w:t>人签字</w:t>
            </w:r>
          </w:p>
        </w:tc>
        <w:tc>
          <w:tcPr>
            <w:tcW w:w="2314" w:type="dxa"/>
          </w:tcPr>
          <w:p>
            <w:pPr>
              <w:pStyle w:val="TableParagraph"/>
              <w:rPr>
                <w:rFonts w:ascii="Times New Roman"/>
                <w:sz w:val="22"/>
              </w:rPr>
            </w:pPr>
          </w:p>
        </w:tc>
      </w:tr>
      <w:tr>
        <w:trPr>
          <w:trHeight w:val="1247" w:hRule="atLeast"/>
        </w:trPr>
        <w:tc>
          <w:tcPr>
            <w:tcW w:w="1759" w:type="dxa"/>
          </w:tcPr>
          <w:p>
            <w:pPr>
              <w:pStyle w:val="TableParagraph"/>
              <w:rPr>
                <w:sz w:val="24"/>
              </w:rPr>
            </w:pPr>
          </w:p>
          <w:p>
            <w:pPr>
              <w:pStyle w:val="TableParagraph"/>
              <w:spacing w:before="164"/>
              <w:ind w:left="138" w:right="131"/>
              <w:jc w:val="center"/>
              <w:rPr>
                <w:sz w:val="24"/>
              </w:rPr>
            </w:pPr>
            <w:r>
              <w:rPr>
                <w:sz w:val="24"/>
              </w:rPr>
              <w:t>落实验证</w:t>
            </w:r>
          </w:p>
        </w:tc>
        <w:tc>
          <w:tcPr>
            <w:tcW w:w="6661" w:type="dxa"/>
            <w:gridSpan w:val="4"/>
          </w:tcPr>
          <w:p>
            <w:pPr>
              <w:pStyle w:val="TableParagraph"/>
              <w:rPr>
                <w:sz w:val="24"/>
              </w:rPr>
            </w:pPr>
          </w:p>
          <w:p>
            <w:pPr>
              <w:pStyle w:val="TableParagraph"/>
              <w:rPr>
                <w:sz w:val="24"/>
              </w:rPr>
            </w:pPr>
          </w:p>
          <w:p>
            <w:pPr>
              <w:pStyle w:val="TableParagraph"/>
              <w:spacing w:before="4"/>
              <w:rPr>
                <w:sz w:val="25"/>
              </w:rPr>
            </w:pPr>
          </w:p>
          <w:p>
            <w:pPr>
              <w:pStyle w:val="TableParagraph"/>
              <w:tabs>
                <w:tab w:pos="4348" w:val="left" w:leader="none"/>
              </w:tabs>
              <w:spacing w:line="288" w:lineRule="exact"/>
              <w:ind w:left="2668"/>
              <w:rPr>
                <w:sz w:val="24"/>
              </w:rPr>
            </w:pPr>
            <w:r>
              <w:rPr>
                <w:sz w:val="24"/>
              </w:rPr>
              <w:t>验收人：</w:t>
              <w:tab/>
              <w:t>验收日期：</w:t>
            </w:r>
          </w:p>
        </w:tc>
      </w:tr>
    </w:tbl>
    <w:p>
      <w:pPr>
        <w:spacing w:after="0" w:line="288" w:lineRule="exact"/>
        <w:rPr>
          <w:sz w:val="24"/>
        </w:rPr>
        <w:sectPr>
          <w:pgSz w:w="11910" w:h="16840"/>
          <w:pgMar w:header="0" w:footer="1232" w:top="1580" w:bottom="1420" w:left="1060" w:right="860"/>
        </w:sectPr>
      </w:pPr>
    </w:p>
    <w:p>
      <w:pPr>
        <w:spacing w:before="157"/>
        <w:ind w:left="508" w:right="705" w:firstLine="0"/>
        <w:jc w:val="center"/>
        <w:rPr>
          <w:sz w:val="24"/>
        </w:rPr>
      </w:pPr>
      <w:r>
        <w:rPr>
          <w:sz w:val="24"/>
        </w:rPr>
        <w:t>附录 D</w:t>
      </w:r>
    </w:p>
    <w:p>
      <w:pPr>
        <w:spacing w:before="5"/>
        <w:ind w:left="504" w:right="705" w:firstLine="0"/>
        <w:jc w:val="center"/>
        <w:rPr>
          <w:sz w:val="24"/>
        </w:rPr>
      </w:pPr>
      <w:r>
        <w:rPr>
          <w:sz w:val="24"/>
        </w:rPr>
        <w:t>（资料性）</w:t>
      </w:r>
    </w:p>
    <w:p>
      <w:pPr>
        <w:spacing w:before="4"/>
        <w:ind w:left="504" w:right="705" w:firstLine="0"/>
        <w:jc w:val="center"/>
        <w:rPr>
          <w:sz w:val="24"/>
        </w:rPr>
      </w:pPr>
      <w:r>
        <w:rPr>
          <w:sz w:val="24"/>
        </w:rPr>
        <w:t>事故隐患排查治理完成情况公示（样表）</w:t>
      </w:r>
    </w:p>
    <w:tbl>
      <w:tblPr>
        <w:tblW w:w="0" w:type="auto"/>
        <w:jc w:val="left"/>
        <w:tblInd w:w="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59"/>
        <w:gridCol w:w="959"/>
        <w:gridCol w:w="959"/>
        <w:gridCol w:w="959"/>
        <w:gridCol w:w="959"/>
        <w:gridCol w:w="959"/>
        <w:gridCol w:w="960"/>
        <w:gridCol w:w="961"/>
        <w:gridCol w:w="961"/>
      </w:tblGrid>
      <w:tr>
        <w:trPr>
          <w:trHeight w:val="624" w:hRule="atLeast"/>
        </w:trPr>
        <w:tc>
          <w:tcPr>
            <w:tcW w:w="8636" w:type="dxa"/>
            <w:gridSpan w:val="9"/>
          </w:tcPr>
          <w:p>
            <w:pPr>
              <w:pStyle w:val="TableParagraph"/>
              <w:spacing w:before="3"/>
              <w:ind w:left="2258" w:right="2247"/>
              <w:jc w:val="center"/>
              <w:rPr>
                <w:sz w:val="24"/>
              </w:rPr>
            </w:pPr>
            <w:r>
              <w:rPr>
                <w:sz w:val="24"/>
              </w:rPr>
              <w:t>XXXXXXX（企业名称）</w:t>
            </w:r>
          </w:p>
          <w:p>
            <w:pPr>
              <w:pStyle w:val="TableParagraph"/>
              <w:spacing w:line="289" w:lineRule="exact" w:before="4"/>
              <w:ind w:left="2258" w:right="2247"/>
              <w:jc w:val="center"/>
              <w:rPr>
                <w:sz w:val="24"/>
              </w:rPr>
            </w:pPr>
            <w:r>
              <w:rPr>
                <w:sz w:val="24"/>
              </w:rPr>
              <w:t>（年、月）隐患排查治理完成情况公示</w:t>
            </w:r>
          </w:p>
        </w:tc>
      </w:tr>
      <w:tr>
        <w:trPr>
          <w:trHeight w:val="623" w:hRule="atLeast"/>
        </w:trPr>
        <w:tc>
          <w:tcPr>
            <w:tcW w:w="959" w:type="dxa"/>
          </w:tcPr>
          <w:p>
            <w:pPr>
              <w:pStyle w:val="TableParagraph"/>
              <w:spacing w:before="159"/>
              <w:ind w:left="238"/>
              <w:rPr>
                <w:sz w:val="24"/>
              </w:rPr>
            </w:pPr>
            <w:r>
              <w:rPr>
                <w:sz w:val="24"/>
              </w:rPr>
              <w:t>序号</w:t>
            </w:r>
          </w:p>
        </w:tc>
        <w:tc>
          <w:tcPr>
            <w:tcW w:w="959" w:type="dxa"/>
          </w:tcPr>
          <w:p>
            <w:pPr>
              <w:pStyle w:val="TableParagraph"/>
              <w:spacing w:before="3"/>
              <w:ind w:left="98" w:right="88"/>
              <w:jc w:val="center"/>
              <w:rPr>
                <w:sz w:val="24"/>
              </w:rPr>
            </w:pPr>
            <w:r>
              <w:rPr>
                <w:sz w:val="24"/>
              </w:rPr>
              <w:t>隐患内</w:t>
            </w:r>
          </w:p>
          <w:p>
            <w:pPr>
              <w:pStyle w:val="TableParagraph"/>
              <w:spacing w:line="289" w:lineRule="exact" w:before="4"/>
              <w:ind w:left="10"/>
              <w:jc w:val="center"/>
              <w:rPr>
                <w:sz w:val="24"/>
              </w:rPr>
            </w:pPr>
            <w:r>
              <w:rPr>
                <w:sz w:val="24"/>
              </w:rPr>
              <w:t>容</w:t>
            </w:r>
          </w:p>
        </w:tc>
        <w:tc>
          <w:tcPr>
            <w:tcW w:w="959" w:type="dxa"/>
          </w:tcPr>
          <w:p>
            <w:pPr>
              <w:pStyle w:val="TableParagraph"/>
              <w:spacing w:before="3"/>
              <w:ind w:left="96" w:right="89"/>
              <w:jc w:val="center"/>
              <w:rPr>
                <w:sz w:val="24"/>
              </w:rPr>
            </w:pPr>
            <w:r>
              <w:rPr>
                <w:sz w:val="24"/>
              </w:rPr>
              <w:t>所在区</w:t>
            </w:r>
          </w:p>
          <w:p>
            <w:pPr>
              <w:pStyle w:val="TableParagraph"/>
              <w:spacing w:line="289" w:lineRule="exact" w:before="4"/>
              <w:ind w:left="7"/>
              <w:jc w:val="center"/>
              <w:rPr>
                <w:sz w:val="24"/>
              </w:rPr>
            </w:pPr>
            <w:r>
              <w:rPr>
                <w:sz w:val="24"/>
              </w:rPr>
              <w:t>域</w:t>
            </w:r>
          </w:p>
        </w:tc>
        <w:tc>
          <w:tcPr>
            <w:tcW w:w="959" w:type="dxa"/>
          </w:tcPr>
          <w:p>
            <w:pPr>
              <w:pStyle w:val="TableParagraph"/>
              <w:spacing w:before="3"/>
              <w:ind w:left="98" w:right="89"/>
              <w:jc w:val="center"/>
              <w:rPr>
                <w:sz w:val="24"/>
              </w:rPr>
            </w:pPr>
            <w:r>
              <w:rPr>
                <w:sz w:val="24"/>
              </w:rPr>
              <w:t>整改要</w:t>
            </w:r>
          </w:p>
          <w:p>
            <w:pPr>
              <w:pStyle w:val="TableParagraph"/>
              <w:spacing w:line="289" w:lineRule="exact" w:before="4"/>
              <w:ind w:left="9"/>
              <w:jc w:val="center"/>
              <w:rPr>
                <w:sz w:val="24"/>
              </w:rPr>
            </w:pPr>
            <w:r>
              <w:rPr>
                <w:sz w:val="24"/>
              </w:rPr>
              <w:t>求</w:t>
            </w:r>
          </w:p>
        </w:tc>
        <w:tc>
          <w:tcPr>
            <w:tcW w:w="959" w:type="dxa"/>
          </w:tcPr>
          <w:p>
            <w:pPr>
              <w:pStyle w:val="TableParagraph"/>
              <w:spacing w:before="3"/>
              <w:ind w:left="117"/>
              <w:rPr>
                <w:sz w:val="24"/>
              </w:rPr>
            </w:pPr>
            <w:r>
              <w:rPr>
                <w:sz w:val="24"/>
              </w:rPr>
              <w:t>整改责</w:t>
            </w:r>
          </w:p>
          <w:p>
            <w:pPr>
              <w:pStyle w:val="TableParagraph"/>
              <w:spacing w:line="289" w:lineRule="exact" w:before="4"/>
              <w:ind w:left="237"/>
              <w:rPr>
                <w:sz w:val="24"/>
              </w:rPr>
            </w:pPr>
            <w:r>
              <w:rPr>
                <w:sz w:val="24"/>
              </w:rPr>
              <w:t>任人</w:t>
            </w:r>
          </w:p>
        </w:tc>
        <w:tc>
          <w:tcPr>
            <w:tcW w:w="959" w:type="dxa"/>
          </w:tcPr>
          <w:p>
            <w:pPr>
              <w:pStyle w:val="TableParagraph"/>
              <w:spacing w:before="3"/>
              <w:ind w:left="97" w:right="89"/>
              <w:jc w:val="center"/>
              <w:rPr>
                <w:sz w:val="24"/>
              </w:rPr>
            </w:pPr>
            <w:r>
              <w:rPr>
                <w:sz w:val="24"/>
              </w:rPr>
              <w:t>完成时</w:t>
            </w:r>
          </w:p>
          <w:p>
            <w:pPr>
              <w:pStyle w:val="TableParagraph"/>
              <w:spacing w:line="289" w:lineRule="exact" w:before="4"/>
              <w:ind w:left="8"/>
              <w:jc w:val="center"/>
              <w:rPr>
                <w:sz w:val="24"/>
              </w:rPr>
            </w:pPr>
            <w:r>
              <w:rPr>
                <w:sz w:val="24"/>
              </w:rPr>
              <w:t>间</w:t>
            </w:r>
          </w:p>
        </w:tc>
        <w:tc>
          <w:tcPr>
            <w:tcW w:w="960" w:type="dxa"/>
          </w:tcPr>
          <w:p>
            <w:pPr>
              <w:pStyle w:val="TableParagraph"/>
              <w:spacing w:before="3"/>
              <w:ind w:left="99" w:right="90"/>
              <w:jc w:val="center"/>
              <w:rPr>
                <w:sz w:val="24"/>
              </w:rPr>
            </w:pPr>
            <w:r>
              <w:rPr>
                <w:sz w:val="24"/>
              </w:rPr>
              <w:t>完成情</w:t>
            </w:r>
          </w:p>
          <w:p>
            <w:pPr>
              <w:pStyle w:val="TableParagraph"/>
              <w:spacing w:line="289" w:lineRule="exact" w:before="4"/>
              <w:ind w:left="9"/>
              <w:jc w:val="center"/>
              <w:rPr>
                <w:sz w:val="24"/>
              </w:rPr>
            </w:pPr>
            <w:r>
              <w:rPr>
                <w:sz w:val="24"/>
              </w:rPr>
              <w:t>况</w:t>
            </w:r>
          </w:p>
        </w:tc>
        <w:tc>
          <w:tcPr>
            <w:tcW w:w="961" w:type="dxa"/>
          </w:tcPr>
          <w:p>
            <w:pPr>
              <w:pStyle w:val="TableParagraph"/>
              <w:spacing w:before="3"/>
              <w:ind w:left="119"/>
              <w:rPr>
                <w:sz w:val="24"/>
              </w:rPr>
            </w:pPr>
            <w:r>
              <w:rPr>
                <w:sz w:val="24"/>
              </w:rPr>
              <w:t>整改验</w:t>
            </w:r>
          </w:p>
          <w:p>
            <w:pPr>
              <w:pStyle w:val="TableParagraph"/>
              <w:spacing w:line="289" w:lineRule="exact" w:before="4"/>
              <w:ind w:left="239"/>
              <w:rPr>
                <w:sz w:val="24"/>
              </w:rPr>
            </w:pPr>
            <w:r>
              <w:rPr>
                <w:sz w:val="24"/>
              </w:rPr>
              <w:t>收人</w:t>
            </w:r>
          </w:p>
        </w:tc>
        <w:tc>
          <w:tcPr>
            <w:tcW w:w="961" w:type="dxa"/>
          </w:tcPr>
          <w:p>
            <w:pPr>
              <w:pStyle w:val="TableParagraph"/>
              <w:spacing w:before="3"/>
              <w:ind w:left="98" w:right="92"/>
              <w:jc w:val="center"/>
              <w:rPr>
                <w:sz w:val="24"/>
              </w:rPr>
            </w:pPr>
            <w:r>
              <w:rPr>
                <w:sz w:val="24"/>
              </w:rPr>
              <w:t>验收时</w:t>
            </w:r>
          </w:p>
          <w:p>
            <w:pPr>
              <w:pStyle w:val="TableParagraph"/>
              <w:spacing w:line="289" w:lineRule="exact" w:before="4"/>
              <w:ind w:left="6"/>
              <w:jc w:val="center"/>
              <w:rPr>
                <w:sz w:val="24"/>
              </w:rPr>
            </w:pPr>
            <w:r>
              <w:rPr>
                <w:sz w:val="24"/>
              </w:rPr>
              <w:t>间</w:t>
            </w:r>
          </w:p>
        </w:tc>
      </w:tr>
      <w:tr>
        <w:trPr>
          <w:trHeight w:val="312" w:hRule="atLeast"/>
        </w:trPr>
        <w:tc>
          <w:tcPr>
            <w:tcW w:w="959" w:type="dxa"/>
          </w:tcPr>
          <w:p>
            <w:pPr>
              <w:pStyle w:val="TableParagraph"/>
              <w:rPr>
                <w:rFonts w:ascii="Times New Roman"/>
                <w:sz w:val="22"/>
              </w:rPr>
            </w:pPr>
          </w:p>
        </w:tc>
        <w:tc>
          <w:tcPr>
            <w:tcW w:w="959" w:type="dxa"/>
          </w:tcPr>
          <w:p>
            <w:pPr>
              <w:pStyle w:val="TableParagraph"/>
              <w:rPr>
                <w:rFonts w:ascii="Times New Roman"/>
                <w:sz w:val="22"/>
              </w:rPr>
            </w:pPr>
          </w:p>
        </w:tc>
        <w:tc>
          <w:tcPr>
            <w:tcW w:w="959" w:type="dxa"/>
          </w:tcPr>
          <w:p>
            <w:pPr>
              <w:pStyle w:val="TableParagraph"/>
              <w:rPr>
                <w:rFonts w:ascii="Times New Roman"/>
                <w:sz w:val="22"/>
              </w:rPr>
            </w:pPr>
          </w:p>
        </w:tc>
        <w:tc>
          <w:tcPr>
            <w:tcW w:w="959" w:type="dxa"/>
          </w:tcPr>
          <w:p>
            <w:pPr>
              <w:pStyle w:val="TableParagraph"/>
              <w:rPr>
                <w:rFonts w:ascii="Times New Roman"/>
                <w:sz w:val="22"/>
              </w:rPr>
            </w:pPr>
          </w:p>
        </w:tc>
        <w:tc>
          <w:tcPr>
            <w:tcW w:w="959" w:type="dxa"/>
          </w:tcPr>
          <w:p>
            <w:pPr>
              <w:pStyle w:val="TableParagraph"/>
              <w:rPr>
                <w:rFonts w:ascii="Times New Roman"/>
                <w:sz w:val="22"/>
              </w:rPr>
            </w:pPr>
          </w:p>
        </w:tc>
        <w:tc>
          <w:tcPr>
            <w:tcW w:w="959" w:type="dxa"/>
          </w:tcPr>
          <w:p>
            <w:pPr>
              <w:pStyle w:val="TableParagraph"/>
              <w:rPr>
                <w:rFonts w:ascii="Times New Roman"/>
                <w:sz w:val="22"/>
              </w:rPr>
            </w:pPr>
          </w:p>
        </w:tc>
        <w:tc>
          <w:tcPr>
            <w:tcW w:w="960" w:type="dxa"/>
          </w:tcPr>
          <w:p>
            <w:pPr>
              <w:pStyle w:val="TableParagraph"/>
              <w:rPr>
                <w:rFonts w:ascii="Times New Roman"/>
                <w:sz w:val="22"/>
              </w:rPr>
            </w:pPr>
          </w:p>
        </w:tc>
        <w:tc>
          <w:tcPr>
            <w:tcW w:w="961" w:type="dxa"/>
          </w:tcPr>
          <w:p>
            <w:pPr>
              <w:pStyle w:val="TableParagraph"/>
              <w:rPr>
                <w:rFonts w:ascii="Times New Roman"/>
                <w:sz w:val="22"/>
              </w:rPr>
            </w:pPr>
          </w:p>
        </w:tc>
        <w:tc>
          <w:tcPr>
            <w:tcW w:w="961" w:type="dxa"/>
          </w:tcPr>
          <w:p>
            <w:pPr>
              <w:pStyle w:val="TableParagraph"/>
              <w:rPr>
                <w:rFonts w:ascii="Times New Roman"/>
                <w:sz w:val="22"/>
              </w:rPr>
            </w:pPr>
          </w:p>
        </w:tc>
      </w:tr>
      <w:tr>
        <w:trPr>
          <w:trHeight w:val="312" w:hRule="atLeast"/>
        </w:trPr>
        <w:tc>
          <w:tcPr>
            <w:tcW w:w="959" w:type="dxa"/>
          </w:tcPr>
          <w:p>
            <w:pPr>
              <w:pStyle w:val="TableParagraph"/>
              <w:rPr>
                <w:rFonts w:ascii="Times New Roman"/>
                <w:sz w:val="22"/>
              </w:rPr>
            </w:pPr>
          </w:p>
        </w:tc>
        <w:tc>
          <w:tcPr>
            <w:tcW w:w="959" w:type="dxa"/>
          </w:tcPr>
          <w:p>
            <w:pPr>
              <w:pStyle w:val="TableParagraph"/>
              <w:rPr>
                <w:rFonts w:ascii="Times New Roman"/>
                <w:sz w:val="22"/>
              </w:rPr>
            </w:pPr>
          </w:p>
        </w:tc>
        <w:tc>
          <w:tcPr>
            <w:tcW w:w="959" w:type="dxa"/>
          </w:tcPr>
          <w:p>
            <w:pPr>
              <w:pStyle w:val="TableParagraph"/>
              <w:rPr>
                <w:rFonts w:ascii="Times New Roman"/>
                <w:sz w:val="22"/>
              </w:rPr>
            </w:pPr>
          </w:p>
        </w:tc>
        <w:tc>
          <w:tcPr>
            <w:tcW w:w="959" w:type="dxa"/>
          </w:tcPr>
          <w:p>
            <w:pPr>
              <w:pStyle w:val="TableParagraph"/>
              <w:rPr>
                <w:rFonts w:ascii="Times New Roman"/>
                <w:sz w:val="22"/>
              </w:rPr>
            </w:pPr>
          </w:p>
        </w:tc>
        <w:tc>
          <w:tcPr>
            <w:tcW w:w="959" w:type="dxa"/>
          </w:tcPr>
          <w:p>
            <w:pPr>
              <w:pStyle w:val="TableParagraph"/>
              <w:rPr>
                <w:rFonts w:ascii="Times New Roman"/>
                <w:sz w:val="22"/>
              </w:rPr>
            </w:pPr>
          </w:p>
        </w:tc>
        <w:tc>
          <w:tcPr>
            <w:tcW w:w="959" w:type="dxa"/>
          </w:tcPr>
          <w:p>
            <w:pPr>
              <w:pStyle w:val="TableParagraph"/>
              <w:rPr>
                <w:rFonts w:ascii="Times New Roman"/>
                <w:sz w:val="22"/>
              </w:rPr>
            </w:pPr>
          </w:p>
        </w:tc>
        <w:tc>
          <w:tcPr>
            <w:tcW w:w="960" w:type="dxa"/>
          </w:tcPr>
          <w:p>
            <w:pPr>
              <w:pStyle w:val="TableParagraph"/>
              <w:rPr>
                <w:rFonts w:ascii="Times New Roman"/>
                <w:sz w:val="22"/>
              </w:rPr>
            </w:pPr>
          </w:p>
        </w:tc>
        <w:tc>
          <w:tcPr>
            <w:tcW w:w="961" w:type="dxa"/>
          </w:tcPr>
          <w:p>
            <w:pPr>
              <w:pStyle w:val="TableParagraph"/>
              <w:rPr>
                <w:rFonts w:ascii="Times New Roman"/>
                <w:sz w:val="22"/>
              </w:rPr>
            </w:pPr>
          </w:p>
        </w:tc>
        <w:tc>
          <w:tcPr>
            <w:tcW w:w="961" w:type="dxa"/>
          </w:tcPr>
          <w:p>
            <w:pPr>
              <w:pStyle w:val="TableParagraph"/>
              <w:rPr>
                <w:rFonts w:ascii="Times New Roman"/>
                <w:sz w:val="22"/>
              </w:rPr>
            </w:pPr>
          </w:p>
        </w:tc>
      </w:tr>
      <w:tr>
        <w:trPr>
          <w:trHeight w:val="312" w:hRule="atLeast"/>
        </w:trPr>
        <w:tc>
          <w:tcPr>
            <w:tcW w:w="959" w:type="dxa"/>
          </w:tcPr>
          <w:p>
            <w:pPr>
              <w:pStyle w:val="TableParagraph"/>
              <w:rPr>
                <w:rFonts w:ascii="Times New Roman"/>
                <w:sz w:val="22"/>
              </w:rPr>
            </w:pPr>
          </w:p>
        </w:tc>
        <w:tc>
          <w:tcPr>
            <w:tcW w:w="959" w:type="dxa"/>
          </w:tcPr>
          <w:p>
            <w:pPr>
              <w:pStyle w:val="TableParagraph"/>
              <w:rPr>
                <w:rFonts w:ascii="Times New Roman"/>
                <w:sz w:val="22"/>
              </w:rPr>
            </w:pPr>
          </w:p>
        </w:tc>
        <w:tc>
          <w:tcPr>
            <w:tcW w:w="959" w:type="dxa"/>
          </w:tcPr>
          <w:p>
            <w:pPr>
              <w:pStyle w:val="TableParagraph"/>
              <w:rPr>
                <w:rFonts w:ascii="Times New Roman"/>
                <w:sz w:val="22"/>
              </w:rPr>
            </w:pPr>
          </w:p>
        </w:tc>
        <w:tc>
          <w:tcPr>
            <w:tcW w:w="959" w:type="dxa"/>
          </w:tcPr>
          <w:p>
            <w:pPr>
              <w:pStyle w:val="TableParagraph"/>
              <w:rPr>
                <w:rFonts w:ascii="Times New Roman"/>
                <w:sz w:val="22"/>
              </w:rPr>
            </w:pPr>
          </w:p>
        </w:tc>
        <w:tc>
          <w:tcPr>
            <w:tcW w:w="959" w:type="dxa"/>
          </w:tcPr>
          <w:p>
            <w:pPr>
              <w:pStyle w:val="TableParagraph"/>
              <w:rPr>
                <w:rFonts w:ascii="Times New Roman"/>
                <w:sz w:val="22"/>
              </w:rPr>
            </w:pPr>
          </w:p>
        </w:tc>
        <w:tc>
          <w:tcPr>
            <w:tcW w:w="959" w:type="dxa"/>
          </w:tcPr>
          <w:p>
            <w:pPr>
              <w:pStyle w:val="TableParagraph"/>
              <w:rPr>
                <w:rFonts w:ascii="Times New Roman"/>
                <w:sz w:val="22"/>
              </w:rPr>
            </w:pPr>
          </w:p>
        </w:tc>
        <w:tc>
          <w:tcPr>
            <w:tcW w:w="960" w:type="dxa"/>
          </w:tcPr>
          <w:p>
            <w:pPr>
              <w:pStyle w:val="TableParagraph"/>
              <w:rPr>
                <w:rFonts w:ascii="Times New Roman"/>
                <w:sz w:val="22"/>
              </w:rPr>
            </w:pPr>
          </w:p>
        </w:tc>
        <w:tc>
          <w:tcPr>
            <w:tcW w:w="961" w:type="dxa"/>
          </w:tcPr>
          <w:p>
            <w:pPr>
              <w:pStyle w:val="TableParagraph"/>
              <w:rPr>
                <w:rFonts w:ascii="Times New Roman"/>
                <w:sz w:val="22"/>
              </w:rPr>
            </w:pPr>
          </w:p>
        </w:tc>
        <w:tc>
          <w:tcPr>
            <w:tcW w:w="961" w:type="dxa"/>
          </w:tcPr>
          <w:p>
            <w:pPr>
              <w:pStyle w:val="TableParagraph"/>
              <w:rPr>
                <w:rFonts w:ascii="Times New Roman"/>
                <w:sz w:val="22"/>
              </w:rPr>
            </w:pPr>
          </w:p>
        </w:tc>
      </w:tr>
      <w:tr>
        <w:trPr>
          <w:trHeight w:val="311" w:hRule="atLeast"/>
        </w:trPr>
        <w:tc>
          <w:tcPr>
            <w:tcW w:w="959" w:type="dxa"/>
          </w:tcPr>
          <w:p>
            <w:pPr>
              <w:pStyle w:val="TableParagraph"/>
              <w:rPr>
                <w:rFonts w:ascii="Times New Roman"/>
                <w:sz w:val="22"/>
              </w:rPr>
            </w:pPr>
          </w:p>
        </w:tc>
        <w:tc>
          <w:tcPr>
            <w:tcW w:w="959" w:type="dxa"/>
          </w:tcPr>
          <w:p>
            <w:pPr>
              <w:pStyle w:val="TableParagraph"/>
              <w:rPr>
                <w:rFonts w:ascii="Times New Roman"/>
                <w:sz w:val="22"/>
              </w:rPr>
            </w:pPr>
          </w:p>
        </w:tc>
        <w:tc>
          <w:tcPr>
            <w:tcW w:w="959" w:type="dxa"/>
          </w:tcPr>
          <w:p>
            <w:pPr>
              <w:pStyle w:val="TableParagraph"/>
              <w:rPr>
                <w:rFonts w:ascii="Times New Roman"/>
                <w:sz w:val="22"/>
              </w:rPr>
            </w:pPr>
          </w:p>
        </w:tc>
        <w:tc>
          <w:tcPr>
            <w:tcW w:w="959" w:type="dxa"/>
          </w:tcPr>
          <w:p>
            <w:pPr>
              <w:pStyle w:val="TableParagraph"/>
              <w:rPr>
                <w:rFonts w:ascii="Times New Roman"/>
                <w:sz w:val="22"/>
              </w:rPr>
            </w:pPr>
          </w:p>
        </w:tc>
        <w:tc>
          <w:tcPr>
            <w:tcW w:w="959" w:type="dxa"/>
          </w:tcPr>
          <w:p>
            <w:pPr>
              <w:pStyle w:val="TableParagraph"/>
              <w:rPr>
                <w:rFonts w:ascii="Times New Roman"/>
                <w:sz w:val="22"/>
              </w:rPr>
            </w:pPr>
          </w:p>
        </w:tc>
        <w:tc>
          <w:tcPr>
            <w:tcW w:w="959" w:type="dxa"/>
          </w:tcPr>
          <w:p>
            <w:pPr>
              <w:pStyle w:val="TableParagraph"/>
              <w:rPr>
                <w:rFonts w:ascii="Times New Roman"/>
                <w:sz w:val="22"/>
              </w:rPr>
            </w:pPr>
          </w:p>
        </w:tc>
        <w:tc>
          <w:tcPr>
            <w:tcW w:w="960" w:type="dxa"/>
          </w:tcPr>
          <w:p>
            <w:pPr>
              <w:pStyle w:val="TableParagraph"/>
              <w:rPr>
                <w:rFonts w:ascii="Times New Roman"/>
                <w:sz w:val="22"/>
              </w:rPr>
            </w:pPr>
          </w:p>
        </w:tc>
        <w:tc>
          <w:tcPr>
            <w:tcW w:w="961" w:type="dxa"/>
          </w:tcPr>
          <w:p>
            <w:pPr>
              <w:pStyle w:val="TableParagraph"/>
              <w:rPr>
                <w:rFonts w:ascii="Times New Roman"/>
                <w:sz w:val="22"/>
              </w:rPr>
            </w:pPr>
          </w:p>
        </w:tc>
        <w:tc>
          <w:tcPr>
            <w:tcW w:w="961" w:type="dxa"/>
          </w:tcPr>
          <w:p>
            <w:pPr>
              <w:pStyle w:val="TableParagraph"/>
              <w:rPr>
                <w:rFonts w:ascii="Times New Roman"/>
                <w:sz w:val="22"/>
              </w:rPr>
            </w:pPr>
          </w:p>
        </w:tc>
      </w:tr>
      <w:tr>
        <w:trPr>
          <w:trHeight w:val="312" w:hRule="atLeast"/>
        </w:trPr>
        <w:tc>
          <w:tcPr>
            <w:tcW w:w="959" w:type="dxa"/>
          </w:tcPr>
          <w:p>
            <w:pPr>
              <w:pStyle w:val="TableParagraph"/>
              <w:rPr>
                <w:rFonts w:ascii="Times New Roman"/>
                <w:sz w:val="22"/>
              </w:rPr>
            </w:pPr>
          </w:p>
        </w:tc>
        <w:tc>
          <w:tcPr>
            <w:tcW w:w="959" w:type="dxa"/>
          </w:tcPr>
          <w:p>
            <w:pPr>
              <w:pStyle w:val="TableParagraph"/>
              <w:rPr>
                <w:rFonts w:ascii="Times New Roman"/>
                <w:sz w:val="22"/>
              </w:rPr>
            </w:pPr>
          </w:p>
        </w:tc>
        <w:tc>
          <w:tcPr>
            <w:tcW w:w="959" w:type="dxa"/>
          </w:tcPr>
          <w:p>
            <w:pPr>
              <w:pStyle w:val="TableParagraph"/>
              <w:rPr>
                <w:rFonts w:ascii="Times New Roman"/>
                <w:sz w:val="22"/>
              </w:rPr>
            </w:pPr>
          </w:p>
        </w:tc>
        <w:tc>
          <w:tcPr>
            <w:tcW w:w="959" w:type="dxa"/>
          </w:tcPr>
          <w:p>
            <w:pPr>
              <w:pStyle w:val="TableParagraph"/>
              <w:rPr>
                <w:rFonts w:ascii="Times New Roman"/>
                <w:sz w:val="22"/>
              </w:rPr>
            </w:pPr>
          </w:p>
        </w:tc>
        <w:tc>
          <w:tcPr>
            <w:tcW w:w="959" w:type="dxa"/>
          </w:tcPr>
          <w:p>
            <w:pPr>
              <w:pStyle w:val="TableParagraph"/>
              <w:rPr>
                <w:rFonts w:ascii="Times New Roman"/>
                <w:sz w:val="22"/>
              </w:rPr>
            </w:pPr>
          </w:p>
        </w:tc>
        <w:tc>
          <w:tcPr>
            <w:tcW w:w="959" w:type="dxa"/>
          </w:tcPr>
          <w:p>
            <w:pPr>
              <w:pStyle w:val="TableParagraph"/>
              <w:rPr>
                <w:rFonts w:ascii="Times New Roman"/>
                <w:sz w:val="22"/>
              </w:rPr>
            </w:pPr>
          </w:p>
        </w:tc>
        <w:tc>
          <w:tcPr>
            <w:tcW w:w="960" w:type="dxa"/>
          </w:tcPr>
          <w:p>
            <w:pPr>
              <w:pStyle w:val="TableParagraph"/>
              <w:rPr>
                <w:rFonts w:ascii="Times New Roman"/>
                <w:sz w:val="22"/>
              </w:rPr>
            </w:pPr>
          </w:p>
        </w:tc>
        <w:tc>
          <w:tcPr>
            <w:tcW w:w="961" w:type="dxa"/>
          </w:tcPr>
          <w:p>
            <w:pPr>
              <w:pStyle w:val="TableParagraph"/>
              <w:rPr>
                <w:rFonts w:ascii="Times New Roman"/>
                <w:sz w:val="22"/>
              </w:rPr>
            </w:pPr>
          </w:p>
        </w:tc>
        <w:tc>
          <w:tcPr>
            <w:tcW w:w="961" w:type="dxa"/>
          </w:tcPr>
          <w:p>
            <w:pPr>
              <w:pStyle w:val="TableParagraph"/>
              <w:rPr>
                <w:rFonts w:ascii="Times New Roman"/>
                <w:sz w:val="22"/>
              </w:rPr>
            </w:pPr>
          </w:p>
        </w:tc>
      </w:tr>
      <w:tr>
        <w:trPr>
          <w:trHeight w:val="311" w:hRule="atLeast"/>
        </w:trPr>
        <w:tc>
          <w:tcPr>
            <w:tcW w:w="8636" w:type="dxa"/>
            <w:gridSpan w:val="9"/>
          </w:tcPr>
          <w:p>
            <w:pPr>
              <w:pStyle w:val="TableParagraph"/>
              <w:spacing w:line="289" w:lineRule="exact" w:before="3"/>
              <w:ind w:left="106"/>
              <w:rPr>
                <w:sz w:val="24"/>
              </w:rPr>
            </w:pPr>
            <w:r>
              <w:rPr>
                <w:sz w:val="24"/>
              </w:rPr>
              <w:t>备注：</w:t>
            </w:r>
          </w:p>
        </w:tc>
      </w:tr>
    </w:tbl>
    <w:p>
      <w:pPr>
        <w:spacing w:after="0" w:line="289" w:lineRule="exact"/>
        <w:rPr>
          <w:sz w:val="24"/>
        </w:rPr>
        <w:sectPr>
          <w:pgSz w:w="11910" w:h="16840"/>
          <w:pgMar w:header="0" w:footer="1232" w:top="1580" w:bottom="1420" w:left="1060" w:right="860"/>
        </w:sectPr>
      </w:pPr>
    </w:p>
    <w:p>
      <w:pPr>
        <w:pStyle w:val="BodyText"/>
        <w:ind w:left="0"/>
        <w:rPr>
          <w:sz w:val="24"/>
        </w:rPr>
      </w:pPr>
    </w:p>
    <w:p>
      <w:pPr>
        <w:pStyle w:val="BodyText"/>
        <w:ind w:left="0"/>
        <w:rPr>
          <w:sz w:val="24"/>
        </w:rPr>
      </w:pPr>
    </w:p>
    <w:p>
      <w:pPr>
        <w:pStyle w:val="BodyText"/>
        <w:ind w:left="0"/>
        <w:rPr>
          <w:sz w:val="24"/>
        </w:rPr>
      </w:pPr>
    </w:p>
    <w:p>
      <w:pPr>
        <w:spacing w:before="171"/>
        <w:ind w:left="740" w:right="0" w:firstLine="0"/>
        <w:jc w:val="left"/>
        <w:rPr>
          <w:sz w:val="24"/>
        </w:rPr>
      </w:pPr>
      <w:r>
        <w:rPr>
          <w:sz w:val="24"/>
        </w:rPr>
        <w:t>隐患编号：</w:t>
      </w:r>
    </w:p>
    <w:p>
      <w:pPr>
        <w:spacing w:before="157"/>
        <w:ind w:left="494" w:right="2675" w:firstLine="0"/>
        <w:jc w:val="center"/>
        <w:rPr>
          <w:sz w:val="24"/>
        </w:rPr>
      </w:pPr>
      <w:r>
        <w:rPr/>
        <w:br w:type="column"/>
      </w:r>
      <w:r>
        <w:rPr>
          <w:sz w:val="24"/>
        </w:rPr>
        <w:t>附录E</w:t>
      </w:r>
    </w:p>
    <w:p>
      <w:pPr>
        <w:spacing w:before="5"/>
        <w:ind w:left="494" w:right="2675" w:firstLine="0"/>
        <w:jc w:val="center"/>
        <w:rPr>
          <w:sz w:val="24"/>
        </w:rPr>
      </w:pPr>
      <w:r>
        <w:rPr>
          <w:sz w:val="24"/>
        </w:rPr>
        <w:t>（资料性）</w:t>
      </w:r>
    </w:p>
    <w:p>
      <w:pPr>
        <w:spacing w:before="4"/>
        <w:ind w:left="494" w:right="2675" w:firstLine="0"/>
        <w:jc w:val="center"/>
        <w:rPr>
          <w:sz w:val="24"/>
        </w:rPr>
      </w:pPr>
      <w:r>
        <w:rPr>
          <w:sz w:val="24"/>
        </w:rPr>
        <w:t>重大事故隐患登记及整改销号审批表（样表）</w:t>
      </w:r>
    </w:p>
    <w:p>
      <w:pPr>
        <w:spacing w:after="0"/>
        <w:jc w:val="center"/>
        <w:rPr>
          <w:sz w:val="24"/>
        </w:rPr>
        <w:sectPr>
          <w:pgSz w:w="11910" w:h="16840"/>
          <w:pgMar w:header="0" w:footer="1232" w:top="1580" w:bottom="1420" w:left="1060" w:right="860"/>
          <w:cols w:num="2" w:equalWidth="0">
            <w:col w:w="1941" w:space="40"/>
            <w:col w:w="8009"/>
          </w:cols>
        </w:sectPr>
      </w:pPr>
    </w:p>
    <w:tbl>
      <w:tblPr>
        <w:tblW w:w="0" w:type="auto"/>
        <w:jc w:val="left"/>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1"/>
        <w:gridCol w:w="2262"/>
        <w:gridCol w:w="655"/>
        <w:gridCol w:w="1797"/>
        <w:gridCol w:w="2575"/>
      </w:tblGrid>
      <w:tr>
        <w:trPr>
          <w:trHeight w:val="312" w:hRule="atLeast"/>
        </w:trPr>
        <w:tc>
          <w:tcPr>
            <w:tcW w:w="1131" w:type="dxa"/>
          </w:tcPr>
          <w:p>
            <w:pPr>
              <w:pStyle w:val="TableParagraph"/>
              <w:spacing w:line="289" w:lineRule="exact" w:before="3"/>
              <w:ind w:left="63" w:right="57"/>
              <w:jc w:val="center"/>
              <w:rPr>
                <w:sz w:val="24"/>
              </w:rPr>
            </w:pPr>
            <w:r>
              <w:rPr>
                <w:sz w:val="24"/>
              </w:rPr>
              <w:t>单位名称</w:t>
            </w:r>
          </w:p>
        </w:tc>
        <w:tc>
          <w:tcPr>
            <w:tcW w:w="2917" w:type="dxa"/>
            <w:gridSpan w:val="2"/>
          </w:tcPr>
          <w:p>
            <w:pPr>
              <w:pStyle w:val="TableParagraph"/>
              <w:rPr>
                <w:rFonts w:ascii="Times New Roman"/>
                <w:sz w:val="22"/>
              </w:rPr>
            </w:pPr>
          </w:p>
        </w:tc>
        <w:tc>
          <w:tcPr>
            <w:tcW w:w="1797" w:type="dxa"/>
          </w:tcPr>
          <w:p>
            <w:pPr>
              <w:pStyle w:val="TableParagraph"/>
              <w:spacing w:line="289" w:lineRule="exact" w:before="3"/>
              <w:ind w:left="158" w:right="149"/>
              <w:jc w:val="center"/>
              <w:rPr>
                <w:sz w:val="24"/>
              </w:rPr>
            </w:pPr>
            <w:r>
              <w:rPr>
                <w:sz w:val="24"/>
              </w:rPr>
              <w:t>单位负责人</w:t>
            </w:r>
          </w:p>
        </w:tc>
        <w:tc>
          <w:tcPr>
            <w:tcW w:w="2575" w:type="dxa"/>
          </w:tcPr>
          <w:p>
            <w:pPr>
              <w:pStyle w:val="TableParagraph"/>
              <w:rPr>
                <w:rFonts w:ascii="Times New Roman"/>
                <w:sz w:val="22"/>
              </w:rPr>
            </w:pPr>
          </w:p>
        </w:tc>
      </w:tr>
      <w:tr>
        <w:trPr>
          <w:trHeight w:val="311" w:hRule="atLeast"/>
        </w:trPr>
        <w:tc>
          <w:tcPr>
            <w:tcW w:w="1131" w:type="dxa"/>
          </w:tcPr>
          <w:p>
            <w:pPr>
              <w:pStyle w:val="TableParagraph"/>
              <w:spacing w:line="289" w:lineRule="exact" w:before="3"/>
              <w:ind w:left="63" w:right="57"/>
              <w:jc w:val="center"/>
              <w:rPr>
                <w:sz w:val="24"/>
              </w:rPr>
            </w:pPr>
            <w:r>
              <w:rPr>
                <w:sz w:val="24"/>
              </w:rPr>
              <w:t>隐患名称</w:t>
            </w:r>
          </w:p>
        </w:tc>
        <w:tc>
          <w:tcPr>
            <w:tcW w:w="2917" w:type="dxa"/>
            <w:gridSpan w:val="2"/>
          </w:tcPr>
          <w:p>
            <w:pPr>
              <w:pStyle w:val="TableParagraph"/>
              <w:rPr>
                <w:rFonts w:ascii="Times New Roman"/>
                <w:sz w:val="22"/>
              </w:rPr>
            </w:pPr>
          </w:p>
        </w:tc>
        <w:tc>
          <w:tcPr>
            <w:tcW w:w="1797" w:type="dxa"/>
          </w:tcPr>
          <w:p>
            <w:pPr>
              <w:pStyle w:val="TableParagraph"/>
              <w:spacing w:line="289" w:lineRule="exact" w:before="3"/>
              <w:ind w:left="158" w:right="149"/>
              <w:jc w:val="center"/>
              <w:rPr>
                <w:sz w:val="24"/>
              </w:rPr>
            </w:pPr>
            <w:r>
              <w:rPr>
                <w:sz w:val="24"/>
              </w:rPr>
              <w:t>隐患类型</w:t>
            </w:r>
          </w:p>
        </w:tc>
        <w:tc>
          <w:tcPr>
            <w:tcW w:w="2575" w:type="dxa"/>
          </w:tcPr>
          <w:p>
            <w:pPr>
              <w:pStyle w:val="TableParagraph"/>
              <w:rPr>
                <w:rFonts w:ascii="Times New Roman"/>
                <w:sz w:val="22"/>
              </w:rPr>
            </w:pPr>
          </w:p>
        </w:tc>
      </w:tr>
      <w:tr>
        <w:trPr>
          <w:trHeight w:val="312" w:hRule="atLeast"/>
        </w:trPr>
        <w:tc>
          <w:tcPr>
            <w:tcW w:w="1131" w:type="dxa"/>
          </w:tcPr>
          <w:p>
            <w:pPr>
              <w:pStyle w:val="TableParagraph"/>
              <w:spacing w:line="290" w:lineRule="exact" w:before="2"/>
              <w:ind w:left="63" w:right="57"/>
              <w:jc w:val="center"/>
              <w:rPr>
                <w:sz w:val="24"/>
              </w:rPr>
            </w:pPr>
            <w:r>
              <w:rPr>
                <w:sz w:val="24"/>
              </w:rPr>
              <w:t>发现时间</w:t>
            </w:r>
          </w:p>
        </w:tc>
        <w:tc>
          <w:tcPr>
            <w:tcW w:w="2917" w:type="dxa"/>
            <w:gridSpan w:val="2"/>
          </w:tcPr>
          <w:p>
            <w:pPr>
              <w:pStyle w:val="TableParagraph"/>
              <w:rPr>
                <w:rFonts w:ascii="Times New Roman"/>
                <w:sz w:val="22"/>
              </w:rPr>
            </w:pPr>
          </w:p>
        </w:tc>
        <w:tc>
          <w:tcPr>
            <w:tcW w:w="1797" w:type="dxa"/>
          </w:tcPr>
          <w:p>
            <w:pPr>
              <w:pStyle w:val="TableParagraph"/>
              <w:spacing w:line="290" w:lineRule="exact" w:before="2"/>
              <w:ind w:left="158" w:right="149"/>
              <w:jc w:val="center"/>
              <w:rPr>
                <w:sz w:val="24"/>
              </w:rPr>
            </w:pPr>
            <w:r>
              <w:rPr>
                <w:sz w:val="24"/>
              </w:rPr>
              <w:t>治理完成时限</w:t>
            </w:r>
          </w:p>
        </w:tc>
        <w:tc>
          <w:tcPr>
            <w:tcW w:w="2575" w:type="dxa"/>
          </w:tcPr>
          <w:p>
            <w:pPr>
              <w:pStyle w:val="TableParagraph"/>
              <w:rPr>
                <w:rFonts w:ascii="Times New Roman"/>
                <w:sz w:val="22"/>
              </w:rPr>
            </w:pPr>
          </w:p>
        </w:tc>
      </w:tr>
      <w:tr>
        <w:trPr>
          <w:trHeight w:val="1247" w:hRule="atLeast"/>
        </w:trPr>
        <w:tc>
          <w:tcPr>
            <w:tcW w:w="3393" w:type="dxa"/>
            <w:gridSpan w:val="2"/>
          </w:tcPr>
          <w:p>
            <w:pPr>
              <w:pStyle w:val="TableParagraph"/>
              <w:spacing w:line="242" w:lineRule="auto" w:before="2"/>
              <w:ind w:left="57" w:right="45"/>
              <w:rPr>
                <w:sz w:val="24"/>
              </w:rPr>
            </w:pPr>
            <w:r>
              <w:rPr>
                <w:sz w:val="24"/>
              </w:rPr>
              <w:t>隐患概况</w:t>
            </w:r>
            <w:r>
              <w:rPr>
                <w:spacing w:val="-202"/>
                <w:sz w:val="24"/>
              </w:rPr>
              <w:t>：</w:t>
            </w:r>
            <w:r>
              <w:rPr>
                <w:sz w:val="24"/>
              </w:rPr>
              <w:t>（包括隐患形成原因可能影响范围、造成的死亡人</w:t>
            </w:r>
            <w:r>
              <w:rPr>
                <w:spacing w:val="-12"/>
                <w:sz w:val="24"/>
              </w:rPr>
              <w:t>数、造成的职业病人数、造成的</w:t>
            </w:r>
          </w:p>
          <w:p>
            <w:pPr>
              <w:pStyle w:val="TableParagraph"/>
              <w:spacing w:line="290" w:lineRule="exact" w:before="4"/>
              <w:ind w:left="57"/>
              <w:rPr>
                <w:sz w:val="24"/>
              </w:rPr>
            </w:pPr>
            <w:r>
              <w:rPr>
                <w:sz w:val="24"/>
              </w:rPr>
              <w:t>直接经济损失</w:t>
            </w:r>
            <w:r>
              <w:rPr>
                <w:spacing w:val="-120"/>
                <w:sz w:val="24"/>
              </w:rPr>
              <w:t>）</w:t>
            </w:r>
            <w:r>
              <w:rPr>
                <w:sz w:val="24"/>
              </w:rPr>
              <w:t>。</w:t>
            </w:r>
          </w:p>
        </w:tc>
        <w:tc>
          <w:tcPr>
            <w:tcW w:w="5027" w:type="dxa"/>
            <w:gridSpan w:val="3"/>
          </w:tcPr>
          <w:p>
            <w:pPr>
              <w:pStyle w:val="TableParagraph"/>
              <w:spacing w:before="2"/>
              <w:ind w:left="-178"/>
              <w:rPr>
                <w:sz w:val="24"/>
              </w:rPr>
            </w:pPr>
            <w:r>
              <w:rPr>
                <w:sz w:val="24"/>
              </w:rPr>
              <w:t>、</w:t>
            </w:r>
          </w:p>
        </w:tc>
      </w:tr>
      <w:tr>
        <w:trPr>
          <w:trHeight w:val="936" w:hRule="atLeast"/>
        </w:trPr>
        <w:tc>
          <w:tcPr>
            <w:tcW w:w="3393" w:type="dxa"/>
            <w:gridSpan w:val="2"/>
          </w:tcPr>
          <w:p>
            <w:pPr>
              <w:pStyle w:val="TableParagraph"/>
              <w:spacing w:before="4"/>
              <w:ind w:left="57"/>
              <w:rPr>
                <w:sz w:val="24"/>
              </w:rPr>
            </w:pPr>
            <w:r>
              <w:rPr>
                <w:sz w:val="24"/>
              </w:rPr>
              <w:t>主要治理方案</w:t>
            </w:r>
            <w:r>
              <w:rPr>
                <w:spacing w:val="-202"/>
                <w:sz w:val="24"/>
              </w:rPr>
              <w:t>：</w:t>
            </w:r>
            <w:r>
              <w:rPr>
                <w:sz w:val="24"/>
              </w:rPr>
              <w:t>（包括治理措施</w:t>
            </w:r>
          </w:p>
          <w:p>
            <w:pPr>
              <w:pStyle w:val="TableParagraph"/>
              <w:spacing w:line="310" w:lineRule="atLeast" w:before="2"/>
              <w:ind w:left="57" w:right="45"/>
              <w:rPr>
                <w:sz w:val="24"/>
              </w:rPr>
            </w:pPr>
            <w:r>
              <w:rPr>
                <w:spacing w:val="-11"/>
                <w:sz w:val="24"/>
              </w:rPr>
              <w:t>所需资金、完成时限、治理期间</w:t>
            </w:r>
            <w:r>
              <w:rPr>
                <w:sz w:val="24"/>
              </w:rPr>
              <w:t>采取的防范措施和应急措施</w:t>
            </w:r>
            <w:r>
              <w:rPr>
                <w:spacing w:val="-120"/>
                <w:sz w:val="24"/>
              </w:rPr>
              <w:t>）</w:t>
            </w:r>
            <w:r>
              <w:rPr>
                <w:sz w:val="24"/>
              </w:rPr>
              <w:t>。</w:t>
            </w:r>
          </w:p>
        </w:tc>
        <w:tc>
          <w:tcPr>
            <w:tcW w:w="5027" w:type="dxa"/>
            <w:gridSpan w:val="3"/>
          </w:tcPr>
          <w:p>
            <w:pPr>
              <w:pStyle w:val="TableParagraph"/>
              <w:spacing w:before="4"/>
              <w:ind w:left="-178"/>
              <w:rPr>
                <w:sz w:val="24"/>
              </w:rPr>
            </w:pPr>
            <w:r>
              <w:rPr>
                <w:sz w:val="24"/>
              </w:rPr>
              <w:t>、</w:t>
            </w:r>
          </w:p>
        </w:tc>
      </w:tr>
      <w:tr>
        <w:trPr>
          <w:trHeight w:val="312" w:hRule="atLeast"/>
        </w:trPr>
        <w:tc>
          <w:tcPr>
            <w:tcW w:w="3393" w:type="dxa"/>
            <w:gridSpan w:val="2"/>
          </w:tcPr>
          <w:p>
            <w:pPr>
              <w:pStyle w:val="TableParagraph"/>
              <w:spacing w:line="288" w:lineRule="exact" w:before="3"/>
              <w:ind w:left="57"/>
              <w:rPr>
                <w:sz w:val="24"/>
              </w:rPr>
            </w:pPr>
            <w:r>
              <w:rPr>
                <w:sz w:val="24"/>
              </w:rPr>
              <w:t>整改情况</w:t>
            </w:r>
          </w:p>
        </w:tc>
        <w:tc>
          <w:tcPr>
            <w:tcW w:w="5027" w:type="dxa"/>
            <w:gridSpan w:val="3"/>
          </w:tcPr>
          <w:p>
            <w:pPr>
              <w:pStyle w:val="TableParagraph"/>
              <w:rPr>
                <w:rFonts w:ascii="Times New Roman"/>
                <w:sz w:val="22"/>
              </w:rPr>
            </w:pPr>
          </w:p>
        </w:tc>
      </w:tr>
      <w:tr>
        <w:trPr>
          <w:trHeight w:val="311" w:hRule="atLeast"/>
        </w:trPr>
        <w:tc>
          <w:tcPr>
            <w:tcW w:w="3393" w:type="dxa"/>
            <w:gridSpan w:val="2"/>
          </w:tcPr>
          <w:p>
            <w:pPr>
              <w:pStyle w:val="TableParagraph"/>
              <w:spacing w:line="289" w:lineRule="exact" w:before="3"/>
              <w:ind w:left="57"/>
              <w:rPr>
                <w:sz w:val="24"/>
              </w:rPr>
            </w:pPr>
            <w:r>
              <w:rPr>
                <w:sz w:val="24"/>
              </w:rPr>
              <w:t>单位分管领导意见</w:t>
            </w:r>
          </w:p>
        </w:tc>
        <w:tc>
          <w:tcPr>
            <w:tcW w:w="5027" w:type="dxa"/>
            <w:gridSpan w:val="3"/>
          </w:tcPr>
          <w:p>
            <w:pPr>
              <w:pStyle w:val="TableParagraph"/>
              <w:rPr>
                <w:rFonts w:ascii="Times New Roman"/>
                <w:sz w:val="22"/>
              </w:rPr>
            </w:pPr>
          </w:p>
        </w:tc>
      </w:tr>
      <w:tr>
        <w:trPr>
          <w:trHeight w:val="312" w:hRule="atLeast"/>
        </w:trPr>
        <w:tc>
          <w:tcPr>
            <w:tcW w:w="3393" w:type="dxa"/>
            <w:gridSpan w:val="2"/>
          </w:tcPr>
          <w:p>
            <w:pPr>
              <w:pStyle w:val="TableParagraph"/>
              <w:spacing w:line="289" w:lineRule="exact" w:before="2"/>
              <w:ind w:left="57"/>
              <w:rPr>
                <w:sz w:val="24"/>
              </w:rPr>
            </w:pPr>
            <w:r>
              <w:rPr>
                <w:sz w:val="24"/>
              </w:rPr>
              <w:t>单位主要负责人意见</w:t>
            </w:r>
          </w:p>
        </w:tc>
        <w:tc>
          <w:tcPr>
            <w:tcW w:w="5027" w:type="dxa"/>
            <w:gridSpan w:val="3"/>
          </w:tcPr>
          <w:p>
            <w:pPr>
              <w:pStyle w:val="TableParagraph"/>
              <w:rPr>
                <w:rFonts w:ascii="Times New Roman"/>
                <w:sz w:val="22"/>
              </w:rPr>
            </w:pPr>
          </w:p>
        </w:tc>
      </w:tr>
      <w:tr>
        <w:trPr>
          <w:trHeight w:val="311" w:hRule="atLeast"/>
        </w:trPr>
        <w:tc>
          <w:tcPr>
            <w:tcW w:w="3393" w:type="dxa"/>
            <w:gridSpan w:val="2"/>
          </w:tcPr>
          <w:p>
            <w:pPr>
              <w:pStyle w:val="TableParagraph"/>
              <w:spacing w:line="290" w:lineRule="exact" w:before="2"/>
              <w:ind w:left="57"/>
              <w:rPr>
                <w:sz w:val="24"/>
              </w:rPr>
            </w:pPr>
            <w:r>
              <w:rPr>
                <w:sz w:val="24"/>
              </w:rPr>
              <w:t>监管部门意见</w:t>
            </w:r>
          </w:p>
        </w:tc>
        <w:tc>
          <w:tcPr>
            <w:tcW w:w="5027" w:type="dxa"/>
            <w:gridSpan w:val="3"/>
          </w:tcPr>
          <w:p>
            <w:pPr>
              <w:pStyle w:val="TableParagraph"/>
              <w:rPr>
                <w:rFonts w:ascii="Times New Roman"/>
                <w:sz w:val="22"/>
              </w:rPr>
            </w:pPr>
          </w:p>
        </w:tc>
      </w:tr>
      <w:tr>
        <w:trPr>
          <w:trHeight w:val="1560" w:hRule="atLeast"/>
        </w:trPr>
        <w:tc>
          <w:tcPr>
            <w:tcW w:w="8420" w:type="dxa"/>
            <w:gridSpan w:val="5"/>
          </w:tcPr>
          <w:p>
            <w:pPr>
              <w:pStyle w:val="TableParagraph"/>
              <w:spacing w:line="242" w:lineRule="auto" w:before="2"/>
              <w:ind w:left="57" w:right="44"/>
              <w:jc w:val="both"/>
              <w:rPr>
                <w:sz w:val="24"/>
              </w:rPr>
            </w:pPr>
            <w:r>
              <w:rPr>
                <w:spacing w:val="-10"/>
                <w:sz w:val="24"/>
              </w:rPr>
              <w:t>注：由于重大事故隐患导致发生的事故后果严重，因此需要企业特别关注。涉及</w:t>
            </w:r>
            <w:r>
              <w:rPr>
                <w:spacing w:val="-7"/>
                <w:sz w:val="24"/>
              </w:rPr>
              <w:t>重大事故隐患的整改完成后，应填写重大事故隐患销号记录。鉴于现行法律法规</w:t>
            </w:r>
            <w:r>
              <w:rPr>
                <w:spacing w:val="-10"/>
                <w:sz w:val="24"/>
              </w:rPr>
              <w:t>要求，企业存在重大事故隐患的，当地民爆安全监管部门将纳入监管重点，因此</w:t>
            </w:r>
            <w:r>
              <w:rPr>
                <w:spacing w:val="-7"/>
                <w:sz w:val="24"/>
              </w:rPr>
              <w:t>对于重大事故隐患的治理实施销号制度，对重大事故隐患的治理效果应当有监管</w:t>
            </w:r>
          </w:p>
          <w:p>
            <w:pPr>
              <w:pStyle w:val="TableParagraph"/>
              <w:spacing w:line="290" w:lineRule="exact" w:before="5"/>
              <w:ind w:left="57"/>
              <w:rPr>
                <w:sz w:val="24"/>
              </w:rPr>
            </w:pPr>
            <w:r>
              <w:rPr>
                <w:sz w:val="24"/>
              </w:rPr>
              <w:t>部门的意见。重大隐患排除后，经审查同意，方可恢复生产经营与使用。</w:t>
            </w:r>
          </w:p>
        </w:tc>
      </w:tr>
    </w:tbl>
    <w:p>
      <w:pPr>
        <w:spacing w:after="0" w:line="290" w:lineRule="exact"/>
        <w:rPr>
          <w:sz w:val="24"/>
        </w:rPr>
        <w:sectPr>
          <w:type w:val="continuous"/>
          <w:pgSz w:w="11910" w:h="16840"/>
          <w:pgMar w:top="1580" w:bottom="280" w:left="1060" w:right="860"/>
        </w:sectPr>
      </w:pPr>
    </w:p>
    <w:p>
      <w:pPr>
        <w:spacing w:before="157"/>
        <w:ind w:left="504" w:right="705" w:firstLine="0"/>
        <w:jc w:val="center"/>
        <w:rPr>
          <w:sz w:val="24"/>
        </w:rPr>
      </w:pPr>
      <w:r>
        <w:rPr>
          <w:sz w:val="24"/>
        </w:rPr>
        <w:t>附录F</w:t>
      </w:r>
    </w:p>
    <w:p>
      <w:pPr>
        <w:spacing w:before="5"/>
        <w:ind w:left="504" w:right="705" w:firstLine="0"/>
        <w:jc w:val="center"/>
        <w:rPr>
          <w:sz w:val="24"/>
        </w:rPr>
      </w:pPr>
      <w:r>
        <w:rPr>
          <w:sz w:val="24"/>
        </w:rPr>
        <w:t>（资料性）</w:t>
      </w:r>
    </w:p>
    <w:p>
      <w:pPr>
        <w:spacing w:before="4"/>
        <w:ind w:left="504" w:right="705" w:firstLine="0"/>
        <w:jc w:val="center"/>
        <w:rPr>
          <w:sz w:val="24"/>
        </w:rPr>
      </w:pPr>
      <w:r>
        <w:rPr>
          <w:sz w:val="24"/>
        </w:rPr>
        <w:t>基础管理类事故隐患排查治理台账（样表）</w:t>
      </w:r>
    </w:p>
    <w:tbl>
      <w:tblPr>
        <w:tblW w:w="0" w:type="auto"/>
        <w:jc w:val="left"/>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6"/>
        <w:gridCol w:w="376"/>
        <w:gridCol w:w="413"/>
        <w:gridCol w:w="388"/>
        <w:gridCol w:w="375"/>
        <w:gridCol w:w="375"/>
        <w:gridCol w:w="376"/>
        <w:gridCol w:w="376"/>
        <w:gridCol w:w="376"/>
        <w:gridCol w:w="376"/>
        <w:gridCol w:w="376"/>
        <w:gridCol w:w="376"/>
        <w:gridCol w:w="376"/>
        <w:gridCol w:w="376"/>
        <w:gridCol w:w="376"/>
        <w:gridCol w:w="436"/>
        <w:gridCol w:w="376"/>
        <w:gridCol w:w="418"/>
        <w:gridCol w:w="377"/>
        <w:gridCol w:w="376"/>
        <w:gridCol w:w="376"/>
        <w:gridCol w:w="374"/>
      </w:tblGrid>
      <w:tr>
        <w:trPr>
          <w:trHeight w:val="312" w:hRule="atLeast"/>
        </w:trPr>
        <w:tc>
          <w:tcPr>
            <w:tcW w:w="376" w:type="dxa"/>
            <w:vMerge w:val="restart"/>
          </w:tcPr>
          <w:p>
            <w:pPr>
              <w:pStyle w:val="TableParagraph"/>
              <w:rPr>
                <w:sz w:val="24"/>
              </w:rPr>
            </w:pPr>
          </w:p>
          <w:p>
            <w:pPr>
              <w:pStyle w:val="TableParagraph"/>
              <w:rPr>
                <w:sz w:val="24"/>
              </w:rPr>
            </w:pPr>
          </w:p>
          <w:p>
            <w:pPr>
              <w:pStyle w:val="TableParagraph"/>
              <w:spacing w:line="242" w:lineRule="auto" w:before="173"/>
              <w:ind w:left="66" w:right="57"/>
              <w:rPr>
                <w:sz w:val="24"/>
              </w:rPr>
            </w:pPr>
            <w:r>
              <w:rPr>
                <w:sz w:val="24"/>
              </w:rPr>
              <w:t>序号</w:t>
            </w:r>
          </w:p>
        </w:tc>
        <w:tc>
          <w:tcPr>
            <w:tcW w:w="376" w:type="dxa"/>
            <w:vMerge w:val="restart"/>
          </w:tcPr>
          <w:p>
            <w:pPr>
              <w:pStyle w:val="TableParagraph"/>
              <w:spacing w:line="242" w:lineRule="auto" w:before="164"/>
              <w:ind w:left="67" w:right="56"/>
              <w:jc w:val="both"/>
              <w:rPr>
                <w:sz w:val="24"/>
              </w:rPr>
            </w:pPr>
            <w:r>
              <w:rPr>
                <w:sz w:val="24"/>
              </w:rPr>
              <w:t>基础管理项目</w:t>
            </w:r>
          </w:p>
        </w:tc>
        <w:tc>
          <w:tcPr>
            <w:tcW w:w="2303" w:type="dxa"/>
            <w:gridSpan w:val="6"/>
          </w:tcPr>
          <w:p>
            <w:pPr>
              <w:pStyle w:val="TableParagraph"/>
              <w:spacing w:line="289" w:lineRule="exact" w:before="3"/>
              <w:ind w:left="670"/>
              <w:rPr>
                <w:sz w:val="24"/>
              </w:rPr>
            </w:pPr>
            <w:r>
              <w:rPr>
                <w:sz w:val="24"/>
              </w:rPr>
              <w:t>计划过程</w:t>
            </w:r>
          </w:p>
        </w:tc>
        <w:tc>
          <w:tcPr>
            <w:tcW w:w="2256" w:type="dxa"/>
            <w:gridSpan w:val="6"/>
          </w:tcPr>
          <w:p>
            <w:pPr>
              <w:pStyle w:val="TableParagraph"/>
              <w:spacing w:line="289" w:lineRule="exact" w:before="3"/>
              <w:ind w:left="647"/>
              <w:rPr>
                <w:sz w:val="24"/>
              </w:rPr>
            </w:pPr>
            <w:r>
              <w:rPr>
                <w:sz w:val="24"/>
              </w:rPr>
              <w:t>排查过程</w:t>
            </w:r>
          </w:p>
        </w:tc>
        <w:tc>
          <w:tcPr>
            <w:tcW w:w="1983" w:type="dxa"/>
            <w:gridSpan w:val="5"/>
          </w:tcPr>
          <w:p>
            <w:pPr>
              <w:pStyle w:val="TableParagraph"/>
              <w:spacing w:line="289" w:lineRule="exact" w:before="3"/>
              <w:ind w:left="511"/>
              <w:rPr>
                <w:sz w:val="24"/>
              </w:rPr>
            </w:pPr>
            <w:r>
              <w:rPr>
                <w:sz w:val="24"/>
              </w:rPr>
              <w:t>整改过程</w:t>
            </w:r>
          </w:p>
        </w:tc>
        <w:tc>
          <w:tcPr>
            <w:tcW w:w="1126" w:type="dxa"/>
            <w:gridSpan w:val="3"/>
          </w:tcPr>
          <w:p>
            <w:pPr>
              <w:pStyle w:val="TableParagraph"/>
              <w:spacing w:line="289" w:lineRule="exact" w:before="3"/>
              <w:ind w:left="83"/>
              <w:rPr>
                <w:sz w:val="24"/>
              </w:rPr>
            </w:pPr>
            <w:r>
              <w:rPr>
                <w:sz w:val="24"/>
              </w:rPr>
              <w:t>验收过程</w:t>
            </w:r>
          </w:p>
        </w:tc>
      </w:tr>
      <w:tr>
        <w:trPr>
          <w:trHeight w:val="1872" w:hRule="atLeast"/>
        </w:trPr>
        <w:tc>
          <w:tcPr>
            <w:tcW w:w="376" w:type="dxa"/>
            <w:vMerge/>
            <w:tcBorders>
              <w:top w:val="nil"/>
            </w:tcBorders>
          </w:tcPr>
          <w:p>
            <w:pPr>
              <w:rPr>
                <w:sz w:val="2"/>
                <w:szCs w:val="2"/>
              </w:rPr>
            </w:pPr>
          </w:p>
        </w:tc>
        <w:tc>
          <w:tcPr>
            <w:tcW w:w="376" w:type="dxa"/>
            <w:vMerge/>
            <w:tcBorders>
              <w:top w:val="nil"/>
            </w:tcBorders>
          </w:tcPr>
          <w:p>
            <w:pPr>
              <w:rPr>
                <w:sz w:val="2"/>
                <w:szCs w:val="2"/>
              </w:rPr>
            </w:pPr>
          </w:p>
        </w:tc>
        <w:tc>
          <w:tcPr>
            <w:tcW w:w="413" w:type="dxa"/>
          </w:tcPr>
          <w:p>
            <w:pPr>
              <w:pStyle w:val="TableParagraph"/>
              <w:spacing w:before="7"/>
              <w:rPr>
                <w:sz w:val="24"/>
              </w:rPr>
            </w:pPr>
          </w:p>
          <w:p>
            <w:pPr>
              <w:pStyle w:val="TableParagraph"/>
              <w:spacing w:line="242" w:lineRule="auto"/>
              <w:ind w:left="85" w:right="75"/>
              <w:jc w:val="both"/>
              <w:rPr>
                <w:sz w:val="24"/>
              </w:rPr>
            </w:pPr>
            <w:r>
              <w:rPr>
                <w:sz w:val="24"/>
              </w:rPr>
              <w:t>排查内容</w:t>
            </w:r>
          </w:p>
        </w:tc>
        <w:tc>
          <w:tcPr>
            <w:tcW w:w="388" w:type="dxa"/>
          </w:tcPr>
          <w:p>
            <w:pPr>
              <w:pStyle w:val="TableParagraph"/>
              <w:rPr>
                <w:sz w:val="24"/>
              </w:rPr>
            </w:pPr>
          </w:p>
          <w:p>
            <w:pPr>
              <w:pStyle w:val="TableParagraph"/>
              <w:spacing w:before="11"/>
              <w:rPr>
                <w:sz w:val="24"/>
              </w:rPr>
            </w:pPr>
          </w:p>
          <w:p>
            <w:pPr>
              <w:pStyle w:val="TableParagraph"/>
              <w:spacing w:line="242" w:lineRule="auto"/>
              <w:ind w:left="73" w:right="62"/>
              <w:rPr>
                <w:sz w:val="24"/>
              </w:rPr>
            </w:pPr>
            <w:r>
              <w:rPr>
                <w:sz w:val="24"/>
              </w:rPr>
              <w:t>标准</w:t>
            </w:r>
          </w:p>
        </w:tc>
        <w:tc>
          <w:tcPr>
            <w:tcW w:w="375" w:type="dxa"/>
          </w:tcPr>
          <w:p>
            <w:pPr>
              <w:pStyle w:val="TableParagraph"/>
              <w:spacing w:before="7"/>
              <w:rPr>
                <w:sz w:val="24"/>
              </w:rPr>
            </w:pPr>
          </w:p>
          <w:p>
            <w:pPr>
              <w:pStyle w:val="TableParagraph"/>
              <w:spacing w:line="242" w:lineRule="auto"/>
              <w:ind w:left="66" w:right="56"/>
              <w:jc w:val="both"/>
              <w:rPr>
                <w:sz w:val="24"/>
              </w:rPr>
            </w:pPr>
            <w:r>
              <w:rPr>
                <w:sz w:val="24"/>
              </w:rPr>
              <w:t>排查类型</w:t>
            </w:r>
          </w:p>
        </w:tc>
        <w:tc>
          <w:tcPr>
            <w:tcW w:w="375" w:type="dxa"/>
          </w:tcPr>
          <w:p>
            <w:pPr>
              <w:pStyle w:val="TableParagraph"/>
              <w:spacing w:before="7"/>
              <w:rPr>
                <w:sz w:val="24"/>
              </w:rPr>
            </w:pPr>
          </w:p>
          <w:p>
            <w:pPr>
              <w:pStyle w:val="TableParagraph"/>
              <w:spacing w:line="242" w:lineRule="auto"/>
              <w:ind w:left="66" w:right="56"/>
              <w:jc w:val="both"/>
              <w:rPr>
                <w:sz w:val="24"/>
              </w:rPr>
            </w:pPr>
            <w:r>
              <w:rPr>
                <w:sz w:val="24"/>
              </w:rPr>
              <w:t>排查周期</w:t>
            </w:r>
          </w:p>
        </w:tc>
        <w:tc>
          <w:tcPr>
            <w:tcW w:w="376" w:type="dxa"/>
          </w:tcPr>
          <w:p>
            <w:pPr>
              <w:pStyle w:val="TableParagraph"/>
              <w:spacing w:before="7"/>
              <w:rPr>
                <w:sz w:val="24"/>
              </w:rPr>
            </w:pPr>
          </w:p>
          <w:p>
            <w:pPr>
              <w:pStyle w:val="TableParagraph"/>
              <w:spacing w:line="242" w:lineRule="auto"/>
              <w:ind w:left="67" w:right="56"/>
              <w:jc w:val="both"/>
              <w:rPr>
                <w:sz w:val="24"/>
              </w:rPr>
            </w:pPr>
            <w:r>
              <w:rPr>
                <w:sz w:val="24"/>
              </w:rPr>
              <w:t>责任单位</w:t>
            </w:r>
          </w:p>
        </w:tc>
        <w:tc>
          <w:tcPr>
            <w:tcW w:w="376" w:type="dxa"/>
          </w:tcPr>
          <w:p>
            <w:pPr>
              <w:pStyle w:val="TableParagraph"/>
              <w:rPr>
                <w:sz w:val="24"/>
              </w:rPr>
            </w:pPr>
          </w:p>
          <w:p>
            <w:pPr>
              <w:pStyle w:val="TableParagraph"/>
              <w:spacing w:line="242" w:lineRule="auto" w:before="163"/>
              <w:ind w:left="68" w:right="55"/>
              <w:jc w:val="both"/>
              <w:rPr>
                <w:sz w:val="24"/>
              </w:rPr>
            </w:pPr>
            <w:r>
              <w:rPr>
                <w:sz w:val="24"/>
              </w:rPr>
              <w:t>责任人</w:t>
            </w:r>
          </w:p>
        </w:tc>
        <w:tc>
          <w:tcPr>
            <w:tcW w:w="376" w:type="dxa"/>
          </w:tcPr>
          <w:p>
            <w:pPr>
              <w:pStyle w:val="TableParagraph"/>
              <w:spacing w:before="7"/>
              <w:rPr>
                <w:sz w:val="24"/>
              </w:rPr>
            </w:pPr>
          </w:p>
          <w:p>
            <w:pPr>
              <w:pStyle w:val="TableParagraph"/>
              <w:spacing w:line="242" w:lineRule="auto"/>
              <w:ind w:left="67" w:right="56"/>
              <w:jc w:val="both"/>
              <w:rPr>
                <w:sz w:val="24"/>
              </w:rPr>
            </w:pPr>
            <w:r>
              <w:rPr>
                <w:sz w:val="24"/>
              </w:rPr>
              <w:t>排查结果</w:t>
            </w:r>
          </w:p>
        </w:tc>
        <w:tc>
          <w:tcPr>
            <w:tcW w:w="376" w:type="dxa"/>
          </w:tcPr>
          <w:p>
            <w:pPr>
              <w:pStyle w:val="TableParagraph"/>
              <w:spacing w:before="7"/>
              <w:rPr>
                <w:sz w:val="24"/>
              </w:rPr>
            </w:pPr>
          </w:p>
          <w:p>
            <w:pPr>
              <w:pStyle w:val="TableParagraph"/>
              <w:spacing w:line="242" w:lineRule="auto"/>
              <w:ind w:left="67" w:right="56"/>
              <w:jc w:val="both"/>
              <w:rPr>
                <w:sz w:val="24"/>
              </w:rPr>
            </w:pPr>
            <w:r>
              <w:rPr>
                <w:sz w:val="24"/>
              </w:rPr>
              <w:t>隐患描述</w:t>
            </w:r>
          </w:p>
        </w:tc>
        <w:tc>
          <w:tcPr>
            <w:tcW w:w="376" w:type="dxa"/>
          </w:tcPr>
          <w:p>
            <w:pPr>
              <w:pStyle w:val="TableParagraph"/>
              <w:spacing w:before="7"/>
              <w:rPr>
                <w:sz w:val="24"/>
              </w:rPr>
            </w:pPr>
          </w:p>
          <w:p>
            <w:pPr>
              <w:pStyle w:val="TableParagraph"/>
              <w:spacing w:line="242" w:lineRule="auto"/>
              <w:ind w:left="68" w:right="55"/>
              <w:jc w:val="both"/>
              <w:rPr>
                <w:sz w:val="24"/>
              </w:rPr>
            </w:pPr>
            <w:r>
              <w:rPr>
                <w:sz w:val="24"/>
              </w:rPr>
              <w:t>隐患级别</w:t>
            </w:r>
          </w:p>
        </w:tc>
        <w:tc>
          <w:tcPr>
            <w:tcW w:w="376" w:type="dxa"/>
          </w:tcPr>
          <w:p>
            <w:pPr>
              <w:pStyle w:val="TableParagraph"/>
              <w:rPr>
                <w:sz w:val="24"/>
              </w:rPr>
            </w:pPr>
          </w:p>
          <w:p>
            <w:pPr>
              <w:pStyle w:val="TableParagraph"/>
              <w:spacing w:line="242" w:lineRule="auto" w:before="163"/>
              <w:ind w:left="67" w:right="56"/>
              <w:jc w:val="both"/>
              <w:rPr>
                <w:sz w:val="24"/>
              </w:rPr>
            </w:pPr>
            <w:r>
              <w:rPr>
                <w:sz w:val="24"/>
              </w:rPr>
              <w:t>排查人</w:t>
            </w:r>
          </w:p>
        </w:tc>
        <w:tc>
          <w:tcPr>
            <w:tcW w:w="376" w:type="dxa"/>
          </w:tcPr>
          <w:p>
            <w:pPr>
              <w:pStyle w:val="TableParagraph"/>
              <w:spacing w:before="7"/>
              <w:rPr>
                <w:sz w:val="24"/>
              </w:rPr>
            </w:pPr>
          </w:p>
          <w:p>
            <w:pPr>
              <w:pStyle w:val="TableParagraph"/>
              <w:spacing w:line="242" w:lineRule="auto"/>
              <w:ind w:left="67" w:right="56"/>
              <w:jc w:val="both"/>
              <w:rPr>
                <w:sz w:val="24"/>
              </w:rPr>
            </w:pPr>
            <w:r>
              <w:rPr>
                <w:sz w:val="24"/>
              </w:rPr>
              <w:t>排查时间</w:t>
            </w:r>
          </w:p>
        </w:tc>
        <w:tc>
          <w:tcPr>
            <w:tcW w:w="376" w:type="dxa"/>
          </w:tcPr>
          <w:p>
            <w:pPr>
              <w:pStyle w:val="TableParagraph"/>
              <w:spacing w:line="242" w:lineRule="auto" w:before="2"/>
              <w:ind w:left="68" w:right="55"/>
              <w:jc w:val="both"/>
              <w:rPr>
                <w:sz w:val="24"/>
              </w:rPr>
            </w:pPr>
            <w:r>
              <w:rPr>
                <w:sz w:val="24"/>
              </w:rPr>
              <w:t>形成原因</w:t>
            </w:r>
          </w:p>
          <w:p>
            <w:pPr>
              <w:pStyle w:val="TableParagraph"/>
              <w:spacing w:line="310" w:lineRule="atLeast" w:before="4"/>
              <w:ind w:left="68" w:right="55"/>
              <w:rPr>
                <w:sz w:val="24"/>
              </w:rPr>
            </w:pPr>
            <w:r>
              <w:rPr>
                <w:sz w:val="24"/>
              </w:rPr>
              <w:t>分析</w:t>
            </w:r>
          </w:p>
        </w:tc>
        <w:tc>
          <w:tcPr>
            <w:tcW w:w="376" w:type="dxa"/>
          </w:tcPr>
          <w:p>
            <w:pPr>
              <w:pStyle w:val="TableParagraph"/>
              <w:spacing w:before="7"/>
              <w:rPr>
                <w:sz w:val="24"/>
              </w:rPr>
            </w:pPr>
          </w:p>
          <w:p>
            <w:pPr>
              <w:pStyle w:val="TableParagraph"/>
              <w:spacing w:line="242" w:lineRule="auto"/>
              <w:ind w:left="67" w:right="56"/>
              <w:jc w:val="both"/>
              <w:rPr>
                <w:sz w:val="24"/>
              </w:rPr>
            </w:pPr>
            <w:r>
              <w:rPr>
                <w:sz w:val="24"/>
              </w:rPr>
              <w:t>整改措施</w:t>
            </w:r>
          </w:p>
        </w:tc>
        <w:tc>
          <w:tcPr>
            <w:tcW w:w="436" w:type="dxa"/>
          </w:tcPr>
          <w:p>
            <w:pPr>
              <w:pStyle w:val="TableParagraph"/>
              <w:spacing w:line="242" w:lineRule="auto" w:before="2"/>
              <w:ind w:left="96" w:right="87"/>
              <w:jc w:val="both"/>
              <w:rPr>
                <w:sz w:val="24"/>
              </w:rPr>
            </w:pPr>
            <w:r>
              <w:rPr>
                <w:sz w:val="24"/>
              </w:rPr>
              <w:t>整改责任</w:t>
            </w:r>
          </w:p>
          <w:p>
            <w:pPr>
              <w:pStyle w:val="TableParagraph"/>
              <w:spacing w:line="310" w:lineRule="atLeast" w:before="4"/>
              <w:ind w:left="96" w:right="87"/>
              <w:rPr>
                <w:sz w:val="24"/>
              </w:rPr>
            </w:pPr>
            <w:r>
              <w:rPr>
                <w:sz w:val="24"/>
              </w:rPr>
              <w:t>单位</w:t>
            </w:r>
          </w:p>
        </w:tc>
        <w:tc>
          <w:tcPr>
            <w:tcW w:w="376" w:type="dxa"/>
          </w:tcPr>
          <w:p>
            <w:pPr>
              <w:pStyle w:val="TableParagraph"/>
              <w:spacing w:line="242" w:lineRule="auto" w:before="159"/>
              <w:ind w:left="68" w:right="55"/>
              <w:jc w:val="both"/>
              <w:rPr>
                <w:sz w:val="24"/>
              </w:rPr>
            </w:pPr>
            <w:r>
              <w:rPr>
                <w:sz w:val="24"/>
              </w:rPr>
              <w:t>整改责任人</w:t>
            </w:r>
          </w:p>
        </w:tc>
        <w:tc>
          <w:tcPr>
            <w:tcW w:w="418" w:type="dxa"/>
          </w:tcPr>
          <w:p>
            <w:pPr>
              <w:pStyle w:val="TableParagraph"/>
              <w:spacing w:before="7"/>
              <w:rPr>
                <w:sz w:val="24"/>
              </w:rPr>
            </w:pPr>
          </w:p>
          <w:p>
            <w:pPr>
              <w:pStyle w:val="TableParagraph"/>
              <w:spacing w:line="242" w:lineRule="auto"/>
              <w:ind w:left="88" w:right="77"/>
              <w:jc w:val="both"/>
              <w:rPr>
                <w:sz w:val="24"/>
              </w:rPr>
            </w:pPr>
            <w:r>
              <w:rPr>
                <w:sz w:val="24"/>
              </w:rPr>
              <w:t>整改期限</w:t>
            </w:r>
          </w:p>
        </w:tc>
        <w:tc>
          <w:tcPr>
            <w:tcW w:w="377" w:type="dxa"/>
          </w:tcPr>
          <w:p>
            <w:pPr>
              <w:pStyle w:val="TableParagraph"/>
              <w:rPr>
                <w:sz w:val="24"/>
              </w:rPr>
            </w:pPr>
          </w:p>
          <w:p>
            <w:pPr>
              <w:pStyle w:val="TableParagraph"/>
              <w:spacing w:line="242" w:lineRule="auto" w:before="163"/>
              <w:ind w:left="66" w:right="58"/>
              <w:jc w:val="both"/>
              <w:rPr>
                <w:sz w:val="24"/>
              </w:rPr>
            </w:pPr>
            <w:r>
              <w:rPr>
                <w:sz w:val="24"/>
              </w:rPr>
              <w:t>资金额</w:t>
            </w:r>
          </w:p>
        </w:tc>
        <w:tc>
          <w:tcPr>
            <w:tcW w:w="376" w:type="dxa"/>
          </w:tcPr>
          <w:p>
            <w:pPr>
              <w:pStyle w:val="TableParagraph"/>
              <w:spacing w:before="7"/>
              <w:rPr>
                <w:sz w:val="24"/>
              </w:rPr>
            </w:pPr>
          </w:p>
          <w:p>
            <w:pPr>
              <w:pStyle w:val="TableParagraph"/>
              <w:spacing w:line="242" w:lineRule="auto"/>
              <w:ind w:left="66" w:right="57"/>
              <w:jc w:val="both"/>
              <w:rPr>
                <w:sz w:val="24"/>
              </w:rPr>
            </w:pPr>
            <w:r>
              <w:rPr>
                <w:sz w:val="24"/>
              </w:rPr>
              <w:t>验收时间</w:t>
            </w:r>
          </w:p>
        </w:tc>
        <w:tc>
          <w:tcPr>
            <w:tcW w:w="376" w:type="dxa"/>
          </w:tcPr>
          <w:p>
            <w:pPr>
              <w:pStyle w:val="TableParagraph"/>
              <w:rPr>
                <w:sz w:val="24"/>
              </w:rPr>
            </w:pPr>
          </w:p>
          <w:p>
            <w:pPr>
              <w:pStyle w:val="TableParagraph"/>
              <w:spacing w:line="242" w:lineRule="auto" w:before="163"/>
              <w:ind w:left="67" w:right="56"/>
              <w:jc w:val="both"/>
              <w:rPr>
                <w:sz w:val="24"/>
              </w:rPr>
            </w:pPr>
            <w:r>
              <w:rPr>
                <w:sz w:val="24"/>
              </w:rPr>
              <w:t>验收人</w:t>
            </w:r>
          </w:p>
        </w:tc>
        <w:tc>
          <w:tcPr>
            <w:tcW w:w="374" w:type="dxa"/>
          </w:tcPr>
          <w:p>
            <w:pPr>
              <w:pStyle w:val="TableParagraph"/>
              <w:spacing w:before="7"/>
              <w:rPr>
                <w:sz w:val="24"/>
              </w:rPr>
            </w:pPr>
          </w:p>
          <w:p>
            <w:pPr>
              <w:pStyle w:val="TableParagraph"/>
              <w:spacing w:line="242" w:lineRule="auto"/>
              <w:ind w:left="65" w:right="56"/>
              <w:jc w:val="both"/>
              <w:rPr>
                <w:sz w:val="24"/>
              </w:rPr>
            </w:pPr>
            <w:r>
              <w:rPr>
                <w:sz w:val="24"/>
              </w:rPr>
              <w:t>验收情况</w:t>
            </w:r>
          </w:p>
        </w:tc>
      </w:tr>
      <w:tr>
        <w:trPr>
          <w:trHeight w:val="311" w:hRule="atLeast"/>
        </w:trPr>
        <w:tc>
          <w:tcPr>
            <w:tcW w:w="376" w:type="dxa"/>
          </w:tcPr>
          <w:p>
            <w:pPr>
              <w:pStyle w:val="TableParagraph"/>
              <w:rPr>
                <w:rFonts w:ascii="Times New Roman"/>
                <w:sz w:val="22"/>
              </w:rPr>
            </w:pPr>
          </w:p>
        </w:tc>
        <w:tc>
          <w:tcPr>
            <w:tcW w:w="376" w:type="dxa"/>
          </w:tcPr>
          <w:p>
            <w:pPr>
              <w:pStyle w:val="TableParagraph"/>
              <w:rPr>
                <w:rFonts w:ascii="Times New Roman"/>
                <w:sz w:val="22"/>
              </w:rPr>
            </w:pPr>
          </w:p>
        </w:tc>
        <w:tc>
          <w:tcPr>
            <w:tcW w:w="413" w:type="dxa"/>
          </w:tcPr>
          <w:p>
            <w:pPr>
              <w:pStyle w:val="TableParagraph"/>
              <w:rPr>
                <w:rFonts w:ascii="Times New Roman"/>
                <w:sz w:val="22"/>
              </w:rPr>
            </w:pPr>
          </w:p>
        </w:tc>
        <w:tc>
          <w:tcPr>
            <w:tcW w:w="388" w:type="dxa"/>
          </w:tcPr>
          <w:p>
            <w:pPr>
              <w:pStyle w:val="TableParagraph"/>
              <w:rPr>
                <w:rFonts w:ascii="Times New Roman"/>
                <w:sz w:val="22"/>
              </w:rPr>
            </w:pPr>
          </w:p>
        </w:tc>
        <w:tc>
          <w:tcPr>
            <w:tcW w:w="375" w:type="dxa"/>
          </w:tcPr>
          <w:p>
            <w:pPr>
              <w:pStyle w:val="TableParagraph"/>
              <w:rPr>
                <w:rFonts w:ascii="Times New Roman"/>
                <w:sz w:val="22"/>
              </w:rPr>
            </w:pPr>
          </w:p>
        </w:tc>
        <w:tc>
          <w:tcPr>
            <w:tcW w:w="375" w:type="dxa"/>
          </w:tcPr>
          <w:p>
            <w:pPr>
              <w:pStyle w:val="TableParagraph"/>
              <w:rPr>
                <w:rFonts w:ascii="Times New Roman"/>
                <w:sz w:val="22"/>
              </w:rPr>
            </w:pPr>
          </w:p>
        </w:tc>
        <w:tc>
          <w:tcPr>
            <w:tcW w:w="376" w:type="dxa"/>
          </w:tcPr>
          <w:p>
            <w:pPr>
              <w:pStyle w:val="TableParagraph"/>
              <w:rPr>
                <w:rFonts w:ascii="Times New Roman"/>
                <w:sz w:val="22"/>
              </w:rPr>
            </w:pPr>
          </w:p>
        </w:tc>
        <w:tc>
          <w:tcPr>
            <w:tcW w:w="376" w:type="dxa"/>
          </w:tcPr>
          <w:p>
            <w:pPr>
              <w:pStyle w:val="TableParagraph"/>
              <w:rPr>
                <w:rFonts w:ascii="Times New Roman"/>
                <w:sz w:val="22"/>
              </w:rPr>
            </w:pPr>
          </w:p>
        </w:tc>
        <w:tc>
          <w:tcPr>
            <w:tcW w:w="376" w:type="dxa"/>
          </w:tcPr>
          <w:p>
            <w:pPr>
              <w:pStyle w:val="TableParagraph"/>
              <w:rPr>
                <w:rFonts w:ascii="Times New Roman"/>
                <w:sz w:val="22"/>
              </w:rPr>
            </w:pPr>
          </w:p>
        </w:tc>
        <w:tc>
          <w:tcPr>
            <w:tcW w:w="376" w:type="dxa"/>
          </w:tcPr>
          <w:p>
            <w:pPr>
              <w:pStyle w:val="TableParagraph"/>
              <w:rPr>
                <w:rFonts w:ascii="Times New Roman"/>
                <w:sz w:val="22"/>
              </w:rPr>
            </w:pPr>
          </w:p>
        </w:tc>
        <w:tc>
          <w:tcPr>
            <w:tcW w:w="376" w:type="dxa"/>
          </w:tcPr>
          <w:p>
            <w:pPr>
              <w:pStyle w:val="TableParagraph"/>
              <w:rPr>
                <w:rFonts w:ascii="Times New Roman"/>
                <w:sz w:val="22"/>
              </w:rPr>
            </w:pPr>
          </w:p>
        </w:tc>
        <w:tc>
          <w:tcPr>
            <w:tcW w:w="376" w:type="dxa"/>
          </w:tcPr>
          <w:p>
            <w:pPr>
              <w:pStyle w:val="TableParagraph"/>
              <w:rPr>
                <w:rFonts w:ascii="Times New Roman"/>
                <w:sz w:val="22"/>
              </w:rPr>
            </w:pPr>
          </w:p>
        </w:tc>
        <w:tc>
          <w:tcPr>
            <w:tcW w:w="376" w:type="dxa"/>
          </w:tcPr>
          <w:p>
            <w:pPr>
              <w:pStyle w:val="TableParagraph"/>
              <w:rPr>
                <w:rFonts w:ascii="Times New Roman"/>
                <w:sz w:val="22"/>
              </w:rPr>
            </w:pPr>
          </w:p>
        </w:tc>
        <w:tc>
          <w:tcPr>
            <w:tcW w:w="376" w:type="dxa"/>
          </w:tcPr>
          <w:p>
            <w:pPr>
              <w:pStyle w:val="TableParagraph"/>
              <w:rPr>
                <w:rFonts w:ascii="Times New Roman"/>
                <w:sz w:val="22"/>
              </w:rPr>
            </w:pPr>
          </w:p>
        </w:tc>
        <w:tc>
          <w:tcPr>
            <w:tcW w:w="376" w:type="dxa"/>
          </w:tcPr>
          <w:p>
            <w:pPr>
              <w:pStyle w:val="TableParagraph"/>
              <w:rPr>
                <w:rFonts w:ascii="Times New Roman"/>
                <w:sz w:val="22"/>
              </w:rPr>
            </w:pPr>
          </w:p>
        </w:tc>
        <w:tc>
          <w:tcPr>
            <w:tcW w:w="436" w:type="dxa"/>
          </w:tcPr>
          <w:p>
            <w:pPr>
              <w:pStyle w:val="TableParagraph"/>
              <w:rPr>
                <w:rFonts w:ascii="Times New Roman"/>
                <w:sz w:val="22"/>
              </w:rPr>
            </w:pPr>
          </w:p>
        </w:tc>
        <w:tc>
          <w:tcPr>
            <w:tcW w:w="376" w:type="dxa"/>
          </w:tcPr>
          <w:p>
            <w:pPr>
              <w:pStyle w:val="TableParagraph"/>
              <w:rPr>
                <w:rFonts w:ascii="Times New Roman"/>
                <w:sz w:val="22"/>
              </w:rPr>
            </w:pPr>
          </w:p>
        </w:tc>
        <w:tc>
          <w:tcPr>
            <w:tcW w:w="418" w:type="dxa"/>
          </w:tcPr>
          <w:p>
            <w:pPr>
              <w:pStyle w:val="TableParagraph"/>
              <w:rPr>
                <w:rFonts w:ascii="Times New Roman"/>
                <w:sz w:val="22"/>
              </w:rPr>
            </w:pPr>
          </w:p>
        </w:tc>
        <w:tc>
          <w:tcPr>
            <w:tcW w:w="377" w:type="dxa"/>
          </w:tcPr>
          <w:p>
            <w:pPr>
              <w:pStyle w:val="TableParagraph"/>
              <w:rPr>
                <w:rFonts w:ascii="Times New Roman"/>
                <w:sz w:val="22"/>
              </w:rPr>
            </w:pPr>
          </w:p>
        </w:tc>
        <w:tc>
          <w:tcPr>
            <w:tcW w:w="376" w:type="dxa"/>
          </w:tcPr>
          <w:p>
            <w:pPr>
              <w:pStyle w:val="TableParagraph"/>
              <w:rPr>
                <w:rFonts w:ascii="Times New Roman"/>
                <w:sz w:val="22"/>
              </w:rPr>
            </w:pPr>
          </w:p>
        </w:tc>
        <w:tc>
          <w:tcPr>
            <w:tcW w:w="376" w:type="dxa"/>
          </w:tcPr>
          <w:p>
            <w:pPr>
              <w:pStyle w:val="TableParagraph"/>
              <w:rPr>
                <w:rFonts w:ascii="Times New Roman"/>
                <w:sz w:val="22"/>
              </w:rPr>
            </w:pPr>
          </w:p>
        </w:tc>
        <w:tc>
          <w:tcPr>
            <w:tcW w:w="374" w:type="dxa"/>
          </w:tcPr>
          <w:p>
            <w:pPr>
              <w:pStyle w:val="TableParagraph"/>
              <w:rPr>
                <w:rFonts w:ascii="Times New Roman"/>
                <w:sz w:val="22"/>
              </w:rPr>
            </w:pPr>
          </w:p>
        </w:tc>
      </w:tr>
      <w:tr>
        <w:trPr>
          <w:trHeight w:val="312" w:hRule="atLeast"/>
        </w:trPr>
        <w:tc>
          <w:tcPr>
            <w:tcW w:w="376" w:type="dxa"/>
          </w:tcPr>
          <w:p>
            <w:pPr>
              <w:pStyle w:val="TableParagraph"/>
              <w:rPr>
                <w:rFonts w:ascii="Times New Roman"/>
                <w:sz w:val="22"/>
              </w:rPr>
            </w:pPr>
          </w:p>
        </w:tc>
        <w:tc>
          <w:tcPr>
            <w:tcW w:w="376" w:type="dxa"/>
          </w:tcPr>
          <w:p>
            <w:pPr>
              <w:pStyle w:val="TableParagraph"/>
              <w:rPr>
                <w:rFonts w:ascii="Times New Roman"/>
                <w:sz w:val="22"/>
              </w:rPr>
            </w:pPr>
          </w:p>
        </w:tc>
        <w:tc>
          <w:tcPr>
            <w:tcW w:w="413" w:type="dxa"/>
          </w:tcPr>
          <w:p>
            <w:pPr>
              <w:pStyle w:val="TableParagraph"/>
              <w:rPr>
                <w:rFonts w:ascii="Times New Roman"/>
                <w:sz w:val="22"/>
              </w:rPr>
            </w:pPr>
          </w:p>
        </w:tc>
        <w:tc>
          <w:tcPr>
            <w:tcW w:w="388" w:type="dxa"/>
          </w:tcPr>
          <w:p>
            <w:pPr>
              <w:pStyle w:val="TableParagraph"/>
              <w:rPr>
                <w:rFonts w:ascii="Times New Roman"/>
                <w:sz w:val="22"/>
              </w:rPr>
            </w:pPr>
          </w:p>
        </w:tc>
        <w:tc>
          <w:tcPr>
            <w:tcW w:w="375" w:type="dxa"/>
          </w:tcPr>
          <w:p>
            <w:pPr>
              <w:pStyle w:val="TableParagraph"/>
              <w:rPr>
                <w:rFonts w:ascii="Times New Roman"/>
                <w:sz w:val="22"/>
              </w:rPr>
            </w:pPr>
          </w:p>
        </w:tc>
        <w:tc>
          <w:tcPr>
            <w:tcW w:w="375" w:type="dxa"/>
          </w:tcPr>
          <w:p>
            <w:pPr>
              <w:pStyle w:val="TableParagraph"/>
              <w:rPr>
                <w:rFonts w:ascii="Times New Roman"/>
                <w:sz w:val="22"/>
              </w:rPr>
            </w:pPr>
          </w:p>
        </w:tc>
        <w:tc>
          <w:tcPr>
            <w:tcW w:w="376" w:type="dxa"/>
          </w:tcPr>
          <w:p>
            <w:pPr>
              <w:pStyle w:val="TableParagraph"/>
              <w:rPr>
                <w:rFonts w:ascii="Times New Roman"/>
                <w:sz w:val="22"/>
              </w:rPr>
            </w:pPr>
          </w:p>
        </w:tc>
        <w:tc>
          <w:tcPr>
            <w:tcW w:w="376" w:type="dxa"/>
          </w:tcPr>
          <w:p>
            <w:pPr>
              <w:pStyle w:val="TableParagraph"/>
              <w:rPr>
                <w:rFonts w:ascii="Times New Roman"/>
                <w:sz w:val="22"/>
              </w:rPr>
            </w:pPr>
          </w:p>
        </w:tc>
        <w:tc>
          <w:tcPr>
            <w:tcW w:w="376" w:type="dxa"/>
          </w:tcPr>
          <w:p>
            <w:pPr>
              <w:pStyle w:val="TableParagraph"/>
              <w:rPr>
                <w:rFonts w:ascii="Times New Roman"/>
                <w:sz w:val="22"/>
              </w:rPr>
            </w:pPr>
          </w:p>
        </w:tc>
        <w:tc>
          <w:tcPr>
            <w:tcW w:w="376" w:type="dxa"/>
          </w:tcPr>
          <w:p>
            <w:pPr>
              <w:pStyle w:val="TableParagraph"/>
              <w:rPr>
                <w:rFonts w:ascii="Times New Roman"/>
                <w:sz w:val="22"/>
              </w:rPr>
            </w:pPr>
          </w:p>
        </w:tc>
        <w:tc>
          <w:tcPr>
            <w:tcW w:w="376" w:type="dxa"/>
          </w:tcPr>
          <w:p>
            <w:pPr>
              <w:pStyle w:val="TableParagraph"/>
              <w:rPr>
                <w:rFonts w:ascii="Times New Roman"/>
                <w:sz w:val="22"/>
              </w:rPr>
            </w:pPr>
          </w:p>
        </w:tc>
        <w:tc>
          <w:tcPr>
            <w:tcW w:w="376" w:type="dxa"/>
          </w:tcPr>
          <w:p>
            <w:pPr>
              <w:pStyle w:val="TableParagraph"/>
              <w:rPr>
                <w:rFonts w:ascii="Times New Roman"/>
                <w:sz w:val="22"/>
              </w:rPr>
            </w:pPr>
          </w:p>
        </w:tc>
        <w:tc>
          <w:tcPr>
            <w:tcW w:w="376" w:type="dxa"/>
          </w:tcPr>
          <w:p>
            <w:pPr>
              <w:pStyle w:val="TableParagraph"/>
              <w:rPr>
                <w:rFonts w:ascii="Times New Roman"/>
                <w:sz w:val="22"/>
              </w:rPr>
            </w:pPr>
          </w:p>
        </w:tc>
        <w:tc>
          <w:tcPr>
            <w:tcW w:w="376" w:type="dxa"/>
          </w:tcPr>
          <w:p>
            <w:pPr>
              <w:pStyle w:val="TableParagraph"/>
              <w:rPr>
                <w:rFonts w:ascii="Times New Roman"/>
                <w:sz w:val="22"/>
              </w:rPr>
            </w:pPr>
          </w:p>
        </w:tc>
        <w:tc>
          <w:tcPr>
            <w:tcW w:w="376" w:type="dxa"/>
          </w:tcPr>
          <w:p>
            <w:pPr>
              <w:pStyle w:val="TableParagraph"/>
              <w:rPr>
                <w:rFonts w:ascii="Times New Roman"/>
                <w:sz w:val="22"/>
              </w:rPr>
            </w:pPr>
          </w:p>
        </w:tc>
        <w:tc>
          <w:tcPr>
            <w:tcW w:w="436" w:type="dxa"/>
          </w:tcPr>
          <w:p>
            <w:pPr>
              <w:pStyle w:val="TableParagraph"/>
              <w:rPr>
                <w:rFonts w:ascii="Times New Roman"/>
                <w:sz w:val="22"/>
              </w:rPr>
            </w:pPr>
          </w:p>
        </w:tc>
        <w:tc>
          <w:tcPr>
            <w:tcW w:w="376" w:type="dxa"/>
          </w:tcPr>
          <w:p>
            <w:pPr>
              <w:pStyle w:val="TableParagraph"/>
              <w:rPr>
                <w:rFonts w:ascii="Times New Roman"/>
                <w:sz w:val="22"/>
              </w:rPr>
            </w:pPr>
          </w:p>
        </w:tc>
        <w:tc>
          <w:tcPr>
            <w:tcW w:w="418" w:type="dxa"/>
          </w:tcPr>
          <w:p>
            <w:pPr>
              <w:pStyle w:val="TableParagraph"/>
              <w:rPr>
                <w:rFonts w:ascii="Times New Roman"/>
                <w:sz w:val="22"/>
              </w:rPr>
            </w:pPr>
          </w:p>
        </w:tc>
        <w:tc>
          <w:tcPr>
            <w:tcW w:w="377" w:type="dxa"/>
          </w:tcPr>
          <w:p>
            <w:pPr>
              <w:pStyle w:val="TableParagraph"/>
              <w:rPr>
                <w:rFonts w:ascii="Times New Roman"/>
                <w:sz w:val="22"/>
              </w:rPr>
            </w:pPr>
          </w:p>
        </w:tc>
        <w:tc>
          <w:tcPr>
            <w:tcW w:w="376" w:type="dxa"/>
          </w:tcPr>
          <w:p>
            <w:pPr>
              <w:pStyle w:val="TableParagraph"/>
              <w:rPr>
                <w:rFonts w:ascii="Times New Roman"/>
                <w:sz w:val="22"/>
              </w:rPr>
            </w:pPr>
          </w:p>
        </w:tc>
        <w:tc>
          <w:tcPr>
            <w:tcW w:w="376" w:type="dxa"/>
          </w:tcPr>
          <w:p>
            <w:pPr>
              <w:pStyle w:val="TableParagraph"/>
              <w:rPr>
                <w:rFonts w:ascii="Times New Roman"/>
                <w:sz w:val="22"/>
              </w:rPr>
            </w:pPr>
          </w:p>
        </w:tc>
        <w:tc>
          <w:tcPr>
            <w:tcW w:w="374" w:type="dxa"/>
          </w:tcPr>
          <w:p>
            <w:pPr>
              <w:pStyle w:val="TableParagraph"/>
              <w:rPr>
                <w:rFonts w:ascii="Times New Roman"/>
                <w:sz w:val="22"/>
              </w:rPr>
            </w:pPr>
          </w:p>
        </w:tc>
      </w:tr>
      <w:tr>
        <w:trPr>
          <w:trHeight w:val="311" w:hRule="atLeast"/>
        </w:trPr>
        <w:tc>
          <w:tcPr>
            <w:tcW w:w="376" w:type="dxa"/>
          </w:tcPr>
          <w:p>
            <w:pPr>
              <w:pStyle w:val="TableParagraph"/>
              <w:rPr>
                <w:rFonts w:ascii="Times New Roman"/>
                <w:sz w:val="22"/>
              </w:rPr>
            </w:pPr>
          </w:p>
        </w:tc>
        <w:tc>
          <w:tcPr>
            <w:tcW w:w="376" w:type="dxa"/>
          </w:tcPr>
          <w:p>
            <w:pPr>
              <w:pStyle w:val="TableParagraph"/>
              <w:rPr>
                <w:rFonts w:ascii="Times New Roman"/>
                <w:sz w:val="22"/>
              </w:rPr>
            </w:pPr>
          </w:p>
        </w:tc>
        <w:tc>
          <w:tcPr>
            <w:tcW w:w="413" w:type="dxa"/>
          </w:tcPr>
          <w:p>
            <w:pPr>
              <w:pStyle w:val="TableParagraph"/>
              <w:rPr>
                <w:rFonts w:ascii="Times New Roman"/>
                <w:sz w:val="22"/>
              </w:rPr>
            </w:pPr>
          </w:p>
        </w:tc>
        <w:tc>
          <w:tcPr>
            <w:tcW w:w="388" w:type="dxa"/>
          </w:tcPr>
          <w:p>
            <w:pPr>
              <w:pStyle w:val="TableParagraph"/>
              <w:rPr>
                <w:rFonts w:ascii="Times New Roman"/>
                <w:sz w:val="22"/>
              </w:rPr>
            </w:pPr>
          </w:p>
        </w:tc>
        <w:tc>
          <w:tcPr>
            <w:tcW w:w="375" w:type="dxa"/>
          </w:tcPr>
          <w:p>
            <w:pPr>
              <w:pStyle w:val="TableParagraph"/>
              <w:rPr>
                <w:rFonts w:ascii="Times New Roman"/>
                <w:sz w:val="22"/>
              </w:rPr>
            </w:pPr>
          </w:p>
        </w:tc>
        <w:tc>
          <w:tcPr>
            <w:tcW w:w="375" w:type="dxa"/>
          </w:tcPr>
          <w:p>
            <w:pPr>
              <w:pStyle w:val="TableParagraph"/>
              <w:rPr>
                <w:rFonts w:ascii="Times New Roman"/>
                <w:sz w:val="22"/>
              </w:rPr>
            </w:pPr>
          </w:p>
        </w:tc>
        <w:tc>
          <w:tcPr>
            <w:tcW w:w="376" w:type="dxa"/>
          </w:tcPr>
          <w:p>
            <w:pPr>
              <w:pStyle w:val="TableParagraph"/>
              <w:rPr>
                <w:rFonts w:ascii="Times New Roman"/>
                <w:sz w:val="22"/>
              </w:rPr>
            </w:pPr>
          </w:p>
        </w:tc>
        <w:tc>
          <w:tcPr>
            <w:tcW w:w="376" w:type="dxa"/>
          </w:tcPr>
          <w:p>
            <w:pPr>
              <w:pStyle w:val="TableParagraph"/>
              <w:rPr>
                <w:rFonts w:ascii="Times New Roman"/>
                <w:sz w:val="22"/>
              </w:rPr>
            </w:pPr>
          </w:p>
        </w:tc>
        <w:tc>
          <w:tcPr>
            <w:tcW w:w="376" w:type="dxa"/>
          </w:tcPr>
          <w:p>
            <w:pPr>
              <w:pStyle w:val="TableParagraph"/>
              <w:rPr>
                <w:rFonts w:ascii="Times New Roman"/>
                <w:sz w:val="22"/>
              </w:rPr>
            </w:pPr>
          </w:p>
        </w:tc>
        <w:tc>
          <w:tcPr>
            <w:tcW w:w="376" w:type="dxa"/>
          </w:tcPr>
          <w:p>
            <w:pPr>
              <w:pStyle w:val="TableParagraph"/>
              <w:rPr>
                <w:rFonts w:ascii="Times New Roman"/>
                <w:sz w:val="22"/>
              </w:rPr>
            </w:pPr>
          </w:p>
        </w:tc>
        <w:tc>
          <w:tcPr>
            <w:tcW w:w="376" w:type="dxa"/>
          </w:tcPr>
          <w:p>
            <w:pPr>
              <w:pStyle w:val="TableParagraph"/>
              <w:rPr>
                <w:rFonts w:ascii="Times New Roman"/>
                <w:sz w:val="22"/>
              </w:rPr>
            </w:pPr>
          </w:p>
        </w:tc>
        <w:tc>
          <w:tcPr>
            <w:tcW w:w="376" w:type="dxa"/>
          </w:tcPr>
          <w:p>
            <w:pPr>
              <w:pStyle w:val="TableParagraph"/>
              <w:rPr>
                <w:rFonts w:ascii="Times New Roman"/>
                <w:sz w:val="22"/>
              </w:rPr>
            </w:pPr>
          </w:p>
        </w:tc>
        <w:tc>
          <w:tcPr>
            <w:tcW w:w="376" w:type="dxa"/>
          </w:tcPr>
          <w:p>
            <w:pPr>
              <w:pStyle w:val="TableParagraph"/>
              <w:rPr>
                <w:rFonts w:ascii="Times New Roman"/>
                <w:sz w:val="22"/>
              </w:rPr>
            </w:pPr>
          </w:p>
        </w:tc>
        <w:tc>
          <w:tcPr>
            <w:tcW w:w="376" w:type="dxa"/>
          </w:tcPr>
          <w:p>
            <w:pPr>
              <w:pStyle w:val="TableParagraph"/>
              <w:rPr>
                <w:rFonts w:ascii="Times New Roman"/>
                <w:sz w:val="22"/>
              </w:rPr>
            </w:pPr>
          </w:p>
        </w:tc>
        <w:tc>
          <w:tcPr>
            <w:tcW w:w="376" w:type="dxa"/>
          </w:tcPr>
          <w:p>
            <w:pPr>
              <w:pStyle w:val="TableParagraph"/>
              <w:rPr>
                <w:rFonts w:ascii="Times New Roman"/>
                <w:sz w:val="22"/>
              </w:rPr>
            </w:pPr>
          </w:p>
        </w:tc>
        <w:tc>
          <w:tcPr>
            <w:tcW w:w="436" w:type="dxa"/>
          </w:tcPr>
          <w:p>
            <w:pPr>
              <w:pStyle w:val="TableParagraph"/>
              <w:rPr>
                <w:rFonts w:ascii="Times New Roman"/>
                <w:sz w:val="22"/>
              </w:rPr>
            </w:pPr>
          </w:p>
        </w:tc>
        <w:tc>
          <w:tcPr>
            <w:tcW w:w="376" w:type="dxa"/>
          </w:tcPr>
          <w:p>
            <w:pPr>
              <w:pStyle w:val="TableParagraph"/>
              <w:rPr>
                <w:rFonts w:ascii="Times New Roman"/>
                <w:sz w:val="22"/>
              </w:rPr>
            </w:pPr>
          </w:p>
        </w:tc>
        <w:tc>
          <w:tcPr>
            <w:tcW w:w="418" w:type="dxa"/>
          </w:tcPr>
          <w:p>
            <w:pPr>
              <w:pStyle w:val="TableParagraph"/>
              <w:rPr>
                <w:rFonts w:ascii="Times New Roman"/>
                <w:sz w:val="22"/>
              </w:rPr>
            </w:pPr>
          </w:p>
        </w:tc>
        <w:tc>
          <w:tcPr>
            <w:tcW w:w="377" w:type="dxa"/>
          </w:tcPr>
          <w:p>
            <w:pPr>
              <w:pStyle w:val="TableParagraph"/>
              <w:rPr>
                <w:rFonts w:ascii="Times New Roman"/>
                <w:sz w:val="22"/>
              </w:rPr>
            </w:pPr>
          </w:p>
        </w:tc>
        <w:tc>
          <w:tcPr>
            <w:tcW w:w="376" w:type="dxa"/>
          </w:tcPr>
          <w:p>
            <w:pPr>
              <w:pStyle w:val="TableParagraph"/>
              <w:rPr>
                <w:rFonts w:ascii="Times New Roman"/>
                <w:sz w:val="22"/>
              </w:rPr>
            </w:pPr>
          </w:p>
        </w:tc>
        <w:tc>
          <w:tcPr>
            <w:tcW w:w="376" w:type="dxa"/>
          </w:tcPr>
          <w:p>
            <w:pPr>
              <w:pStyle w:val="TableParagraph"/>
              <w:rPr>
                <w:rFonts w:ascii="Times New Roman"/>
                <w:sz w:val="22"/>
              </w:rPr>
            </w:pPr>
          </w:p>
        </w:tc>
        <w:tc>
          <w:tcPr>
            <w:tcW w:w="374" w:type="dxa"/>
          </w:tcPr>
          <w:p>
            <w:pPr>
              <w:pStyle w:val="TableParagraph"/>
              <w:rPr>
                <w:rFonts w:ascii="Times New Roman"/>
                <w:sz w:val="22"/>
              </w:rPr>
            </w:pPr>
          </w:p>
        </w:tc>
      </w:tr>
    </w:tbl>
    <w:p>
      <w:pPr>
        <w:spacing w:before="3"/>
        <w:ind w:left="1220" w:right="0" w:firstLine="0"/>
        <w:jc w:val="left"/>
        <w:rPr>
          <w:sz w:val="24"/>
        </w:rPr>
      </w:pPr>
      <w:r>
        <w:rPr>
          <w:sz w:val="24"/>
        </w:rPr>
        <w:t>注：本表仅供参考，企业可根据实际进行调整。</w:t>
      </w:r>
    </w:p>
    <w:p>
      <w:pPr>
        <w:spacing w:after="0"/>
        <w:jc w:val="left"/>
        <w:rPr>
          <w:sz w:val="24"/>
        </w:rPr>
        <w:sectPr>
          <w:pgSz w:w="11910" w:h="16840"/>
          <w:pgMar w:header="0" w:footer="1232" w:top="1580" w:bottom="1420" w:left="1060" w:right="860"/>
        </w:sectPr>
      </w:pPr>
    </w:p>
    <w:p>
      <w:pPr>
        <w:spacing w:before="157"/>
        <w:ind w:left="504" w:right="705" w:firstLine="0"/>
        <w:jc w:val="center"/>
        <w:rPr>
          <w:sz w:val="24"/>
        </w:rPr>
      </w:pPr>
      <w:r>
        <w:rPr>
          <w:sz w:val="24"/>
        </w:rPr>
        <w:t>附录G</w:t>
      </w:r>
    </w:p>
    <w:p>
      <w:pPr>
        <w:spacing w:before="5"/>
        <w:ind w:left="504" w:right="705" w:firstLine="0"/>
        <w:jc w:val="center"/>
        <w:rPr>
          <w:sz w:val="24"/>
        </w:rPr>
      </w:pPr>
      <w:r>
        <w:rPr>
          <w:sz w:val="24"/>
        </w:rPr>
        <w:t>（资料性）</w:t>
      </w:r>
    </w:p>
    <w:p>
      <w:pPr>
        <w:spacing w:before="4"/>
        <w:ind w:left="504" w:right="705" w:firstLine="0"/>
        <w:jc w:val="center"/>
        <w:rPr>
          <w:sz w:val="24"/>
        </w:rPr>
      </w:pPr>
      <w:r>
        <w:rPr>
          <w:sz w:val="24"/>
        </w:rPr>
        <w:t>现场管理类事故隐患排查治理台帐（样表）</w:t>
      </w:r>
    </w:p>
    <w:tbl>
      <w:tblPr>
        <w:tblW w:w="0" w:type="auto"/>
        <w:jc w:val="left"/>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3"/>
        <w:gridCol w:w="353"/>
        <w:gridCol w:w="353"/>
        <w:gridCol w:w="353"/>
        <w:gridCol w:w="353"/>
        <w:gridCol w:w="353"/>
        <w:gridCol w:w="353"/>
        <w:gridCol w:w="353"/>
        <w:gridCol w:w="353"/>
        <w:gridCol w:w="353"/>
        <w:gridCol w:w="353"/>
        <w:gridCol w:w="353"/>
        <w:gridCol w:w="353"/>
        <w:gridCol w:w="354"/>
        <w:gridCol w:w="354"/>
        <w:gridCol w:w="354"/>
        <w:gridCol w:w="354"/>
        <w:gridCol w:w="354"/>
        <w:gridCol w:w="354"/>
        <w:gridCol w:w="354"/>
        <w:gridCol w:w="354"/>
        <w:gridCol w:w="354"/>
        <w:gridCol w:w="354"/>
        <w:gridCol w:w="354"/>
      </w:tblGrid>
      <w:tr>
        <w:trPr>
          <w:trHeight w:val="624" w:hRule="atLeast"/>
        </w:trPr>
        <w:tc>
          <w:tcPr>
            <w:tcW w:w="1412" w:type="dxa"/>
            <w:gridSpan w:val="4"/>
          </w:tcPr>
          <w:p>
            <w:pPr>
              <w:pStyle w:val="TableParagraph"/>
              <w:spacing w:before="159"/>
              <w:ind w:left="105"/>
              <w:rPr>
                <w:sz w:val="24"/>
              </w:rPr>
            </w:pPr>
            <w:r>
              <w:rPr>
                <w:sz w:val="24"/>
              </w:rPr>
              <w:t>风险点简况</w:t>
            </w:r>
          </w:p>
        </w:tc>
        <w:tc>
          <w:tcPr>
            <w:tcW w:w="2118" w:type="dxa"/>
            <w:gridSpan w:val="6"/>
          </w:tcPr>
          <w:p>
            <w:pPr>
              <w:pStyle w:val="TableParagraph"/>
              <w:spacing w:before="159"/>
              <w:ind w:left="579"/>
              <w:rPr>
                <w:sz w:val="24"/>
              </w:rPr>
            </w:pPr>
            <w:r>
              <w:rPr>
                <w:sz w:val="24"/>
              </w:rPr>
              <w:t>计划过程</w:t>
            </w:r>
          </w:p>
        </w:tc>
        <w:tc>
          <w:tcPr>
            <w:tcW w:w="2121" w:type="dxa"/>
            <w:gridSpan w:val="6"/>
          </w:tcPr>
          <w:p>
            <w:pPr>
              <w:pStyle w:val="TableParagraph"/>
              <w:spacing w:before="159"/>
              <w:ind w:left="578"/>
              <w:rPr>
                <w:sz w:val="24"/>
              </w:rPr>
            </w:pPr>
            <w:r>
              <w:rPr>
                <w:sz w:val="24"/>
              </w:rPr>
              <w:t>排查过程</w:t>
            </w:r>
          </w:p>
        </w:tc>
        <w:tc>
          <w:tcPr>
            <w:tcW w:w="1770" w:type="dxa"/>
            <w:gridSpan w:val="5"/>
          </w:tcPr>
          <w:p>
            <w:pPr>
              <w:pStyle w:val="TableParagraph"/>
              <w:spacing w:before="159"/>
              <w:ind w:left="403"/>
              <w:rPr>
                <w:sz w:val="24"/>
              </w:rPr>
            </w:pPr>
            <w:r>
              <w:rPr>
                <w:sz w:val="24"/>
              </w:rPr>
              <w:t>整改过程</w:t>
            </w:r>
          </w:p>
        </w:tc>
        <w:tc>
          <w:tcPr>
            <w:tcW w:w="1062" w:type="dxa"/>
            <w:gridSpan w:val="3"/>
          </w:tcPr>
          <w:p>
            <w:pPr>
              <w:pStyle w:val="TableParagraph"/>
              <w:spacing w:before="3"/>
              <w:ind w:left="149" w:right="142"/>
              <w:jc w:val="center"/>
              <w:rPr>
                <w:sz w:val="24"/>
              </w:rPr>
            </w:pPr>
            <w:r>
              <w:rPr>
                <w:sz w:val="24"/>
              </w:rPr>
              <w:t>验收过</w:t>
            </w:r>
          </w:p>
          <w:p>
            <w:pPr>
              <w:pStyle w:val="TableParagraph"/>
              <w:spacing w:line="289" w:lineRule="exact" w:before="4"/>
              <w:ind w:left="7"/>
              <w:jc w:val="center"/>
              <w:rPr>
                <w:sz w:val="24"/>
              </w:rPr>
            </w:pPr>
            <w:r>
              <w:rPr>
                <w:sz w:val="24"/>
              </w:rPr>
              <w:t>程</w:t>
            </w:r>
          </w:p>
        </w:tc>
      </w:tr>
      <w:tr>
        <w:trPr>
          <w:trHeight w:val="1871" w:hRule="atLeast"/>
        </w:trPr>
        <w:tc>
          <w:tcPr>
            <w:tcW w:w="353" w:type="dxa"/>
          </w:tcPr>
          <w:p>
            <w:pPr>
              <w:pStyle w:val="TableParagraph"/>
              <w:rPr>
                <w:sz w:val="24"/>
              </w:rPr>
            </w:pPr>
          </w:p>
          <w:p>
            <w:pPr>
              <w:pStyle w:val="TableParagraph"/>
              <w:spacing w:before="11"/>
              <w:rPr>
                <w:sz w:val="24"/>
              </w:rPr>
            </w:pPr>
          </w:p>
          <w:p>
            <w:pPr>
              <w:pStyle w:val="TableParagraph"/>
              <w:spacing w:line="242" w:lineRule="auto" w:before="1"/>
              <w:ind w:left="57" w:right="43"/>
              <w:rPr>
                <w:sz w:val="24"/>
              </w:rPr>
            </w:pPr>
            <w:r>
              <w:rPr>
                <w:sz w:val="24"/>
              </w:rPr>
              <w:t>序号</w:t>
            </w:r>
          </w:p>
        </w:tc>
        <w:tc>
          <w:tcPr>
            <w:tcW w:w="353" w:type="dxa"/>
          </w:tcPr>
          <w:p>
            <w:pPr>
              <w:pStyle w:val="TableParagraph"/>
              <w:spacing w:line="242" w:lineRule="auto" w:before="159"/>
              <w:ind w:left="57" w:right="43"/>
              <w:jc w:val="both"/>
              <w:rPr>
                <w:sz w:val="24"/>
              </w:rPr>
            </w:pPr>
            <w:r>
              <w:rPr>
                <w:sz w:val="24"/>
              </w:rPr>
              <w:t>风险点名称</w:t>
            </w:r>
          </w:p>
        </w:tc>
        <w:tc>
          <w:tcPr>
            <w:tcW w:w="353" w:type="dxa"/>
          </w:tcPr>
          <w:p>
            <w:pPr>
              <w:pStyle w:val="TableParagraph"/>
              <w:spacing w:before="7"/>
              <w:rPr>
                <w:sz w:val="24"/>
              </w:rPr>
            </w:pPr>
          </w:p>
          <w:p>
            <w:pPr>
              <w:pStyle w:val="TableParagraph"/>
              <w:spacing w:line="242" w:lineRule="auto"/>
              <w:ind w:left="56" w:right="44"/>
              <w:jc w:val="both"/>
              <w:rPr>
                <w:sz w:val="24"/>
              </w:rPr>
            </w:pPr>
            <w:r>
              <w:rPr>
                <w:sz w:val="24"/>
              </w:rPr>
              <w:t>所属单位</w:t>
            </w:r>
          </w:p>
        </w:tc>
        <w:tc>
          <w:tcPr>
            <w:tcW w:w="353" w:type="dxa"/>
          </w:tcPr>
          <w:p>
            <w:pPr>
              <w:pStyle w:val="TableParagraph"/>
              <w:spacing w:before="7"/>
              <w:rPr>
                <w:sz w:val="24"/>
              </w:rPr>
            </w:pPr>
          </w:p>
          <w:p>
            <w:pPr>
              <w:pStyle w:val="TableParagraph"/>
              <w:spacing w:line="242" w:lineRule="auto"/>
              <w:ind w:left="56" w:right="44"/>
              <w:jc w:val="both"/>
              <w:rPr>
                <w:sz w:val="24"/>
              </w:rPr>
            </w:pPr>
            <w:r>
              <w:rPr>
                <w:sz w:val="24"/>
              </w:rPr>
              <w:t>风险等级</w:t>
            </w:r>
          </w:p>
        </w:tc>
        <w:tc>
          <w:tcPr>
            <w:tcW w:w="353" w:type="dxa"/>
          </w:tcPr>
          <w:p>
            <w:pPr>
              <w:pStyle w:val="TableParagraph"/>
              <w:spacing w:before="7"/>
              <w:rPr>
                <w:sz w:val="24"/>
              </w:rPr>
            </w:pPr>
          </w:p>
          <w:p>
            <w:pPr>
              <w:pStyle w:val="TableParagraph"/>
              <w:spacing w:line="242" w:lineRule="auto"/>
              <w:ind w:left="56" w:right="44"/>
              <w:jc w:val="both"/>
              <w:rPr>
                <w:sz w:val="24"/>
              </w:rPr>
            </w:pPr>
            <w:r>
              <w:rPr>
                <w:sz w:val="24"/>
              </w:rPr>
              <w:t>排查内容</w:t>
            </w:r>
          </w:p>
        </w:tc>
        <w:tc>
          <w:tcPr>
            <w:tcW w:w="353" w:type="dxa"/>
          </w:tcPr>
          <w:p>
            <w:pPr>
              <w:pStyle w:val="TableParagraph"/>
              <w:rPr>
                <w:sz w:val="24"/>
              </w:rPr>
            </w:pPr>
          </w:p>
          <w:p>
            <w:pPr>
              <w:pStyle w:val="TableParagraph"/>
              <w:spacing w:before="11"/>
              <w:rPr>
                <w:sz w:val="24"/>
              </w:rPr>
            </w:pPr>
          </w:p>
          <w:p>
            <w:pPr>
              <w:pStyle w:val="TableParagraph"/>
              <w:spacing w:line="242" w:lineRule="auto" w:before="1"/>
              <w:ind w:left="56" w:right="44"/>
              <w:rPr>
                <w:sz w:val="24"/>
              </w:rPr>
            </w:pPr>
            <w:r>
              <w:rPr>
                <w:sz w:val="24"/>
              </w:rPr>
              <w:t>标准</w:t>
            </w:r>
          </w:p>
        </w:tc>
        <w:tc>
          <w:tcPr>
            <w:tcW w:w="353" w:type="dxa"/>
          </w:tcPr>
          <w:p>
            <w:pPr>
              <w:pStyle w:val="TableParagraph"/>
              <w:spacing w:before="7"/>
              <w:rPr>
                <w:sz w:val="24"/>
              </w:rPr>
            </w:pPr>
          </w:p>
          <w:p>
            <w:pPr>
              <w:pStyle w:val="TableParagraph"/>
              <w:spacing w:line="242" w:lineRule="auto"/>
              <w:ind w:left="56" w:right="44"/>
              <w:jc w:val="both"/>
              <w:rPr>
                <w:sz w:val="24"/>
              </w:rPr>
            </w:pPr>
            <w:r>
              <w:rPr>
                <w:sz w:val="24"/>
              </w:rPr>
              <w:t>排查类型</w:t>
            </w:r>
          </w:p>
        </w:tc>
        <w:tc>
          <w:tcPr>
            <w:tcW w:w="353" w:type="dxa"/>
          </w:tcPr>
          <w:p>
            <w:pPr>
              <w:pStyle w:val="TableParagraph"/>
              <w:spacing w:before="7"/>
              <w:rPr>
                <w:sz w:val="24"/>
              </w:rPr>
            </w:pPr>
          </w:p>
          <w:p>
            <w:pPr>
              <w:pStyle w:val="TableParagraph"/>
              <w:spacing w:line="242" w:lineRule="auto"/>
              <w:ind w:left="55" w:right="45"/>
              <w:jc w:val="both"/>
              <w:rPr>
                <w:sz w:val="24"/>
              </w:rPr>
            </w:pPr>
            <w:r>
              <w:rPr>
                <w:sz w:val="24"/>
              </w:rPr>
              <w:t>排查周期</w:t>
            </w:r>
          </w:p>
        </w:tc>
        <w:tc>
          <w:tcPr>
            <w:tcW w:w="353" w:type="dxa"/>
          </w:tcPr>
          <w:p>
            <w:pPr>
              <w:pStyle w:val="TableParagraph"/>
              <w:spacing w:before="7"/>
              <w:rPr>
                <w:sz w:val="24"/>
              </w:rPr>
            </w:pPr>
          </w:p>
          <w:p>
            <w:pPr>
              <w:pStyle w:val="TableParagraph"/>
              <w:spacing w:line="242" w:lineRule="auto"/>
              <w:ind w:left="55" w:right="45"/>
              <w:jc w:val="both"/>
              <w:rPr>
                <w:sz w:val="24"/>
              </w:rPr>
            </w:pPr>
            <w:r>
              <w:rPr>
                <w:sz w:val="24"/>
              </w:rPr>
              <w:t>责任单位</w:t>
            </w:r>
          </w:p>
        </w:tc>
        <w:tc>
          <w:tcPr>
            <w:tcW w:w="353" w:type="dxa"/>
          </w:tcPr>
          <w:p>
            <w:pPr>
              <w:pStyle w:val="TableParagraph"/>
              <w:rPr>
                <w:sz w:val="24"/>
              </w:rPr>
            </w:pPr>
          </w:p>
          <w:p>
            <w:pPr>
              <w:pStyle w:val="TableParagraph"/>
              <w:spacing w:line="242" w:lineRule="auto" w:before="163"/>
              <w:ind w:left="55" w:right="45"/>
              <w:jc w:val="both"/>
              <w:rPr>
                <w:sz w:val="24"/>
              </w:rPr>
            </w:pPr>
            <w:r>
              <w:rPr>
                <w:sz w:val="24"/>
              </w:rPr>
              <w:t>责任人</w:t>
            </w:r>
          </w:p>
        </w:tc>
        <w:tc>
          <w:tcPr>
            <w:tcW w:w="353" w:type="dxa"/>
          </w:tcPr>
          <w:p>
            <w:pPr>
              <w:pStyle w:val="TableParagraph"/>
              <w:spacing w:before="7"/>
              <w:rPr>
                <w:sz w:val="24"/>
              </w:rPr>
            </w:pPr>
          </w:p>
          <w:p>
            <w:pPr>
              <w:pStyle w:val="TableParagraph"/>
              <w:spacing w:line="242" w:lineRule="auto"/>
              <w:ind w:left="57" w:right="43"/>
              <w:jc w:val="both"/>
              <w:rPr>
                <w:sz w:val="24"/>
              </w:rPr>
            </w:pPr>
            <w:r>
              <w:rPr>
                <w:sz w:val="24"/>
              </w:rPr>
              <w:t>排查结果</w:t>
            </w:r>
          </w:p>
        </w:tc>
        <w:tc>
          <w:tcPr>
            <w:tcW w:w="353" w:type="dxa"/>
          </w:tcPr>
          <w:p>
            <w:pPr>
              <w:pStyle w:val="TableParagraph"/>
              <w:spacing w:before="7"/>
              <w:rPr>
                <w:sz w:val="24"/>
              </w:rPr>
            </w:pPr>
          </w:p>
          <w:p>
            <w:pPr>
              <w:pStyle w:val="TableParagraph"/>
              <w:spacing w:line="242" w:lineRule="auto"/>
              <w:ind w:left="57" w:right="43"/>
              <w:jc w:val="both"/>
              <w:rPr>
                <w:sz w:val="24"/>
              </w:rPr>
            </w:pPr>
            <w:r>
              <w:rPr>
                <w:sz w:val="24"/>
              </w:rPr>
              <w:t>隐患描述</w:t>
            </w:r>
          </w:p>
        </w:tc>
        <w:tc>
          <w:tcPr>
            <w:tcW w:w="353" w:type="dxa"/>
          </w:tcPr>
          <w:p>
            <w:pPr>
              <w:pStyle w:val="TableParagraph"/>
              <w:spacing w:before="7"/>
              <w:rPr>
                <w:sz w:val="24"/>
              </w:rPr>
            </w:pPr>
          </w:p>
          <w:p>
            <w:pPr>
              <w:pStyle w:val="TableParagraph"/>
              <w:spacing w:line="242" w:lineRule="auto"/>
              <w:ind w:left="57" w:right="43"/>
              <w:jc w:val="both"/>
              <w:rPr>
                <w:sz w:val="24"/>
              </w:rPr>
            </w:pPr>
            <w:r>
              <w:rPr>
                <w:sz w:val="24"/>
              </w:rPr>
              <w:t>隐患级别</w:t>
            </w:r>
          </w:p>
        </w:tc>
        <w:tc>
          <w:tcPr>
            <w:tcW w:w="354" w:type="dxa"/>
          </w:tcPr>
          <w:p>
            <w:pPr>
              <w:pStyle w:val="TableParagraph"/>
              <w:rPr>
                <w:sz w:val="24"/>
              </w:rPr>
            </w:pPr>
          </w:p>
          <w:p>
            <w:pPr>
              <w:pStyle w:val="TableParagraph"/>
              <w:spacing w:line="242" w:lineRule="auto" w:before="163"/>
              <w:ind w:left="57" w:right="44"/>
              <w:jc w:val="both"/>
              <w:rPr>
                <w:sz w:val="24"/>
              </w:rPr>
            </w:pPr>
            <w:r>
              <w:rPr>
                <w:sz w:val="24"/>
              </w:rPr>
              <w:t>排查人</w:t>
            </w:r>
          </w:p>
        </w:tc>
        <w:tc>
          <w:tcPr>
            <w:tcW w:w="354" w:type="dxa"/>
          </w:tcPr>
          <w:p>
            <w:pPr>
              <w:pStyle w:val="TableParagraph"/>
              <w:spacing w:before="7"/>
              <w:rPr>
                <w:sz w:val="24"/>
              </w:rPr>
            </w:pPr>
          </w:p>
          <w:p>
            <w:pPr>
              <w:pStyle w:val="TableParagraph"/>
              <w:spacing w:line="242" w:lineRule="auto"/>
              <w:ind w:left="55" w:right="46"/>
              <w:jc w:val="both"/>
              <w:rPr>
                <w:sz w:val="24"/>
              </w:rPr>
            </w:pPr>
            <w:r>
              <w:rPr>
                <w:sz w:val="24"/>
              </w:rPr>
              <w:t>排查时间</w:t>
            </w:r>
          </w:p>
        </w:tc>
        <w:tc>
          <w:tcPr>
            <w:tcW w:w="354" w:type="dxa"/>
          </w:tcPr>
          <w:p>
            <w:pPr>
              <w:pStyle w:val="TableParagraph"/>
              <w:spacing w:line="242" w:lineRule="auto" w:before="3"/>
              <w:ind w:left="57" w:right="44"/>
              <w:jc w:val="both"/>
              <w:rPr>
                <w:sz w:val="24"/>
              </w:rPr>
            </w:pPr>
            <w:r>
              <w:rPr>
                <w:sz w:val="24"/>
              </w:rPr>
              <w:t>形成原因分</w:t>
            </w:r>
          </w:p>
          <w:p>
            <w:pPr>
              <w:pStyle w:val="TableParagraph"/>
              <w:spacing w:line="289" w:lineRule="exact" w:before="7"/>
              <w:ind w:left="57"/>
              <w:rPr>
                <w:sz w:val="24"/>
              </w:rPr>
            </w:pPr>
            <w:r>
              <w:rPr>
                <w:sz w:val="24"/>
              </w:rPr>
              <w:t>析</w:t>
            </w:r>
          </w:p>
        </w:tc>
        <w:tc>
          <w:tcPr>
            <w:tcW w:w="354" w:type="dxa"/>
          </w:tcPr>
          <w:p>
            <w:pPr>
              <w:pStyle w:val="TableParagraph"/>
              <w:spacing w:before="7"/>
              <w:rPr>
                <w:sz w:val="24"/>
              </w:rPr>
            </w:pPr>
          </w:p>
          <w:p>
            <w:pPr>
              <w:pStyle w:val="TableParagraph"/>
              <w:spacing w:line="242" w:lineRule="auto"/>
              <w:ind w:left="55" w:right="46"/>
              <w:jc w:val="both"/>
              <w:rPr>
                <w:sz w:val="24"/>
              </w:rPr>
            </w:pPr>
            <w:r>
              <w:rPr>
                <w:sz w:val="24"/>
              </w:rPr>
              <w:t>整改措施</w:t>
            </w:r>
          </w:p>
        </w:tc>
        <w:tc>
          <w:tcPr>
            <w:tcW w:w="354" w:type="dxa"/>
          </w:tcPr>
          <w:p>
            <w:pPr>
              <w:pStyle w:val="TableParagraph"/>
              <w:spacing w:line="242" w:lineRule="auto" w:before="3"/>
              <w:ind w:left="57" w:right="44"/>
              <w:jc w:val="both"/>
              <w:rPr>
                <w:sz w:val="24"/>
              </w:rPr>
            </w:pPr>
            <w:r>
              <w:rPr>
                <w:sz w:val="24"/>
              </w:rPr>
              <w:t>整改责任单</w:t>
            </w:r>
          </w:p>
          <w:p>
            <w:pPr>
              <w:pStyle w:val="TableParagraph"/>
              <w:spacing w:line="289" w:lineRule="exact" w:before="7"/>
              <w:ind w:left="57"/>
              <w:rPr>
                <w:sz w:val="24"/>
              </w:rPr>
            </w:pPr>
            <w:r>
              <w:rPr>
                <w:sz w:val="24"/>
              </w:rPr>
              <w:t>位</w:t>
            </w:r>
          </w:p>
        </w:tc>
        <w:tc>
          <w:tcPr>
            <w:tcW w:w="354" w:type="dxa"/>
          </w:tcPr>
          <w:p>
            <w:pPr>
              <w:pStyle w:val="TableParagraph"/>
              <w:spacing w:line="242" w:lineRule="auto" w:before="159"/>
              <w:ind w:left="55" w:right="46"/>
              <w:jc w:val="both"/>
              <w:rPr>
                <w:sz w:val="24"/>
              </w:rPr>
            </w:pPr>
            <w:r>
              <w:rPr>
                <w:sz w:val="24"/>
              </w:rPr>
              <w:t>整改责任人</w:t>
            </w:r>
          </w:p>
        </w:tc>
        <w:tc>
          <w:tcPr>
            <w:tcW w:w="354" w:type="dxa"/>
          </w:tcPr>
          <w:p>
            <w:pPr>
              <w:pStyle w:val="TableParagraph"/>
              <w:spacing w:before="7"/>
              <w:rPr>
                <w:sz w:val="24"/>
              </w:rPr>
            </w:pPr>
          </w:p>
          <w:p>
            <w:pPr>
              <w:pStyle w:val="TableParagraph"/>
              <w:spacing w:line="242" w:lineRule="auto"/>
              <w:ind w:left="57" w:right="44"/>
              <w:jc w:val="both"/>
              <w:rPr>
                <w:sz w:val="24"/>
              </w:rPr>
            </w:pPr>
            <w:r>
              <w:rPr>
                <w:sz w:val="24"/>
              </w:rPr>
              <w:t>整改期限</w:t>
            </w:r>
          </w:p>
        </w:tc>
        <w:tc>
          <w:tcPr>
            <w:tcW w:w="354" w:type="dxa"/>
          </w:tcPr>
          <w:p>
            <w:pPr>
              <w:pStyle w:val="TableParagraph"/>
              <w:rPr>
                <w:sz w:val="24"/>
              </w:rPr>
            </w:pPr>
          </w:p>
          <w:p>
            <w:pPr>
              <w:pStyle w:val="TableParagraph"/>
              <w:spacing w:line="242" w:lineRule="auto" w:before="163"/>
              <w:ind w:left="55" w:right="46"/>
              <w:jc w:val="both"/>
              <w:rPr>
                <w:sz w:val="24"/>
              </w:rPr>
            </w:pPr>
            <w:r>
              <w:rPr>
                <w:sz w:val="24"/>
              </w:rPr>
              <w:t>资金额</w:t>
            </w:r>
          </w:p>
        </w:tc>
        <w:tc>
          <w:tcPr>
            <w:tcW w:w="354" w:type="dxa"/>
          </w:tcPr>
          <w:p>
            <w:pPr>
              <w:pStyle w:val="TableParagraph"/>
              <w:spacing w:before="7"/>
              <w:rPr>
                <w:sz w:val="24"/>
              </w:rPr>
            </w:pPr>
          </w:p>
          <w:p>
            <w:pPr>
              <w:pStyle w:val="TableParagraph"/>
              <w:spacing w:line="242" w:lineRule="auto"/>
              <w:ind w:left="57" w:right="44"/>
              <w:jc w:val="both"/>
              <w:rPr>
                <w:sz w:val="24"/>
              </w:rPr>
            </w:pPr>
            <w:r>
              <w:rPr>
                <w:sz w:val="24"/>
              </w:rPr>
              <w:t>验收时间</w:t>
            </w:r>
          </w:p>
        </w:tc>
        <w:tc>
          <w:tcPr>
            <w:tcW w:w="354" w:type="dxa"/>
          </w:tcPr>
          <w:p>
            <w:pPr>
              <w:pStyle w:val="TableParagraph"/>
              <w:rPr>
                <w:sz w:val="24"/>
              </w:rPr>
            </w:pPr>
          </w:p>
          <w:p>
            <w:pPr>
              <w:pStyle w:val="TableParagraph"/>
              <w:spacing w:line="242" w:lineRule="auto" w:before="163"/>
              <w:ind w:left="55" w:right="46"/>
              <w:jc w:val="both"/>
              <w:rPr>
                <w:sz w:val="24"/>
              </w:rPr>
            </w:pPr>
            <w:r>
              <w:rPr>
                <w:sz w:val="24"/>
              </w:rPr>
              <w:t>验收人</w:t>
            </w:r>
          </w:p>
        </w:tc>
        <w:tc>
          <w:tcPr>
            <w:tcW w:w="354" w:type="dxa"/>
          </w:tcPr>
          <w:p>
            <w:pPr>
              <w:pStyle w:val="TableParagraph"/>
              <w:spacing w:before="7"/>
              <w:rPr>
                <w:sz w:val="24"/>
              </w:rPr>
            </w:pPr>
          </w:p>
          <w:p>
            <w:pPr>
              <w:pStyle w:val="TableParagraph"/>
              <w:spacing w:line="242" w:lineRule="auto"/>
              <w:ind w:left="57" w:right="44"/>
              <w:jc w:val="both"/>
              <w:rPr>
                <w:sz w:val="24"/>
              </w:rPr>
            </w:pPr>
            <w:r>
              <w:rPr>
                <w:sz w:val="24"/>
              </w:rPr>
              <w:t>验收情况</w:t>
            </w:r>
          </w:p>
        </w:tc>
      </w:tr>
      <w:tr>
        <w:trPr>
          <w:trHeight w:val="312" w:hRule="atLeast"/>
        </w:trPr>
        <w:tc>
          <w:tcPr>
            <w:tcW w:w="353" w:type="dxa"/>
          </w:tcPr>
          <w:p>
            <w:pPr>
              <w:pStyle w:val="TableParagraph"/>
              <w:rPr>
                <w:rFonts w:ascii="Times New Roman"/>
                <w:sz w:val="22"/>
              </w:rPr>
            </w:pPr>
          </w:p>
        </w:tc>
        <w:tc>
          <w:tcPr>
            <w:tcW w:w="353" w:type="dxa"/>
          </w:tcPr>
          <w:p>
            <w:pPr>
              <w:pStyle w:val="TableParagraph"/>
              <w:rPr>
                <w:rFonts w:ascii="Times New Roman"/>
                <w:sz w:val="22"/>
              </w:rPr>
            </w:pPr>
          </w:p>
        </w:tc>
        <w:tc>
          <w:tcPr>
            <w:tcW w:w="353" w:type="dxa"/>
          </w:tcPr>
          <w:p>
            <w:pPr>
              <w:pStyle w:val="TableParagraph"/>
              <w:rPr>
                <w:rFonts w:ascii="Times New Roman"/>
                <w:sz w:val="22"/>
              </w:rPr>
            </w:pPr>
          </w:p>
        </w:tc>
        <w:tc>
          <w:tcPr>
            <w:tcW w:w="353" w:type="dxa"/>
          </w:tcPr>
          <w:p>
            <w:pPr>
              <w:pStyle w:val="TableParagraph"/>
              <w:rPr>
                <w:rFonts w:ascii="Times New Roman"/>
                <w:sz w:val="22"/>
              </w:rPr>
            </w:pPr>
          </w:p>
        </w:tc>
        <w:tc>
          <w:tcPr>
            <w:tcW w:w="353" w:type="dxa"/>
          </w:tcPr>
          <w:p>
            <w:pPr>
              <w:pStyle w:val="TableParagraph"/>
              <w:rPr>
                <w:rFonts w:ascii="Times New Roman"/>
                <w:sz w:val="22"/>
              </w:rPr>
            </w:pPr>
          </w:p>
        </w:tc>
        <w:tc>
          <w:tcPr>
            <w:tcW w:w="353" w:type="dxa"/>
          </w:tcPr>
          <w:p>
            <w:pPr>
              <w:pStyle w:val="TableParagraph"/>
              <w:rPr>
                <w:rFonts w:ascii="Times New Roman"/>
                <w:sz w:val="22"/>
              </w:rPr>
            </w:pPr>
          </w:p>
        </w:tc>
        <w:tc>
          <w:tcPr>
            <w:tcW w:w="353" w:type="dxa"/>
          </w:tcPr>
          <w:p>
            <w:pPr>
              <w:pStyle w:val="TableParagraph"/>
              <w:rPr>
                <w:rFonts w:ascii="Times New Roman"/>
                <w:sz w:val="22"/>
              </w:rPr>
            </w:pPr>
          </w:p>
        </w:tc>
        <w:tc>
          <w:tcPr>
            <w:tcW w:w="353" w:type="dxa"/>
          </w:tcPr>
          <w:p>
            <w:pPr>
              <w:pStyle w:val="TableParagraph"/>
              <w:rPr>
                <w:rFonts w:ascii="Times New Roman"/>
                <w:sz w:val="22"/>
              </w:rPr>
            </w:pPr>
          </w:p>
        </w:tc>
        <w:tc>
          <w:tcPr>
            <w:tcW w:w="353" w:type="dxa"/>
          </w:tcPr>
          <w:p>
            <w:pPr>
              <w:pStyle w:val="TableParagraph"/>
              <w:rPr>
                <w:rFonts w:ascii="Times New Roman"/>
                <w:sz w:val="22"/>
              </w:rPr>
            </w:pPr>
          </w:p>
        </w:tc>
        <w:tc>
          <w:tcPr>
            <w:tcW w:w="353" w:type="dxa"/>
          </w:tcPr>
          <w:p>
            <w:pPr>
              <w:pStyle w:val="TableParagraph"/>
              <w:rPr>
                <w:rFonts w:ascii="Times New Roman"/>
                <w:sz w:val="22"/>
              </w:rPr>
            </w:pPr>
          </w:p>
        </w:tc>
        <w:tc>
          <w:tcPr>
            <w:tcW w:w="353" w:type="dxa"/>
          </w:tcPr>
          <w:p>
            <w:pPr>
              <w:pStyle w:val="TableParagraph"/>
              <w:rPr>
                <w:rFonts w:ascii="Times New Roman"/>
                <w:sz w:val="22"/>
              </w:rPr>
            </w:pPr>
          </w:p>
        </w:tc>
        <w:tc>
          <w:tcPr>
            <w:tcW w:w="353" w:type="dxa"/>
          </w:tcPr>
          <w:p>
            <w:pPr>
              <w:pStyle w:val="TableParagraph"/>
              <w:rPr>
                <w:rFonts w:ascii="Times New Roman"/>
                <w:sz w:val="22"/>
              </w:rPr>
            </w:pPr>
          </w:p>
        </w:tc>
        <w:tc>
          <w:tcPr>
            <w:tcW w:w="353" w:type="dxa"/>
          </w:tcPr>
          <w:p>
            <w:pPr>
              <w:pStyle w:val="TableParagraph"/>
              <w:rPr>
                <w:rFonts w:ascii="Times New Roman"/>
                <w:sz w:val="22"/>
              </w:rPr>
            </w:pPr>
          </w:p>
        </w:tc>
        <w:tc>
          <w:tcPr>
            <w:tcW w:w="354" w:type="dxa"/>
          </w:tcPr>
          <w:p>
            <w:pPr>
              <w:pStyle w:val="TableParagraph"/>
              <w:rPr>
                <w:rFonts w:ascii="Times New Roman"/>
                <w:sz w:val="22"/>
              </w:rPr>
            </w:pPr>
          </w:p>
        </w:tc>
        <w:tc>
          <w:tcPr>
            <w:tcW w:w="354" w:type="dxa"/>
          </w:tcPr>
          <w:p>
            <w:pPr>
              <w:pStyle w:val="TableParagraph"/>
              <w:rPr>
                <w:rFonts w:ascii="Times New Roman"/>
                <w:sz w:val="22"/>
              </w:rPr>
            </w:pPr>
          </w:p>
        </w:tc>
        <w:tc>
          <w:tcPr>
            <w:tcW w:w="354" w:type="dxa"/>
          </w:tcPr>
          <w:p>
            <w:pPr>
              <w:pStyle w:val="TableParagraph"/>
              <w:rPr>
                <w:rFonts w:ascii="Times New Roman"/>
                <w:sz w:val="22"/>
              </w:rPr>
            </w:pPr>
          </w:p>
        </w:tc>
        <w:tc>
          <w:tcPr>
            <w:tcW w:w="354" w:type="dxa"/>
          </w:tcPr>
          <w:p>
            <w:pPr>
              <w:pStyle w:val="TableParagraph"/>
              <w:rPr>
                <w:rFonts w:ascii="Times New Roman"/>
                <w:sz w:val="22"/>
              </w:rPr>
            </w:pPr>
          </w:p>
        </w:tc>
        <w:tc>
          <w:tcPr>
            <w:tcW w:w="354" w:type="dxa"/>
          </w:tcPr>
          <w:p>
            <w:pPr>
              <w:pStyle w:val="TableParagraph"/>
              <w:rPr>
                <w:rFonts w:ascii="Times New Roman"/>
                <w:sz w:val="22"/>
              </w:rPr>
            </w:pPr>
          </w:p>
        </w:tc>
        <w:tc>
          <w:tcPr>
            <w:tcW w:w="354" w:type="dxa"/>
          </w:tcPr>
          <w:p>
            <w:pPr>
              <w:pStyle w:val="TableParagraph"/>
              <w:rPr>
                <w:rFonts w:ascii="Times New Roman"/>
                <w:sz w:val="22"/>
              </w:rPr>
            </w:pPr>
          </w:p>
        </w:tc>
        <w:tc>
          <w:tcPr>
            <w:tcW w:w="354" w:type="dxa"/>
          </w:tcPr>
          <w:p>
            <w:pPr>
              <w:pStyle w:val="TableParagraph"/>
              <w:rPr>
                <w:rFonts w:ascii="Times New Roman"/>
                <w:sz w:val="22"/>
              </w:rPr>
            </w:pPr>
          </w:p>
        </w:tc>
        <w:tc>
          <w:tcPr>
            <w:tcW w:w="354" w:type="dxa"/>
          </w:tcPr>
          <w:p>
            <w:pPr>
              <w:pStyle w:val="TableParagraph"/>
              <w:rPr>
                <w:rFonts w:ascii="Times New Roman"/>
                <w:sz w:val="22"/>
              </w:rPr>
            </w:pPr>
          </w:p>
        </w:tc>
        <w:tc>
          <w:tcPr>
            <w:tcW w:w="354" w:type="dxa"/>
          </w:tcPr>
          <w:p>
            <w:pPr>
              <w:pStyle w:val="TableParagraph"/>
              <w:rPr>
                <w:rFonts w:ascii="Times New Roman"/>
                <w:sz w:val="22"/>
              </w:rPr>
            </w:pPr>
          </w:p>
        </w:tc>
        <w:tc>
          <w:tcPr>
            <w:tcW w:w="354" w:type="dxa"/>
          </w:tcPr>
          <w:p>
            <w:pPr>
              <w:pStyle w:val="TableParagraph"/>
              <w:rPr>
                <w:rFonts w:ascii="Times New Roman"/>
                <w:sz w:val="22"/>
              </w:rPr>
            </w:pPr>
          </w:p>
        </w:tc>
        <w:tc>
          <w:tcPr>
            <w:tcW w:w="354" w:type="dxa"/>
          </w:tcPr>
          <w:p>
            <w:pPr>
              <w:pStyle w:val="TableParagraph"/>
              <w:rPr>
                <w:rFonts w:ascii="Times New Roman"/>
                <w:sz w:val="22"/>
              </w:rPr>
            </w:pPr>
          </w:p>
        </w:tc>
      </w:tr>
      <w:tr>
        <w:trPr>
          <w:trHeight w:val="311" w:hRule="atLeast"/>
        </w:trPr>
        <w:tc>
          <w:tcPr>
            <w:tcW w:w="353" w:type="dxa"/>
          </w:tcPr>
          <w:p>
            <w:pPr>
              <w:pStyle w:val="TableParagraph"/>
              <w:rPr>
                <w:rFonts w:ascii="Times New Roman"/>
                <w:sz w:val="22"/>
              </w:rPr>
            </w:pPr>
          </w:p>
        </w:tc>
        <w:tc>
          <w:tcPr>
            <w:tcW w:w="353" w:type="dxa"/>
          </w:tcPr>
          <w:p>
            <w:pPr>
              <w:pStyle w:val="TableParagraph"/>
              <w:rPr>
                <w:rFonts w:ascii="Times New Roman"/>
                <w:sz w:val="22"/>
              </w:rPr>
            </w:pPr>
          </w:p>
        </w:tc>
        <w:tc>
          <w:tcPr>
            <w:tcW w:w="353" w:type="dxa"/>
          </w:tcPr>
          <w:p>
            <w:pPr>
              <w:pStyle w:val="TableParagraph"/>
              <w:rPr>
                <w:rFonts w:ascii="Times New Roman"/>
                <w:sz w:val="22"/>
              </w:rPr>
            </w:pPr>
          </w:p>
        </w:tc>
        <w:tc>
          <w:tcPr>
            <w:tcW w:w="353" w:type="dxa"/>
          </w:tcPr>
          <w:p>
            <w:pPr>
              <w:pStyle w:val="TableParagraph"/>
              <w:rPr>
                <w:rFonts w:ascii="Times New Roman"/>
                <w:sz w:val="22"/>
              </w:rPr>
            </w:pPr>
          </w:p>
        </w:tc>
        <w:tc>
          <w:tcPr>
            <w:tcW w:w="353" w:type="dxa"/>
          </w:tcPr>
          <w:p>
            <w:pPr>
              <w:pStyle w:val="TableParagraph"/>
              <w:rPr>
                <w:rFonts w:ascii="Times New Roman"/>
                <w:sz w:val="22"/>
              </w:rPr>
            </w:pPr>
          </w:p>
        </w:tc>
        <w:tc>
          <w:tcPr>
            <w:tcW w:w="353" w:type="dxa"/>
          </w:tcPr>
          <w:p>
            <w:pPr>
              <w:pStyle w:val="TableParagraph"/>
              <w:rPr>
                <w:rFonts w:ascii="Times New Roman"/>
                <w:sz w:val="22"/>
              </w:rPr>
            </w:pPr>
          </w:p>
        </w:tc>
        <w:tc>
          <w:tcPr>
            <w:tcW w:w="353" w:type="dxa"/>
          </w:tcPr>
          <w:p>
            <w:pPr>
              <w:pStyle w:val="TableParagraph"/>
              <w:rPr>
                <w:rFonts w:ascii="Times New Roman"/>
                <w:sz w:val="22"/>
              </w:rPr>
            </w:pPr>
          </w:p>
        </w:tc>
        <w:tc>
          <w:tcPr>
            <w:tcW w:w="353" w:type="dxa"/>
          </w:tcPr>
          <w:p>
            <w:pPr>
              <w:pStyle w:val="TableParagraph"/>
              <w:rPr>
                <w:rFonts w:ascii="Times New Roman"/>
                <w:sz w:val="22"/>
              </w:rPr>
            </w:pPr>
          </w:p>
        </w:tc>
        <w:tc>
          <w:tcPr>
            <w:tcW w:w="353" w:type="dxa"/>
          </w:tcPr>
          <w:p>
            <w:pPr>
              <w:pStyle w:val="TableParagraph"/>
              <w:rPr>
                <w:rFonts w:ascii="Times New Roman"/>
                <w:sz w:val="22"/>
              </w:rPr>
            </w:pPr>
          </w:p>
        </w:tc>
        <w:tc>
          <w:tcPr>
            <w:tcW w:w="353" w:type="dxa"/>
          </w:tcPr>
          <w:p>
            <w:pPr>
              <w:pStyle w:val="TableParagraph"/>
              <w:rPr>
                <w:rFonts w:ascii="Times New Roman"/>
                <w:sz w:val="22"/>
              </w:rPr>
            </w:pPr>
          </w:p>
        </w:tc>
        <w:tc>
          <w:tcPr>
            <w:tcW w:w="353" w:type="dxa"/>
          </w:tcPr>
          <w:p>
            <w:pPr>
              <w:pStyle w:val="TableParagraph"/>
              <w:rPr>
                <w:rFonts w:ascii="Times New Roman"/>
                <w:sz w:val="22"/>
              </w:rPr>
            </w:pPr>
          </w:p>
        </w:tc>
        <w:tc>
          <w:tcPr>
            <w:tcW w:w="353" w:type="dxa"/>
          </w:tcPr>
          <w:p>
            <w:pPr>
              <w:pStyle w:val="TableParagraph"/>
              <w:rPr>
                <w:rFonts w:ascii="Times New Roman"/>
                <w:sz w:val="22"/>
              </w:rPr>
            </w:pPr>
          </w:p>
        </w:tc>
        <w:tc>
          <w:tcPr>
            <w:tcW w:w="353" w:type="dxa"/>
          </w:tcPr>
          <w:p>
            <w:pPr>
              <w:pStyle w:val="TableParagraph"/>
              <w:rPr>
                <w:rFonts w:ascii="Times New Roman"/>
                <w:sz w:val="22"/>
              </w:rPr>
            </w:pPr>
          </w:p>
        </w:tc>
        <w:tc>
          <w:tcPr>
            <w:tcW w:w="354" w:type="dxa"/>
          </w:tcPr>
          <w:p>
            <w:pPr>
              <w:pStyle w:val="TableParagraph"/>
              <w:rPr>
                <w:rFonts w:ascii="Times New Roman"/>
                <w:sz w:val="22"/>
              </w:rPr>
            </w:pPr>
          </w:p>
        </w:tc>
        <w:tc>
          <w:tcPr>
            <w:tcW w:w="354" w:type="dxa"/>
          </w:tcPr>
          <w:p>
            <w:pPr>
              <w:pStyle w:val="TableParagraph"/>
              <w:rPr>
                <w:rFonts w:ascii="Times New Roman"/>
                <w:sz w:val="22"/>
              </w:rPr>
            </w:pPr>
          </w:p>
        </w:tc>
        <w:tc>
          <w:tcPr>
            <w:tcW w:w="354" w:type="dxa"/>
          </w:tcPr>
          <w:p>
            <w:pPr>
              <w:pStyle w:val="TableParagraph"/>
              <w:rPr>
                <w:rFonts w:ascii="Times New Roman"/>
                <w:sz w:val="22"/>
              </w:rPr>
            </w:pPr>
          </w:p>
        </w:tc>
        <w:tc>
          <w:tcPr>
            <w:tcW w:w="354" w:type="dxa"/>
          </w:tcPr>
          <w:p>
            <w:pPr>
              <w:pStyle w:val="TableParagraph"/>
              <w:rPr>
                <w:rFonts w:ascii="Times New Roman"/>
                <w:sz w:val="22"/>
              </w:rPr>
            </w:pPr>
          </w:p>
        </w:tc>
        <w:tc>
          <w:tcPr>
            <w:tcW w:w="354" w:type="dxa"/>
          </w:tcPr>
          <w:p>
            <w:pPr>
              <w:pStyle w:val="TableParagraph"/>
              <w:rPr>
                <w:rFonts w:ascii="Times New Roman"/>
                <w:sz w:val="22"/>
              </w:rPr>
            </w:pPr>
          </w:p>
        </w:tc>
        <w:tc>
          <w:tcPr>
            <w:tcW w:w="354" w:type="dxa"/>
          </w:tcPr>
          <w:p>
            <w:pPr>
              <w:pStyle w:val="TableParagraph"/>
              <w:rPr>
                <w:rFonts w:ascii="Times New Roman"/>
                <w:sz w:val="22"/>
              </w:rPr>
            </w:pPr>
          </w:p>
        </w:tc>
        <w:tc>
          <w:tcPr>
            <w:tcW w:w="354" w:type="dxa"/>
          </w:tcPr>
          <w:p>
            <w:pPr>
              <w:pStyle w:val="TableParagraph"/>
              <w:rPr>
                <w:rFonts w:ascii="Times New Roman"/>
                <w:sz w:val="22"/>
              </w:rPr>
            </w:pPr>
          </w:p>
        </w:tc>
        <w:tc>
          <w:tcPr>
            <w:tcW w:w="354" w:type="dxa"/>
          </w:tcPr>
          <w:p>
            <w:pPr>
              <w:pStyle w:val="TableParagraph"/>
              <w:rPr>
                <w:rFonts w:ascii="Times New Roman"/>
                <w:sz w:val="22"/>
              </w:rPr>
            </w:pPr>
          </w:p>
        </w:tc>
        <w:tc>
          <w:tcPr>
            <w:tcW w:w="354" w:type="dxa"/>
          </w:tcPr>
          <w:p>
            <w:pPr>
              <w:pStyle w:val="TableParagraph"/>
              <w:rPr>
                <w:rFonts w:ascii="Times New Roman"/>
                <w:sz w:val="22"/>
              </w:rPr>
            </w:pPr>
          </w:p>
        </w:tc>
        <w:tc>
          <w:tcPr>
            <w:tcW w:w="354" w:type="dxa"/>
          </w:tcPr>
          <w:p>
            <w:pPr>
              <w:pStyle w:val="TableParagraph"/>
              <w:rPr>
                <w:rFonts w:ascii="Times New Roman"/>
                <w:sz w:val="22"/>
              </w:rPr>
            </w:pPr>
          </w:p>
        </w:tc>
        <w:tc>
          <w:tcPr>
            <w:tcW w:w="354" w:type="dxa"/>
          </w:tcPr>
          <w:p>
            <w:pPr>
              <w:pStyle w:val="TableParagraph"/>
              <w:rPr>
                <w:rFonts w:ascii="Times New Roman"/>
                <w:sz w:val="22"/>
              </w:rPr>
            </w:pPr>
          </w:p>
        </w:tc>
      </w:tr>
      <w:tr>
        <w:trPr>
          <w:trHeight w:val="312" w:hRule="atLeast"/>
        </w:trPr>
        <w:tc>
          <w:tcPr>
            <w:tcW w:w="353" w:type="dxa"/>
          </w:tcPr>
          <w:p>
            <w:pPr>
              <w:pStyle w:val="TableParagraph"/>
              <w:rPr>
                <w:rFonts w:ascii="Times New Roman"/>
                <w:sz w:val="22"/>
              </w:rPr>
            </w:pPr>
          </w:p>
        </w:tc>
        <w:tc>
          <w:tcPr>
            <w:tcW w:w="353" w:type="dxa"/>
          </w:tcPr>
          <w:p>
            <w:pPr>
              <w:pStyle w:val="TableParagraph"/>
              <w:rPr>
                <w:rFonts w:ascii="Times New Roman"/>
                <w:sz w:val="22"/>
              </w:rPr>
            </w:pPr>
          </w:p>
        </w:tc>
        <w:tc>
          <w:tcPr>
            <w:tcW w:w="353" w:type="dxa"/>
          </w:tcPr>
          <w:p>
            <w:pPr>
              <w:pStyle w:val="TableParagraph"/>
              <w:rPr>
                <w:rFonts w:ascii="Times New Roman"/>
                <w:sz w:val="22"/>
              </w:rPr>
            </w:pPr>
          </w:p>
        </w:tc>
        <w:tc>
          <w:tcPr>
            <w:tcW w:w="353" w:type="dxa"/>
          </w:tcPr>
          <w:p>
            <w:pPr>
              <w:pStyle w:val="TableParagraph"/>
              <w:rPr>
                <w:rFonts w:ascii="Times New Roman"/>
                <w:sz w:val="22"/>
              </w:rPr>
            </w:pPr>
          </w:p>
        </w:tc>
        <w:tc>
          <w:tcPr>
            <w:tcW w:w="353" w:type="dxa"/>
          </w:tcPr>
          <w:p>
            <w:pPr>
              <w:pStyle w:val="TableParagraph"/>
              <w:rPr>
                <w:rFonts w:ascii="Times New Roman"/>
                <w:sz w:val="22"/>
              </w:rPr>
            </w:pPr>
          </w:p>
        </w:tc>
        <w:tc>
          <w:tcPr>
            <w:tcW w:w="353" w:type="dxa"/>
          </w:tcPr>
          <w:p>
            <w:pPr>
              <w:pStyle w:val="TableParagraph"/>
              <w:rPr>
                <w:rFonts w:ascii="Times New Roman"/>
                <w:sz w:val="22"/>
              </w:rPr>
            </w:pPr>
          </w:p>
        </w:tc>
        <w:tc>
          <w:tcPr>
            <w:tcW w:w="353" w:type="dxa"/>
          </w:tcPr>
          <w:p>
            <w:pPr>
              <w:pStyle w:val="TableParagraph"/>
              <w:rPr>
                <w:rFonts w:ascii="Times New Roman"/>
                <w:sz w:val="22"/>
              </w:rPr>
            </w:pPr>
          </w:p>
        </w:tc>
        <w:tc>
          <w:tcPr>
            <w:tcW w:w="353" w:type="dxa"/>
          </w:tcPr>
          <w:p>
            <w:pPr>
              <w:pStyle w:val="TableParagraph"/>
              <w:rPr>
                <w:rFonts w:ascii="Times New Roman"/>
                <w:sz w:val="22"/>
              </w:rPr>
            </w:pPr>
          </w:p>
        </w:tc>
        <w:tc>
          <w:tcPr>
            <w:tcW w:w="353" w:type="dxa"/>
          </w:tcPr>
          <w:p>
            <w:pPr>
              <w:pStyle w:val="TableParagraph"/>
              <w:rPr>
                <w:rFonts w:ascii="Times New Roman"/>
                <w:sz w:val="22"/>
              </w:rPr>
            </w:pPr>
          </w:p>
        </w:tc>
        <w:tc>
          <w:tcPr>
            <w:tcW w:w="353" w:type="dxa"/>
          </w:tcPr>
          <w:p>
            <w:pPr>
              <w:pStyle w:val="TableParagraph"/>
              <w:rPr>
                <w:rFonts w:ascii="Times New Roman"/>
                <w:sz w:val="22"/>
              </w:rPr>
            </w:pPr>
          </w:p>
        </w:tc>
        <w:tc>
          <w:tcPr>
            <w:tcW w:w="353" w:type="dxa"/>
          </w:tcPr>
          <w:p>
            <w:pPr>
              <w:pStyle w:val="TableParagraph"/>
              <w:rPr>
                <w:rFonts w:ascii="Times New Roman"/>
                <w:sz w:val="22"/>
              </w:rPr>
            </w:pPr>
          </w:p>
        </w:tc>
        <w:tc>
          <w:tcPr>
            <w:tcW w:w="353" w:type="dxa"/>
          </w:tcPr>
          <w:p>
            <w:pPr>
              <w:pStyle w:val="TableParagraph"/>
              <w:rPr>
                <w:rFonts w:ascii="Times New Roman"/>
                <w:sz w:val="22"/>
              </w:rPr>
            </w:pPr>
          </w:p>
        </w:tc>
        <w:tc>
          <w:tcPr>
            <w:tcW w:w="353" w:type="dxa"/>
          </w:tcPr>
          <w:p>
            <w:pPr>
              <w:pStyle w:val="TableParagraph"/>
              <w:rPr>
                <w:rFonts w:ascii="Times New Roman"/>
                <w:sz w:val="22"/>
              </w:rPr>
            </w:pPr>
          </w:p>
        </w:tc>
        <w:tc>
          <w:tcPr>
            <w:tcW w:w="354" w:type="dxa"/>
          </w:tcPr>
          <w:p>
            <w:pPr>
              <w:pStyle w:val="TableParagraph"/>
              <w:rPr>
                <w:rFonts w:ascii="Times New Roman"/>
                <w:sz w:val="22"/>
              </w:rPr>
            </w:pPr>
          </w:p>
        </w:tc>
        <w:tc>
          <w:tcPr>
            <w:tcW w:w="354" w:type="dxa"/>
          </w:tcPr>
          <w:p>
            <w:pPr>
              <w:pStyle w:val="TableParagraph"/>
              <w:rPr>
                <w:rFonts w:ascii="Times New Roman"/>
                <w:sz w:val="22"/>
              </w:rPr>
            </w:pPr>
          </w:p>
        </w:tc>
        <w:tc>
          <w:tcPr>
            <w:tcW w:w="354" w:type="dxa"/>
          </w:tcPr>
          <w:p>
            <w:pPr>
              <w:pStyle w:val="TableParagraph"/>
              <w:rPr>
                <w:rFonts w:ascii="Times New Roman"/>
                <w:sz w:val="22"/>
              </w:rPr>
            </w:pPr>
          </w:p>
        </w:tc>
        <w:tc>
          <w:tcPr>
            <w:tcW w:w="354" w:type="dxa"/>
          </w:tcPr>
          <w:p>
            <w:pPr>
              <w:pStyle w:val="TableParagraph"/>
              <w:rPr>
                <w:rFonts w:ascii="Times New Roman"/>
                <w:sz w:val="22"/>
              </w:rPr>
            </w:pPr>
          </w:p>
        </w:tc>
        <w:tc>
          <w:tcPr>
            <w:tcW w:w="354" w:type="dxa"/>
          </w:tcPr>
          <w:p>
            <w:pPr>
              <w:pStyle w:val="TableParagraph"/>
              <w:rPr>
                <w:rFonts w:ascii="Times New Roman"/>
                <w:sz w:val="22"/>
              </w:rPr>
            </w:pPr>
          </w:p>
        </w:tc>
        <w:tc>
          <w:tcPr>
            <w:tcW w:w="354" w:type="dxa"/>
          </w:tcPr>
          <w:p>
            <w:pPr>
              <w:pStyle w:val="TableParagraph"/>
              <w:rPr>
                <w:rFonts w:ascii="Times New Roman"/>
                <w:sz w:val="22"/>
              </w:rPr>
            </w:pPr>
          </w:p>
        </w:tc>
        <w:tc>
          <w:tcPr>
            <w:tcW w:w="354" w:type="dxa"/>
          </w:tcPr>
          <w:p>
            <w:pPr>
              <w:pStyle w:val="TableParagraph"/>
              <w:rPr>
                <w:rFonts w:ascii="Times New Roman"/>
                <w:sz w:val="22"/>
              </w:rPr>
            </w:pPr>
          </w:p>
        </w:tc>
        <w:tc>
          <w:tcPr>
            <w:tcW w:w="354" w:type="dxa"/>
          </w:tcPr>
          <w:p>
            <w:pPr>
              <w:pStyle w:val="TableParagraph"/>
              <w:rPr>
                <w:rFonts w:ascii="Times New Roman"/>
                <w:sz w:val="22"/>
              </w:rPr>
            </w:pPr>
          </w:p>
        </w:tc>
        <w:tc>
          <w:tcPr>
            <w:tcW w:w="354" w:type="dxa"/>
          </w:tcPr>
          <w:p>
            <w:pPr>
              <w:pStyle w:val="TableParagraph"/>
              <w:rPr>
                <w:rFonts w:ascii="Times New Roman"/>
                <w:sz w:val="22"/>
              </w:rPr>
            </w:pPr>
          </w:p>
        </w:tc>
        <w:tc>
          <w:tcPr>
            <w:tcW w:w="354" w:type="dxa"/>
          </w:tcPr>
          <w:p>
            <w:pPr>
              <w:pStyle w:val="TableParagraph"/>
              <w:rPr>
                <w:rFonts w:ascii="Times New Roman"/>
                <w:sz w:val="22"/>
              </w:rPr>
            </w:pPr>
          </w:p>
        </w:tc>
        <w:tc>
          <w:tcPr>
            <w:tcW w:w="354" w:type="dxa"/>
          </w:tcPr>
          <w:p>
            <w:pPr>
              <w:pStyle w:val="TableParagraph"/>
              <w:rPr>
                <w:rFonts w:ascii="Times New Roman"/>
                <w:sz w:val="22"/>
              </w:rPr>
            </w:pPr>
          </w:p>
        </w:tc>
      </w:tr>
    </w:tbl>
    <w:p>
      <w:pPr>
        <w:spacing w:before="3"/>
        <w:ind w:left="1220" w:right="0" w:firstLine="0"/>
        <w:jc w:val="left"/>
        <w:rPr>
          <w:sz w:val="24"/>
        </w:rPr>
      </w:pPr>
      <w:r>
        <w:rPr>
          <w:sz w:val="24"/>
        </w:rPr>
        <w:t>注：本表仅供参考，企业可根据实际进行调整。</w:t>
      </w:r>
    </w:p>
    <w:p>
      <w:pPr>
        <w:spacing w:after="0"/>
        <w:jc w:val="left"/>
        <w:rPr>
          <w:sz w:val="24"/>
        </w:rPr>
        <w:sectPr>
          <w:pgSz w:w="11910" w:h="16840"/>
          <w:pgMar w:header="0" w:footer="1232" w:top="1580" w:bottom="1420" w:left="1060" w:right="860"/>
        </w:sectPr>
      </w:pPr>
    </w:p>
    <w:p>
      <w:pPr>
        <w:pStyle w:val="BodyText"/>
        <w:ind w:left="0"/>
        <w:rPr>
          <w:sz w:val="20"/>
        </w:rPr>
      </w:pPr>
    </w:p>
    <w:p>
      <w:pPr>
        <w:pStyle w:val="Heading1"/>
        <w:spacing w:line="165" w:lineRule="auto" w:before="253"/>
        <w:ind w:right="1338" w:hanging="1104"/>
      </w:pPr>
      <w:bookmarkStart w:name="民航安全风险分级管控和隐患排查治理" w:id="46"/>
      <w:bookmarkEnd w:id="46"/>
      <w:r>
        <w:rPr>
          <w:b w:val="0"/>
        </w:rPr>
      </w:r>
      <w:bookmarkStart w:name="_bookmark23" w:id="47"/>
      <w:bookmarkEnd w:id="47"/>
      <w:r>
        <w:rPr>
          <w:b w:val="0"/>
        </w:rPr>
      </w:r>
      <w:r>
        <w:rPr/>
        <w:t>民航安全风险分级管控和隐患排查治理双重预防工作机制管理规定</w:t>
      </w:r>
    </w:p>
    <w:p>
      <w:pPr>
        <w:pStyle w:val="BodyText"/>
        <w:spacing w:before="4"/>
        <w:ind w:left="0"/>
        <w:rPr>
          <w:rFonts w:ascii="Microsoft JhengHei"/>
          <w:b/>
          <w:sz w:val="30"/>
        </w:rPr>
      </w:pPr>
    </w:p>
    <w:p>
      <w:pPr>
        <w:pStyle w:val="ListParagraph"/>
        <w:numPr>
          <w:ilvl w:val="0"/>
          <w:numId w:val="63"/>
        </w:numPr>
        <w:tabs>
          <w:tab w:pos="1062" w:val="left" w:leader="none"/>
        </w:tabs>
        <w:spacing w:line="240" w:lineRule="auto" w:before="0" w:after="0"/>
        <w:ind w:left="1061" w:right="0" w:hanging="322"/>
        <w:jc w:val="left"/>
        <w:rPr>
          <w:rFonts w:ascii="黑体" w:eastAsia="黑体" w:hint="eastAsia"/>
          <w:sz w:val="32"/>
        </w:rPr>
      </w:pPr>
      <w:r>
        <w:rPr>
          <w:rFonts w:ascii="黑体" w:eastAsia="黑体" w:hint="eastAsia"/>
          <w:sz w:val="32"/>
        </w:rPr>
        <w:t>目的</w:t>
      </w:r>
    </w:p>
    <w:p>
      <w:pPr>
        <w:pStyle w:val="BodyText"/>
        <w:spacing w:before="152"/>
        <w:ind w:left="1380"/>
      </w:pPr>
      <w:r>
        <w:rPr/>
        <w:t>为贯彻落实《中华人民共和国安全生产法》（以下简称</w:t>
      </w:r>
    </w:p>
    <w:p>
      <w:pPr>
        <w:pStyle w:val="BodyText"/>
        <w:spacing w:line="328" w:lineRule="auto" w:before="149"/>
        <w:ind w:left="740" w:right="937"/>
        <w:jc w:val="both"/>
      </w:pPr>
      <w:r>
        <w:rPr>
          <w:spacing w:val="-23"/>
          <w:w w:val="99"/>
        </w:rPr>
        <w:t>《安全生产法》</w:t>
      </w:r>
      <w:r>
        <w:rPr>
          <w:spacing w:val="-161"/>
          <w:w w:val="99"/>
        </w:rPr>
        <w:t>）</w:t>
      </w:r>
      <w:r>
        <w:rPr>
          <w:spacing w:val="-3"/>
          <w:w w:val="99"/>
        </w:rPr>
        <w:t>，明确“安全风险分级管控和隐患排查治理</w:t>
      </w:r>
      <w:r>
        <w:rPr>
          <w:spacing w:val="-13"/>
          <w:w w:val="99"/>
        </w:rPr>
        <w:t>双重预防工作机制”</w:t>
      </w:r>
      <w:r>
        <w:rPr>
          <w:spacing w:val="7"/>
          <w:w w:val="99"/>
        </w:rPr>
        <w:t>（</w:t>
      </w:r>
      <w:r>
        <w:rPr>
          <w:spacing w:val="5"/>
          <w:w w:val="99"/>
        </w:rPr>
        <w:t>以下简称双重预防机制</w:t>
      </w:r>
      <w:r>
        <w:rPr>
          <w:spacing w:val="7"/>
          <w:w w:val="99"/>
        </w:rPr>
        <w:t>）</w:t>
      </w:r>
      <w:r>
        <w:rPr>
          <w:spacing w:val="4"/>
          <w:w w:val="99"/>
        </w:rPr>
        <w:t>在民航安全</w:t>
      </w:r>
      <w:r>
        <w:rPr>
          <w:spacing w:val="6"/>
          <w:w w:val="95"/>
        </w:rPr>
        <w:t>管理体系</w:t>
      </w:r>
      <w:r>
        <w:rPr>
          <w:spacing w:val="4"/>
          <w:w w:val="95"/>
        </w:rPr>
        <w:t>（SMS）内的相关定义，以及基本逻辑关系、功能 </w:t>
      </w:r>
      <w:r>
        <w:rPr>
          <w:spacing w:val="-8"/>
        </w:rPr>
        <w:t>定位和运转流程，推动 </w:t>
      </w:r>
      <w:r>
        <w:rPr/>
        <w:t>SMS</w:t>
      </w:r>
      <w:r>
        <w:rPr>
          <w:spacing w:val="-10"/>
        </w:rPr>
        <w:t> 与双重预防机制的有机融合，更加有效地防范化解安全风险。</w:t>
      </w:r>
    </w:p>
    <w:p>
      <w:pPr>
        <w:pStyle w:val="ListParagraph"/>
        <w:numPr>
          <w:ilvl w:val="0"/>
          <w:numId w:val="63"/>
        </w:numPr>
        <w:tabs>
          <w:tab w:pos="1062" w:val="left" w:leader="none"/>
        </w:tabs>
        <w:spacing w:line="240" w:lineRule="auto" w:before="149" w:after="0"/>
        <w:ind w:left="1061" w:right="0" w:hanging="322"/>
        <w:jc w:val="left"/>
        <w:rPr>
          <w:rFonts w:ascii="黑体" w:eastAsia="黑体" w:hint="eastAsia"/>
          <w:sz w:val="32"/>
        </w:rPr>
      </w:pPr>
      <w:r>
        <w:rPr>
          <w:rFonts w:ascii="黑体" w:eastAsia="黑体" w:hint="eastAsia"/>
          <w:sz w:val="32"/>
        </w:rPr>
        <w:t>适用范围</w:t>
      </w:r>
    </w:p>
    <w:p>
      <w:pPr>
        <w:pStyle w:val="BodyText"/>
        <w:spacing w:line="328" w:lineRule="auto" w:before="211"/>
        <w:ind w:left="740" w:right="925" w:firstLine="640"/>
        <w:jc w:val="both"/>
      </w:pPr>
      <w:r>
        <w:rPr>
          <w:spacing w:val="3"/>
        </w:rPr>
        <w:t>本规定适用于中华人民共和国境内依法设立的建有</w:t>
      </w:r>
      <w:r>
        <w:rPr/>
        <w:t>SMS </w:t>
      </w:r>
      <w:r>
        <w:rPr>
          <w:spacing w:val="11"/>
          <w:w w:val="95"/>
        </w:rPr>
        <w:t>的民航生产经营单位开展的安全风险分级管控和隐患排查 </w:t>
      </w:r>
      <w:r>
        <w:rPr>
          <w:spacing w:val="-1"/>
        </w:rPr>
        <w:t>治理工作，及民航行政机关相关监管活动。其他民航生产经营单位应作为构建安全管理等效机制的重要参考参照执行。</w:t>
      </w:r>
    </w:p>
    <w:p>
      <w:pPr>
        <w:pStyle w:val="ListParagraph"/>
        <w:numPr>
          <w:ilvl w:val="0"/>
          <w:numId w:val="63"/>
        </w:numPr>
        <w:tabs>
          <w:tab w:pos="1062" w:val="left" w:leader="none"/>
        </w:tabs>
        <w:spacing w:line="240" w:lineRule="auto" w:before="149" w:after="0"/>
        <w:ind w:left="1061" w:right="0" w:hanging="322"/>
        <w:jc w:val="left"/>
        <w:rPr>
          <w:rFonts w:ascii="黑体" w:eastAsia="黑体" w:hint="eastAsia"/>
          <w:sz w:val="32"/>
        </w:rPr>
      </w:pPr>
      <w:r>
        <w:rPr>
          <w:rFonts w:ascii="黑体" w:eastAsia="黑体" w:hint="eastAsia"/>
          <w:sz w:val="32"/>
        </w:rPr>
        <w:t>定义</w:t>
      </w:r>
    </w:p>
    <w:p>
      <w:pPr>
        <w:pStyle w:val="BodyText"/>
        <w:spacing w:before="105"/>
        <w:ind w:left="1380"/>
      </w:pPr>
      <w:r>
        <w:rPr>
          <w:rFonts w:ascii="Microsoft JhengHei" w:hAnsi="Microsoft JhengHei" w:eastAsia="Microsoft JhengHei" w:hint="eastAsia"/>
          <w:b/>
          <w:spacing w:val="-15"/>
        </w:rPr>
        <w:t>危险源：</w:t>
      </w:r>
      <w:r>
        <w:rPr>
          <w:spacing w:val="-6"/>
        </w:rPr>
        <w:t>可能导致民用航空器事故</w:t>
      </w:r>
      <w:r>
        <w:rPr/>
        <w:t>（</w:t>
      </w:r>
      <w:r>
        <w:rPr>
          <w:spacing w:val="-28"/>
        </w:rPr>
        <w:t>以下简称“事故”</w:t>
      </w:r>
      <w:r>
        <w:rPr>
          <w:spacing w:val="-160"/>
        </w:rPr>
        <w:t>）</w:t>
      </w:r>
      <w:r>
        <w:rPr/>
        <w:t>、</w:t>
      </w:r>
    </w:p>
    <w:p>
      <w:pPr>
        <w:pStyle w:val="BodyText"/>
        <w:spacing w:line="326" w:lineRule="auto" w:before="79"/>
        <w:ind w:left="740" w:right="940"/>
      </w:pPr>
      <w:r>
        <w:rPr>
          <w:w w:val="99"/>
        </w:rPr>
        <w:t>民用航空器征候（以下简称“征候”）以及一般事件等后果</w:t>
      </w:r>
      <w:r>
        <w:rPr/>
        <w:t>的条件或者物体。（样例见附录 1）</w:t>
      </w:r>
    </w:p>
    <w:p>
      <w:pPr>
        <w:pStyle w:val="BodyText"/>
        <w:spacing w:before="9"/>
        <w:ind w:left="0"/>
        <w:rPr>
          <w:sz w:val="27"/>
        </w:rPr>
      </w:pPr>
    </w:p>
    <w:p>
      <w:pPr>
        <w:spacing w:before="1"/>
        <w:ind w:left="1299" w:right="0" w:firstLine="0"/>
        <w:jc w:val="left"/>
        <w:rPr>
          <w:sz w:val="28"/>
        </w:rPr>
      </w:pPr>
      <w:r>
        <w:rPr>
          <w:spacing w:val="-20"/>
          <w:sz w:val="28"/>
        </w:rPr>
        <w:t>注 </w:t>
      </w:r>
      <w:r>
        <w:rPr>
          <w:sz w:val="28"/>
        </w:rPr>
        <w:t>1</w:t>
      </w:r>
      <w:r>
        <w:rPr>
          <w:spacing w:val="3"/>
          <w:sz w:val="28"/>
        </w:rPr>
        <w:t>：区分危险源和隐患的重要性——国际民航组织在</w:t>
      </w:r>
      <w:r>
        <w:rPr>
          <w:sz w:val="28"/>
        </w:rPr>
        <w:t>Doc9859</w:t>
      </w:r>
    </w:p>
    <w:p>
      <w:pPr>
        <w:spacing w:line="374" w:lineRule="auto" w:before="202"/>
        <w:ind w:left="740" w:right="937" w:firstLine="0"/>
        <w:jc w:val="left"/>
        <w:rPr>
          <w:sz w:val="28"/>
        </w:rPr>
      </w:pPr>
      <w:r>
        <w:rPr>
          <w:spacing w:val="6"/>
          <w:sz w:val="28"/>
        </w:rPr>
        <w:t>《安全管理手册》中使用</w:t>
      </w:r>
      <w:r>
        <w:rPr>
          <w:sz w:val="28"/>
        </w:rPr>
        <w:t>Hazard</w:t>
      </w:r>
      <w:r>
        <w:rPr>
          <w:spacing w:val="-7"/>
          <w:sz w:val="28"/>
        </w:rPr>
        <w:t> 代指危险源，并另外提出了“不遵</w:t>
      </w:r>
      <w:r>
        <w:rPr>
          <w:spacing w:val="-10"/>
          <w:w w:val="100"/>
          <w:sz w:val="28"/>
        </w:rPr>
        <w:t>守规章、政策、流程和程序的情况”，以及“防范措施”中的“弱点</w:t>
      </w:r>
    </w:p>
    <w:p>
      <w:pPr>
        <w:spacing w:after="0" w:line="374" w:lineRule="auto"/>
        <w:jc w:val="left"/>
        <w:rPr>
          <w:sz w:val="28"/>
        </w:rPr>
        <w:sectPr>
          <w:pgSz w:w="11910" w:h="16840"/>
          <w:pgMar w:header="0" w:footer="1232" w:top="1580" w:bottom="1420" w:left="1060" w:right="860"/>
        </w:sectPr>
      </w:pPr>
    </w:p>
    <w:p>
      <w:pPr>
        <w:spacing w:line="374" w:lineRule="auto" w:before="32"/>
        <w:ind w:left="740" w:right="937" w:firstLine="0"/>
        <w:jc w:val="both"/>
        <w:rPr>
          <w:sz w:val="28"/>
        </w:rPr>
      </w:pPr>
      <w:r>
        <w:rPr>
          <w:spacing w:val="-1"/>
          <w:w w:val="100"/>
          <w:sz w:val="28"/>
        </w:rPr>
        <w:t>（</w:t>
      </w:r>
      <w:r>
        <w:rPr>
          <w:spacing w:val="1"/>
          <w:w w:val="100"/>
          <w:sz w:val="28"/>
        </w:rPr>
        <w:t>w</w:t>
      </w:r>
      <w:r>
        <w:rPr>
          <w:spacing w:val="-2"/>
          <w:w w:val="100"/>
          <w:sz w:val="28"/>
        </w:rPr>
        <w:t>ea</w:t>
      </w:r>
      <w:r>
        <w:rPr>
          <w:spacing w:val="1"/>
          <w:w w:val="100"/>
          <w:sz w:val="28"/>
        </w:rPr>
        <w:t>k</w:t>
      </w:r>
      <w:r>
        <w:rPr>
          <w:spacing w:val="-2"/>
          <w:w w:val="100"/>
          <w:sz w:val="28"/>
        </w:rPr>
        <w:t>ne</w:t>
      </w:r>
      <w:r>
        <w:rPr>
          <w:spacing w:val="1"/>
          <w:w w:val="100"/>
          <w:sz w:val="28"/>
        </w:rPr>
        <w:t>ss</w:t>
      </w:r>
      <w:r>
        <w:rPr>
          <w:spacing w:val="-1"/>
          <w:w w:val="100"/>
          <w:sz w:val="28"/>
        </w:rPr>
        <w:t>）”或“缺陷(</w:t>
      </w:r>
      <w:r>
        <w:rPr>
          <w:spacing w:val="-2"/>
          <w:w w:val="100"/>
          <w:sz w:val="28"/>
        </w:rPr>
        <w:t>de</w:t>
      </w:r>
      <w:r>
        <w:rPr>
          <w:spacing w:val="1"/>
          <w:w w:val="100"/>
          <w:sz w:val="28"/>
        </w:rPr>
        <w:t>f</w:t>
      </w:r>
      <w:r>
        <w:rPr>
          <w:spacing w:val="-2"/>
          <w:w w:val="100"/>
          <w:sz w:val="28"/>
        </w:rPr>
        <w:t>ic</w:t>
      </w:r>
      <w:r>
        <w:rPr>
          <w:spacing w:val="1"/>
          <w:w w:val="100"/>
          <w:sz w:val="28"/>
        </w:rPr>
        <w:t>i</w:t>
      </w:r>
      <w:r>
        <w:rPr>
          <w:spacing w:val="-2"/>
          <w:w w:val="100"/>
          <w:sz w:val="28"/>
        </w:rPr>
        <w:t>en</w:t>
      </w:r>
      <w:r>
        <w:rPr>
          <w:spacing w:val="1"/>
          <w:w w:val="100"/>
          <w:sz w:val="28"/>
        </w:rPr>
        <w:t>c</w:t>
      </w:r>
      <w:r>
        <w:rPr>
          <w:spacing w:val="-2"/>
          <w:w w:val="100"/>
          <w:sz w:val="28"/>
        </w:rPr>
        <w:t>y</w:t>
      </w:r>
      <w:r>
        <w:rPr>
          <w:spacing w:val="-137"/>
          <w:w w:val="100"/>
          <w:sz w:val="28"/>
        </w:rPr>
        <w:t>）</w:t>
      </w:r>
      <w:r>
        <w:rPr>
          <w:spacing w:val="-13"/>
          <w:w w:val="100"/>
          <w:sz w:val="28"/>
        </w:rPr>
        <w:t>”。对比可知，这一提法实质</w:t>
      </w:r>
      <w:r>
        <w:rPr>
          <w:spacing w:val="-2"/>
          <w:sz w:val="28"/>
        </w:rPr>
        <w:t>上符合国内关于“隐患”的定义，但</w:t>
      </w:r>
      <w:r>
        <w:rPr>
          <w:sz w:val="28"/>
        </w:rPr>
        <w:t>Doc9859</w:t>
      </w:r>
      <w:r>
        <w:rPr>
          <w:spacing w:val="-4"/>
          <w:sz w:val="28"/>
        </w:rPr>
        <w:t>《安全管理手册》中未</w:t>
      </w:r>
      <w:r>
        <w:rPr>
          <w:spacing w:val="-10"/>
          <w:sz w:val="28"/>
        </w:rPr>
        <w:t>在定义部分将这些定义为“隐患”，从而造成一些单位容易在危险源</w:t>
      </w:r>
      <w:r>
        <w:rPr>
          <w:spacing w:val="-8"/>
          <w:sz w:val="28"/>
        </w:rPr>
        <w:t>识别和隐患排查中出现概念混淆和记录混乱，特别是当“双重预防机</w:t>
      </w:r>
      <w:r>
        <w:rPr>
          <w:spacing w:val="-11"/>
          <w:sz w:val="28"/>
        </w:rPr>
        <w:t>制”上升为法定要求之后，两者的混淆将成为相关管理满足法定要求</w:t>
      </w:r>
      <w:r>
        <w:rPr>
          <w:spacing w:val="-5"/>
          <w:sz w:val="28"/>
        </w:rPr>
        <w:t>的阻碍，必须加以区分。</w:t>
      </w:r>
    </w:p>
    <w:p>
      <w:pPr>
        <w:spacing w:line="374" w:lineRule="auto" w:before="62"/>
        <w:ind w:left="740" w:right="937" w:firstLine="559"/>
        <w:jc w:val="both"/>
        <w:rPr>
          <w:sz w:val="28"/>
        </w:rPr>
      </w:pPr>
      <w:r>
        <w:rPr>
          <w:spacing w:val="-31"/>
          <w:sz w:val="28"/>
        </w:rPr>
        <w:t>注 </w:t>
      </w:r>
      <w:r>
        <w:rPr>
          <w:spacing w:val="-5"/>
          <w:sz w:val="28"/>
        </w:rPr>
        <w:t>2</w:t>
      </w:r>
      <w:r>
        <w:rPr>
          <w:spacing w:val="-6"/>
          <w:sz w:val="28"/>
        </w:rPr>
        <w:t>：区分危险源和安全隐患的必要性——《安全生产法》中明</w:t>
      </w:r>
      <w:r>
        <w:rPr>
          <w:spacing w:val="-12"/>
          <w:sz w:val="28"/>
        </w:rPr>
        <w:t>确将“危险源”和“隐患”列在同一条法条中，本着立法中避免不同</w:t>
      </w:r>
      <w:r>
        <w:rPr>
          <w:spacing w:val="-9"/>
          <w:w w:val="100"/>
          <w:sz w:val="28"/>
        </w:rPr>
        <w:t>名称描述相同含义导致概念混淆的原则，“危险源”和“隐患”出现</w:t>
      </w:r>
      <w:r>
        <w:rPr>
          <w:spacing w:val="-8"/>
          <w:sz w:val="28"/>
        </w:rPr>
        <w:t>在同一法条内，意味着应分属不同定义和内涵。《民航安全隐患排查</w:t>
      </w:r>
    </w:p>
    <w:p>
      <w:pPr>
        <w:spacing w:line="430" w:lineRule="exact" w:before="0"/>
        <w:ind w:left="740" w:right="0" w:firstLine="0"/>
        <w:jc w:val="both"/>
        <w:rPr>
          <w:sz w:val="28"/>
        </w:rPr>
      </w:pPr>
      <w:r>
        <w:rPr>
          <w:spacing w:val="-13"/>
          <w:sz w:val="28"/>
        </w:rPr>
        <w:t>治理长效机制建设指南》</w:t>
      </w:r>
      <w:r>
        <w:rPr>
          <w:sz w:val="28"/>
        </w:rPr>
        <w:t>（</w:t>
      </w:r>
      <w:r>
        <w:rPr>
          <w:spacing w:val="1"/>
          <w:sz w:val="28"/>
        </w:rPr>
        <w:t>民航规</w:t>
      </w:r>
      <w:r>
        <w:rPr>
          <w:rFonts w:ascii="微软雅黑" w:eastAsia="微软雅黑" w:hint="eastAsia"/>
          <w:spacing w:val="4"/>
          <w:sz w:val="28"/>
        </w:rPr>
        <w:t>〔</w:t>
      </w:r>
      <w:r>
        <w:rPr>
          <w:sz w:val="28"/>
        </w:rPr>
        <w:t>2019</w:t>
      </w:r>
      <w:r>
        <w:rPr>
          <w:rFonts w:ascii="微软雅黑" w:eastAsia="微软雅黑" w:hint="eastAsia"/>
          <w:sz w:val="28"/>
        </w:rPr>
        <w:t>〕</w:t>
      </w:r>
      <w:r>
        <w:rPr>
          <w:sz w:val="28"/>
        </w:rPr>
        <w:t>11</w:t>
      </w:r>
      <w:r>
        <w:rPr>
          <w:spacing w:val="-24"/>
          <w:sz w:val="28"/>
        </w:rPr>
        <w:t> 号</w:t>
      </w:r>
      <w:r>
        <w:rPr>
          <w:spacing w:val="4"/>
          <w:sz w:val="28"/>
        </w:rPr>
        <w:t>）</w:t>
      </w:r>
      <w:r>
        <w:rPr>
          <w:spacing w:val="-9"/>
          <w:sz w:val="28"/>
        </w:rPr>
        <w:t>借用了我国 </w:t>
      </w:r>
      <w:r>
        <w:rPr>
          <w:sz w:val="28"/>
        </w:rPr>
        <w:t>90</w:t>
      </w:r>
      <w:r>
        <w:rPr>
          <w:spacing w:val="-24"/>
          <w:sz w:val="28"/>
        </w:rPr>
        <w:t> 年</w:t>
      </w:r>
    </w:p>
    <w:p>
      <w:pPr>
        <w:spacing w:line="374" w:lineRule="auto" w:before="132"/>
        <w:ind w:left="740" w:right="843" w:firstLine="0"/>
        <w:jc w:val="left"/>
        <w:rPr>
          <w:sz w:val="28"/>
        </w:rPr>
      </w:pPr>
      <w:r>
        <w:rPr>
          <w:spacing w:val="-3"/>
          <w:sz w:val="28"/>
        </w:rPr>
        <w:t>代安全管理理论中关于危险源划分为第一类、第二类危险源的概念， </w:t>
      </w:r>
      <w:r>
        <w:rPr>
          <w:spacing w:val="-11"/>
          <w:sz w:val="28"/>
        </w:rPr>
        <w:t>这一理论中的第二类危险源即“安全隐患”。为避免概念混淆，本办</w:t>
      </w:r>
      <w:r>
        <w:rPr>
          <w:spacing w:val="-23"/>
          <w:sz w:val="28"/>
        </w:rPr>
        <w:t>法将取代《民航安全隐患排查治理长效机制建设指南》，不再使用“一</w:t>
      </w:r>
      <w:r>
        <w:rPr>
          <w:spacing w:val="-11"/>
          <w:sz w:val="28"/>
        </w:rPr>
        <w:t>类危险源、二类危险源”的表述，后者直接表述为“安全隐患”。</w:t>
      </w:r>
    </w:p>
    <w:p>
      <w:pPr>
        <w:spacing w:line="376" w:lineRule="auto" w:before="63"/>
        <w:ind w:left="740" w:right="913" w:firstLine="559"/>
        <w:jc w:val="both"/>
        <w:rPr>
          <w:sz w:val="28"/>
        </w:rPr>
      </w:pPr>
      <w:r>
        <w:rPr>
          <w:spacing w:val="-33"/>
          <w:sz w:val="28"/>
        </w:rPr>
        <w:t>注 </w:t>
      </w:r>
      <w:r>
        <w:rPr>
          <w:sz w:val="28"/>
        </w:rPr>
        <w:t>3</w:t>
      </w:r>
      <w:r>
        <w:rPr>
          <w:spacing w:val="-3"/>
          <w:sz w:val="28"/>
        </w:rPr>
        <w:t>：当需要把未经评估或未经培训的关键人员列为危险源时， 应注意与“人的不安全行为”区分，后者属于安全隐患的范畴。</w:t>
      </w:r>
    </w:p>
    <w:p>
      <w:pPr>
        <w:spacing w:line="374" w:lineRule="auto" w:before="57"/>
        <w:ind w:left="740" w:right="937" w:firstLine="559"/>
        <w:jc w:val="both"/>
        <w:rPr>
          <w:sz w:val="28"/>
        </w:rPr>
      </w:pPr>
      <w:r>
        <w:rPr>
          <w:w w:val="100"/>
          <w:sz w:val="28"/>
        </w:rPr>
        <w:t>注</w:t>
      </w:r>
      <w:r>
        <w:rPr>
          <w:spacing w:val="-69"/>
          <w:sz w:val="28"/>
        </w:rPr>
        <w:t> </w:t>
      </w:r>
      <w:r>
        <w:rPr>
          <w:spacing w:val="1"/>
          <w:w w:val="100"/>
          <w:sz w:val="28"/>
        </w:rPr>
        <w:t>4</w:t>
      </w:r>
      <w:r>
        <w:rPr>
          <w:spacing w:val="6"/>
          <w:w w:val="100"/>
          <w:sz w:val="28"/>
        </w:rPr>
        <w:t>：根据国际民航组织在</w:t>
      </w:r>
      <w:r>
        <w:rPr>
          <w:spacing w:val="1"/>
          <w:w w:val="100"/>
          <w:sz w:val="28"/>
        </w:rPr>
        <w:t>D</w:t>
      </w:r>
      <w:r>
        <w:rPr>
          <w:spacing w:val="-2"/>
          <w:w w:val="100"/>
          <w:sz w:val="28"/>
        </w:rPr>
        <w:t>oc</w:t>
      </w:r>
      <w:r>
        <w:rPr>
          <w:spacing w:val="1"/>
          <w:w w:val="100"/>
          <w:sz w:val="28"/>
        </w:rPr>
        <w:t>9</w:t>
      </w:r>
      <w:r>
        <w:rPr>
          <w:spacing w:val="-2"/>
          <w:w w:val="100"/>
          <w:sz w:val="28"/>
        </w:rPr>
        <w:t>85</w:t>
      </w:r>
      <w:r>
        <w:rPr>
          <w:spacing w:val="1"/>
          <w:w w:val="100"/>
          <w:sz w:val="28"/>
        </w:rPr>
        <w:t>9</w:t>
      </w:r>
      <w:r>
        <w:rPr>
          <w:spacing w:val="-24"/>
          <w:w w:val="100"/>
          <w:sz w:val="28"/>
        </w:rPr>
        <w:t>《安全管理手册》，“危险源</w:t>
      </w:r>
      <w:r>
        <w:rPr>
          <w:spacing w:val="-10"/>
          <w:sz w:val="28"/>
        </w:rPr>
        <w:t>是航空活动不可避免的一部分，可被视为系统或其环境内以一种或另</w:t>
      </w:r>
      <w:r>
        <w:rPr>
          <w:spacing w:val="-9"/>
          <w:sz w:val="28"/>
        </w:rPr>
        <w:t>一种形式蛰伏的潜在危害，这种潜在危害可能以不同的形式出现，例</w:t>
      </w:r>
      <w:r>
        <w:rPr>
          <w:spacing w:val="-1"/>
          <w:w w:val="100"/>
          <w:sz w:val="28"/>
        </w:rPr>
        <w:t>如：作为自然条件（如地形）或技术状态（如跑道标志</w:t>
      </w:r>
      <w:r>
        <w:rPr>
          <w:spacing w:val="-140"/>
          <w:w w:val="100"/>
          <w:sz w:val="28"/>
        </w:rPr>
        <w:t>）</w:t>
      </w:r>
      <w:r>
        <w:rPr>
          <w:spacing w:val="-1"/>
          <w:w w:val="100"/>
          <w:sz w:val="28"/>
        </w:rPr>
        <w:t>“。可见，</w:t>
      </w:r>
      <w:r>
        <w:rPr>
          <w:spacing w:val="-9"/>
          <w:w w:val="100"/>
          <w:sz w:val="28"/>
        </w:rPr>
        <w:t>危险源定义中的“条件”通常指环境因素；“物体”则通常包括运行</w:t>
      </w:r>
      <w:r>
        <w:rPr>
          <w:spacing w:val="-11"/>
          <w:sz w:val="28"/>
        </w:rPr>
        <w:t>体系内存在的能量或物质。因此“危险源”的基本描述应尽量使用名</w:t>
      </w:r>
      <w:r>
        <w:rPr>
          <w:sz w:val="28"/>
        </w:rPr>
        <w:t>词，如“XXX</w:t>
      </w:r>
      <w:r>
        <w:rPr>
          <w:spacing w:val="-9"/>
          <w:sz w:val="28"/>
        </w:rPr>
        <w:t> 可燃物、</w:t>
      </w:r>
      <w:r>
        <w:rPr>
          <w:sz w:val="28"/>
        </w:rPr>
        <w:t>XXX</w:t>
      </w:r>
      <w:r>
        <w:rPr>
          <w:spacing w:val="-8"/>
          <w:sz w:val="28"/>
        </w:rPr>
        <w:t> 短窄跑道、</w:t>
      </w:r>
      <w:r>
        <w:rPr>
          <w:sz w:val="28"/>
        </w:rPr>
        <w:t>XXX</w:t>
      </w:r>
      <w:r>
        <w:rPr>
          <w:spacing w:val="-6"/>
          <w:sz w:val="28"/>
        </w:rPr>
        <w:t> 超高障碍物”等，避免与</w:t>
      </w:r>
    </w:p>
    <w:p>
      <w:pPr>
        <w:spacing w:after="0" w:line="374" w:lineRule="auto"/>
        <w:jc w:val="both"/>
        <w:rPr>
          <w:sz w:val="28"/>
        </w:rPr>
        <w:sectPr>
          <w:pgSz w:w="11910" w:h="16840"/>
          <w:pgMar w:header="0" w:footer="1232" w:top="1560" w:bottom="1420" w:left="1060" w:right="860"/>
        </w:sectPr>
      </w:pPr>
    </w:p>
    <w:p>
      <w:pPr>
        <w:spacing w:before="32"/>
        <w:ind w:left="740" w:right="0" w:firstLine="0"/>
        <w:jc w:val="left"/>
        <w:rPr>
          <w:sz w:val="28"/>
        </w:rPr>
      </w:pPr>
      <w:r>
        <w:rPr>
          <w:sz w:val="28"/>
        </w:rPr>
        <w:t>安全隐患或后果混淆。</w:t>
      </w:r>
    </w:p>
    <w:p>
      <w:pPr>
        <w:pStyle w:val="BodyText"/>
        <w:spacing w:before="6"/>
        <w:ind w:left="0"/>
        <w:rPr>
          <w:sz w:val="20"/>
        </w:rPr>
      </w:pPr>
    </w:p>
    <w:p>
      <w:pPr>
        <w:spacing w:line="374" w:lineRule="auto" w:before="0"/>
        <w:ind w:left="740" w:right="843" w:firstLine="559"/>
        <w:jc w:val="left"/>
        <w:rPr>
          <w:sz w:val="28"/>
        </w:rPr>
      </w:pPr>
      <w:r>
        <w:rPr>
          <w:spacing w:val="-33"/>
          <w:sz w:val="28"/>
        </w:rPr>
        <w:t>注 </w:t>
      </w:r>
      <w:r>
        <w:rPr>
          <w:spacing w:val="-4"/>
          <w:sz w:val="28"/>
        </w:rPr>
        <w:t>5</w:t>
      </w:r>
      <w:r>
        <w:rPr>
          <w:spacing w:val="-5"/>
          <w:sz w:val="28"/>
        </w:rPr>
        <w:t>：因《安全生产法》已定义“重大危险源”为“长期地或者</w:t>
      </w:r>
      <w:r>
        <w:rPr>
          <w:spacing w:val="-11"/>
          <w:sz w:val="28"/>
        </w:rPr>
        <w:t>临时地生产、搬运、使用或者储存危险物品，且危险物品数量等于或者超过临界量的单元（包括场所和设施</w:t>
      </w:r>
      <w:r>
        <w:rPr>
          <w:spacing w:val="-140"/>
          <w:sz w:val="28"/>
        </w:rPr>
        <w:t>）</w:t>
      </w:r>
      <w:r>
        <w:rPr>
          <w:sz w:val="28"/>
        </w:rPr>
        <w:t>。危险物品，是指易燃易爆</w:t>
      </w:r>
      <w:r>
        <w:rPr>
          <w:spacing w:val="-11"/>
          <w:sz w:val="28"/>
        </w:rPr>
        <w:t>物品、危险化学品、放射性物品等能够危及人身安全和财产安全的物</w:t>
      </w:r>
      <w:r>
        <w:rPr>
          <w:spacing w:val="-12"/>
          <w:w w:val="100"/>
          <w:sz w:val="28"/>
        </w:rPr>
        <w:t>品”，且《安全生产法》适用范围包含民航业，民航行政机关无权使</w:t>
      </w:r>
      <w:r>
        <w:rPr>
          <w:spacing w:val="-3"/>
          <w:sz w:val="28"/>
        </w:rPr>
        <w:t>用法律或者行政法规以外的规章或规范性文件来变更《安全生产法》</w:t>
      </w:r>
      <w:r>
        <w:rPr>
          <w:spacing w:val="-9"/>
          <w:sz w:val="28"/>
        </w:rPr>
        <w:t>中既定的定义，故本咨询通告不再单独定义“重大危险源”。</w:t>
      </w:r>
    </w:p>
    <w:p>
      <w:pPr>
        <w:pStyle w:val="BodyText"/>
        <w:spacing w:line="507" w:lineRule="exact"/>
        <w:ind w:left="1380"/>
      </w:pPr>
      <w:r>
        <w:rPr>
          <w:rFonts w:ascii="Microsoft JhengHei" w:eastAsia="Microsoft JhengHei" w:hint="eastAsia"/>
          <w:b/>
        </w:rPr>
        <w:t>安全隐患</w:t>
      </w:r>
      <w:r>
        <w:rPr/>
        <w:t>：民航生产经营单位违反法律、法规、规章、</w:t>
      </w:r>
    </w:p>
    <w:p>
      <w:pPr>
        <w:pStyle w:val="BodyText"/>
        <w:spacing w:line="328" w:lineRule="auto" w:before="76"/>
        <w:ind w:left="740" w:right="937"/>
        <w:jc w:val="both"/>
      </w:pPr>
      <w:r>
        <w:rPr>
          <w:spacing w:val="-4"/>
        </w:rPr>
        <w:t>标准、规程和安全管理制度规定，或者因风险控制措施失效</w:t>
      </w:r>
      <w:r>
        <w:rPr>
          <w:spacing w:val="-6"/>
        </w:rPr>
        <w:t>或弱化可能导致事故、征候及一般事件等后果的人的不安全</w:t>
      </w:r>
      <w:r>
        <w:rPr>
          <w:spacing w:val="-5"/>
        </w:rPr>
        <w:t>行为、物的危险状态和管理上的缺陷。按危害程度和整改难</w:t>
      </w:r>
      <w:r>
        <w:rPr>
          <w:spacing w:val="-14"/>
        </w:rPr>
        <w:t>度，分为一般安全隐患和重大安全隐患。</w:t>
      </w:r>
      <w:r>
        <w:rPr/>
        <w:t>（</w:t>
      </w:r>
      <w:r>
        <w:rPr>
          <w:spacing w:val="-14"/>
        </w:rPr>
        <w:t>样例见附录 </w:t>
      </w:r>
      <w:r>
        <w:rPr/>
        <w:t>2）</w:t>
      </w:r>
    </w:p>
    <w:p>
      <w:pPr>
        <w:spacing w:line="374" w:lineRule="auto" w:before="95"/>
        <w:ind w:left="740" w:right="843" w:firstLine="559"/>
        <w:jc w:val="left"/>
        <w:rPr>
          <w:sz w:val="28"/>
        </w:rPr>
      </w:pPr>
      <w:r>
        <w:rPr>
          <w:w w:val="100"/>
          <w:sz w:val="28"/>
        </w:rPr>
        <w:t>注</w:t>
      </w:r>
      <w:r>
        <w:rPr>
          <w:spacing w:val="-66"/>
          <w:sz w:val="28"/>
        </w:rPr>
        <w:t> </w:t>
      </w:r>
      <w:r>
        <w:rPr>
          <w:spacing w:val="3"/>
          <w:w w:val="100"/>
          <w:sz w:val="28"/>
        </w:rPr>
        <w:t>1</w:t>
      </w:r>
      <w:r>
        <w:rPr>
          <w:spacing w:val="-10"/>
          <w:w w:val="100"/>
          <w:sz w:val="28"/>
        </w:rPr>
        <w:t>：《安全生产法》及其他法律、法规、规章以及规范性文件</w:t>
      </w:r>
      <w:r>
        <w:rPr>
          <w:spacing w:val="-3"/>
          <w:sz w:val="28"/>
        </w:rPr>
        <w:t>中对安全生产事故隐患、生产安全事故隐患、事故隐患、问题隐患、</w:t>
      </w:r>
      <w:r>
        <w:rPr>
          <w:spacing w:val="-10"/>
          <w:sz w:val="28"/>
        </w:rPr>
        <w:t>风险隐患等均有提及，基于民航“安全隐患零容忍”的行业特点，本</w:t>
      </w:r>
      <w:r>
        <w:rPr>
          <w:spacing w:val="-3"/>
          <w:sz w:val="28"/>
        </w:rPr>
        <w:t>规定中统一使用“安全隐患”一词，与其他相关概念并无本质差别。</w:t>
      </w:r>
    </w:p>
    <w:p>
      <w:pPr>
        <w:spacing w:line="374" w:lineRule="auto" w:before="66"/>
        <w:ind w:left="740" w:right="913" w:firstLine="559"/>
        <w:jc w:val="both"/>
        <w:rPr>
          <w:sz w:val="28"/>
        </w:rPr>
      </w:pPr>
      <w:r>
        <w:rPr>
          <w:spacing w:val="-33"/>
          <w:sz w:val="28"/>
        </w:rPr>
        <w:t>注 </w:t>
      </w:r>
      <w:r>
        <w:rPr>
          <w:sz w:val="28"/>
        </w:rPr>
        <w:t>2</w:t>
      </w:r>
      <w:r>
        <w:rPr>
          <w:spacing w:val="-3"/>
          <w:sz w:val="28"/>
        </w:rPr>
        <w:t>：安全隐患的定义主要源于国务院安全生产委员会办公室、</w:t>
      </w:r>
      <w:r>
        <w:rPr>
          <w:spacing w:val="-9"/>
          <w:sz w:val="28"/>
        </w:rPr>
        <w:t>原国家安全生产监督总局的定义，该定义沿用至今未发生变化，民航</w:t>
      </w:r>
      <w:r>
        <w:rPr>
          <w:spacing w:val="-3"/>
          <w:sz w:val="28"/>
        </w:rPr>
        <w:t>行业使用该定义，能够确保与《安全生产法》相关精神一致。</w:t>
      </w:r>
    </w:p>
    <w:p>
      <w:pPr>
        <w:spacing w:line="374" w:lineRule="auto" w:before="61"/>
        <w:ind w:left="740" w:right="937" w:firstLine="559"/>
        <w:jc w:val="both"/>
        <w:rPr>
          <w:sz w:val="28"/>
        </w:rPr>
      </w:pPr>
      <w:r>
        <w:rPr>
          <w:spacing w:val="-31"/>
          <w:sz w:val="28"/>
        </w:rPr>
        <w:t>注 </w:t>
      </w:r>
      <w:r>
        <w:rPr>
          <w:spacing w:val="-6"/>
          <w:sz w:val="28"/>
        </w:rPr>
        <w:t>3</w:t>
      </w:r>
      <w:r>
        <w:rPr>
          <w:spacing w:val="-5"/>
          <w:sz w:val="28"/>
        </w:rPr>
        <w:t>：“安全隐患”通常表现为“人的不安全行为、物的不安全状态、管理的缺陷”，因此安全隐患的基本表述应尽量采取“主语+ </w:t>
      </w:r>
      <w:r>
        <w:rPr>
          <w:spacing w:val="-11"/>
          <w:sz w:val="28"/>
        </w:rPr>
        <w:t>行为、状态、缺陷”的组合，并尽量与违规或风险管控措施失效或弱</w:t>
      </w:r>
      <w:r>
        <w:rPr>
          <w:spacing w:val="-5"/>
          <w:sz w:val="28"/>
        </w:rPr>
        <w:t>化相关联，如“</w:t>
      </w:r>
      <w:r>
        <w:rPr>
          <w:sz w:val="28"/>
        </w:rPr>
        <w:t>xxx</w:t>
      </w:r>
      <w:r>
        <w:rPr>
          <w:spacing w:val="-2"/>
          <w:sz w:val="28"/>
        </w:rPr>
        <w:t> 人员违反</w:t>
      </w:r>
      <w:r>
        <w:rPr>
          <w:sz w:val="28"/>
        </w:rPr>
        <w:t>xxx</w:t>
      </w:r>
      <w:r>
        <w:rPr>
          <w:spacing w:val="-8"/>
          <w:sz w:val="28"/>
        </w:rPr>
        <w:t>、</w:t>
      </w:r>
      <w:r>
        <w:rPr>
          <w:sz w:val="28"/>
        </w:rPr>
        <w:t>xxx</w:t>
      </w:r>
      <w:r>
        <w:rPr>
          <w:spacing w:val="-2"/>
          <w:sz w:val="28"/>
        </w:rPr>
        <w:t> 车辆阻挡</w:t>
      </w:r>
      <w:r>
        <w:rPr>
          <w:sz w:val="28"/>
        </w:rPr>
        <w:t>xxx</w:t>
      </w:r>
      <w:r>
        <w:rPr>
          <w:spacing w:val="-10"/>
          <w:sz w:val="28"/>
        </w:rPr>
        <w:t>、</w:t>
      </w:r>
      <w:r>
        <w:rPr>
          <w:sz w:val="28"/>
        </w:rPr>
        <w:t>xxx</w:t>
      </w:r>
      <w:r>
        <w:rPr>
          <w:spacing w:val="-16"/>
          <w:sz w:val="28"/>
        </w:rPr>
        <w:t> 手册缺少</w:t>
      </w:r>
    </w:p>
    <w:p>
      <w:pPr>
        <w:spacing w:after="0" w:line="374" w:lineRule="auto"/>
        <w:jc w:val="both"/>
        <w:rPr>
          <w:sz w:val="28"/>
        </w:rPr>
        <w:sectPr>
          <w:pgSz w:w="11910" w:h="16840"/>
          <w:pgMar w:header="0" w:footer="1232" w:top="1560" w:bottom="1420" w:left="1060" w:right="860"/>
        </w:sectPr>
      </w:pPr>
    </w:p>
    <w:p>
      <w:pPr>
        <w:spacing w:before="32"/>
        <w:ind w:left="740" w:right="0" w:firstLine="0"/>
        <w:jc w:val="left"/>
        <w:rPr>
          <w:sz w:val="28"/>
        </w:rPr>
      </w:pPr>
      <w:r>
        <w:rPr>
          <w:sz w:val="28"/>
        </w:rPr>
        <w:t>xxx”等，避免与危险源混淆。</w:t>
      </w:r>
    </w:p>
    <w:p>
      <w:pPr>
        <w:pStyle w:val="BodyText"/>
        <w:spacing w:before="6"/>
        <w:ind w:left="0"/>
        <w:rPr>
          <w:sz w:val="20"/>
        </w:rPr>
      </w:pPr>
    </w:p>
    <w:p>
      <w:pPr>
        <w:spacing w:line="374" w:lineRule="auto" w:before="0"/>
        <w:ind w:left="740" w:right="937" w:firstLine="559"/>
        <w:jc w:val="left"/>
        <w:rPr>
          <w:sz w:val="28"/>
        </w:rPr>
      </w:pPr>
      <w:r>
        <w:rPr>
          <w:spacing w:val="-31"/>
          <w:sz w:val="28"/>
        </w:rPr>
        <w:t>注 </w:t>
      </w:r>
      <w:r>
        <w:rPr>
          <w:spacing w:val="-14"/>
          <w:sz w:val="28"/>
        </w:rPr>
        <w:t>4</w:t>
      </w:r>
      <w:r>
        <w:rPr>
          <w:spacing w:val="-4"/>
          <w:sz w:val="28"/>
        </w:rPr>
        <w:t>：民航生产经营单位可以在本管理规定对安全隐患分类的基</w:t>
      </w:r>
      <w:r>
        <w:rPr>
          <w:spacing w:val="-3"/>
          <w:sz w:val="28"/>
        </w:rPr>
        <w:t>础上，根据管理需要自行进行细化</w:t>
      </w:r>
      <w:r>
        <w:rPr>
          <w:sz w:val="28"/>
        </w:rPr>
        <w:t>（</w:t>
      </w:r>
      <w:r>
        <w:rPr>
          <w:spacing w:val="-3"/>
          <w:sz w:val="28"/>
        </w:rPr>
        <w:t>如涵盖法定自查的记录要求</w:t>
      </w:r>
      <w:r>
        <w:rPr>
          <w:spacing w:val="-142"/>
          <w:sz w:val="28"/>
        </w:rPr>
        <w:t>）</w:t>
      </w:r>
      <w:r>
        <w:rPr>
          <w:sz w:val="28"/>
        </w:rPr>
        <w:t>。</w:t>
      </w:r>
    </w:p>
    <w:p>
      <w:pPr>
        <w:spacing w:line="504" w:lineRule="exact" w:before="0"/>
        <w:ind w:left="1380" w:right="0" w:firstLine="0"/>
        <w:jc w:val="left"/>
        <w:rPr>
          <w:sz w:val="32"/>
        </w:rPr>
      </w:pPr>
      <w:r>
        <w:rPr>
          <w:rFonts w:ascii="Microsoft JhengHei" w:eastAsia="Microsoft JhengHei" w:hint="eastAsia"/>
          <w:b/>
          <w:sz w:val="32"/>
        </w:rPr>
        <w:t>重大安全隐患：</w:t>
      </w:r>
      <w:r>
        <w:rPr>
          <w:sz w:val="32"/>
        </w:rPr>
        <w:t>危害和整改难度较大，应当全部或者局</w:t>
      </w:r>
    </w:p>
    <w:p>
      <w:pPr>
        <w:pStyle w:val="BodyText"/>
        <w:spacing w:line="326" w:lineRule="auto" w:before="79"/>
        <w:ind w:left="740" w:right="938"/>
        <w:jc w:val="both"/>
      </w:pPr>
      <w:r>
        <w:rPr>
          <w:spacing w:val="11"/>
          <w:w w:val="95"/>
        </w:rPr>
        <w:t>部停产停业，并经过一定时间整改治理方能排除的安全隐 </w:t>
      </w:r>
      <w:r>
        <w:rPr>
          <w:spacing w:val="-2"/>
        </w:rPr>
        <w:t>患，或者因外部因素影响致使民航生产经营单位自身难以排</w:t>
      </w:r>
      <w:r>
        <w:rPr/>
        <w:t>除的安全隐患。</w:t>
      </w:r>
    </w:p>
    <w:p>
      <w:pPr>
        <w:spacing w:line="374" w:lineRule="auto" w:before="107"/>
        <w:ind w:left="740" w:right="843" w:firstLine="559"/>
        <w:jc w:val="left"/>
        <w:rPr>
          <w:sz w:val="28"/>
        </w:rPr>
      </w:pPr>
      <w:r>
        <w:rPr>
          <w:sz w:val="28"/>
        </w:rPr>
        <w:t>注：重大安全隐患的定义主要源于国务院安全生产委员会办公室、原国家安全生产监督总局的定义，该定义沿用至今未发生变化。民航行业使用该定义，能够确保与《安全生产法》相关精神一致。</w:t>
      </w:r>
    </w:p>
    <w:p>
      <w:pPr>
        <w:spacing w:line="506" w:lineRule="exact" w:before="0"/>
        <w:ind w:left="1380" w:right="0" w:firstLine="0"/>
        <w:jc w:val="left"/>
        <w:rPr>
          <w:sz w:val="32"/>
        </w:rPr>
      </w:pPr>
      <w:r>
        <w:rPr>
          <w:rFonts w:ascii="Microsoft JhengHei" w:eastAsia="Microsoft JhengHei" w:hint="eastAsia"/>
          <w:b/>
          <w:spacing w:val="-2"/>
          <w:w w:val="95"/>
          <w:sz w:val="32"/>
        </w:rPr>
        <w:t>安全风险：</w:t>
      </w:r>
      <w:r>
        <w:rPr>
          <w:spacing w:val="-1"/>
          <w:w w:val="95"/>
          <w:sz w:val="32"/>
        </w:rPr>
        <w:t>危险源后果或结果的可能性和严重程度。根</w:t>
      </w:r>
    </w:p>
    <w:p>
      <w:pPr>
        <w:spacing w:line="400" w:lineRule="auto" w:before="79"/>
        <w:ind w:left="1299" w:right="779" w:hanging="560"/>
        <w:jc w:val="left"/>
        <w:rPr>
          <w:sz w:val="28"/>
        </w:rPr>
      </w:pPr>
      <w:r>
        <w:rPr>
          <w:spacing w:val="-15"/>
          <w:sz w:val="32"/>
        </w:rPr>
        <w:t>据容忍度不同，分为可接受、缓解后可接受、不可接受三级。</w:t>
      </w:r>
      <w:r>
        <w:rPr>
          <w:spacing w:val="-42"/>
          <w:sz w:val="28"/>
        </w:rPr>
        <w:t>注 </w:t>
      </w:r>
      <w:r>
        <w:rPr>
          <w:sz w:val="28"/>
        </w:rPr>
        <w:t>1</w:t>
      </w:r>
      <w:r>
        <w:rPr>
          <w:spacing w:val="-3"/>
          <w:sz w:val="28"/>
        </w:rPr>
        <w:t>：亦有翻译为可接受、可容忍、不可容忍，对应关系不变。</w:t>
      </w:r>
      <w:r>
        <w:rPr>
          <w:spacing w:val="-36"/>
          <w:sz w:val="28"/>
        </w:rPr>
        <w:t>注 </w:t>
      </w:r>
      <w:r>
        <w:rPr>
          <w:spacing w:val="-8"/>
          <w:sz w:val="28"/>
        </w:rPr>
        <w:t>2</w:t>
      </w:r>
      <w:r>
        <w:rPr>
          <w:spacing w:val="-4"/>
          <w:sz w:val="28"/>
        </w:rPr>
        <w:t>：民航风险分级沿用国际民用航空组织分级标准，通常为三</w:t>
      </w:r>
    </w:p>
    <w:p>
      <w:pPr>
        <w:spacing w:line="318" w:lineRule="exact" w:before="0"/>
        <w:ind w:left="740" w:right="0" w:firstLine="0"/>
        <w:jc w:val="left"/>
        <w:rPr>
          <w:sz w:val="28"/>
        </w:rPr>
      </w:pPr>
      <w:r>
        <w:rPr>
          <w:spacing w:val="-19"/>
          <w:sz w:val="28"/>
        </w:rPr>
        <w:t>个等级，与国家安全生产领域“红橙黄蓝”四个风险等级对应关系为：</w:t>
      </w:r>
    </w:p>
    <w:p>
      <w:pPr>
        <w:spacing w:line="374" w:lineRule="auto" w:before="203"/>
        <w:ind w:left="740" w:right="798" w:firstLine="0"/>
        <w:jc w:val="both"/>
        <w:rPr>
          <w:sz w:val="28"/>
        </w:rPr>
      </w:pPr>
      <w:r>
        <w:rPr>
          <w:spacing w:val="-5"/>
          <w:sz w:val="28"/>
        </w:rPr>
        <w:t>民航的不可接受风险对应国家安全生产领域的重大风险</w:t>
      </w:r>
      <w:r>
        <w:rPr>
          <w:sz w:val="28"/>
        </w:rPr>
        <w:t>（红</w:t>
      </w:r>
      <w:r>
        <w:rPr>
          <w:spacing w:val="-49"/>
          <w:sz w:val="28"/>
        </w:rPr>
        <w:t>）</w:t>
      </w:r>
      <w:r>
        <w:rPr>
          <w:spacing w:val="-2"/>
          <w:sz w:val="28"/>
        </w:rPr>
        <w:t>和较大</w:t>
      </w:r>
      <w:r>
        <w:rPr>
          <w:w w:val="100"/>
          <w:sz w:val="28"/>
        </w:rPr>
        <w:t>风险</w:t>
      </w:r>
      <w:r>
        <w:rPr>
          <w:spacing w:val="-1"/>
          <w:w w:val="100"/>
          <w:sz w:val="28"/>
        </w:rPr>
        <w:t>（橙</w:t>
      </w:r>
      <w:r>
        <w:rPr>
          <w:spacing w:val="-140"/>
          <w:w w:val="100"/>
          <w:sz w:val="28"/>
        </w:rPr>
        <w:t>）</w:t>
      </w:r>
      <w:r>
        <w:rPr>
          <w:spacing w:val="-1"/>
          <w:w w:val="100"/>
          <w:sz w:val="28"/>
        </w:rPr>
        <w:t>；民航的缓解后可接受风险对应国家安全生产领域的一般</w:t>
      </w:r>
      <w:r>
        <w:rPr>
          <w:spacing w:val="-41"/>
          <w:sz w:val="28"/>
        </w:rPr>
        <w:t>风险</w:t>
      </w:r>
      <w:r>
        <w:rPr>
          <w:spacing w:val="-3"/>
          <w:sz w:val="28"/>
        </w:rPr>
        <w:t>（</w:t>
      </w:r>
      <w:r>
        <w:rPr>
          <w:spacing w:val="-1"/>
          <w:sz w:val="28"/>
        </w:rPr>
        <w:t>黄</w:t>
      </w:r>
      <w:r>
        <w:rPr>
          <w:spacing w:val="-110"/>
          <w:sz w:val="28"/>
        </w:rPr>
        <w:t>）</w:t>
      </w:r>
      <w:r>
        <w:rPr>
          <w:spacing w:val="-16"/>
          <w:sz w:val="28"/>
        </w:rPr>
        <w:t>；民航的可接受风险对应国家安全生产领域的低风险</w:t>
      </w:r>
      <w:r>
        <w:rPr>
          <w:spacing w:val="-3"/>
          <w:sz w:val="28"/>
        </w:rPr>
        <w:t>（</w:t>
      </w:r>
      <w:r>
        <w:rPr>
          <w:sz w:val="28"/>
        </w:rPr>
        <w:t>蓝</w:t>
      </w:r>
      <w:r>
        <w:rPr>
          <w:spacing w:val="-142"/>
          <w:sz w:val="28"/>
        </w:rPr>
        <w:t>）</w:t>
      </w:r>
      <w:r>
        <w:rPr>
          <w:sz w:val="28"/>
        </w:rPr>
        <w:t>。</w:t>
      </w:r>
    </w:p>
    <w:p>
      <w:pPr>
        <w:pStyle w:val="BodyText"/>
        <w:spacing w:line="504" w:lineRule="exact"/>
        <w:ind w:left="1380"/>
      </w:pPr>
      <w:r>
        <w:rPr>
          <w:rFonts w:ascii="Microsoft JhengHei" w:hAnsi="Microsoft JhengHei" w:eastAsia="Microsoft JhengHei" w:hint="eastAsia"/>
          <w:b/>
          <w:spacing w:val="-12"/>
          <w:w w:val="95"/>
        </w:rPr>
        <w:t>重大风险：</w:t>
      </w:r>
      <w:r>
        <w:rPr>
          <w:spacing w:val="-10"/>
          <w:w w:val="95"/>
        </w:rPr>
        <w:t>风险分级评价中被列为“不可接受”的风险，</w:t>
      </w:r>
    </w:p>
    <w:p>
      <w:pPr>
        <w:pStyle w:val="BodyText"/>
        <w:spacing w:line="326" w:lineRule="auto" w:before="79"/>
        <w:ind w:left="740" w:right="895"/>
      </w:pPr>
      <w:r>
        <w:rPr/>
        <w:t>或者被列为“缓解后可接受”但相关控制措施多次出现失效的风险。</w:t>
      </w:r>
    </w:p>
    <w:p>
      <w:pPr>
        <w:spacing w:line="548" w:lineRule="exact" w:before="0"/>
        <w:ind w:left="1380" w:right="0" w:firstLine="0"/>
        <w:jc w:val="left"/>
        <w:rPr>
          <w:sz w:val="32"/>
        </w:rPr>
      </w:pPr>
      <w:r>
        <w:rPr>
          <w:rFonts w:ascii="Microsoft JhengHei" w:eastAsia="Microsoft JhengHei" w:hint="eastAsia"/>
          <w:b/>
          <w:w w:val="95"/>
          <w:sz w:val="32"/>
        </w:rPr>
        <w:t>剩余风险：</w:t>
      </w:r>
      <w:r>
        <w:rPr>
          <w:w w:val="95"/>
          <w:sz w:val="32"/>
        </w:rPr>
        <w:t>实施风险控制措施后仍然存在的安全风险。</w:t>
      </w:r>
    </w:p>
    <w:p>
      <w:pPr>
        <w:spacing w:before="178"/>
        <w:ind w:left="1299" w:right="0" w:firstLine="0"/>
        <w:jc w:val="left"/>
        <w:rPr>
          <w:sz w:val="28"/>
        </w:rPr>
      </w:pPr>
      <w:r>
        <w:rPr>
          <w:spacing w:val="-11"/>
          <w:sz w:val="28"/>
        </w:rPr>
        <w:t>注：剩余风险可能包括风险管理中未穷举的风险，也可以认为是</w:t>
      </w:r>
    </w:p>
    <w:p>
      <w:pPr>
        <w:spacing w:after="0"/>
        <w:jc w:val="left"/>
        <w:rPr>
          <w:sz w:val="28"/>
        </w:rPr>
        <w:sectPr>
          <w:footerReference w:type="default" r:id="rId26"/>
          <w:pgSz w:w="11910" w:h="16840"/>
          <w:pgMar w:footer="1232" w:header="0" w:top="1560" w:bottom="1420" w:left="1060" w:right="860"/>
          <w:pgNumType w:start="160"/>
        </w:sectPr>
      </w:pPr>
    </w:p>
    <w:p>
      <w:pPr>
        <w:spacing w:line="374" w:lineRule="auto" w:before="32"/>
        <w:ind w:left="740" w:right="937" w:firstLine="0"/>
        <w:jc w:val="left"/>
        <w:rPr>
          <w:sz w:val="28"/>
        </w:rPr>
      </w:pPr>
      <w:r>
        <w:rPr/>
        <w:drawing>
          <wp:anchor distT="0" distB="0" distL="0" distR="0" allowOverlap="1" layoutInCell="1" locked="0" behindDoc="0" simplePos="0" relativeHeight="7">
            <wp:simplePos x="0" y="0"/>
            <wp:positionH relativeFrom="page">
              <wp:posOffset>1306758</wp:posOffset>
            </wp:positionH>
            <wp:positionV relativeFrom="paragraph">
              <wp:posOffset>778303</wp:posOffset>
            </wp:positionV>
            <wp:extent cx="4997983" cy="2667571"/>
            <wp:effectExtent l="0" t="0" r="0" b="0"/>
            <wp:wrapTopAndBottom/>
            <wp:docPr id="3" name="image2.jpeg"/>
            <wp:cNvGraphicFramePr>
              <a:graphicFrameLocks noChangeAspect="1"/>
            </wp:cNvGraphicFramePr>
            <a:graphic>
              <a:graphicData uri="http://schemas.openxmlformats.org/drawingml/2006/picture">
                <pic:pic>
                  <pic:nvPicPr>
                    <pic:cNvPr id="4" name="image2.jpeg"/>
                    <pic:cNvPicPr/>
                  </pic:nvPicPr>
                  <pic:blipFill>
                    <a:blip r:embed="rId27" cstate="print"/>
                    <a:stretch>
                      <a:fillRect/>
                    </a:stretch>
                  </pic:blipFill>
                  <pic:spPr>
                    <a:xfrm>
                      <a:off x="0" y="0"/>
                      <a:ext cx="4997983" cy="2667571"/>
                    </a:xfrm>
                    <a:prstGeom prst="rect">
                      <a:avLst/>
                    </a:prstGeom>
                  </pic:spPr>
                </pic:pic>
              </a:graphicData>
            </a:graphic>
          </wp:anchor>
        </w:drawing>
      </w:r>
      <w:r>
        <w:rPr>
          <w:spacing w:val="-5"/>
          <w:sz w:val="28"/>
        </w:rPr>
        <w:t>一项初始的安全风险在拟采取的风险控制措施后“保留的风险”。实</w:t>
      </w:r>
      <w:r>
        <w:rPr>
          <w:spacing w:val="-3"/>
          <w:sz w:val="28"/>
        </w:rPr>
        <w:t>际安全管理中，通常是后者更具现实意义。</w:t>
      </w:r>
    </w:p>
    <w:p>
      <w:pPr>
        <w:spacing w:before="119"/>
        <w:ind w:left="505" w:right="705" w:firstLine="0"/>
        <w:jc w:val="center"/>
        <w:rPr>
          <w:rFonts w:ascii="Microsoft JhengHei" w:eastAsia="Microsoft JhengHei" w:hint="eastAsia"/>
          <w:b/>
          <w:sz w:val="24"/>
        </w:rPr>
      </w:pPr>
      <w:r>
        <w:rPr>
          <w:rFonts w:ascii="Microsoft JhengHei" w:eastAsia="Microsoft JhengHei" w:hint="eastAsia"/>
          <w:b/>
          <w:sz w:val="24"/>
        </w:rPr>
        <w:t>图 </w:t>
      </w:r>
      <w:r>
        <w:rPr>
          <w:b/>
          <w:sz w:val="24"/>
        </w:rPr>
        <w:t>1 </w:t>
      </w:r>
      <w:r>
        <w:rPr>
          <w:rFonts w:ascii="Microsoft JhengHei" w:eastAsia="Microsoft JhengHei" w:hint="eastAsia"/>
          <w:b/>
          <w:sz w:val="24"/>
        </w:rPr>
        <w:t>双重预防机制相关基本概念关系示意</w:t>
      </w:r>
    </w:p>
    <w:p>
      <w:pPr>
        <w:pStyle w:val="BodyText"/>
        <w:spacing w:before="12"/>
        <w:ind w:left="0"/>
        <w:rPr>
          <w:rFonts w:ascii="Microsoft JhengHei"/>
          <w:b/>
          <w:sz w:val="12"/>
        </w:rPr>
      </w:pPr>
    </w:p>
    <w:p>
      <w:pPr>
        <w:pStyle w:val="ListParagraph"/>
        <w:numPr>
          <w:ilvl w:val="0"/>
          <w:numId w:val="63"/>
        </w:numPr>
        <w:tabs>
          <w:tab w:pos="1062" w:val="left" w:leader="none"/>
        </w:tabs>
        <w:spacing w:line="240" w:lineRule="auto" w:before="0" w:after="0"/>
        <w:ind w:left="1061" w:right="0" w:hanging="322"/>
        <w:jc w:val="left"/>
        <w:rPr>
          <w:rFonts w:ascii="黑体" w:eastAsia="黑体" w:hint="eastAsia"/>
          <w:sz w:val="32"/>
        </w:rPr>
      </w:pPr>
      <w:r>
        <w:rPr>
          <w:rFonts w:ascii="黑体" w:eastAsia="黑体" w:hint="eastAsia"/>
          <w:sz w:val="32"/>
        </w:rPr>
        <w:t>参考资料</w:t>
      </w:r>
    </w:p>
    <w:p>
      <w:pPr>
        <w:pStyle w:val="ListParagraph"/>
        <w:numPr>
          <w:ilvl w:val="1"/>
          <w:numId w:val="63"/>
        </w:numPr>
        <w:tabs>
          <w:tab w:pos="2181" w:val="left" w:leader="none"/>
        </w:tabs>
        <w:spacing w:line="240" w:lineRule="auto" w:before="180" w:after="0"/>
        <w:ind w:left="2180" w:right="0" w:hanging="801"/>
        <w:jc w:val="left"/>
        <w:rPr>
          <w:sz w:val="32"/>
        </w:rPr>
      </w:pPr>
      <w:r>
        <w:rPr>
          <w:spacing w:val="-12"/>
          <w:sz w:val="32"/>
        </w:rPr>
        <w:t>《中华人民共和国安全生产法》，</w:t>
      </w:r>
      <w:r>
        <w:rPr>
          <w:sz w:val="32"/>
        </w:rPr>
        <w:t>2021</w:t>
      </w:r>
      <w:r>
        <w:rPr>
          <w:spacing w:val="-28"/>
          <w:sz w:val="32"/>
        </w:rPr>
        <w:t> 年。</w:t>
      </w:r>
    </w:p>
    <w:p>
      <w:pPr>
        <w:pStyle w:val="ListParagraph"/>
        <w:numPr>
          <w:ilvl w:val="1"/>
          <w:numId w:val="63"/>
        </w:numPr>
        <w:tabs>
          <w:tab w:pos="2181" w:val="left" w:leader="none"/>
        </w:tabs>
        <w:spacing w:line="240" w:lineRule="auto" w:before="150" w:after="0"/>
        <w:ind w:left="2180" w:right="0" w:hanging="801"/>
        <w:jc w:val="left"/>
        <w:rPr>
          <w:sz w:val="32"/>
        </w:rPr>
      </w:pPr>
      <w:r>
        <w:rPr>
          <w:spacing w:val="-27"/>
          <w:sz w:val="32"/>
        </w:rPr>
        <w:t>附件 </w:t>
      </w:r>
      <w:r>
        <w:rPr>
          <w:spacing w:val="-25"/>
          <w:sz w:val="32"/>
        </w:rPr>
        <w:t>19</w:t>
      </w:r>
      <w:r>
        <w:rPr>
          <w:spacing w:val="-11"/>
          <w:sz w:val="32"/>
        </w:rPr>
        <w:t>《安全管理》第二版，国际民航组织，2016</w:t>
      </w:r>
    </w:p>
    <w:p>
      <w:pPr>
        <w:pStyle w:val="BodyText"/>
        <w:spacing w:before="151"/>
        <w:ind w:left="722" w:right="8587"/>
        <w:jc w:val="center"/>
      </w:pPr>
      <w:r>
        <w:rPr/>
        <w:t>年。</w:t>
      </w:r>
    </w:p>
    <w:p>
      <w:pPr>
        <w:pStyle w:val="ListParagraph"/>
        <w:numPr>
          <w:ilvl w:val="1"/>
          <w:numId w:val="63"/>
        </w:numPr>
        <w:tabs>
          <w:tab w:pos="2181" w:val="left" w:leader="none"/>
        </w:tabs>
        <w:spacing w:line="240" w:lineRule="auto" w:before="149" w:after="0"/>
        <w:ind w:left="2180" w:right="0" w:hanging="1582"/>
        <w:jc w:val="left"/>
        <w:rPr>
          <w:sz w:val="32"/>
        </w:rPr>
      </w:pPr>
      <w:r>
        <w:rPr>
          <w:spacing w:val="-7"/>
          <w:sz w:val="32"/>
        </w:rPr>
        <w:t>Doc9859</w:t>
      </w:r>
      <w:r>
        <w:rPr>
          <w:spacing w:val="-10"/>
          <w:sz w:val="32"/>
        </w:rPr>
        <w:t>《安全管理手册》第四版，国际民航组织，</w:t>
      </w:r>
    </w:p>
    <w:p>
      <w:pPr>
        <w:pStyle w:val="BodyText"/>
        <w:spacing w:before="150"/>
        <w:ind w:left="740"/>
      </w:pPr>
      <w:r>
        <w:rPr/>
        <w:t>2018 年。</w:t>
      </w:r>
    </w:p>
    <w:p>
      <w:pPr>
        <w:pStyle w:val="ListParagraph"/>
        <w:numPr>
          <w:ilvl w:val="1"/>
          <w:numId w:val="63"/>
        </w:numPr>
        <w:tabs>
          <w:tab w:pos="2181" w:val="left" w:leader="none"/>
        </w:tabs>
        <w:spacing w:line="326" w:lineRule="auto" w:before="151" w:after="0"/>
        <w:ind w:left="740" w:right="940" w:firstLine="640"/>
        <w:jc w:val="left"/>
        <w:rPr>
          <w:sz w:val="32"/>
        </w:rPr>
      </w:pPr>
      <w:r>
        <w:rPr>
          <w:spacing w:val="-14"/>
          <w:w w:val="99"/>
          <w:sz w:val="32"/>
        </w:rPr>
        <w:t>《民用航空安全管理规定》</w:t>
      </w:r>
      <w:r>
        <w:rPr>
          <w:w w:val="99"/>
          <w:sz w:val="32"/>
        </w:rPr>
        <w:t>（</w:t>
      </w:r>
      <w:r>
        <w:rPr>
          <w:spacing w:val="1"/>
          <w:w w:val="99"/>
          <w:sz w:val="32"/>
        </w:rPr>
        <w:t>CC</w:t>
      </w:r>
      <w:r>
        <w:rPr>
          <w:spacing w:val="-2"/>
          <w:w w:val="99"/>
          <w:sz w:val="32"/>
        </w:rPr>
        <w:t>A</w:t>
      </w:r>
      <w:r>
        <w:rPr>
          <w:spacing w:val="1"/>
          <w:w w:val="99"/>
          <w:sz w:val="32"/>
        </w:rPr>
        <w:t>R-</w:t>
      </w:r>
      <w:r>
        <w:rPr>
          <w:spacing w:val="-2"/>
          <w:w w:val="99"/>
          <w:sz w:val="32"/>
        </w:rPr>
        <w:t>3</w:t>
      </w:r>
      <w:r>
        <w:rPr>
          <w:spacing w:val="1"/>
          <w:w w:val="99"/>
          <w:sz w:val="32"/>
        </w:rPr>
        <w:t>9</w:t>
      </w:r>
      <w:r>
        <w:rPr>
          <w:spacing w:val="-2"/>
          <w:w w:val="99"/>
          <w:sz w:val="32"/>
        </w:rPr>
        <w:t>8</w:t>
      </w:r>
      <w:r>
        <w:rPr>
          <w:spacing w:val="-159"/>
          <w:w w:val="99"/>
          <w:sz w:val="32"/>
        </w:rPr>
        <w:t>）</w:t>
      </w:r>
      <w:r>
        <w:rPr>
          <w:spacing w:val="-2"/>
          <w:w w:val="99"/>
          <w:sz w:val="32"/>
        </w:rPr>
        <w:t>，交通运</w:t>
      </w:r>
      <w:r>
        <w:rPr>
          <w:spacing w:val="-2"/>
          <w:sz w:val="32"/>
        </w:rPr>
        <w:t>输部，2018</w:t>
      </w:r>
      <w:r>
        <w:rPr>
          <w:spacing w:val="-28"/>
          <w:sz w:val="32"/>
        </w:rPr>
        <w:t> 年。</w:t>
      </w:r>
    </w:p>
    <w:p>
      <w:pPr>
        <w:pStyle w:val="ListParagraph"/>
        <w:numPr>
          <w:ilvl w:val="1"/>
          <w:numId w:val="63"/>
        </w:numPr>
        <w:tabs>
          <w:tab w:pos="2193" w:val="left" w:leader="none"/>
        </w:tabs>
        <w:spacing w:line="328" w:lineRule="auto" w:before="3" w:after="0"/>
        <w:ind w:left="740" w:right="937" w:firstLine="640"/>
        <w:jc w:val="left"/>
        <w:rPr>
          <w:sz w:val="32"/>
        </w:rPr>
      </w:pPr>
      <w:r>
        <w:rPr>
          <w:spacing w:val="-4"/>
          <w:sz w:val="32"/>
        </w:rPr>
        <w:t>《安全生产事故隐患排查治理暂行规定》，国家</w:t>
      </w:r>
      <w:r>
        <w:rPr>
          <w:sz w:val="32"/>
        </w:rPr>
        <w:t>安全生产监督管理总局，2007</w:t>
      </w:r>
      <w:r>
        <w:rPr>
          <w:spacing w:val="-28"/>
          <w:sz w:val="32"/>
        </w:rPr>
        <w:t> 年。</w:t>
      </w:r>
    </w:p>
    <w:p>
      <w:pPr>
        <w:pStyle w:val="ListParagraph"/>
        <w:numPr>
          <w:ilvl w:val="1"/>
          <w:numId w:val="63"/>
        </w:numPr>
        <w:tabs>
          <w:tab w:pos="2181" w:val="left" w:leader="none"/>
        </w:tabs>
        <w:spacing w:line="326" w:lineRule="auto" w:before="0" w:after="0"/>
        <w:ind w:left="740" w:right="779" w:firstLine="640"/>
        <w:jc w:val="left"/>
        <w:rPr>
          <w:sz w:val="32"/>
        </w:rPr>
      </w:pPr>
      <w:r>
        <w:rPr>
          <w:spacing w:val="-8"/>
          <w:sz w:val="32"/>
        </w:rPr>
        <w:t>《安全生产事故隐患排查治理体系建设实施指南》</w:t>
      </w:r>
      <w:r>
        <w:rPr>
          <w:sz w:val="32"/>
        </w:rPr>
        <w:t>，国务院安委会办公室，2012</w:t>
      </w:r>
      <w:r>
        <w:rPr>
          <w:spacing w:val="-28"/>
          <w:sz w:val="32"/>
        </w:rPr>
        <w:t> 年。</w:t>
      </w:r>
    </w:p>
    <w:p>
      <w:pPr>
        <w:pStyle w:val="ListParagraph"/>
        <w:numPr>
          <w:ilvl w:val="1"/>
          <w:numId w:val="63"/>
        </w:numPr>
        <w:tabs>
          <w:tab w:pos="2181" w:val="left" w:leader="none"/>
        </w:tabs>
        <w:spacing w:line="240" w:lineRule="auto" w:before="3" w:after="0"/>
        <w:ind w:left="2180" w:right="0" w:hanging="801"/>
        <w:jc w:val="left"/>
        <w:rPr>
          <w:sz w:val="32"/>
        </w:rPr>
      </w:pPr>
      <w:r>
        <w:rPr>
          <w:sz w:val="32"/>
        </w:rPr>
        <w:t>《关于实施遏制重特大事故工作指南构建双重预防</w:t>
      </w:r>
    </w:p>
    <w:p>
      <w:pPr>
        <w:spacing w:after="0" w:line="240" w:lineRule="auto"/>
        <w:jc w:val="left"/>
        <w:rPr>
          <w:sz w:val="32"/>
        </w:rPr>
        <w:sectPr>
          <w:pgSz w:w="11910" w:h="16840"/>
          <w:pgMar w:header="0" w:footer="1232" w:top="1560" w:bottom="1420" w:left="1060" w:right="860"/>
        </w:sectPr>
      </w:pPr>
    </w:p>
    <w:p>
      <w:pPr>
        <w:pStyle w:val="BodyText"/>
        <w:spacing w:before="32"/>
        <w:ind w:left="740"/>
      </w:pPr>
      <w:r>
        <w:rPr/>
        <w:t>机制的意见》，国务院安委会办公室，2016 年。</w:t>
      </w:r>
    </w:p>
    <w:p>
      <w:pPr>
        <w:pStyle w:val="ListParagraph"/>
        <w:numPr>
          <w:ilvl w:val="1"/>
          <w:numId w:val="63"/>
        </w:numPr>
        <w:tabs>
          <w:tab w:pos="2181" w:val="left" w:leader="none"/>
        </w:tabs>
        <w:spacing w:line="240" w:lineRule="auto" w:before="149" w:after="0"/>
        <w:ind w:left="2180" w:right="183" w:hanging="2181"/>
        <w:jc w:val="left"/>
        <w:rPr>
          <w:sz w:val="32"/>
        </w:rPr>
      </w:pPr>
      <w:r>
        <w:rPr>
          <w:sz w:val="32"/>
        </w:rPr>
        <w:t>ISO</w:t>
      </w:r>
      <w:r>
        <w:rPr>
          <w:spacing w:val="-3"/>
          <w:sz w:val="32"/>
        </w:rPr>
        <w:t> </w:t>
      </w:r>
      <w:r>
        <w:rPr>
          <w:sz w:val="32"/>
        </w:rPr>
        <w:t>Guide73：2009</w:t>
      </w:r>
      <w:r>
        <w:rPr>
          <w:spacing w:val="-15"/>
          <w:sz w:val="32"/>
        </w:rPr>
        <w:t> 《风险管理——术语》。</w:t>
      </w:r>
    </w:p>
    <w:p>
      <w:pPr>
        <w:pStyle w:val="BodyText"/>
        <w:spacing w:before="10"/>
        <w:ind w:left="0"/>
        <w:rPr>
          <w:sz w:val="23"/>
        </w:rPr>
      </w:pPr>
    </w:p>
    <w:p>
      <w:pPr>
        <w:pStyle w:val="ListParagraph"/>
        <w:numPr>
          <w:ilvl w:val="0"/>
          <w:numId w:val="63"/>
        </w:numPr>
        <w:tabs>
          <w:tab w:pos="1062" w:val="left" w:leader="none"/>
        </w:tabs>
        <w:spacing w:line="240" w:lineRule="auto" w:before="0" w:after="0"/>
        <w:ind w:left="1061" w:right="0" w:hanging="322"/>
        <w:jc w:val="left"/>
        <w:rPr>
          <w:rFonts w:ascii="黑体" w:eastAsia="黑体" w:hint="eastAsia"/>
          <w:sz w:val="32"/>
        </w:rPr>
      </w:pPr>
      <w:r>
        <w:rPr>
          <w:rFonts w:ascii="黑体" w:eastAsia="黑体" w:hint="eastAsia"/>
          <w:sz w:val="32"/>
        </w:rPr>
        <w:t>一般要求</w:t>
      </w:r>
    </w:p>
    <w:p>
      <w:pPr>
        <w:pStyle w:val="Heading3"/>
        <w:numPr>
          <w:ilvl w:val="1"/>
          <w:numId w:val="64"/>
        </w:numPr>
        <w:tabs>
          <w:tab w:pos="1384" w:val="left" w:leader="none"/>
        </w:tabs>
        <w:spacing w:line="240" w:lineRule="auto" w:before="106" w:after="0"/>
        <w:ind w:left="1383" w:right="0" w:hanging="644"/>
        <w:jc w:val="left"/>
      </w:pPr>
      <w:r>
        <w:rPr/>
        <w:t>工作原则</w:t>
      </w:r>
    </w:p>
    <w:p>
      <w:pPr>
        <w:pStyle w:val="BodyText"/>
        <w:spacing w:line="328" w:lineRule="auto" w:before="141"/>
        <w:ind w:left="740" w:right="937" w:firstLine="640"/>
        <w:jc w:val="both"/>
      </w:pPr>
      <w:r>
        <w:rPr>
          <w:spacing w:val="13"/>
          <w:w w:val="95"/>
        </w:rPr>
        <w:t>民航安全风险分级管控和隐患排查治理工作坚持依法 </w:t>
      </w:r>
      <w:r>
        <w:rPr>
          <w:spacing w:val="-2"/>
        </w:rPr>
        <w:t>合规、务实高效、闭环管理的原则，围绕事前预防，推动从</w:t>
      </w:r>
      <w:r>
        <w:rPr>
          <w:spacing w:val="-4"/>
          <w:w w:val="95"/>
        </w:rPr>
        <w:t>源头上防范风险、从根本上消除安全隐患。双重预防机制是 </w:t>
      </w:r>
      <w:r>
        <w:rPr>
          <w:spacing w:val="-5"/>
        </w:rPr>
        <w:t>民航安全管理体系的核心内容，建设和实施过程中应当遵循有机融合、一体化运行的原则。</w:t>
      </w:r>
    </w:p>
    <w:p>
      <w:pPr>
        <w:pStyle w:val="BodyText"/>
        <w:spacing w:before="8"/>
        <w:ind w:left="0"/>
        <w:rPr>
          <w:sz w:val="9"/>
        </w:rPr>
      </w:pPr>
      <w:r>
        <w:rPr/>
        <w:drawing>
          <wp:anchor distT="0" distB="0" distL="0" distR="0" allowOverlap="1" layoutInCell="1" locked="0" behindDoc="0" simplePos="0" relativeHeight="8">
            <wp:simplePos x="0" y="0"/>
            <wp:positionH relativeFrom="page">
              <wp:posOffset>1199192</wp:posOffset>
            </wp:positionH>
            <wp:positionV relativeFrom="paragraph">
              <wp:posOffset>103616</wp:posOffset>
            </wp:positionV>
            <wp:extent cx="5119944" cy="3198399"/>
            <wp:effectExtent l="0" t="0" r="0" b="0"/>
            <wp:wrapTopAndBottom/>
            <wp:docPr id="5" name="image3.jpeg"/>
            <wp:cNvGraphicFramePr>
              <a:graphicFrameLocks noChangeAspect="1"/>
            </wp:cNvGraphicFramePr>
            <a:graphic>
              <a:graphicData uri="http://schemas.openxmlformats.org/drawingml/2006/picture">
                <pic:pic>
                  <pic:nvPicPr>
                    <pic:cNvPr id="6" name="image3.jpeg"/>
                    <pic:cNvPicPr/>
                  </pic:nvPicPr>
                  <pic:blipFill>
                    <a:blip r:embed="rId28" cstate="print"/>
                    <a:stretch>
                      <a:fillRect/>
                    </a:stretch>
                  </pic:blipFill>
                  <pic:spPr>
                    <a:xfrm>
                      <a:off x="0" y="0"/>
                      <a:ext cx="5119944" cy="3198399"/>
                    </a:xfrm>
                    <a:prstGeom prst="rect">
                      <a:avLst/>
                    </a:prstGeom>
                  </pic:spPr>
                </pic:pic>
              </a:graphicData>
            </a:graphic>
          </wp:anchor>
        </w:drawing>
      </w:r>
    </w:p>
    <w:p>
      <w:pPr>
        <w:spacing w:before="90"/>
        <w:ind w:left="503" w:right="705" w:firstLine="0"/>
        <w:jc w:val="center"/>
        <w:rPr>
          <w:rFonts w:ascii="Microsoft JhengHei" w:eastAsia="Microsoft JhengHei" w:hint="eastAsia"/>
          <w:b/>
          <w:sz w:val="24"/>
        </w:rPr>
      </w:pPr>
      <w:r>
        <w:rPr>
          <w:rFonts w:ascii="Microsoft JhengHei" w:eastAsia="Microsoft JhengHei" w:hint="eastAsia"/>
          <w:b/>
          <w:sz w:val="24"/>
        </w:rPr>
        <w:t>图 </w:t>
      </w:r>
      <w:r>
        <w:rPr>
          <w:b/>
          <w:sz w:val="24"/>
        </w:rPr>
        <w:t>2 </w:t>
      </w:r>
      <w:r>
        <w:rPr>
          <w:rFonts w:ascii="Microsoft JhengHei" w:eastAsia="Microsoft JhengHei" w:hint="eastAsia"/>
          <w:b/>
          <w:sz w:val="24"/>
        </w:rPr>
        <w:t>民航 </w:t>
      </w:r>
      <w:r>
        <w:rPr>
          <w:b/>
          <w:sz w:val="24"/>
        </w:rPr>
        <w:t>SMS</w:t>
      </w:r>
      <w:r>
        <w:rPr>
          <w:b/>
          <w:spacing w:val="-61"/>
          <w:sz w:val="24"/>
        </w:rPr>
        <w:t> </w:t>
      </w:r>
      <w:r>
        <w:rPr>
          <w:rFonts w:ascii="Microsoft JhengHei" w:eastAsia="Microsoft JhengHei" w:hint="eastAsia"/>
          <w:b/>
          <w:sz w:val="24"/>
        </w:rPr>
        <w:t>相关要素与双重预防机制融合流程</w:t>
      </w:r>
    </w:p>
    <w:p>
      <w:pPr>
        <w:pStyle w:val="BodyText"/>
        <w:spacing w:before="15"/>
        <w:ind w:left="0"/>
        <w:rPr>
          <w:rFonts w:ascii="Microsoft JhengHei"/>
          <w:b/>
          <w:sz w:val="14"/>
        </w:rPr>
      </w:pPr>
    </w:p>
    <w:p>
      <w:pPr>
        <w:spacing w:line="374" w:lineRule="auto" w:before="0"/>
        <w:ind w:left="740" w:right="913" w:firstLine="559"/>
        <w:jc w:val="both"/>
        <w:rPr>
          <w:sz w:val="28"/>
        </w:rPr>
      </w:pPr>
      <w:r>
        <w:rPr>
          <w:spacing w:val="-33"/>
          <w:sz w:val="28"/>
        </w:rPr>
        <w:t>注 </w:t>
      </w:r>
      <w:r>
        <w:rPr>
          <w:sz w:val="28"/>
        </w:rPr>
        <w:t>1</w:t>
      </w:r>
      <w:r>
        <w:rPr>
          <w:spacing w:val="-3"/>
          <w:sz w:val="28"/>
        </w:rPr>
        <w:t>：双重预防机制的第一重预防机制——安全风险分级管控， </w:t>
      </w:r>
      <w:r>
        <w:rPr>
          <w:spacing w:val="15"/>
          <w:sz w:val="28"/>
        </w:rPr>
        <w:t>对应民航</w:t>
      </w:r>
      <w:r>
        <w:rPr>
          <w:sz w:val="28"/>
        </w:rPr>
        <w:t>SMS</w:t>
      </w:r>
      <w:r>
        <w:rPr>
          <w:spacing w:val="-14"/>
          <w:sz w:val="28"/>
        </w:rPr>
        <w:t> 的第二大支柱——安全风险管理，本质相同。双重预防</w:t>
      </w:r>
      <w:r>
        <w:rPr>
          <w:spacing w:val="-10"/>
          <w:sz w:val="28"/>
        </w:rPr>
        <w:t>机制的第二重预防机制——安全隐患排查治理，属于民航安全管理体</w:t>
      </w:r>
      <w:r>
        <w:rPr>
          <w:spacing w:val="-9"/>
          <w:sz w:val="28"/>
        </w:rPr>
        <w:t>系的第三大支柱——安全保证的一部分，安全隐患排查同时也是获取</w:t>
      </w:r>
    </w:p>
    <w:p>
      <w:pPr>
        <w:spacing w:after="0" w:line="374" w:lineRule="auto"/>
        <w:jc w:val="both"/>
        <w:rPr>
          <w:sz w:val="28"/>
        </w:rPr>
        <w:sectPr>
          <w:pgSz w:w="11910" w:h="16840"/>
          <w:pgMar w:header="0" w:footer="1232" w:top="1520" w:bottom="1420" w:left="1060" w:right="860"/>
        </w:sectPr>
      </w:pPr>
    </w:p>
    <w:p>
      <w:pPr>
        <w:spacing w:before="32"/>
        <w:ind w:left="740" w:right="0" w:firstLine="0"/>
        <w:jc w:val="left"/>
        <w:rPr>
          <w:sz w:val="28"/>
        </w:rPr>
      </w:pPr>
      <w:r>
        <w:rPr>
          <w:sz w:val="28"/>
        </w:rPr>
        <w:t>安全绩效监测数据的一种方式，并且可能发现新的危险源。</w:t>
      </w:r>
    </w:p>
    <w:p>
      <w:pPr>
        <w:pStyle w:val="BodyText"/>
        <w:spacing w:before="6"/>
        <w:ind w:left="0"/>
        <w:rPr>
          <w:sz w:val="20"/>
        </w:rPr>
      </w:pPr>
    </w:p>
    <w:p>
      <w:pPr>
        <w:spacing w:line="374" w:lineRule="auto" w:before="0"/>
        <w:ind w:left="740" w:right="937" w:firstLine="559"/>
        <w:jc w:val="both"/>
        <w:rPr>
          <w:sz w:val="28"/>
        </w:rPr>
      </w:pPr>
      <w:r>
        <w:rPr>
          <w:spacing w:val="-34"/>
          <w:sz w:val="28"/>
        </w:rPr>
        <w:t>注 </w:t>
      </w:r>
      <w:r>
        <w:rPr>
          <w:spacing w:val="-8"/>
          <w:sz w:val="28"/>
        </w:rPr>
        <w:t>2</w:t>
      </w:r>
      <w:r>
        <w:rPr>
          <w:spacing w:val="-25"/>
          <w:sz w:val="28"/>
        </w:rPr>
        <w:t>：图 </w:t>
      </w:r>
      <w:r>
        <w:rPr>
          <w:sz w:val="28"/>
        </w:rPr>
        <w:t>2</w:t>
      </w:r>
      <w:r>
        <w:rPr>
          <w:spacing w:val="-11"/>
          <w:sz w:val="28"/>
        </w:rPr>
        <w:t> 进行了适当简化以便于理解基本逻辑和流程，省略安</w:t>
      </w:r>
      <w:r>
        <w:rPr>
          <w:spacing w:val="-10"/>
          <w:sz w:val="28"/>
        </w:rPr>
        <w:t>全绩效监视与测量、数据分析、系统评价等安全管理有关内容，各民</w:t>
      </w:r>
      <w:r>
        <w:rPr>
          <w:spacing w:val="-7"/>
          <w:sz w:val="28"/>
        </w:rPr>
        <w:t>航生产经营单位在双重预防机制建设过程中可结合本单位实际，参考</w:t>
      </w:r>
      <w:r>
        <w:rPr>
          <w:spacing w:val="-3"/>
          <w:sz w:val="28"/>
        </w:rPr>
        <w:t>其他规范性文件进行补充完善。</w:t>
      </w:r>
    </w:p>
    <w:p>
      <w:pPr>
        <w:pStyle w:val="Heading3"/>
        <w:numPr>
          <w:ilvl w:val="1"/>
          <w:numId w:val="64"/>
        </w:numPr>
        <w:tabs>
          <w:tab w:pos="1384" w:val="left" w:leader="none"/>
        </w:tabs>
        <w:spacing w:line="506" w:lineRule="exact" w:before="0" w:after="0"/>
        <w:ind w:left="1383" w:right="0" w:hanging="644"/>
        <w:jc w:val="left"/>
      </w:pPr>
      <w:r>
        <w:rPr/>
        <w:t>责任主体</w:t>
      </w:r>
    </w:p>
    <w:p>
      <w:pPr>
        <w:pStyle w:val="BodyText"/>
        <w:spacing w:line="328" w:lineRule="auto" w:before="139"/>
        <w:ind w:left="740" w:right="937" w:firstLine="640"/>
        <w:jc w:val="both"/>
      </w:pPr>
      <w:r>
        <w:rPr>
          <w:spacing w:val="12"/>
          <w:w w:val="95"/>
        </w:rPr>
        <w:t>民航生产经营单位作为安全生产的责任主体，应当在</w:t>
      </w:r>
      <w:r>
        <w:rPr>
          <w:spacing w:val="12"/>
        </w:rPr>
        <w:t>SMS</w:t>
      </w:r>
      <w:r>
        <w:rPr>
          <w:spacing w:val="-7"/>
        </w:rPr>
        <w:t> 框架下构建双重预防机制，有效消除安全隐患、防范化解安全风险，并向从业人员如实告知作业场所和工作岗位存在的危险因素、防范措施及事故应急措施。</w:t>
      </w:r>
    </w:p>
    <w:p>
      <w:pPr>
        <w:pStyle w:val="Heading3"/>
        <w:numPr>
          <w:ilvl w:val="1"/>
          <w:numId w:val="64"/>
        </w:numPr>
        <w:tabs>
          <w:tab w:pos="1384" w:val="left" w:leader="none"/>
        </w:tabs>
        <w:spacing w:line="475" w:lineRule="exact" w:before="0" w:after="0"/>
        <w:ind w:left="1383" w:right="0" w:hanging="644"/>
        <w:jc w:val="left"/>
      </w:pPr>
      <w:r>
        <w:rPr/>
        <w:t>监管主体</w:t>
      </w:r>
    </w:p>
    <w:p>
      <w:pPr>
        <w:pStyle w:val="BodyText"/>
        <w:spacing w:line="328" w:lineRule="auto" w:before="141"/>
        <w:ind w:left="740" w:right="937" w:firstLine="640"/>
        <w:jc w:val="both"/>
      </w:pPr>
      <w:r>
        <w:rPr>
          <w:spacing w:val="-1"/>
        </w:rPr>
        <w:t>中国民用航空局</w:t>
      </w:r>
      <w:r>
        <w:rPr/>
        <w:t>（以下简称民航局</w:t>
      </w:r>
      <w:r>
        <w:rPr>
          <w:spacing w:val="-5"/>
        </w:rPr>
        <w:t>）</w:t>
      </w:r>
      <w:r>
        <w:rPr>
          <w:spacing w:val="-1"/>
        </w:rPr>
        <w:t>负责协调、指导行</w:t>
      </w:r>
      <w:r>
        <w:rPr>
          <w:spacing w:val="-2"/>
        </w:rPr>
        <w:t>业范围内的民航双重预防机制的建立和落实。中国民用航空</w:t>
      </w:r>
      <w:r>
        <w:rPr>
          <w:spacing w:val="-3"/>
          <w:w w:val="95"/>
        </w:rPr>
        <w:t>地区管理局</w:t>
      </w:r>
      <w:r>
        <w:rPr>
          <w:w w:val="95"/>
        </w:rPr>
        <w:t>（以下简称地区管理局</w:t>
      </w:r>
      <w:r>
        <w:rPr>
          <w:spacing w:val="-7"/>
          <w:w w:val="95"/>
        </w:rPr>
        <w:t>）</w:t>
      </w:r>
      <w:r>
        <w:rPr>
          <w:w w:val="95"/>
        </w:rPr>
        <w:t>和中国民用航空安全监 </w:t>
      </w:r>
      <w:r>
        <w:rPr>
          <w:spacing w:val="-2"/>
        </w:rPr>
        <w:t>督管理局</w:t>
      </w:r>
      <w:r>
        <w:rPr/>
        <w:t>（以下简称监管局</w:t>
      </w:r>
      <w:r>
        <w:rPr>
          <w:spacing w:val="-7"/>
        </w:rPr>
        <w:t>）</w:t>
      </w:r>
      <w:r>
        <w:rPr/>
        <w:t>负责对辖区内民航生产经营单位双重预防机制的建立和落实情况实施监管。</w:t>
      </w:r>
    </w:p>
    <w:p>
      <w:pPr>
        <w:pStyle w:val="ListParagraph"/>
        <w:numPr>
          <w:ilvl w:val="0"/>
          <w:numId w:val="63"/>
        </w:numPr>
        <w:tabs>
          <w:tab w:pos="1062" w:val="left" w:leader="none"/>
        </w:tabs>
        <w:spacing w:line="240" w:lineRule="auto" w:before="146" w:after="0"/>
        <w:ind w:left="1061" w:right="0" w:hanging="322"/>
        <w:jc w:val="left"/>
        <w:rPr>
          <w:rFonts w:ascii="黑体" w:eastAsia="黑体" w:hint="eastAsia"/>
          <w:sz w:val="32"/>
        </w:rPr>
      </w:pPr>
      <w:r>
        <w:rPr>
          <w:rFonts w:ascii="黑体" w:eastAsia="黑体" w:hint="eastAsia"/>
          <w:sz w:val="32"/>
        </w:rPr>
        <w:t>民航生产经营单位职责</w:t>
      </w:r>
    </w:p>
    <w:p>
      <w:pPr>
        <w:pStyle w:val="Heading3"/>
        <w:numPr>
          <w:ilvl w:val="1"/>
          <w:numId w:val="65"/>
        </w:numPr>
        <w:tabs>
          <w:tab w:pos="1384" w:val="left" w:leader="none"/>
        </w:tabs>
        <w:spacing w:line="240" w:lineRule="auto" w:before="106" w:after="0"/>
        <w:ind w:left="1383" w:right="0" w:hanging="644"/>
        <w:jc w:val="left"/>
      </w:pPr>
      <w:r>
        <w:rPr/>
        <w:t>负责人的职责</w:t>
      </w:r>
    </w:p>
    <w:p>
      <w:pPr>
        <w:pStyle w:val="ListParagraph"/>
        <w:numPr>
          <w:ilvl w:val="2"/>
          <w:numId w:val="65"/>
        </w:numPr>
        <w:tabs>
          <w:tab w:pos="2200" w:val="left" w:leader="none"/>
        </w:tabs>
        <w:spacing w:line="328" w:lineRule="auto" w:before="141" w:after="0"/>
        <w:ind w:left="740" w:right="937" w:firstLine="640"/>
        <w:jc w:val="both"/>
        <w:rPr>
          <w:sz w:val="32"/>
        </w:rPr>
      </w:pPr>
      <w:r>
        <w:rPr>
          <w:spacing w:val="6"/>
          <w:w w:val="95"/>
          <w:sz w:val="32"/>
        </w:rPr>
        <w:t>民航生产经营单位的主要负责人是本单位安全生 </w:t>
      </w:r>
      <w:r>
        <w:rPr>
          <w:spacing w:val="-5"/>
          <w:sz w:val="32"/>
        </w:rPr>
        <w:t>产第一责任人，对本单位安全生产工作全面负责，在 </w:t>
      </w:r>
      <w:r>
        <w:rPr>
          <w:sz w:val="32"/>
        </w:rPr>
        <w:t>SMS</w:t>
      </w:r>
      <w:r>
        <w:rPr>
          <w:spacing w:val="-43"/>
          <w:sz w:val="32"/>
        </w:rPr>
        <w:t> 框</w:t>
      </w:r>
      <w:r>
        <w:rPr>
          <w:spacing w:val="-29"/>
          <w:sz w:val="32"/>
        </w:rPr>
        <w:t>架内组织建立并落实双重预防机制，督促、检查本单位的安全生产工作，及时消除安全隐患。</w:t>
      </w:r>
    </w:p>
    <w:p>
      <w:pPr>
        <w:pStyle w:val="ListParagraph"/>
        <w:numPr>
          <w:ilvl w:val="2"/>
          <w:numId w:val="65"/>
        </w:numPr>
        <w:tabs>
          <w:tab w:pos="2200" w:val="left" w:leader="none"/>
        </w:tabs>
        <w:spacing w:line="402" w:lineRule="exact" w:before="0" w:after="0"/>
        <w:ind w:left="2199" w:right="0" w:hanging="1762"/>
        <w:jc w:val="left"/>
        <w:rPr>
          <w:sz w:val="32"/>
        </w:rPr>
      </w:pPr>
      <w:r>
        <w:rPr>
          <w:spacing w:val="5"/>
          <w:sz w:val="32"/>
        </w:rPr>
        <w:t>其他负责人按照“三管三必须”的原则对职责范</w:t>
      </w:r>
    </w:p>
    <w:p>
      <w:pPr>
        <w:spacing w:after="0" w:line="402" w:lineRule="exact"/>
        <w:jc w:val="left"/>
        <w:rPr>
          <w:sz w:val="32"/>
        </w:rPr>
        <w:sectPr>
          <w:pgSz w:w="11910" w:h="16840"/>
          <w:pgMar w:header="0" w:footer="1232" w:top="1560" w:bottom="1420" w:left="1060" w:right="860"/>
        </w:sectPr>
      </w:pPr>
    </w:p>
    <w:p>
      <w:pPr>
        <w:pStyle w:val="BodyText"/>
        <w:spacing w:before="32"/>
        <w:ind w:left="740"/>
      </w:pPr>
      <w:r>
        <w:rPr/>
        <w:t>围内的安全风险分级管控和隐患排查治理工作负责。</w:t>
      </w:r>
    </w:p>
    <w:p>
      <w:pPr>
        <w:spacing w:line="374" w:lineRule="auto" w:before="189"/>
        <w:ind w:left="740" w:right="937" w:firstLine="559"/>
        <w:jc w:val="both"/>
        <w:rPr>
          <w:sz w:val="28"/>
        </w:rPr>
      </w:pPr>
      <w:r>
        <w:rPr>
          <w:spacing w:val="-11"/>
          <w:sz w:val="28"/>
        </w:rPr>
        <w:t>注：生产经营单位的主要负责人因生产经营单位的法律组织形式</w:t>
      </w:r>
      <w:r>
        <w:rPr>
          <w:spacing w:val="-10"/>
          <w:sz w:val="28"/>
        </w:rPr>
        <w:t>不同而有所不同。根据《关于进一步强化安全生产责任落实 坚决防</w:t>
      </w:r>
      <w:r>
        <w:rPr>
          <w:spacing w:val="-11"/>
          <w:w w:val="100"/>
          <w:sz w:val="28"/>
        </w:rPr>
        <w:t>范遏制重特大事故的若干措施》</w:t>
      </w:r>
      <w:r>
        <w:rPr>
          <w:spacing w:val="-1"/>
          <w:w w:val="100"/>
          <w:sz w:val="28"/>
        </w:rPr>
        <w:t>（简称“十五条硬措施</w:t>
      </w:r>
      <w:r>
        <w:rPr>
          <w:spacing w:val="-140"/>
          <w:w w:val="100"/>
          <w:sz w:val="28"/>
        </w:rPr>
        <w:t>”）</w:t>
      </w:r>
      <w:r>
        <w:rPr>
          <w:spacing w:val="-1"/>
          <w:w w:val="100"/>
          <w:sz w:val="28"/>
        </w:rPr>
        <w:t>，主要负责</w:t>
      </w:r>
      <w:r>
        <w:rPr>
          <w:spacing w:val="-3"/>
          <w:sz w:val="28"/>
        </w:rPr>
        <w:t>人通常指生产经营单位法定代表人、实际控制人、实际负责人。</w:t>
      </w:r>
    </w:p>
    <w:p>
      <w:pPr>
        <w:pStyle w:val="Heading3"/>
        <w:numPr>
          <w:ilvl w:val="1"/>
          <w:numId w:val="65"/>
        </w:numPr>
        <w:tabs>
          <w:tab w:pos="1384" w:val="left" w:leader="none"/>
        </w:tabs>
        <w:spacing w:line="506" w:lineRule="exact" w:before="0" w:after="0"/>
        <w:ind w:left="1383" w:right="0" w:hanging="644"/>
        <w:jc w:val="left"/>
      </w:pPr>
      <w:r>
        <w:rPr/>
        <w:t>部门的职责</w:t>
      </w:r>
    </w:p>
    <w:p>
      <w:pPr>
        <w:pStyle w:val="ListParagraph"/>
        <w:numPr>
          <w:ilvl w:val="0"/>
          <w:numId w:val="66"/>
        </w:numPr>
        <w:tabs>
          <w:tab w:pos="2200" w:val="left" w:leader="none"/>
        </w:tabs>
        <w:spacing w:line="328" w:lineRule="auto" w:before="138" w:after="0"/>
        <w:ind w:left="740" w:right="937" w:firstLine="640"/>
        <w:jc w:val="both"/>
        <w:rPr>
          <w:sz w:val="32"/>
        </w:rPr>
      </w:pPr>
      <w:r>
        <w:rPr>
          <w:spacing w:val="6"/>
          <w:w w:val="95"/>
          <w:sz w:val="32"/>
        </w:rPr>
        <w:t>安全管理部门负责组织开展危险源识别、风险分 </w:t>
      </w:r>
      <w:r>
        <w:rPr>
          <w:sz w:val="32"/>
        </w:rPr>
        <w:t>析和评价分级，拟订或组织其它业务部门拟订相关风险控制</w:t>
      </w:r>
      <w:r>
        <w:rPr>
          <w:spacing w:val="-4"/>
          <w:sz w:val="32"/>
        </w:rPr>
        <w:t>措施，督促落实本单位重大危险源、重大风险的安全管理措</w:t>
      </w:r>
      <w:r>
        <w:rPr>
          <w:spacing w:val="-4"/>
          <w:w w:val="95"/>
          <w:sz w:val="32"/>
        </w:rPr>
        <w:t>施；检查本单位的安全生产状况，及时排查安全隐患，提出 </w:t>
      </w:r>
      <w:r>
        <w:rPr>
          <w:spacing w:val="-5"/>
          <w:sz w:val="32"/>
        </w:rPr>
        <w:t>改进安全生产管理的建议；如实记录本单位安全隐患排查治理情况，并向从业人员通报。</w:t>
      </w:r>
    </w:p>
    <w:p>
      <w:pPr>
        <w:spacing w:line="374" w:lineRule="auto" w:before="30"/>
        <w:ind w:left="740" w:right="798" w:firstLine="559"/>
        <w:jc w:val="left"/>
        <w:rPr>
          <w:sz w:val="28"/>
        </w:rPr>
      </w:pPr>
      <w:r>
        <w:rPr>
          <w:spacing w:val="-18"/>
          <w:w w:val="100"/>
          <w:sz w:val="28"/>
        </w:rPr>
        <w:t>注：“安全管理部门”在民航生产经营单位中存在“安监、航安、</w:t>
      </w:r>
      <w:r>
        <w:rPr>
          <w:spacing w:val="-23"/>
          <w:sz w:val="28"/>
        </w:rPr>
        <w:t>安质、安管”等不同名称，但本质上都是《安全生产法》中要求的“安</w:t>
      </w:r>
      <w:r>
        <w:rPr>
          <w:spacing w:val="-13"/>
          <w:w w:val="100"/>
          <w:sz w:val="28"/>
        </w:rPr>
        <w:t>全生产管理机构”，即企业内部设立的独立主管安全生产管理事务的</w:t>
      </w:r>
      <w:r>
        <w:rPr>
          <w:spacing w:val="-6"/>
          <w:sz w:val="28"/>
        </w:rPr>
        <w:t>部门。</w:t>
      </w:r>
    </w:p>
    <w:p>
      <w:pPr>
        <w:pStyle w:val="ListParagraph"/>
        <w:numPr>
          <w:ilvl w:val="0"/>
          <w:numId w:val="66"/>
        </w:numPr>
        <w:tabs>
          <w:tab w:pos="2200" w:val="left" w:leader="none"/>
        </w:tabs>
        <w:spacing w:line="328" w:lineRule="auto" w:before="23" w:after="0"/>
        <w:ind w:left="740" w:right="937" w:firstLine="640"/>
        <w:jc w:val="both"/>
        <w:rPr>
          <w:sz w:val="32"/>
        </w:rPr>
      </w:pPr>
      <w:r>
        <w:rPr>
          <w:spacing w:val="5"/>
          <w:w w:val="95"/>
          <w:sz w:val="32"/>
        </w:rPr>
        <w:t>其他部门按照“三管三必须”的原则，履行民航 </w:t>
      </w:r>
      <w:r>
        <w:rPr>
          <w:sz w:val="32"/>
        </w:rPr>
        <w:t>生产经营单位内部管理规定的相应职责，并按规定参与或独</w:t>
      </w:r>
      <w:r>
        <w:rPr>
          <w:spacing w:val="-2"/>
          <w:sz w:val="32"/>
        </w:rPr>
        <w:t>立开展危险源识别，风险分析和评价分级，以及拟定风险控制措施，及时排查治理职责范围内的安全隐患。</w:t>
      </w:r>
    </w:p>
    <w:p>
      <w:pPr>
        <w:pStyle w:val="Heading3"/>
        <w:numPr>
          <w:ilvl w:val="1"/>
          <w:numId w:val="65"/>
        </w:numPr>
        <w:tabs>
          <w:tab w:pos="1384" w:val="left" w:leader="none"/>
        </w:tabs>
        <w:spacing w:line="478" w:lineRule="exact" w:before="0" w:after="0"/>
        <w:ind w:left="1383" w:right="0" w:hanging="644"/>
        <w:jc w:val="left"/>
      </w:pPr>
      <w:r>
        <w:rPr/>
        <w:t>从业人员的职责</w:t>
      </w:r>
    </w:p>
    <w:p>
      <w:pPr>
        <w:pStyle w:val="BodyText"/>
        <w:spacing w:line="328" w:lineRule="auto" w:before="139"/>
        <w:ind w:left="740" w:right="937" w:firstLine="640"/>
        <w:jc w:val="both"/>
      </w:pPr>
      <w:r>
        <w:rPr>
          <w:spacing w:val="13"/>
          <w:w w:val="95"/>
        </w:rPr>
        <w:t>民航生产经营单位的从业人员应当严格执行本单位的 </w:t>
      </w:r>
      <w:r>
        <w:rPr>
          <w:spacing w:val="2"/>
        </w:rPr>
        <w:t>安全生产和安全管理制度和操作规程，发现安全隐患或者其</w:t>
      </w:r>
      <w:r>
        <w:rPr>
          <w:spacing w:val="-1"/>
        </w:rPr>
        <w:t>他不安全因素，应当立即向现场安全管理人员或者本单位负</w:t>
      </w:r>
    </w:p>
    <w:p>
      <w:pPr>
        <w:spacing w:after="0" w:line="328" w:lineRule="auto"/>
        <w:jc w:val="both"/>
        <w:sectPr>
          <w:pgSz w:w="11910" w:h="16840"/>
          <w:pgMar w:header="0" w:footer="1232" w:top="1520" w:bottom="1420" w:left="1060" w:right="860"/>
        </w:sectPr>
      </w:pPr>
    </w:p>
    <w:p>
      <w:pPr>
        <w:pStyle w:val="BodyText"/>
        <w:spacing w:before="32"/>
        <w:ind w:left="740"/>
      </w:pPr>
      <w:r>
        <w:rPr/>
        <w:t>责人报告。</w:t>
      </w:r>
    </w:p>
    <w:p>
      <w:pPr>
        <w:pStyle w:val="Heading3"/>
        <w:numPr>
          <w:ilvl w:val="1"/>
          <w:numId w:val="65"/>
        </w:numPr>
        <w:tabs>
          <w:tab w:pos="1384" w:val="left" w:leader="none"/>
        </w:tabs>
        <w:spacing w:line="240" w:lineRule="auto" w:before="43" w:after="0"/>
        <w:ind w:left="1383" w:right="0" w:hanging="644"/>
        <w:jc w:val="left"/>
      </w:pPr>
      <w:r>
        <w:rPr/>
        <w:t>工会的职责</w:t>
      </w:r>
    </w:p>
    <w:p>
      <w:pPr>
        <w:pStyle w:val="BodyText"/>
        <w:spacing w:line="326" w:lineRule="auto" w:before="139"/>
        <w:ind w:left="740" w:right="895" w:firstLine="640"/>
      </w:pPr>
      <w:r>
        <w:rPr/>
        <w:t>民航生产经营单位的工会发现安全隐患时，有权提出解决的建议。</w:t>
      </w:r>
    </w:p>
    <w:p>
      <w:pPr>
        <w:pStyle w:val="Heading3"/>
        <w:numPr>
          <w:ilvl w:val="1"/>
          <w:numId w:val="65"/>
        </w:numPr>
        <w:tabs>
          <w:tab w:pos="1384" w:val="left" w:leader="none"/>
        </w:tabs>
        <w:spacing w:line="551" w:lineRule="exact" w:before="0" w:after="0"/>
        <w:ind w:left="1383" w:right="0" w:hanging="644"/>
        <w:jc w:val="left"/>
      </w:pPr>
      <w:r>
        <w:rPr/>
        <w:t>外包方的监管职责</w:t>
      </w:r>
    </w:p>
    <w:p>
      <w:pPr>
        <w:pStyle w:val="BodyText"/>
        <w:spacing w:line="328" w:lineRule="auto" w:before="139"/>
        <w:ind w:left="740" w:right="779" w:firstLine="640"/>
        <w:jc w:val="both"/>
      </w:pPr>
      <w:r>
        <w:rPr/>
        <w:t>民航生产经营项目、场所发包或者出租给其他单位的， 可能危及对方生产安全的，民航生产经营单位应当与承包、承租单位签订安全生产管理协议，明确各方对安全生产风险分级管控和隐患排查治理的管理职责。民航生产经营单位对</w:t>
      </w:r>
      <w:r>
        <w:rPr>
          <w:w w:val="95"/>
        </w:rPr>
        <w:t>承包、承租单位的安全生产工作负有统一协调、管理的职责。</w:t>
      </w:r>
    </w:p>
    <w:p>
      <w:pPr>
        <w:pStyle w:val="Heading3"/>
        <w:numPr>
          <w:ilvl w:val="1"/>
          <w:numId w:val="65"/>
        </w:numPr>
        <w:tabs>
          <w:tab w:pos="1384" w:val="left" w:leader="none"/>
        </w:tabs>
        <w:spacing w:line="473" w:lineRule="exact" w:before="0" w:after="0"/>
        <w:ind w:left="1383" w:right="0" w:hanging="644"/>
        <w:jc w:val="left"/>
      </w:pPr>
      <w:r>
        <w:rPr/>
        <w:t>同一作业区域的监督职责</w:t>
      </w:r>
    </w:p>
    <w:p>
      <w:pPr>
        <w:pStyle w:val="BodyText"/>
        <w:spacing w:line="328" w:lineRule="auto" w:before="141"/>
        <w:ind w:left="740" w:right="937" w:firstLine="640"/>
        <w:jc w:val="both"/>
      </w:pPr>
      <w:r>
        <w:rPr>
          <w:spacing w:val="13"/>
          <w:w w:val="95"/>
        </w:rPr>
        <w:t>在同一作业区域内存在两个以上生产经营单位同时进 </w:t>
      </w:r>
      <w:r>
        <w:rPr>
          <w:spacing w:val="-1"/>
          <w:w w:val="95"/>
        </w:rPr>
        <w:t>行生产经营活动，可能危及对方生产安全的，应当签订安全 </w:t>
      </w:r>
      <w:r>
        <w:rPr>
          <w:spacing w:val="-3"/>
        </w:rPr>
        <w:t>生产管理协议，明确各自安全生产管理职责、安全风险管控</w:t>
      </w:r>
      <w:r>
        <w:rPr>
          <w:spacing w:val="-4"/>
        </w:rPr>
        <w:t>措施和安全隐患治理措施，并指定专职安全管理人员进行安全检查与协调。</w:t>
      </w:r>
    </w:p>
    <w:p>
      <w:pPr>
        <w:pStyle w:val="BodyText"/>
        <w:spacing w:line="400" w:lineRule="exact"/>
        <w:ind w:left="722" w:right="589"/>
        <w:jc w:val="center"/>
      </w:pPr>
      <w:r>
        <w:rPr/>
        <w:t>民用机场等特定运行场景下另有规定的，从其规定。</w:t>
      </w:r>
    </w:p>
    <w:p>
      <w:pPr>
        <w:pStyle w:val="ListParagraph"/>
        <w:numPr>
          <w:ilvl w:val="0"/>
          <w:numId w:val="63"/>
        </w:numPr>
        <w:tabs>
          <w:tab w:pos="1062" w:val="left" w:leader="none"/>
        </w:tabs>
        <w:spacing w:line="240" w:lineRule="auto" w:before="151" w:after="0"/>
        <w:ind w:left="1061" w:right="0" w:hanging="322"/>
        <w:jc w:val="left"/>
        <w:rPr>
          <w:rFonts w:ascii="黑体" w:eastAsia="黑体" w:hint="eastAsia"/>
          <w:sz w:val="32"/>
        </w:rPr>
      </w:pPr>
      <w:r>
        <w:rPr>
          <w:rFonts w:ascii="黑体" w:eastAsia="黑体" w:hint="eastAsia"/>
          <w:sz w:val="32"/>
        </w:rPr>
        <w:t>安全风险分级管控</w:t>
      </w:r>
    </w:p>
    <w:p>
      <w:pPr>
        <w:pStyle w:val="Heading3"/>
        <w:numPr>
          <w:ilvl w:val="1"/>
          <w:numId w:val="67"/>
        </w:numPr>
        <w:tabs>
          <w:tab w:pos="1384" w:val="left" w:leader="none"/>
        </w:tabs>
        <w:spacing w:line="240" w:lineRule="auto" w:before="106" w:after="0"/>
        <w:ind w:left="1383" w:right="0" w:hanging="644"/>
        <w:jc w:val="left"/>
      </w:pPr>
      <w:r>
        <w:rPr/>
        <w:t>总体要求</w:t>
      </w:r>
    </w:p>
    <w:p>
      <w:pPr>
        <w:pStyle w:val="BodyText"/>
        <w:spacing w:line="328" w:lineRule="auto" w:before="139"/>
        <w:ind w:left="740" w:right="937" w:firstLine="640"/>
        <w:jc w:val="both"/>
      </w:pPr>
      <w:r>
        <w:rPr>
          <w:spacing w:val="13"/>
          <w:w w:val="95"/>
        </w:rPr>
        <w:t>民航生产经营单位应当建立健全安全风险分级管控制 </w:t>
      </w:r>
      <w:r>
        <w:rPr>
          <w:spacing w:val="-12"/>
        </w:rPr>
        <w:t>度，并根据图 </w:t>
      </w:r>
      <w:r>
        <w:rPr/>
        <w:t>2</w:t>
      </w:r>
      <w:r>
        <w:rPr>
          <w:spacing w:val="-16"/>
        </w:rPr>
        <w:t> 所示，清晰、明确地接入 </w:t>
      </w:r>
      <w:r>
        <w:rPr/>
        <w:t>SMS</w:t>
      </w:r>
      <w:r>
        <w:rPr>
          <w:spacing w:val="-14"/>
        </w:rPr>
        <w:t> 的“安全风险</w:t>
      </w:r>
      <w:r>
        <w:rPr>
          <w:spacing w:val="-7"/>
        </w:rPr>
        <w:t>管理”流程。该制度应当包括对安全风险分级管控的职责分</w:t>
      </w:r>
      <w:r>
        <w:rPr>
          <w:spacing w:val="-3"/>
          <w:w w:val="95"/>
        </w:rPr>
        <w:t>工、系统描述、危险源识别、风险分析、风险评价分级和风 </w:t>
      </w:r>
      <w:r>
        <w:rPr>
          <w:spacing w:val="-3"/>
        </w:rPr>
        <w:t>险控制过程，以及安全风险分级管控台账等管理要求。</w:t>
      </w:r>
    </w:p>
    <w:p>
      <w:pPr>
        <w:spacing w:after="0" w:line="328" w:lineRule="auto"/>
        <w:jc w:val="both"/>
        <w:sectPr>
          <w:pgSz w:w="11910" w:h="16840"/>
          <w:pgMar w:header="0" w:footer="1232" w:top="1520" w:bottom="1420" w:left="1060" w:right="860"/>
        </w:sectPr>
      </w:pPr>
    </w:p>
    <w:p>
      <w:pPr>
        <w:pStyle w:val="Heading3"/>
        <w:numPr>
          <w:ilvl w:val="1"/>
          <w:numId w:val="67"/>
        </w:numPr>
        <w:tabs>
          <w:tab w:pos="1384" w:val="left" w:leader="none"/>
        </w:tabs>
        <w:spacing w:line="515" w:lineRule="exact" w:before="0" w:after="0"/>
        <w:ind w:left="1383" w:right="0" w:hanging="644"/>
        <w:jc w:val="left"/>
      </w:pPr>
      <w:r>
        <w:rPr/>
        <w:t>系统描述</w:t>
      </w:r>
    </w:p>
    <w:p>
      <w:pPr>
        <w:pStyle w:val="ListParagraph"/>
        <w:numPr>
          <w:ilvl w:val="2"/>
          <w:numId w:val="67"/>
        </w:numPr>
        <w:tabs>
          <w:tab w:pos="2181" w:val="left" w:leader="none"/>
        </w:tabs>
        <w:spacing w:line="240" w:lineRule="auto" w:before="138" w:after="0"/>
        <w:ind w:left="2180" w:right="0" w:hanging="801"/>
        <w:jc w:val="left"/>
        <w:rPr>
          <w:sz w:val="32"/>
        </w:rPr>
      </w:pPr>
      <w:r>
        <w:rPr>
          <w:sz w:val="32"/>
        </w:rPr>
        <w:t>基本要素</w:t>
      </w:r>
    </w:p>
    <w:p>
      <w:pPr>
        <w:pStyle w:val="BodyText"/>
        <w:spacing w:line="328" w:lineRule="auto" w:before="150"/>
        <w:ind w:left="740" w:right="779" w:firstLine="640"/>
      </w:pPr>
      <w:r>
        <w:rPr>
          <w:w w:val="99"/>
        </w:rPr>
        <w:t>参照</w:t>
      </w:r>
      <w:r>
        <w:rPr>
          <w:spacing w:val="-79"/>
        </w:rPr>
        <w:t> </w:t>
      </w:r>
      <w:r>
        <w:rPr>
          <w:spacing w:val="1"/>
          <w:w w:val="99"/>
        </w:rPr>
        <w:t>D</w:t>
      </w:r>
      <w:r>
        <w:rPr>
          <w:spacing w:val="-2"/>
          <w:w w:val="99"/>
        </w:rPr>
        <w:t>o</w:t>
      </w:r>
      <w:r>
        <w:rPr>
          <w:spacing w:val="1"/>
          <w:w w:val="99"/>
        </w:rPr>
        <w:t>c9</w:t>
      </w:r>
      <w:r>
        <w:rPr>
          <w:spacing w:val="-2"/>
          <w:w w:val="99"/>
        </w:rPr>
        <w:t>8</w:t>
      </w:r>
      <w:r>
        <w:rPr>
          <w:spacing w:val="1"/>
          <w:w w:val="99"/>
        </w:rPr>
        <w:t>5</w:t>
      </w:r>
      <w:r>
        <w:rPr>
          <w:spacing w:val="-86"/>
          <w:w w:val="99"/>
        </w:rPr>
        <w:t>9</w:t>
      </w:r>
      <w:r>
        <w:rPr>
          <w:spacing w:val="-9"/>
          <w:w w:val="99"/>
        </w:rPr>
        <w:t>《安全管理手册》的相关要求</w:t>
      </w:r>
      <w:r>
        <w:rPr>
          <w:spacing w:val="-36"/>
          <w:w w:val="99"/>
        </w:rPr>
        <w:t>，“系统描述”</w:t>
      </w:r>
      <w:r>
        <w:rPr>
          <w:spacing w:val="-3"/>
        </w:rPr>
        <w:t>是《安全管理体系手册》的必要内容，应当至少包括组织机构、业务流程、可能涉及的设施设备、运行环境、规章制度</w:t>
      </w:r>
      <w:r>
        <w:rPr>
          <w:spacing w:val="-1"/>
        </w:rPr>
        <w:t>和操作规程，以及接口的描述，以界定</w:t>
      </w:r>
      <w:r>
        <w:rPr/>
        <w:t>SMS</w:t>
      </w:r>
      <w:r>
        <w:rPr>
          <w:spacing w:val="-12"/>
        </w:rPr>
        <w:t> 及其子系统的边界，确定双重预防机制在体系内的特征。</w:t>
      </w:r>
    </w:p>
    <w:p>
      <w:pPr>
        <w:pStyle w:val="ListParagraph"/>
        <w:numPr>
          <w:ilvl w:val="2"/>
          <w:numId w:val="67"/>
        </w:numPr>
        <w:tabs>
          <w:tab w:pos="2181" w:val="left" w:leader="none"/>
        </w:tabs>
        <w:spacing w:line="402" w:lineRule="exact" w:before="0" w:after="0"/>
        <w:ind w:left="2180" w:right="0" w:hanging="801"/>
        <w:jc w:val="left"/>
        <w:rPr>
          <w:sz w:val="32"/>
        </w:rPr>
      </w:pPr>
      <w:r>
        <w:rPr>
          <w:sz w:val="32"/>
        </w:rPr>
        <w:t>作用</w:t>
      </w:r>
    </w:p>
    <w:p>
      <w:pPr>
        <w:pStyle w:val="BodyText"/>
        <w:spacing w:line="328" w:lineRule="auto" w:before="149"/>
        <w:ind w:left="740" w:right="937" w:firstLine="640"/>
        <w:jc w:val="both"/>
      </w:pPr>
      <w:r>
        <w:rPr>
          <w:spacing w:val="13"/>
          <w:w w:val="95"/>
        </w:rPr>
        <w:t>使用系统描述可以使民航生产经营单位能够更清晰地 </w:t>
      </w:r>
      <w:r>
        <w:rPr>
          <w:spacing w:val="2"/>
        </w:rPr>
        <w:t>了解其众多的内外部交互系统和接口，有助于更好地定位危</w:t>
      </w:r>
      <w:r>
        <w:rPr>
          <w:spacing w:val="-3"/>
        </w:rPr>
        <w:t>险源、安全隐患并管控相关风险。同时，及时更新系统描述</w:t>
      </w:r>
      <w:r>
        <w:rPr>
          <w:spacing w:val="-7"/>
        </w:rPr>
        <w:t>还有助于了解各种变动对 </w:t>
      </w:r>
      <w:r>
        <w:rPr/>
        <w:t>SMS</w:t>
      </w:r>
      <w:r>
        <w:rPr>
          <w:spacing w:val="-14"/>
        </w:rPr>
        <w:t> 流程和程序的影响，满足 </w:t>
      </w:r>
      <w:r>
        <w:rPr/>
        <w:t>SMS “变更管理”对系统描述进行检查的相关要求。</w:t>
      </w:r>
    </w:p>
    <w:p>
      <w:pPr>
        <w:pStyle w:val="ListParagraph"/>
        <w:numPr>
          <w:ilvl w:val="2"/>
          <w:numId w:val="67"/>
        </w:numPr>
        <w:tabs>
          <w:tab w:pos="2181" w:val="left" w:leader="none"/>
        </w:tabs>
        <w:spacing w:line="402" w:lineRule="exact" w:before="0" w:after="0"/>
        <w:ind w:left="2180" w:right="0" w:hanging="801"/>
        <w:jc w:val="left"/>
        <w:rPr>
          <w:sz w:val="32"/>
        </w:rPr>
      </w:pPr>
      <w:r>
        <w:rPr>
          <w:sz w:val="32"/>
        </w:rPr>
        <w:t>格式</w:t>
      </w:r>
    </w:p>
    <w:p>
      <w:pPr>
        <w:pStyle w:val="BodyText"/>
        <w:spacing w:line="328" w:lineRule="auto" w:before="149"/>
        <w:ind w:left="740" w:right="937" w:firstLine="640"/>
        <w:jc w:val="both"/>
      </w:pPr>
      <w:r>
        <w:rPr>
          <w:spacing w:val="-1"/>
        </w:rPr>
        <w:t>系统描述通常包含带有必要注释的组织机构图、核心业</w:t>
      </w:r>
      <w:r>
        <w:rPr>
          <w:spacing w:val="6"/>
          <w:w w:val="99"/>
        </w:rPr>
        <w:t>务流程图</w:t>
      </w:r>
      <w:r>
        <w:rPr>
          <w:spacing w:val="7"/>
          <w:w w:val="99"/>
        </w:rPr>
        <w:t>（</w:t>
      </w:r>
      <w:r>
        <w:rPr>
          <w:spacing w:val="5"/>
          <w:w w:val="99"/>
        </w:rPr>
        <w:t>包含内外部接口</w:t>
      </w:r>
      <w:r>
        <w:rPr>
          <w:spacing w:val="-154"/>
          <w:w w:val="99"/>
        </w:rPr>
        <w:t>）</w:t>
      </w:r>
      <w:r>
        <w:rPr>
          <w:spacing w:val="4"/>
          <w:w w:val="99"/>
        </w:rPr>
        <w:t>，及各项相关政策、程序的列</w:t>
      </w:r>
      <w:r>
        <w:rPr>
          <w:spacing w:val="-3"/>
        </w:rPr>
        <w:t>表，但民航生产经营单位应当使用适合其自身的方法和格式编制适合本单位运行特点和复杂程度的系统描述。</w:t>
      </w:r>
    </w:p>
    <w:p>
      <w:pPr>
        <w:spacing w:line="374" w:lineRule="auto" w:before="33"/>
        <w:ind w:left="740" w:right="937" w:firstLine="559"/>
        <w:jc w:val="both"/>
        <w:rPr>
          <w:sz w:val="28"/>
        </w:rPr>
      </w:pPr>
      <w:r>
        <w:rPr>
          <w:spacing w:val="-11"/>
          <w:sz w:val="28"/>
        </w:rPr>
        <w:t>注：基于“系统描述”开展“系统与工作分析”的记录，作为识</w:t>
      </w:r>
      <w:r>
        <w:rPr>
          <w:spacing w:val="-10"/>
          <w:sz w:val="28"/>
        </w:rPr>
        <w:t>别危险源的过程记录，可由各单位按照易理解、可操作、可追溯的原</w:t>
      </w:r>
      <w:r>
        <w:rPr>
          <w:spacing w:val="-5"/>
          <w:sz w:val="28"/>
        </w:rPr>
        <w:t>则确定格式。</w:t>
      </w:r>
    </w:p>
    <w:p>
      <w:pPr>
        <w:pStyle w:val="Heading3"/>
        <w:numPr>
          <w:ilvl w:val="1"/>
          <w:numId w:val="67"/>
        </w:numPr>
        <w:tabs>
          <w:tab w:pos="1384" w:val="left" w:leader="none"/>
        </w:tabs>
        <w:spacing w:line="506" w:lineRule="exact" w:before="0" w:after="0"/>
        <w:ind w:left="1383" w:right="0" w:hanging="644"/>
        <w:jc w:val="left"/>
      </w:pPr>
      <w:r>
        <w:rPr/>
        <w:t>危险源识别</w:t>
      </w:r>
    </w:p>
    <w:p>
      <w:pPr>
        <w:pStyle w:val="BodyText"/>
        <w:spacing w:line="328" w:lineRule="auto" w:before="138"/>
        <w:ind w:left="740" w:right="895" w:firstLine="640"/>
      </w:pPr>
      <w:r>
        <w:rPr/>
        <w:t>民航生产经营单位应当综合使用被动和主动的方法，识别与其航空产品或服务有关、影响航空安全的危险源，描述</w:t>
      </w:r>
    </w:p>
    <w:p>
      <w:pPr>
        <w:spacing w:after="0" w:line="328" w:lineRule="auto"/>
        <w:sectPr>
          <w:pgSz w:w="11910" w:h="16840"/>
          <w:pgMar w:header="0" w:footer="1232" w:top="1520" w:bottom="1420" w:left="1060" w:right="860"/>
        </w:sectPr>
      </w:pPr>
    </w:p>
    <w:p>
      <w:pPr>
        <w:pStyle w:val="BodyText"/>
        <w:spacing w:line="326" w:lineRule="auto" w:before="32"/>
        <w:ind w:left="740" w:right="937"/>
      </w:pPr>
      <w:r>
        <w:rPr>
          <w:spacing w:val="-2"/>
          <w:w w:val="95"/>
        </w:rPr>
        <w:t>危险源可能导致的事故、征候以及一般事件等后果，从而梳 </w:t>
      </w:r>
      <w:r>
        <w:rPr>
          <w:spacing w:val="-2"/>
        </w:rPr>
        <w:t>理出危险源与后果之间存在可能性的风险路径。</w:t>
      </w:r>
    </w:p>
    <w:p>
      <w:pPr>
        <w:pStyle w:val="BodyText"/>
        <w:spacing w:line="328" w:lineRule="auto" w:before="3"/>
        <w:ind w:left="740" w:right="779" w:firstLine="640"/>
      </w:pPr>
      <w:r>
        <w:rPr>
          <w:spacing w:val="-10"/>
          <w:w w:val="95"/>
        </w:rPr>
        <w:t>对重大危险源应当专门登记建档，进行定期检测、评估、 </w:t>
      </w:r>
      <w:r>
        <w:rPr>
          <w:spacing w:val="-5"/>
        </w:rPr>
        <w:t>监控，并制定应急预案，告知从业人员和相关人员在紧急情</w:t>
      </w:r>
      <w:r>
        <w:rPr>
          <w:spacing w:val="-6"/>
        </w:rPr>
        <w:t>况下应采取的应急措施。民航生产经营单位应当按国家有关</w:t>
      </w:r>
      <w:r>
        <w:rPr>
          <w:spacing w:val="-7"/>
        </w:rPr>
        <w:t>规定将本单位重大危险源及有关管控措施、应急措施报所在</w:t>
      </w:r>
      <w:r>
        <w:rPr>
          <w:spacing w:val="-8"/>
        </w:rPr>
        <w:t>地地方人民政府应急管理部门和所在地监管局备案，并抄报所在地地区管理局。</w:t>
      </w:r>
    </w:p>
    <w:p>
      <w:pPr>
        <w:pStyle w:val="Heading3"/>
        <w:numPr>
          <w:ilvl w:val="1"/>
          <w:numId w:val="67"/>
        </w:numPr>
        <w:tabs>
          <w:tab w:pos="1384" w:val="left" w:leader="none"/>
        </w:tabs>
        <w:spacing w:line="473" w:lineRule="exact" w:before="0" w:after="0"/>
        <w:ind w:left="1383" w:right="0" w:hanging="644"/>
        <w:jc w:val="left"/>
      </w:pPr>
      <w:r>
        <w:rPr/>
        <w:t>风险分析和风险评价分级</w:t>
      </w:r>
    </w:p>
    <w:p>
      <w:pPr>
        <w:pStyle w:val="BodyText"/>
        <w:spacing w:line="328" w:lineRule="auto" w:before="138"/>
        <w:ind w:left="740" w:right="925" w:firstLine="640"/>
        <w:jc w:val="both"/>
      </w:pPr>
      <w:r>
        <w:rPr>
          <w:spacing w:val="-1"/>
        </w:rPr>
        <w:t>民航生产经营单位应当明确安全风险分级标准，对其所识别的、影响航空安全的危险源进行风险分析和评价分级， </w:t>
      </w:r>
      <w:r>
        <w:rPr>
          <w:spacing w:val="-3"/>
        </w:rPr>
        <w:t>从高到低分为不可接受风险、缓解后可接受风险和可接受风险三个等级（采用更多等级的单位，需明确对应关系</w:t>
      </w:r>
      <w:r>
        <w:rPr>
          <w:spacing w:val="-161"/>
        </w:rPr>
        <w:t>）</w:t>
      </w:r>
      <w:r>
        <w:rPr/>
        <w:t>。</w:t>
      </w:r>
    </w:p>
    <w:p>
      <w:pPr>
        <w:pStyle w:val="BodyText"/>
        <w:spacing w:line="326" w:lineRule="auto"/>
        <w:ind w:left="740" w:right="937" w:firstLine="640"/>
        <w:jc w:val="both"/>
      </w:pPr>
      <w:r>
        <w:rPr>
          <w:spacing w:val="13"/>
          <w:w w:val="95"/>
        </w:rPr>
        <w:t>安全风险矩阵和分级标准由民航生产经营单位按民航 </w:t>
      </w:r>
      <w:r>
        <w:rPr>
          <w:spacing w:val="5"/>
        </w:rPr>
        <w:t>局相关业务文件规定和本单位特点自行制定。安全风险指数采用字母与数字组合或单纯的数值来表示都是可接受的。</w:t>
      </w:r>
    </w:p>
    <w:p>
      <w:pPr>
        <w:pStyle w:val="Heading3"/>
        <w:numPr>
          <w:ilvl w:val="1"/>
          <w:numId w:val="67"/>
        </w:numPr>
        <w:tabs>
          <w:tab w:pos="1384" w:val="left" w:leader="none"/>
        </w:tabs>
        <w:spacing w:line="490" w:lineRule="exact" w:before="0" w:after="0"/>
        <w:ind w:left="1383" w:right="0" w:hanging="644"/>
        <w:jc w:val="left"/>
      </w:pPr>
      <w:r>
        <w:rPr/>
        <w:t>风险控制</w:t>
      </w:r>
    </w:p>
    <w:p>
      <w:pPr>
        <w:pStyle w:val="BodyText"/>
        <w:spacing w:line="326" w:lineRule="auto" w:before="134"/>
        <w:ind w:left="740" w:right="779" w:firstLine="640"/>
      </w:pPr>
      <w:r>
        <w:rPr/>
        <w:t>民航生产经营单位应依据危险源识别和安全风险评价</w:t>
      </w:r>
      <w:r>
        <w:rPr>
          <w:w w:val="95"/>
        </w:rPr>
        <w:t>分级结果，按“分级管控”原则建立健全风险管控工作机制。</w:t>
      </w:r>
    </w:p>
    <w:p>
      <w:pPr>
        <w:pStyle w:val="ListParagraph"/>
        <w:numPr>
          <w:ilvl w:val="0"/>
          <w:numId w:val="68"/>
        </w:numPr>
        <w:tabs>
          <w:tab w:pos="2200" w:val="left" w:leader="none"/>
        </w:tabs>
        <w:spacing w:line="326" w:lineRule="auto" w:before="6" w:after="0"/>
        <w:ind w:left="740" w:right="937" w:firstLine="640"/>
        <w:jc w:val="left"/>
        <w:rPr>
          <w:sz w:val="32"/>
        </w:rPr>
      </w:pPr>
      <w:r>
        <w:rPr>
          <w:spacing w:val="6"/>
          <w:w w:val="95"/>
          <w:sz w:val="32"/>
        </w:rPr>
        <w:t>对于重大危险源和重大风险，由主要负责人组织 </w:t>
      </w:r>
      <w:r>
        <w:rPr>
          <w:spacing w:val="6"/>
          <w:sz w:val="32"/>
        </w:rPr>
        <w:t>相关部门制定风险控制措施及专项应急预案；</w:t>
      </w:r>
    </w:p>
    <w:p>
      <w:pPr>
        <w:pStyle w:val="ListParagraph"/>
        <w:numPr>
          <w:ilvl w:val="0"/>
          <w:numId w:val="68"/>
        </w:numPr>
        <w:tabs>
          <w:tab w:pos="2200" w:val="left" w:leader="none"/>
        </w:tabs>
        <w:spacing w:line="328" w:lineRule="auto" w:before="3" w:after="0"/>
        <w:ind w:left="740" w:right="937" w:firstLine="640"/>
        <w:jc w:val="left"/>
        <w:rPr>
          <w:sz w:val="32"/>
        </w:rPr>
      </w:pPr>
      <w:r>
        <w:rPr>
          <w:spacing w:val="6"/>
          <w:w w:val="95"/>
          <w:sz w:val="32"/>
        </w:rPr>
        <w:t>对于其他缓解后可接受风险，由安全管理部门负 </w:t>
      </w:r>
      <w:r>
        <w:rPr>
          <w:spacing w:val="6"/>
          <w:sz w:val="32"/>
        </w:rPr>
        <w:t>责组织相关部门制定风险控制措施；</w:t>
      </w:r>
    </w:p>
    <w:p>
      <w:pPr>
        <w:pStyle w:val="ListParagraph"/>
        <w:numPr>
          <w:ilvl w:val="0"/>
          <w:numId w:val="68"/>
        </w:numPr>
        <w:tabs>
          <w:tab w:pos="2200" w:val="left" w:leader="none"/>
        </w:tabs>
        <w:spacing w:line="407" w:lineRule="exact" w:before="0" w:after="0"/>
        <w:ind w:left="2199" w:right="0" w:hanging="820"/>
        <w:jc w:val="left"/>
        <w:rPr>
          <w:sz w:val="32"/>
        </w:rPr>
      </w:pPr>
      <w:r>
        <w:rPr>
          <w:spacing w:val="6"/>
          <w:sz w:val="32"/>
        </w:rPr>
        <w:t>对于可接受风险，仍认为需要进一步提高安全性</w:t>
      </w:r>
    </w:p>
    <w:p>
      <w:pPr>
        <w:spacing w:after="0" w:line="407" w:lineRule="exact"/>
        <w:jc w:val="left"/>
        <w:rPr>
          <w:sz w:val="32"/>
        </w:rPr>
        <w:sectPr>
          <w:pgSz w:w="11910" w:h="16840"/>
          <w:pgMar w:header="0" w:footer="1232" w:top="1520" w:bottom="1420" w:left="1060" w:right="860"/>
        </w:sectPr>
      </w:pPr>
    </w:p>
    <w:p>
      <w:pPr>
        <w:pStyle w:val="BodyText"/>
        <w:spacing w:before="32"/>
        <w:ind w:left="740"/>
      </w:pPr>
      <w:r>
        <w:rPr/>
        <w:t>的，可由相关部门自行制定措施，但要避免层层加码。</w:t>
      </w:r>
    </w:p>
    <w:p>
      <w:pPr>
        <w:pStyle w:val="BodyText"/>
        <w:spacing w:line="328" w:lineRule="auto" w:before="149"/>
        <w:ind w:left="740" w:right="937" w:firstLine="640"/>
        <w:jc w:val="both"/>
      </w:pPr>
      <w:r>
        <w:rPr>
          <w:spacing w:val="-2"/>
        </w:rPr>
        <w:t>对于涉及组织机构、政策程序调整等需要较长时间的风</w:t>
      </w:r>
      <w:r>
        <w:rPr>
          <w:spacing w:val="-5"/>
        </w:rPr>
        <w:t>险管控措施，民航生产经营单位应当采取临时性安全措施将</w:t>
      </w:r>
      <w:r>
        <w:rPr>
          <w:spacing w:val="-6"/>
        </w:rPr>
        <w:t>安全风险控制在可接受范围，且上述类型的风险控制措施制</w:t>
      </w:r>
      <w:r>
        <w:rPr>
          <w:spacing w:val="-5"/>
        </w:rPr>
        <w:t>定后，应当重新回到系统描述，按需开展变更管理，并分析和评价剩余风险可接受后，方可转入系统运行环节。</w:t>
      </w:r>
    </w:p>
    <w:p>
      <w:pPr>
        <w:pStyle w:val="Heading3"/>
        <w:numPr>
          <w:ilvl w:val="1"/>
          <w:numId w:val="67"/>
        </w:numPr>
        <w:tabs>
          <w:tab w:pos="1384" w:val="left" w:leader="none"/>
        </w:tabs>
        <w:spacing w:line="475" w:lineRule="exact" w:before="0" w:after="0"/>
        <w:ind w:left="1383" w:right="0" w:hanging="644"/>
        <w:jc w:val="left"/>
      </w:pPr>
      <w:r>
        <w:rPr/>
        <w:t>安全风险分级管控台账</w:t>
      </w:r>
    </w:p>
    <w:p>
      <w:pPr>
        <w:pStyle w:val="BodyText"/>
        <w:spacing w:line="328" w:lineRule="auto" w:before="138"/>
        <w:ind w:left="740" w:right="779" w:firstLine="640"/>
      </w:pPr>
      <w:r>
        <w:rPr>
          <w:spacing w:val="13"/>
        </w:rPr>
        <w:t>民航生产经营单位应当利用信息化技术对风险分级管</w:t>
      </w:r>
      <w:r>
        <w:rPr>
          <w:spacing w:val="-6"/>
          <w:w w:val="95"/>
        </w:rPr>
        <w:t>控工作进行动态监控，建立台账，至少如实记录危险源名称、 </w:t>
      </w:r>
      <w:r>
        <w:rPr>
          <w:spacing w:val="-6"/>
        </w:rPr>
        <w:t>危险源所在部门、是否是重大危险源、危险源可能导致的后</w:t>
      </w:r>
      <w:r>
        <w:rPr>
          <w:spacing w:val="-15"/>
          <w:w w:val="95"/>
        </w:rPr>
        <w:t>果、现有风险控制措施、风险分级评价、计划风险控制措施、 </w:t>
      </w:r>
      <w:r>
        <w:rPr>
          <w:spacing w:val="-15"/>
        </w:rPr>
        <w:t>风险控制措施落实效果等安全风险分级管控情况。</w:t>
      </w:r>
    </w:p>
    <w:p>
      <w:pPr>
        <w:spacing w:line="376" w:lineRule="auto" w:before="30"/>
        <w:ind w:left="740" w:right="798" w:firstLine="559"/>
        <w:jc w:val="left"/>
        <w:rPr>
          <w:sz w:val="28"/>
        </w:rPr>
      </w:pPr>
      <w:r>
        <w:rPr>
          <w:spacing w:val="-21"/>
          <w:sz w:val="28"/>
        </w:rPr>
        <w:t>注：安全风险分级管控台账即危险源清单，可参见附录 </w:t>
      </w:r>
      <w:r>
        <w:rPr>
          <w:sz w:val="28"/>
        </w:rPr>
        <w:t>1</w:t>
      </w:r>
      <w:r>
        <w:rPr>
          <w:spacing w:val="-15"/>
          <w:sz w:val="28"/>
        </w:rPr>
        <w:t> 的样例， </w:t>
      </w:r>
      <w:r>
        <w:rPr>
          <w:spacing w:val="-5"/>
          <w:sz w:val="28"/>
        </w:rPr>
        <w:t>本规定样例中未包含安全绩效管理有关内容。</w:t>
      </w:r>
    </w:p>
    <w:p>
      <w:pPr>
        <w:pStyle w:val="ListParagraph"/>
        <w:numPr>
          <w:ilvl w:val="0"/>
          <w:numId w:val="63"/>
        </w:numPr>
        <w:tabs>
          <w:tab w:pos="1062" w:val="left" w:leader="none"/>
        </w:tabs>
        <w:spacing w:line="240" w:lineRule="auto" w:before="17" w:after="0"/>
        <w:ind w:left="1061" w:right="0" w:hanging="322"/>
        <w:jc w:val="left"/>
        <w:rPr>
          <w:rFonts w:ascii="黑体" w:eastAsia="黑体" w:hint="eastAsia"/>
          <w:sz w:val="32"/>
        </w:rPr>
      </w:pPr>
      <w:r>
        <w:rPr>
          <w:rFonts w:ascii="黑体" w:eastAsia="黑体" w:hint="eastAsia"/>
          <w:sz w:val="32"/>
        </w:rPr>
        <w:t>安全隐患排查治理</w:t>
      </w:r>
    </w:p>
    <w:p>
      <w:pPr>
        <w:pStyle w:val="Heading3"/>
        <w:numPr>
          <w:ilvl w:val="1"/>
          <w:numId w:val="69"/>
        </w:numPr>
        <w:tabs>
          <w:tab w:pos="1384" w:val="left" w:leader="none"/>
        </w:tabs>
        <w:spacing w:line="240" w:lineRule="auto" w:before="106" w:after="0"/>
        <w:ind w:left="1383" w:right="0" w:hanging="644"/>
        <w:jc w:val="left"/>
      </w:pPr>
      <w:r>
        <w:rPr/>
        <w:t>总体要求</w:t>
      </w:r>
    </w:p>
    <w:p>
      <w:pPr>
        <w:pStyle w:val="BodyText"/>
        <w:spacing w:line="328" w:lineRule="auto" w:before="139"/>
        <w:ind w:left="740" w:right="937" w:firstLine="640"/>
        <w:jc w:val="both"/>
      </w:pPr>
      <w:r>
        <w:rPr>
          <w:spacing w:val="13"/>
          <w:w w:val="95"/>
        </w:rPr>
        <w:t>民航生产经营单位应当建立健全并落实本单位的安全 </w:t>
      </w:r>
      <w:r>
        <w:rPr/>
        <w:t>隐患排查治理制度，该制度包括对安全隐患排查治理的职责</w:t>
      </w:r>
      <w:r>
        <w:rPr>
          <w:spacing w:val="-4"/>
        </w:rPr>
        <w:t>分工、安全隐患排查、重大安全隐患治理、一般安全隐患治理和安全隐患排查治理台账等管理要求。</w:t>
      </w:r>
    </w:p>
    <w:p>
      <w:pPr>
        <w:pStyle w:val="BodyText"/>
        <w:spacing w:line="328" w:lineRule="auto"/>
        <w:ind w:left="740" w:right="937" w:firstLine="640"/>
        <w:jc w:val="both"/>
      </w:pPr>
      <w:r>
        <w:rPr>
          <w:spacing w:val="-1"/>
        </w:rPr>
        <w:t>要通过立整立改或制定等效措施等方法，确保可能导致</w:t>
      </w:r>
      <w:r>
        <w:rPr>
          <w:spacing w:val="-7"/>
          <w:w w:val="99"/>
        </w:rPr>
        <w:t>风险失控的安全隐患“动态清零”，即：针对排查发现的安</w:t>
      </w:r>
      <w:r>
        <w:rPr>
          <w:spacing w:val="-3"/>
        </w:rPr>
        <w:t>全隐患，应当立即采取措施予以消除；或对于无法立即消除</w:t>
      </w:r>
      <w:r>
        <w:rPr>
          <w:spacing w:val="-5"/>
        </w:rPr>
        <w:t>的安全隐患，制定临时性等效措施管控由于受该安全隐患影</w:t>
      </w:r>
    </w:p>
    <w:p>
      <w:pPr>
        <w:spacing w:after="0" w:line="328" w:lineRule="auto"/>
        <w:jc w:val="both"/>
        <w:sectPr>
          <w:pgSz w:w="11910" w:h="16840"/>
          <w:pgMar w:header="0" w:footer="1232" w:top="1520" w:bottom="1420" w:left="1060" w:right="860"/>
        </w:sectPr>
      </w:pPr>
    </w:p>
    <w:p>
      <w:pPr>
        <w:pStyle w:val="BodyText"/>
        <w:spacing w:line="326" w:lineRule="auto" w:before="32"/>
        <w:ind w:left="740" w:right="895"/>
      </w:pPr>
      <w:r>
        <w:rPr/>
        <w:t>响而可能失控的风险，并制定整改措施、确定整改期限且在整改完成前定期评估临时性等效措施的有效性。</w:t>
      </w:r>
    </w:p>
    <w:p>
      <w:pPr>
        <w:pStyle w:val="Heading3"/>
        <w:numPr>
          <w:ilvl w:val="1"/>
          <w:numId w:val="69"/>
        </w:numPr>
        <w:tabs>
          <w:tab w:pos="1384" w:val="left" w:leader="none"/>
        </w:tabs>
        <w:spacing w:line="486" w:lineRule="exact" w:before="0" w:after="0"/>
        <w:ind w:left="1383" w:right="0" w:hanging="644"/>
        <w:jc w:val="left"/>
      </w:pPr>
      <w:r>
        <w:rPr/>
        <w:t>安全隐患排查</w:t>
      </w:r>
    </w:p>
    <w:p>
      <w:pPr>
        <w:pStyle w:val="BodyText"/>
        <w:spacing w:line="328" w:lineRule="auto" w:before="138"/>
        <w:ind w:left="740" w:right="940" w:firstLine="640"/>
        <w:jc w:val="both"/>
      </w:pPr>
      <w:r>
        <w:rPr>
          <w:spacing w:val="-1"/>
        </w:rPr>
        <w:t>民航生产经营单位应当根据自身特点，采取但不限于安</w:t>
      </w:r>
      <w:r>
        <w:rPr/>
        <w:t>全信息报告、法定自查、安全审计、SMS</w:t>
      </w:r>
      <w:r>
        <w:rPr>
          <w:spacing w:val="-9"/>
        </w:rPr>
        <w:t> 审核以及配合行政检查等各种方式进行安全隐患排查。</w:t>
      </w:r>
    </w:p>
    <w:p>
      <w:pPr>
        <w:pStyle w:val="BodyText"/>
        <w:spacing w:line="405" w:lineRule="exact"/>
        <w:ind w:left="1380"/>
        <w:jc w:val="both"/>
      </w:pPr>
      <w:r>
        <w:rPr/>
        <w:t>如发现重大安全隐患，应按照 8.3 的要求进行治理；如</w:t>
      </w:r>
    </w:p>
    <w:p>
      <w:pPr>
        <w:pStyle w:val="BodyText"/>
        <w:spacing w:line="328" w:lineRule="auto" w:before="152"/>
        <w:ind w:left="740" w:right="937"/>
        <w:jc w:val="both"/>
      </w:pPr>
      <w:r>
        <w:rPr>
          <w:spacing w:val="-7"/>
        </w:rPr>
        <w:t>发现一般安全隐患，应当按照 </w:t>
      </w:r>
      <w:r>
        <w:rPr/>
        <w:t>8.4</w:t>
      </w:r>
      <w:r>
        <w:rPr>
          <w:spacing w:val="-10"/>
        </w:rPr>
        <w:t> 的要求进行治理；排查中</w:t>
      </w:r>
      <w:r>
        <w:rPr/>
        <w:t>如发现潜在的危险源，应回溯到“7.2</w:t>
      </w:r>
      <w:r>
        <w:rPr>
          <w:spacing w:val="-8"/>
        </w:rPr>
        <w:t> 系统描述”进行定位</w:t>
      </w:r>
      <w:r>
        <w:rPr>
          <w:spacing w:val="-6"/>
        </w:rPr>
        <w:t>和梳理，适时启动安全风险分级管控流程识别危险源并管控</w:t>
      </w:r>
      <w:r>
        <w:rPr>
          <w:spacing w:val="-5"/>
          <w:w w:val="95"/>
        </w:rPr>
        <w:t>相关风险；如评估发现的问题不属于上述任何一类，可选择 </w:t>
      </w:r>
      <w:r>
        <w:rPr>
          <w:spacing w:val="-5"/>
        </w:rPr>
        <w:t>是否改进后，回到系统运行环节。</w:t>
      </w:r>
    </w:p>
    <w:p>
      <w:pPr>
        <w:pStyle w:val="Heading3"/>
        <w:numPr>
          <w:ilvl w:val="1"/>
          <w:numId w:val="69"/>
        </w:numPr>
        <w:tabs>
          <w:tab w:pos="1384" w:val="left" w:leader="none"/>
        </w:tabs>
        <w:spacing w:line="473" w:lineRule="exact" w:before="0" w:after="0"/>
        <w:ind w:left="1383" w:right="0" w:hanging="644"/>
        <w:jc w:val="left"/>
      </w:pPr>
      <w:r>
        <w:rPr/>
        <w:t>重大安全隐患治理</w:t>
      </w:r>
    </w:p>
    <w:p>
      <w:pPr>
        <w:pStyle w:val="BodyText"/>
        <w:spacing w:before="141"/>
        <w:ind w:left="1380"/>
      </w:pPr>
      <w:r>
        <w:rPr/>
        <w:t>对于重大安全隐患，民航生产经营单位应当至少：</w:t>
      </w:r>
    </w:p>
    <w:p>
      <w:pPr>
        <w:pStyle w:val="ListParagraph"/>
        <w:numPr>
          <w:ilvl w:val="2"/>
          <w:numId w:val="69"/>
        </w:numPr>
        <w:tabs>
          <w:tab w:pos="2200" w:val="left" w:leader="none"/>
        </w:tabs>
        <w:spacing w:line="326" w:lineRule="auto" w:before="149" w:after="0"/>
        <w:ind w:left="740" w:right="779" w:firstLine="640"/>
        <w:jc w:val="left"/>
        <w:rPr>
          <w:sz w:val="32"/>
        </w:rPr>
      </w:pPr>
      <w:r>
        <w:rPr>
          <w:spacing w:val="6"/>
          <w:sz w:val="32"/>
        </w:rPr>
        <w:t>及时停止使用相关设施、设备，局部或者全部停</w:t>
      </w:r>
      <w:r>
        <w:rPr>
          <w:spacing w:val="-14"/>
          <w:w w:val="95"/>
          <w:sz w:val="32"/>
        </w:rPr>
        <w:t>产停业，并立即报告所在地监管局，抄报所在地地区管理局。</w:t>
      </w:r>
    </w:p>
    <w:p>
      <w:pPr>
        <w:pStyle w:val="ListParagraph"/>
        <w:numPr>
          <w:ilvl w:val="2"/>
          <w:numId w:val="69"/>
        </w:numPr>
        <w:tabs>
          <w:tab w:pos="2181" w:val="left" w:leader="none"/>
        </w:tabs>
        <w:spacing w:line="326" w:lineRule="auto" w:before="6" w:after="0"/>
        <w:ind w:left="740" w:right="779" w:firstLine="640"/>
        <w:jc w:val="left"/>
        <w:rPr>
          <w:sz w:val="32"/>
        </w:rPr>
      </w:pPr>
      <w:r>
        <w:rPr>
          <w:spacing w:val="-9"/>
          <w:sz w:val="32"/>
        </w:rPr>
        <w:t>回溯到“</w:t>
      </w:r>
      <w:r>
        <w:rPr>
          <w:sz w:val="32"/>
        </w:rPr>
        <w:t>7.2</w:t>
      </w:r>
      <w:r>
        <w:rPr>
          <w:spacing w:val="-12"/>
          <w:sz w:val="32"/>
        </w:rPr>
        <w:t> 系统描述”环节进行梳理，按照“</w:t>
      </w:r>
      <w:r>
        <w:rPr>
          <w:sz w:val="32"/>
        </w:rPr>
        <w:t>7. </w:t>
      </w:r>
      <w:r>
        <w:rPr>
          <w:spacing w:val="-13"/>
          <w:w w:val="95"/>
          <w:sz w:val="32"/>
        </w:rPr>
        <w:t>安全风险分级管控”要求启动安全风险管理，制定治理方案。</w:t>
      </w:r>
    </w:p>
    <w:p>
      <w:pPr>
        <w:pStyle w:val="ListParagraph"/>
        <w:numPr>
          <w:ilvl w:val="2"/>
          <w:numId w:val="69"/>
        </w:numPr>
        <w:tabs>
          <w:tab w:pos="2200" w:val="left" w:leader="none"/>
        </w:tabs>
        <w:spacing w:line="328" w:lineRule="auto" w:before="3" w:after="0"/>
        <w:ind w:left="740" w:right="937" w:firstLine="640"/>
        <w:jc w:val="left"/>
        <w:rPr>
          <w:sz w:val="32"/>
        </w:rPr>
      </w:pPr>
      <w:r>
        <w:rPr>
          <w:spacing w:val="6"/>
          <w:w w:val="95"/>
          <w:sz w:val="32"/>
        </w:rPr>
        <w:t>组织制定并实施治理方案，落实责任、措施、资 </w:t>
      </w:r>
      <w:r>
        <w:rPr>
          <w:spacing w:val="6"/>
          <w:sz w:val="32"/>
        </w:rPr>
        <w:t>金、时限和应急预案，消除重大安全隐患。</w:t>
      </w:r>
    </w:p>
    <w:p>
      <w:pPr>
        <w:pStyle w:val="ListParagraph"/>
        <w:numPr>
          <w:ilvl w:val="2"/>
          <w:numId w:val="69"/>
        </w:numPr>
        <w:tabs>
          <w:tab w:pos="2200" w:val="left" w:leader="none"/>
        </w:tabs>
        <w:spacing w:line="328" w:lineRule="auto" w:before="0" w:after="0"/>
        <w:ind w:left="740" w:right="937" w:firstLine="640"/>
        <w:jc w:val="both"/>
        <w:rPr>
          <w:sz w:val="32"/>
        </w:rPr>
      </w:pPr>
      <w:r>
        <w:rPr>
          <w:spacing w:val="6"/>
          <w:w w:val="95"/>
          <w:sz w:val="32"/>
        </w:rPr>
        <w:t>被责令局部或者全部停产停业的民航生产经营单 </w:t>
      </w:r>
      <w:r>
        <w:rPr>
          <w:spacing w:val="-1"/>
          <w:w w:val="95"/>
          <w:sz w:val="32"/>
        </w:rPr>
        <w:t>位，完成重大安全隐患治理后，应当组织本单位技术人员和 </w:t>
      </w:r>
      <w:r>
        <w:rPr>
          <w:spacing w:val="-4"/>
          <w:sz w:val="32"/>
        </w:rPr>
        <w:t>专家，或委托具有相应资质的安全评估机构对重大安全隐患</w:t>
      </w:r>
      <w:r>
        <w:rPr>
          <w:spacing w:val="-5"/>
          <w:sz w:val="32"/>
        </w:rPr>
        <w:t>治理情况进行评估；确认治理后符合安全生产条件，向所在</w:t>
      </w:r>
    </w:p>
    <w:p>
      <w:pPr>
        <w:spacing w:after="0" w:line="328" w:lineRule="auto"/>
        <w:jc w:val="both"/>
        <w:rPr>
          <w:sz w:val="32"/>
        </w:rPr>
        <w:sectPr>
          <w:pgSz w:w="11910" w:h="16840"/>
          <w:pgMar w:header="0" w:footer="1232" w:top="1520" w:bottom="1420" w:left="1060" w:right="860"/>
        </w:sectPr>
      </w:pPr>
    </w:p>
    <w:p>
      <w:pPr>
        <w:pStyle w:val="BodyText"/>
        <w:spacing w:line="326" w:lineRule="auto" w:before="32"/>
        <w:ind w:left="740" w:right="940"/>
      </w:pPr>
      <w:r>
        <w:rPr>
          <w:spacing w:val="-1"/>
        </w:rPr>
        <w:t>地监管局提出书面申请</w:t>
      </w:r>
      <w:r>
        <w:rPr/>
        <w:t>（</w:t>
      </w:r>
      <w:r>
        <w:rPr>
          <w:spacing w:val="-2"/>
        </w:rPr>
        <w:t>包括治理方案、执行情况和评估报</w:t>
      </w:r>
      <w:r>
        <w:rPr>
          <w:w w:val="99"/>
        </w:rPr>
        <w:t>告</w:t>
      </w:r>
      <w:r>
        <w:rPr>
          <w:spacing w:val="-159"/>
          <w:w w:val="99"/>
        </w:rPr>
        <w:t>）</w:t>
      </w:r>
      <w:r>
        <w:rPr>
          <w:w w:val="99"/>
        </w:rPr>
        <w:t>，经审查同意后方可恢复生产经营。</w:t>
      </w:r>
    </w:p>
    <w:p>
      <w:pPr>
        <w:pStyle w:val="Heading3"/>
        <w:numPr>
          <w:ilvl w:val="1"/>
          <w:numId w:val="69"/>
        </w:numPr>
        <w:tabs>
          <w:tab w:pos="1384" w:val="left" w:leader="none"/>
        </w:tabs>
        <w:spacing w:line="486" w:lineRule="exact" w:before="0" w:after="0"/>
        <w:ind w:left="1383" w:right="0" w:hanging="644"/>
        <w:jc w:val="left"/>
      </w:pPr>
      <w:r>
        <w:rPr/>
        <w:t>一般安全隐患治理</w:t>
      </w:r>
    </w:p>
    <w:p>
      <w:pPr>
        <w:pStyle w:val="ListParagraph"/>
        <w:numPr>
          <w:ilvl w:val="0"/>
          <w:numId w:val="70"/>
        </w:numPr>
        <w:tabs>
          <w:tab w:pos="2200" w:val="left" w:leader="none"/>
        </w:tabs>
        <w:spacing w:line="328" w:lineRule="auto" w:before="138" w:after="0"/>
        <w:ind w:left="740" w:right="925" w:firstLine="640"/>
        <w:jc w:val="both"/>
        <w:rPr>
          <w:sz w:val="32"/>
        </w:rPr>
      </w:pPr>
      <w:r>
        <w:rPr>
          <w:spacing w:val="6"/>
          <w:w w:val="95"/>
          <w:sz w:val="32"/>
        </w:rPr>
        <w:t>对于排查出来风险控制措施失效或弱化产生的一 </w:t>
      </w:r>
      <w:r>
        <w:rPr>
          <w:spacing w:val="-1"/>
          <w:sz w:val="32"/>
        </w:rPr>
        <w:t>般安全隐患，治理过程中应当回溯到“</w:t>
      </w:r>
      <w:r>
        <w:rPr>
          <w:sz w:val="32"/>
        </w:rPr>
        <w:t>7.5</w:t>
      </w:r>
      <w:r>
        <w:rPr>
          <w:spacing w:val="-4"/>
          <w:sz w:val="32"/>
        </w:rPr>
        <w:t> 风险控制”环节</w:t>
      </w:r>
      <w:r>
        <w:rPr>
          <w:spacing w:val="-6"/>
          <w:sz w:val="32"/>
        </w:rPr>
        <w:t>对风险控制措施进行审查和调整；对于涉及组织机构、政策</w:t>
      </w:r>
      <w:r>
        <w:rPr>
          <w:spacing w:val="-7"/>
          <w:sz w:val="32"/>
        </w:rPr>
        <w:t>程序调整等需要较长时间的风险管控措施，民航生产经营单位应当采取临时性安全措施将安全风险控制在可接受范围， 且上述类型的风险控制措施制定后，应当重新回到“</w:t>
      </w:r>
      <w:r>
        <w:rPr>
          <w:sz w:val="32"/>
        </w:rPr>
        <w:t>7.2</w:t>
      </w:r>
      <w:r>
        <w:rPr>
          <w:spacing w:val="-5"/>
          <w:sz w:val="32"/>
        </w:rPr>
        <w:t> 系</w:t>
      </w:r>
      <w:r>
        <w:rPr>
          <w:spacing w:val="-7"/>
          <w:w w:val="99"/>
          <w:sz w:val="32"/>
        </w:rPr>
        <w:t>统描述”，按需开展变更管理，并分析和评价剩余风险可接</w:t>
      </w:r>
      <w:r>
        <w:rPr>
          <w:spacing w:val="-7"/>
          <w:sz w:val="32"/>
        </w:rPr>
        <w:t>受后，方可转入系统运行环节。</w:t>
      </w:r>
    </w:p>
    <w:p>
      <w:pPr>
        <w:pStyle w:val="ListParagraph"/>
        <w:numPr>
          <w:ilvl w:val="0"/>
          <w:numId w:val="70"/>
        </w:numPr>
        <w:tabs>
          <w:tab w:pos="2200" w:val="left" w:leader="none"/>
        </w:tabs>
        <w:spacing w:line="397" w:lineRule="exact" w:before="0" w:after="0"/>
        <w:ind w:left="2199" w:right="0" w:hanging="820"/>
        <w:jc w:val="left"/>
        <w:rPr>
          <w:sz w:val="32"/>
        </w:rPr>
      </w:pPr>
      <w:r>
        <w:rPr>
          <w:spacing w:val="6"/>
          <w:sz w:val="32"/>
        </w:rPr>
        <w:t>对于暂未关联到已有风险管控措施、因违规违章</w:t>
      </w:r>
    </w:p>
    <w:p>
      <w:pPr>
        <w:pStyle w:val="BodyText"/>
        <w:spacing w:line="328" w:lineRule="auto" w:before="150"/>
        <w:ind w:left="740" w:right="779"/>
        <w:jc w:val="both"/>
      </w:pPr>
      <w:r>
        <w:rPr/>
        <w:t>等情况被确定的安全隐患，如涉及重复性违规违章行为，回溯到本规定“7.2 系统描述”环节进行梳理，并按需启动安</w:t>
      </w:r>
      <w:r>
        <w:rPr>
          <w:w w:val="95"/>
        </w:rPr>
        <w:t>全风险管理；如不属于重复性违规违章，可立即整改并关闭。</w:t>
      </w:r>
    </w:p>
    <w:p>
      <w:pPr>
        <w:pStyle w:val="Heading3"/>
        <w:numPr>
          <w:ilvl w:val="1"/>
          <w:numId w:val="69"/>
        </w:numPr>
        <w:tabs>
          <w:tab w:pos="1384" w:val="left" w:leader="none"/>
        </w:tabs>
        <w:spacing w:line="478" w:lineRule="exact" w:before="0" w:after="0"/>
        <w:ind w:left="1383" w:right="0" w:hanging="644"/>
        <w:jc w:val="left"/>
      </w:pPr>
      <w:r>
        <w:rPr/>
        <w:t>安全隐患排查治理台账</w:t>
      </w:r>
    </w:p>
    <w:p>
      <w:pPr>
        <w:pStyle w:val="BodyText"/>
        <w:spacing w:before="141"/>
        <w:ind w:left="1380"/>
      </w:pPr>
      <w:r>
        <w:rPr/>
        <w:t>民航生产经营单位应当：</w:t>
      </w:r>
    </w:p>
    <w:p>
      <w:pPr>
        <w:pStyle w:val="ListParagraph"/>
        <w:numPr>
          <w:ilvl w:val="0"/>
          <w:numId w:val="71"/>
        </w:numPr>
        <w:tabs>
          <w:tab w:pos="2200" w:val="left" w:leader="none"/>
        </w:tabs>
        <w:spacing w:line="328" w:lineRule="auto" w:before="149" w:after="0"/>
        <w:ind w:left="740" w:right="937" w:firstLine="640"/>
        <w:jc w:val="both"/>
        <w:rPr>
          <w:sz w:val="32"/>
        </w:rPr>
      </w:pPr>
      <w:r>
        <w:rPr>
          <w:spacing w:val="7"/>
          <w:w w:val="95"/>
          <w:sz w:val="32"/>
        </w:rPr>
        <w:t>建立安全隐患排查治理台账（</w:t>
      </w:r>
      <w:r>
        <w:rPr>
          <w:spacing w:val="6"/>
          <w:w w:val="95"/>
          <w:sz w:val="32"/>
        </w:rPr>
        <w:t>即安全隐患清单， </w:t>
      </w:r>
      <w:r>
        <w:rPr>
          <w:spacing w:val="4"/>
          <w:w w:val="99"/>
          <w:sz w:val="32"/>
        </w:rPr>
        <w:t>参见附录</w:t>
      </w:r>
      <w:r>
        <w:rPr>
          <w:spacing w:val="-74"/>
          <w:sz w:val="32"/>
        </w:rPr>
        <w:t> </w:t>
      </w:r>
      <w:r>
        <w:rPr>
          <w:w w:val="99"/>
          <w:sz w:val="32"/>
        </w:rPr>
        <w:t>2</w:t>
      </w:r>
      <w:r>
        <w:rPr>
          <w:spacing w:val="-73"/>
          <w:sz w:val="32"/>
        </w:rPr>
        <w:t> </w:t>
      </w:r>
      <w:r>
        <w:rPr>
          <w:spacing w:val="6"/>
          <w:w w:val="99"/>
          <w:sz w:val="32"/>
        </w:rPr>
        <w:t>样例</w:t>
      </w:r>
      <w:r>
        <w:rPr>
          <w:spacing w:val="-154"/>
          <w:w w:val="99"/>
          <w:sz w:val="32"/>
        </w:rPr>
        <w:t>）</w:t>
      </w:r>
      <w:r>
        <w:rPr>
          <w:spacing w:val="4"/>
          <w:w w:val="99"/>
          <w:sz w:val="32"/>
        </w:rPr>
        <w:t>，如实记录安全隐患名称、类别、原因分</w:t>
      </w:r>
      <w:r>
        <w:rPr>
          <w:spacing w:val="7"/>
          <w:w w:val="95"/>
          <w:sz w:val="32"/>
        </w:rPr>
        <w:t>析（</w:t>
      </w:r>
      <w:r>
        <w:rPr>
          <w:spacing w:val="6"/>
          <w:w w:val="95"/>
          <w:sz w:val="32"/>
        </w:rPr>
        <w:t>如适用</w:t>
      </w:r>
      <w:r>
        <w:rPr>
          <w:spacing w:val="-154"/>
          <w:w w:val="95"/>
          <w:sz w:val="32"/>
        </w:rPr>
        <w:t>）</w:t>
      </w:r>
      <w:r>
        <w:rPr>
          <w:spacing w:val="5"/>
          <w:w w:val="95"/>
          <w:sz w:val="32"/>
        </w:rPr>
        <w:t>、关联的风险控制措施、可能关联的后果</w:t>
      </w:r>
      <w:r>
        <w:rPr>
          <w:spacing w:val="7"/>
          <w:w w:val="95"/>
          <w:sz w:val="32"/>
        </w:rPr>
        <w:t>（</w:t>
      </w:r>
      <w:r>
        <w:rPr>
          <w:w w:val="95"/>
          <w:sz w:val="32"/>
        </w:rPr>
        <w:t>如 </w:t>
      </w:r>
      <w:r>
        <w:rPr>
          <w:spacing w:val="6"/>
          <w:w w:val="95"/>
          <w:sz w:val="32"/>
        </w:rPr>
        <w:t>适用</w:t>
      </w:r>
      <w:r>
        <w:rPr>
          <w:spacing w:val="-154"/>
          <w:w w:val="95"/>
          <w:sz w:val="32"/>
        </w:rPr>
        <w:t>）</w:t>
      </w:r>
      <w:r>
        <w:rPr>
          <w:spacing w:val="4"/>
          <w:w w:val="95"/>
          <w:sz w:val="32"/>
        </w:rPr>
        <w:t>、整改措施、治理效果验证情况等安全隐患排查治理 </w:t>
      </w:r>
      <w:r>
        <w:rPr>
          <w:spacing w:val="-1"/>
          <w:sz w:val="32"/>
        </w:rPr>
        <w:t>情况。已经完成整改闭环的安全隐患可标记关闭，不再统计</w:t>
      </w:r>
      <w:r>
        <w:rPr>
          <w:spacing w:val="-3"/>
          <w:sz w:val="32"/>
        </w:rPr>
        <w:t>在本单位安全隐患总数内，但安全管理的数据库，以及判定</w:t>
      </w:r>
      <w:r>
        <w:rPr>
          <w:spacing w:val="-5"/>
          <w:sz w:val="32"/>
        </w:rPr>
        <w:t>重复性、顽固性安全隐患的比对资料，应当长期保存，不得</w:t>
      </w:r>
    </w:p>
    <w:p>
      <w:pPr>
        <w:spacing w:after="0" w:line="328" w:lineRule="auto"/>
        <w:jc w:val="both"/>
        <w:rPr>
          <w:sz w:val="32"/>
        </w:rPr>
        <w:sectPr>
          <w:footerReference w:type="default" r:id="rId29"/>
          <w:pgSz w:w="11910" w:h="16840"/>
          <w:pgMar w:footer="1232" w:header="0" w:top="1520" w:bottom="1420" w:left="1060" w:right="860"/>
          <w:pgNumType w:start="170"/>
        </w:sectPr>
      </w:pPr>
    </w:p>
    <w:p>
      <w:pPr>
        <w:pStyle w:val="BodyText"/>
        <w:spacing w:before="32"/>
        <w:ind w:left="740"/>
      </w:pPr>
      <w:r>
        <w:rPr/>
        <w:t>随意篡改或删除。</w:t>
      </w:r>
    </w:p>
    <w:p>
      <w:pPr>
        <w:pStyle w:val="ListParagraph"/>
        <w:numPr>
          <w:ilvl w:val="0"/>
          <w:numId w:val="71"/>
        </w:numPr>
        <w:tabs>
          <w:tab w:pos="2200" w:val="left" w:leader="none"/>
        </w:tabs>
        <w:spacing w:line="328" w:lineRule="auto" w:before="149" w:after="0"/>
        <w:ind w:left="740" w:right="937" w:firstLine="640"/>
        <w:jc w:val="both"/>
        <w:rPr>
          <w:sz w:val="32"/>
        </w:rPr>
      </w:pPr>
      <w:r>
        <w:rPr>
          <w:spacing w:val="6"/>
          <w:w w:val="95"/>
          <w:sz w:val="32"/>
        </w:rPr>
        <w:t>对重大安全隐患除填入安全隐患清单外，还应建 </w:t>
      </w:r>
      <w:r>
        <w:rPr>
          <w:spacing w:val="-1"/>
          <w:sz w:val="32"/>
        </w:rPr>
        <w:t>立专门的信息档案，包括重大安全隐患的治理方案、复查验收报告以及报送情况等各种记录和文件。</w:t>
      </w:r>
    </w:p>
    <w:p>
      <w:pPr>
        <w:pStyle w:val="ListParagraph"/>
        <w:numPr>
          <w:ilvl w:val="0"/>
          <w:numId w:val="71"/>
        </w:numPr>
        <w:tabs>
          <w:tab w:pos="2200" w:val="left" w:leader="none"/>
        </w:tabs>
        <w:spacing w:line="326" w:lineRule="auto" w:before="0" w:after="0"/>
        <w:ind w:left="740" w:right="937" w:firstLine="640"/>
        <w:jc w:val="left"/>
        <w:rPr>
          <w:sz w:val="32"/>
        </w:rPr>
      </w:pPr>
      <w:r>
        <w:rPr>
          <w:spacing w:val="6"/>
          <w:w w:val="95"/>
          <w:sz w:val="32"/>
        </w:rPr>
        <w:t>通过职工大会或者职工代表大会、信息公示栏等 </w:t>
      </w:r>
      <w:r>
        <w:rPr>
          <w:spacing w:val="6"/>
          <w:sz w:val="32"/>
        </w:rPr>
        <w:t>方式向从业人员通报安全隐患排查治理情况。</w:t>
      </w:r>
    </w:p>
    <w:p>
      <w:pPr>
        <w:pStyle w:val="ListParagraph"/>
        <w:numPr>
          <w:ilvl w:val="0"/>
          <w:numId w:val="63"/>
        </w:numPr>
        <w:tabs>
          <w:tab w:pos="1062" w:val="left" w:leader="none"/>
        </w:tabs>
        <w:spacing w:line="394" w:lineRule="exact" w:before="0" w:after="0"/>
        <w:ind w:left="1061" w:right="0" w:hanging="322"/>
        <w:jc w:val="left"/>
        <w:rPr>
          <w:rFonts w:ascii="黑体" w:eastAsia="黑体" w:hint="eastAsia"/>
          <w:sz w:val="32"/>
        </w:rPr>
      </w:pPr>
      <w:r>
        <w:rPr>
          <w:rFonts w:ascii="黑体" w:eastAsia="黑体" w:hint="eastAsia"/>
          <w:sz w:val="32"/>
        </w:rPr>
        <w:t>监督检查</w:t>
      </w:r>
    </w:p>
    <w:p>
      <w:pPr>
        <w:pStyle w:val="Heading3"/>
        <w:numPr>
          <w:ilvl w:val="1"/>
          <w:numId w:val="72"/>
        </w:numPr>
        <w:tabs>
          <w:tab w:pos="1384" w:val="left" w:leader="none"/>
        </w:tabs>
        <w:spacing w:line="240" w:lineRule="auto" w:before="125" w:after="0"/>
        <w:ind w:left="1383" w:right="0" w:hanging="644"/>
        <w:jc w:val="left"/>
      </w:pPr>
      <w:r>
        <w:rPr/>
        <w:t>监督检查重点</w:t>
      </w:r>
    </w:p>
    <w:p>
      <w:pPr>
        <w:pStyle w:val="BodyText"/>
        <w:spacing w:before="138"/>
        <w:ind w:left="1380"/>
      </w:pPr>
      <w:r>
        <w:rPr/>
        <w:t>民航行政机关在对各业务系统民航生产经营单位的SMS</w:t>
      </w:r>
    </w:p>
    <w:p>
      <w:pPr>
        <w:pStyle w:val="BodyText"/>
        <w:spacing w:before="150"/>
        <w:ind w:left="740"/>
      </w:pPr>
      <w:r>
        <w:rPr/>
        <w:t>检查时应包含以下重点内容：</w:t>
      </w:r>
    </w:p>
    <w:p>
      <w:pPr>
        <w:pStyle w:val="ListParagraph"/>
        <w:numPr>
          <w:ilvl w:val="2"/>
          <w:numId w:val="72"/>
        </w:numPr>
        <w:tabs>
          <w:tab w:pos="2200" w:val="left" w:leader="none"/>
        </w:tabs>
        <w:spacing w:line="328" w:lineRule="auto" w:before="149" w:after="0"/>
        <w:ind w:left="740" w:right="937" w:firstLine="640"/>
        <w:jc w:val="left"/>
        <w:rPr>
          <w:sz w:val="32"/>
        </w:rPr>
      </w:pPr>
      <w:r>
        <w:rPr>
          <w:spacing w:val="6"/>
          <w:w w:val="95"/>
          <w:sz w:val="32"/>
        </w:rPr>
        <w:t>安全风险分级管控和隐患排查治理的制度建设和 </w:t>
      </w:r>
      <w:r>
        <w:rPr>
          <w:spacing w:val="6"/>
          <w:sz w:val="32"/>
        </w:rPr>
        <w:t>实施情况；</w:t>
      </w:r>
    </w:p>
    <w:p>
      <w:pPr>
        <w:pStyle w:val="ListParagraph"/>
        <w:numPr>
          <w:ilvl w:val="2"/>
          <w:numId w:val="72"/>
        </w:numPr>
        <w:tabs>
          <w:tab w:pos="2181" w:val="left" w:leader="none"/>
        </w:tabs>
        <w:spacing w:line="407" w:lineRule="exact" w:before="0" w:after="0"/>
        <w:ind w:left="2180" w:right="0" w:hanging="801"/>
        <w:jc w:val="left"/>
        <w:rPr>
          <w:sz w:val="32"/>
        </w:rPr>
      </w:pPr>
      <w:r>
        <w:rPr>
          <w:sz w:val="32"/>
        </w:rPr>
        <w:t>安全风险分级管控和隐患排查治理台账建立情况；</w:t>
      </w:r>
    </w:p>
    <w:p>
      <w:pPr>
        <w:pStyle w:val="ListParagraph"/>
        <w:numPr>
          <w:ilvl w:val="2"/>
          <w:numId w:val="72"/>
        </w:numPr>
        <w:tabs>
          <w:tab w:pos="2181" w:val="left" w:leader="none"/>
        </w:tabs>
        <w:spacing w:line="240" w:lineRule="auto" w:before="149" w:after="0"/>
        <w:ind w:left="2180" w:right="0" w:hanging="801"/>
        <w:jc w:val="left"/>
        <w:rPr>
          <w:sz w:val="32"/>
        </w:rPr>
      </w:pPr>
      <w:r>
        <w:rPr>
          <w:sz w:val="32"/>
        </w:rPr>
        <w:t>重大风险的管控措施落实情况；</w:t>
      </w:r>
    </w:p>
    <w:p>
      <w:pPr>
        <w:pStyle w:val="ListParagraph"/>
        <w:numPr>
          <w:ilvl w:val="2"/>
          <w:numId w:val="72"/>
        </w:numPr>
        <w:tabs>
          <w:tab w:pos="2181" w:val="left" w:leader="none"/>
        </w:tabs>
        <w:spacing w:line="240" w:lineRule="auto" w:before="152" w:after="0"/>
        <w:ind w:left="2180" w:right="0" w:hanging="801"/>
        <w:jc w:val="left"/>
        <w:rPr>
          <w:sz w:val="32"/>
        </w:rPr>
      </w:pPr>
      <w:r>
        <w:rPr>
          <w:sz w:val="32"/>
        </w:rPr>
        <w:t>重大危险源的管控情况；</w:t>
      </w:r>
    </w:p>
    <w:p>
      <w:pPr>
        <w:pStyle w:val="ListParagraph"/>
        <w:numPr>
          <w:ilvl w:val="2"/>
          <w:numId w:val="72"/>
        </w:numPr>
        <w:tabs>
          <w:tab w:pos="2181" w:val="left" w:leader="none"/>
        </w:tabs>
        <w:spacing w:line="240" w:lineRule="auto" w:before="149" w:after="0"/>
        <w:ind w:left="2180" w:right="0" w:hanging="801"/>
        <w:jc w:val="left"/>
        <w:rPr>
          <w:sz w:val="32"/>
        </w:rPr>
      </w:pPr>
      <w:r>
        <w:rPr>
          <w:sz w:val="32"/>
        </w:rPr>
        <w:t>重大安全隐患的治理情况；</w:t>
      </w:r>
    </w:p>
    <w:p>
      <w:pPr>
        <w:pStyle w:val="ListParagraph"/>
        <w:numPr>
          <w:ilvl w:val="2"/>
          <w:numId w:val="72"/>
        </w:numPr>
        <w:tabs>
          <w:tab w:pos="2200" w:val="left" w:leader="none"/>
        </w:tabs>
        <w:spacing w:line="328" w:lineRule="auto" w:before="149" w:after="0"/>
        <w:ind w:left="740" w:right="937" w:firstLine="640"/>
        <w:jc w:val="left"/>
        <w:rPr>
          <w:sz w:val="32"/>
        </w:rPr>
      </w:pPr>
      <w:r>
        <w:rPr>
          <w:spacing w:val="6"/>
          <w:w w:val="95"/>
          <w:sz w:val="32"/>
        </w:rPr>
        <w:t>未能按期关闭的安全隐患及重复性违规违章类的 </w:t>
      </w:r>
      <w:r>
        <w:rPr>
          <w:spacing w:val="6"/>
          <w:sz w:val="32"/>
        </w:rPr>
        <w:t>安全隐患治理情况。</w:t>
      </w:r>
    </w:p>
    <w:p>
      <w:pPr>
        <w:pStyle w:val="Heading3"/>
        <w:numPr>
          <w:ilvl w:val="1"/>
          <w:numId w:val="72"/>
        </w:numPr>
        <w:tabs>
          <w:tab w:pos="1384" w:val="left" w:leader="none"/>
        </w:tabs>
        <w:spacing w:line="480" w:lineRule="exact" w:before="0" w:after="0"/>
        <w:ind w:left="1383" w:right="0" w:hanging="644"/>
        <w:jc w:val="left"/>
      </w:pPr>
      <w:r>
        <w:rPr/>
        <w:t>推动安全隐患动态清零</w:t>
      </w:r>
    </w:p>
    <w:p>
      <w:pPr>
        <w:pStyle w:val="BodyText"/>
        <w:spacing w:line="328" w:lineRule="auto" w:before="139"/>
        <w:ind w:left="740" w:right="937" w:firstLine="640"/>
        <w:jc w:val="both"/>
      </w:pPr>
      <w:r>
        <w:rPr>
          <w:spacing w:val="-1"/>
        </w:rPr>
        <w:t>对于民航行政机关检查发现的安全隐患，应当责令立即</w:t>
      </w:r>
      <w:r>
        <w:rPr>
          <w:spacing w:val="-4"/>
        </w:rPr>
        <w:t>治理，并建立健全安全隐患治理督办制度，以安全隐患“动</w:t>
      </w:r>
      <w:r>
        <w:rPr>
          <w:spacing w:val="-5"/>
        </w:rPr>
        <w:t>态清零”为目标，督促民航生产经营单位落实安全隐患排查治理工作。</w:t>
      </w:r>
    </w:p>
    <w:p>
      <w:pPr>
        <w:pStyle w:val="ListParagraph"/>
        <w:numPr>
          <w:ilvl w:val="0"/>
          <w:numId w:val="73"/>
        </w:numPr>
        <w:tabs>
          <w:tab w:pos="2200" w:val="left" w:leader="none"/>
        </w:tabs>
        <w:spacing w:line="405" w:lineRule="exact" w:before="0" w:after="0"/>
        <w:ind w:left="2199" w:right="0" w:hanging="820"/>
        <w:jc w:val="left"/>
        <w:rPr>
          <w:sz w:val="32"/>
        </w:rPr>
      </w:pPr>
      <w:r>
        <w:rPr>
          <w:spacing w:val="6"/>
          <w:sz w:val="32"/>
        </w:rPr>
        <w:t>对于治理难度高且尚未构成重大安全隐患的一般</w:t>
      </w:r>
    </w:p>
    <w:p>
      <w:pPr>
        <w:spacing w:after="0" w:line="405" w:lineRule="exact"/>
        <w:jc w:val="left"/>
        <w:rPr>
          <w:sz w:val="32"/>
        </w:rPr>
        <w:sectPr>
          <w:pgSz w:w="11910" w:h="16840"/>
          <w:pgMar w:header="0" w:footer="1232" w:top="1520" w:bottom="1420" w:left="1060" w:right="860"/>
        </w:sectPr>
      </w:pPr>
    </w:p>
    <w:p>
      <w:pPr>
        <w:pStyle w:val="BodyText"/>
        <w:spacing w:before="32"/>
        <w:ind w:left="740"/>
      </w:pPr>
      <w:r>
        <w:rPr/>
        <w:t>安全隐患应当重点记录、跟踪督办。</w:t>
      </w:r>
    </w:p>
    <w:p>
      <w:pPr>
        <w:pStyle w:val="ListParagraph"/>
        <w:numPr>
          <w:ilvl w:val="0"/>
          <w:numId w:val="73"/>
        </w:numPr>
        <w:tabs>
          <w:tab w:pos="2181" w:val="left" w:leader="none"/>
        </w:tabs>
        <w:spacing w:line="328" w:lineRule="auto" w:before="149" w:after="0"/>
        <w:ind w:left="740" w:right="779" w:firstLine="640"/>
        <w:jc w:val="left"/>
        <w:rPr>
          <w:sz w:val="32"/>
        </w:rPr>
      </w:pPr>
      <w:r>
        <w:rPr>
          <w:sz w:val="32"/>
        </w:rPr>
        <w:t>对于检查发现或接报的重大安全隐患要登记建档</w:t>
      </w:r>
      <w:r>
        <w:rPr>
          <w:spacing w:val="-3"/>
          <w:sz w:val="32"/>
        </w:rPr>
        <w:t>，指定专责部门挂牌督办，录入信息系统。必要时，应当将</w:t>
      </w:r>
      <w:r>
        <w:rPr>
          <w:spacing w:val="-4"/>
          <w:sz w:val="32"/>
        </w:rPr>
        <w:t>重大安全隐患治理情况通报该单位上级主管部门，或报告同</w:t>
      </w:r>
      <w:r>
        <w:rPr>
          <w:spacing w:val="-13"/>
          <w:w w:val="95"/>
          <w:sz w:val="32"/>
        </w:rPr>
        <w:t>级人民政府对重大安全隐患实施挂牌督办，落实《安全生产法 </w:t>
      </w:r>
      <w:r>
        <w:rPr>
          <w:spacing w:val="-10"/>
          <w:sz w:val="32"/>
        </w:rPr>
        <w:t>》关于相互配合、齐抓共管、信息共享、资源共用的安全监管要求，共同督促民航生产经营单位消除重大安全隐患。</w:t>
      </w:r>
    </w:p>
    <w:p>
      <w:pPr>
        <w:pStyle w:val="ListParagraph"/>
        <w:numPr>
          <w:ilvl w:val="0"/>
          <w:numId w:val="73"/>
        </w:numPr>
        <w:tabs>
          <w:tab w:pos="2200" w:val="left" w:leader="none"/>
        </w:tabs>
        <w:spacing w:line="328" w:lineRule="auto" w:before="0" w:after="0"/>
        <w:ind w:left="740" w:right="937" w:firstLine="640"/>
        <w:jc w:val="both"/>
        <w:rPr>
          <w:sz w:val="32"/>
        </w:rPr>
      </w:pPr>
      <w:r>
        <w:rPr>
          <w:spacing w:val="6"/>
          <w:w w:val="95"/>
          <w:sz w:val="32"/>
        </w:rPr>
        <w:t>重大安全隐患排除前或者排除过程中无法保证安 </w:t>
      </w:r>
      <w:r>
        <w:rPr>
          <w:spacing w:val="-1"/>
          <w:sz w:val="32"/>
        </w:rPr>
        <w:t>全的，应当责令从危险区域内撤出作业人员，责令暂时停产停业或者停止使用相关设施、设备。</w:t>
      </w:r>
    </w:p>
    <w:p>
      <w:pPr>
        <w:pStyle w:val="ListParagraph"/>
        <w:numPr>
          <w:ilvl w:val="0"/>
          <w:numId w:val="73"/>
        </w:numPr>
        <w:tabs>
          <w:tab w:pos="2200" w:val="left" w:leader="none"/>
        </w:tabs>
        <w:spacing w:line="328" w:lineRule="auto" w:before="0" w:after="0"/>
        <w:ind w:left="740" w:right="937" w:firstLine="640"/>
        <w:jc w:val="both"/>
        <w:rPr>
          <w:sz w:val="32"/>
        </w:rPr>
      </w:pPr>
      <w:r>
        <w:rPr>
          <w:spacing w:val="6"/>
          <w:w w:val="95"/>
          <w:sz w:val="32"/>
        </w:rPr>
        <w:t>重大安全隐患治理完成，收到民航生产经营单位 </w:t>
      </w:r>
      <w:r>
        <w:rPr>
          <w:sz w:val="32"/>
        </w:rPr>
        <w:t>提出的书面申请后，由所在地地区管理局或授权监管局组织</w:t>
      </w:r>
      <w:r>
        <w:rPr>
          <w:spacing w:val="-3"/>
          <w:sz w:val="32"/>
        </w:rPr>
        <w:t>现场审查，审查合格后，方可对重大安全隐患进行核销，同意恢复生产经营和使用。</w:t>
      </w:r>
    </w:p>
    <w:p>
      <w:pPr>
        <w:pStyle w:val="Heading3"/>
        <w:numPr>
          <w:ilvl w:val="1"/>
          <w:numId w:val="72"/>
        </w:numPr>
        <w:tabs>
          <w:tab w:pos="1384" w:val="left" w:leader="none"/>
        </w:tabs>
        <w:spacing w:line="475" w:lineRule="exact" w:before="0" w:after="0"/>
        <w:ind w:left="1383" w:right="0" w:hanging="644"/>
        <w:jc w:val="left"/>
      </w:pPr>
      <w:r>
        <w:rPr/>
        <w:t>责任追究</w:t>
      </w:r>
    </w:p>
    <w:p>
      <w:pPr>
        <w:pStyle w:val="BodyText"/>
        <w:spacing w:line="328" w:lineRule="auto" w:before="123"/>
        <w:ind w:left="740" w:right="937" w:firstLine="640"/>
      </w:pPr>
      <w:r>
        <w:rPr>
          <w:spacing w:val="13"/>
          <w:w w:val="95"/>
        </w:rPr>
        <w:t>民航生产经营单位未按照规定落实民航安全风险分级 </w:t>
      </w:r>
      <w:r>
        <w:rPr>
          <w:spacing w:val="13"/>
        </w:rPr>
        <w:t>管控和隐患排查治理工作的，依法进行处理。</w:t>
      </w:r>
    </w:p>
    <w:p>
      <w:pPr>
        <w:pStyle w:val="ListParagraph"/>
        <w:numPr>
          <w:ilvl w:val="0"/>
          <w:numId w:val="63"/>
        </w:numPr>
        <w:tabs>
          <w:tab w:pos="1223" w:val="left" w:leader="none"/>
        </w:tabs>
        <w:spacing w:line="386" w:lineRule="exact" w:before="0" w:after="0"/>
        <w:ind w:left="1222" w:right="0" w:hanging="483"/>
        <w:jc w:val="left"/>
        <w:rPr>
          <w:rFonts w:ascii="黑体" w:eastAsia="黑体" w:hint="eastAsia"/>
          <w:sz w:val="32"/>
        </w:rPr>
      </w:pPr>
      <w:r>
        <w:rPr>
          <w:rFonts w:ascii="黑体" w:eastAsia="黑体" w:hint="eastAsia"/>
          <w:sz w:val="32"/>
        </w:rPr>
        <w:t>生效与废止</w:t>
      </w:r>
    </w:p>
    <w:p>
      <w:pPr>
        <w:pStyle w:val="BodyText"/>
        <w:spacing w:line="326" w:lineRule="auto" w:before="236"/>
        <w:ind w:left="740" w:right="779" w:firstLine="640"/>
      </w:pPr>
      <w:r>
        <w:rPr>
          <w:spacing w:val="-7"/>
        </w:rPr>
        <w:t>本咨询通告自 </w:t>
      </w:r>
      <w:r>
        <w:rPr/>
        <w:t>2022</w:t>
      </w:r>
      <w:r>
        <w:rPr>
          <w:spacing w:val="-50"/>
        </w:rPr>
        <w:t> 年 </w:t>
      </w:r>
      <w:r>
        <w:rPr/>
        <w:t>9</w:t>
      </w:r>
      <w:r>
        <w:rPr>
          <w:spacing w:val="-51"/>
        </w:rPr>
        <w:t> 月 </w:t>
      </w:r>
      <w:r>
        <w:rPr/>
        <w:t>30</w:t>
      </w:r>
      <w:r>
        <w:rPr>
          <w:spacing w:val="-17"/>
        </w:rPr>
        <w:t> 日生效，《关于印发民用</w:t>
      </w:r>
      <w:r>
        <w:rPr>
          <w:spacing w:val="18"/>
          <w:w w:val="95"/>
        </w:rPr>
        <w:t>航空重大安全事项挂牌督办及整改工作暂行办法的通知》</w:t>
      </w:r>
    </w:p>
    <w:p>
      <w:pPr>
        <w:pStyle w:val="BodyText"/>
        <w:spacing w:line="326" w:lineRule="auto" w:before="5"/>
        <w:ind w:left="740" w:right="940"/>
      </w:pPr>
      <w:r>
        <w:rPr/>
        <w:t>（</w:t>
      </w:r>
      <w:r>
        <w:rPr>
          <w:spacing w:val="2"/>
        </w:rPr>
        <w:t>民航发〔</w:t>
      </w:r>
      <w:r>
        <w:rPr/>
        <w:t>2011</w:t>
      </w:r>
      <w:r>
        <w:rPr>
          <w:spacing w:val="5"/>
        </w:rPr>
        <w:t>〕</w:t>
      </w:r>
      <w:r>
        <w:rPr/>
        <w:t>120</w:t>
      </w:r>
      <w:r>
        <w:rPr>
          <w:spacing w:val="-41"/>
        </w:rPr>
        <w:t> 号</w:t>
      </w:r>
      <w:r>
        <w:rPr>
          <w:spacing w:val="-156"/>
        </w:rPr>
        <w:t>）</w:t>
      </w:r>
      <w:r>
        <w:rPr>
          <w:spacing w:val="-13"/>
        </w:rPr>
        <w:t>、《民航安全隐患排查治理长效机</w:t>
      </w:r>
      <w:r>
        <w:rPr>
          <w:spacing w:val="-38"/>
        </w:rPr>
        <w:t>制建设指南》</w:t>
      </w:r>
      <w:r>
        <w:rPr/>
        <w:t>（民航规〔2019〕11</w:t>
      </w:r>
      <w:r>
        <w:rPr>
          <w:spacing w:val="-41"/>
        </w:rPr>
        <w:t> 号</w:t>
      </w:r>
      <w:r>
        <w:rPr/>
        <w:t>）废止。</w:t>
      </w:r>
    </w:p>
    <w:p>
      <w:pPr>
        <w:pStyle w:val="BodyText"/>
        <w:spacing w:line="328" w:lineRule="auto" w:before="4"/>
        <w:ind w:left="740" w:right="895" w:firstLine="640"/>
      </w:pPr>
      <w:r>
        <w:rPr/>
        <w:t>本咨询通告生效起一年内为过渡期，期间各地区、各单位应当逐步完善相关制度及数据库。</w:t>
      </w:r>
    </w:p>
    <w:p>
      <w:pPr>
        <w:spacing w:after="0" w:line="328" w:lineRule="auto"/>
        <w:sectPr>
          <w:pgSz w:w="11910" w:h="16840"/>
          <w:pgMar w:header="0" w:footer="1232" w:top="1520" w:bottom="1420" w:left="1060" w:right="860"/>
        </w:sectPr>
      </w:pPr>
    </w:p>
    <w:p>
      <w:pPr>
        <w:pStyle w:val="BodyText"/>
        <w:spacing w:before="41"/>
        <w:ind w:left="8149" w:right="8150"/>
        <w:jc w:val="center"/>
        <w:rPr>
          <w:rFonts w:ascii="黑体" w:eastAsia="黑体" w:hint="eastAsia"/>
        </w:rPr>
      </w:pPr>
      <w:r>
        <w:rPr>
          <w:rFonts w:ascii="黑体" w:eastAsia="黑体" w:hint="eastAsia"/>
        </w:rPr>
        <w:t>附录 </w:t>
      </w:r>
      <w:r>
        <w:rPr/>
        <w:t>1 </w:t>
      </w:r>
      <w:r>
        <w:rPr>
          <w:rFonts w:ascii="黑体" w:eastAsia="黑体" w:hint="eastAsia"/>
        </w:rPr>
        <w:t>安全风险分级管控样例（危险源清单）</w:t>
      </w:r>
    </w:p>
    <w:p>
      <w:pPr>
        <w:pStyle w:val="BodyText"/>
        <w:spacing w:before="4"/>
        <w:ind w:left="0"/>
        <w:rPr>
          <w:rFonts w:ascii="黑体"/>
          <w:sz w:val="8"/>
        </w:rPr>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3"/>
        <w:gridCol w:w="1679"/>
        <w:gridCol w:w="1701"/>
        <w:gridCol w:w="567"/>
        <w:gridCol w:w="992"/>
        <w:gridCol w:w="1701"/>
        <w:gridCol w:w="3260"/>
        <w:gridCol w:w="567"/>
        <w:gridCol w:w="567"/>
        <w:gridCol w:w="567"/>
        <w:gridCol w:w="1134"/>
        <w:gridCol w:w="4678"/>
        <w:gridCol w:w="567"/>
        <w:gridCol w:w="567"/>
        <w:gridCol w:w="567"/>
        <w:gridCol w:w="1134"/>
        <w:gridCol w:w="1670"/>
      </w:tblGrid>
      <w:tr>
        <w:trPr>
          <w:trHeight w:val="312" w:hRule="atLeast"/>
        </w:trPr>
        <w:tc>
          <w:tcPr>
            <w:tcW w:w="443" w:type="dxa"/>
            <w:vMerge w:val="restart"/>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line="194" w:lineRule="auto" w:before="174"/>
              <w:ind w:left="114" w:right="107"/>
              <w:rPr>
                <w:rFonts w:ascii="Microsoft JhengHei" w:eastAsia="Microsoft JhengHei" w:hint="eastAsia"/>
                <w:b/>
                <w:sz w:val="21"/>
              </w:rPr>
            </w:pPr>
            <w:r>
              <w:rPr>
                <w:rFonts w:ascii="Microsoft JhengHei" w:eastAsia="Microsoft JhengHei" w:hint="eastAsia"/>
                <w:b/>
                <w:sz w:val="21"/>
              </w:rPr>
              <w:t>编号</w:t>
            </w:r>
          </w:p>
        </w:tc>
        <w:tc>
          <w:tcPr>
            <w:tcW w:w="1679" w:type="dxa"/>
            <w:vMerge w:val="restart"/>
          </w:tcPr>
          <w:p>
            <w:pPr>
              <w:pStyle w:val="TableParagraph"/>
              <w:rPr>
                <w:rFonts w:ascii="黑体"/>
                <w:sz w:val="20"/>
              </w:rPr>
            </w:pPr>
          </w:p>
          <w:p>
            <w:pPr>
              <w:pStyle w:val="TableParagraph"/>
              <w:rPr>
                <w:rFonts w:ascii="黑体"/>
                <w:sz w:val="20"/>
              </w:rPr>
            </w:pPr>
          </w:p>
          <w:p>
            <w:pPr>
              <w:pStyle w:val="TableParagraph"/>
              <w:spacing w:before="3"/>
              <w:rPr>
                <w:rFonts w:ascii="黑体"/>
                <w:sz w:val="17"/>
              </w:rPr>
            </w:pPr>
          </w:p>
          <w:p>
            <w:pPr>
              <w:pStyle w:val="TableParagraph"/>
              <w:ind w:left="115" w:right="108"/>
              <w:jc w:val="center"/>
              <w:rPr>
                <w:rFonts w:ascii="Microsoft JhengHei" w:eastAsia="Microsoft JhengHei" w:hint="eastAsia"/>
                <w:b/>
                <w:sz w:val="21"/>
              </w:rPr>
            </w:pPr>
            <w:r>
              <w:rPr>
                <w:rFonts w:ascii="Microsoft JhengHei" w:eastAsia="Microsoft JhengHei" w:hint="eastAsia"/>
                <w:b/>
                <w:sz w:val="21"/>
              </w:rPr>
              <w:t>危险源名称</w:t>
            </w:r>
          </w:p>
          <w:p>
            <w:pPr>
              <w:pStyle w:val="TableParagraph"/>
              <w:spacing w:line="324" w:lineRule="auto" w:before="15"/>
              <w:ind w:left="118" w:right="108"/>
              <w:jc w:val="center"/>
              <w:rPr>
                <w:sz w:val="18"/>
              </w:rPr>
            </w:pPr>
            <w:r>
              <w:rPr>
                <w:sz w:val="18"/>
              </w:rPr>
              <w:t>（参照第三章危险源定义及注释 4）</w:t>
            </w:r>
          </w:p>
        </w:tc>
        <w:tc>
          <w:tcPr>
            <w:tcW w:w="1701" w:type="dxa"/>
            <w:vMerge w:val="restart"/>
          </w:tcPr>
          <w:p>
            <w:pPr>
              <w:pStyle w:val="TableParagraph"/>
              <w:rPr>
                <w:rFonts w:ascii="黑体"/>
                <w:sz w:val="20"/>
              </w:rPr>
            </w:pPr>
          </w:p>
          <w:p>
            <w:pPr>
              <w:pStyle w:val="TableParagraph"/>
              <w:rPr>
                <w:rFonts w:ascii="黑体"/>
                <w:sz w:val="20"/>
              </w:rPr>
            </w:pPr>
          </w:p>
          <w:p>
            <w:pPr>
              <w:pStyle w:val="TableParagraph"/>
              <w:spacing w:before="5"/>
              <w:rPr>
                <w:rFonts w:ascii="黑体"/>
                <w:sz w:val="29"/>
              </w:rPr>
            </w:pPr>
          </w:p>
          <w:p>
            <w:pPr>
              <w:pStyle w:val="TableParagraph"/>
              <w:spacing w:line="349" w:lineRule="exact"/>
              <w:ind w:left="93" w:right="84"/>
              <w:jc w:val="center"/>
              <w:rPr>
                <w:rFonts w:ascii="Microsoft JhengHei" w:eastAsia="Microsoft JhengHei" w:hint="eastAsia"/>
                <w:b/>
                <w:sz w:val="21"/>
              </w:rPr>
            </w:pPr>
            <w:r>
              <w:rPr>
                <w:rFonts w:ascii="Microsoft JhengHei" w:eastAsia="Microsoft JhengHei" w:hint="eastAsia"/>
                <w:b/>
                <w:sz w:val="21"/>
              </w:rPr>
              <w:t>危险源</w:t>
            </w:r>
          </w:p>
          <w:p>
            <w:pPr>
              <w:pStyle w:val="TableParagraph"/>
              <w:spacing w:line="349" w:lineRule="exact"/>
              <w:ind w:left="93" w:right="86"/>
              <w:jc w:val="center"/>
              <w:rPr>
                <w:rFonts w:ascii="Microsoft JhengHei" w:eastAsia="Microsoft JhengHei" w:hint="eastAsia"/>
                <w:b/>
                <w:sz w:val="21"/>
              </w:rPr>
            </w:pPr>
            <w:r>
              <w:rPr>
                <w:rFonts w:ascii="Microsoft JhengHei" w:eastAsia="Microsoft JhengHei" w:hint="eastAsia"/>
                <w:b/>
                <w:sz w:val="21"/>
              </w:rPr>
              <w:t>管理的主责部门</w:t>
            </w:r>
          </w:p>
        </w:tc>
        <w:tc>
          <w:tcPr>
            <w:tcW w:w="567" w:type="dxa"/>
            <w:vMerge w:val="restart"/>
          </w:tcPr>
          <w:p>
            <w:pPr>
              <w:pStyle w:val="TableParagraph"/>
              <w:rPr>
                <w:rFonts w:ascii="黑体"/>
                <w:sz w:val="20"/>
              </w:rPr>
            </w:pPr>
          </w:p>
          <w:p>
            <w:pPr>
              <w:pStyle w:val="TableParagraph"/>
              <w:rPr>
                <w:rFonts w:ascii="黑体"/>
                <w:sz w:val="17"/>
              </w:rPr>
            </w:pPr>
          </w:p>
          <w:p>
            <w:pPr>
              <w:pStyle w:val="TableParagraph"/>
              <w:spacing w:line="194" w:lineRule="auto"/>
              <w:ind w:left="177" w:right="168"/>
              <w:jc w:val="both"/>
              <w:rPr>
                <w:rFonts w:ascii="Microsoft JhengHei" w:eastAsia="Microsoft JhengHei" w:hint="eastAsia"/>
                <w:b/>
                <w:sz w:val="21"/>
              </w:rPr>
            </w:pPr>
            <w:r>
              <w:rPr>
                <w:rFonts w:ascii="Microsoft JhengHei" w:eastAsia="Microsoft JhengHei" w:hint="eastAsia"/>
                <w:b/>
                <w:sz w:val="21"/>
              </w:rPr>
              <w:t>重大危险源</w:t>
            </w:r>
          </w:p>
        </w:tc>
        <w:tc>
          <w:tcPr>
            <w:tcW w:w="2693" w:type="dxa"/>
            <w:gridSpan w:val="2"/>
          </w:tcPr>
          <w:p>
            <w:pPr>
              <w:pStyle w:val="TableParagraph"/>
              <w:spacing w:line="292" w:lineRule="exact"/>
              <w:ind w:left="817"/>
              <w:rPr>
                <w:rFonts w:ascii="Microsoft JhengHei" w:eastAsia="Microsoft JhengHei" w:hint="eastAsia"/>
                <w:b/>
                <w:sz w:val="21"/>
              </w:rPr>
            </w:pPr>
            <w:r>
              <w:rPr>
                <w:rFonts w:ascii="Microsoft JhengHei" w:eastAsia="Microsoft JhengHei" w:hint="eastAsia"/>
                <w:b/>
                <w:sz w:val="21"/>
              </w:rPr>
              <w:t>危险源识别</w:t>
            </w:r>
          </w:p>
        </w:tc>
        <w:tc>
          <w:tcPr>
            <w:tcW w:w="6095" w:type="dxa"/>
            <w:gridSpan w:val="5"/>
          </w:tcPr>
          <w:p>
            <w:pPr>
              <w:pStyle w:val="TableParagraph"/>
              <w:spacing w:line="292" w:lineRule="exact"/>
              <w:ind w:left="1887"/>
              <w:rPr>
                <w:rFonts w:ascii="Microsoft JhengHei" w:eastAsia="Microsoft JhengHei" w:hint="eastAsia"/>
                <w:b/>
                <w:sz w:val="21"/>
              </w:rPr>
            </w:pPr>
            <w:r>
              <w:rPr>
                <w:rFonts w:ascii="Microsoft JhengHei" w:eastAsia="Microsoft JhengHei" w:hint="eastAsia"/>
                <w:b/>
                <w:sz w:val="21"/>
              </w:rPr>
              <w:t>风险分析和风险评价分级</w:t>
            </w:r>
          </w:p>
        </w:tc>
        <w:tc>
          <w:tcPr>
            <w:tcW w:w="4678" w:type="dxa"/>
            <w:vMerge w:val="restart"/>
          </w:tcPr>
          <w:p>
            <w:pPr>
              <w:pStyle w:val="TableParagraph"/>
              <w:rPr>
                <w:rFonts w:ascii="黑体"/>
                <w:sz w:val="20"/>
              </w:rPr>
            </w:pPr>
          </w:p>
          <w:p>
            <w:pPr>
              <w:pStyle w:val="TableParagraph"/>
              <w:rPr>
                <w:rFonts w:ascii="黑体"/>
                <w:sz w:val="20"/>
              </w:rPr>
            </w:pPr>
          </w:p>
          <w:p>
            <w:pPr>
              <w:pStyle w:val="TableParagraph"/>
              <w:spacing w:before="5"/>
              <w:rPr>
                <w:rFonts w:ascii="黑体"/>
                <w:sz w:val="29"/>
              </w:rPr>
            </w:pPr>
          </w:p>
          <w:p>
            <w:pPr>
              <w:pStyle w:val="TableParagraph"/>
              <w:ind w:left="606" w:right="599"/>
              <w:jc w:val="center"/>
              <w:rPr>
                <w:rFonts w:ascii="Microsoft JhengHei" w:eastAsia="Microsoft JhengHei" w:hint="eastAsia"/>
                <w:b/>
                <w:sz w:val="21"/>
              </w:rPr>
            </w:pPr>
            <w:r>
              <w:rPr>
                <w:rFonts w:ascii="Microsoft JhengHei" w:eastAsia="Microsoft JhengHei" w:hint="eastAsia"/>
                <w:b/>
                <w:sz w:val="21"/>
              </w:rPr>
              <w:t>风险控制措施</w:t>
            </w:r>
          </w:p>
          <w:p>
            <w:pPr>
              <w:pStyle w:val="TableParagraph"/>
              <w:spacing w:before="16"/>
              <w:ind w:left="608" w:right="599"/>
              <w:jc w:val="center"/>
              <w:rPr>
                <w:sz w:val="18"/>
              </w:rPr>
            </w:pPr>
            <w:r>
              <w:rPr>
                <w:sz w:val="18"/>
              </w:rPr>
              <w:t>（如风险处于可接受，可填写“不涉及”）</w:t>
            </w:r>
          </w:p>
        </w:tc>
        <w:tc>
          <w:tcPr>
            <w:tcW w:w="4505" w:type="dxa"/>
            <w:gridSpan w:val="5"/>
            <w:vMerge w:val="restart"/>
          </w:tcPr>
          <w:p>
            <w:pPr>
              <w:pStyle w:val="TableParagraph"/>
              <w:spacing w:before="112"/>
              <w:ind w:left="790" w:right="781"/>
              <w:jc w:val="center"/>
              <w:rPr>
                <w:rFonts w:ascii="Microsoft JhengHei" w:eastAsia="Microsoft JhengHei" w:hint="eastAsia"/>
                <w:b/>
                <w:sz w:val="21"/>
              </w:rPr>
            </w:pPr>
            <w:r>
              <w:rPr>
                <w:rFonts w:ascii="Microsoft JhengHei" w:eastAsia="Microsoft JhengHei" w:hint="eastAsia"/>
                <w:b/>
                <w:sz w:val="21"/>
              </w:rPr>
              <w:t>剩余风险</w:t>
            </w:r>
          </w:p>
          <w:p>
            <w:pPr>
              <w:pStyle w:val="TableParagraph"/>
              <w:spacing w:before="18"/>
              <w:ind w:left="790" w:right="784"/>
              <w:jc w:val="center"/>
              <w:rPr>
                <w:sz w:val="18"/>
              </w:rPr>
            </w:pPr>
            <w:r>
              <w:rPr>
                <w:sz w:val="18"/>
              </w:rPr>
              <w:t>（参照第三章剩余风险定义及注释）</w:t>
            </w:r>
          </w:p>
        </w:tc>
      </w:tr>
      <w:tr>
        <w:trPr>
          <w:trHeight w:val="624" w:hRule="atLeast"/>
        </w:trPr>
        <w:tc>
          <w:tcPr>
            <w:tcW w:w="443" w:type="dxa"/>
            <w:vMerge/>
            <w:tcBorders>
              <w:top w:val="nil"/>
            </w:tcBorders>
          </w:tcPr>
          <w:p>
            <w:pPr>
              <w:rPr>
                <w:sz w:val="2"/>
                <w:szCs w:val="2"/>
              </w:rPr>
            </w:pPr>
          </w:p>
        </w:tc>
        <w:tc>
          <w:tcPr>
            <w:tcW w:w="1679" w:type="dxa"/>
            <w:vMerge/>
            <w:tcBorders>
              <w:top w:val="nil"/>
            </w:tcBorders>
          </w:tcPr>
          <w:p>
            <w:pPr>
              <w:rPr>
                <w:sz w:val="2"/>
                <w:szCs w:val="2"/>
              </w:rPr>
            </w:pPr>
          </w:p>
        </w:tc>
        <w:tc>
          <w:tcPr>
            <w:tcW w:w="1701" w:type="dxa"/>
            <w:vMerge/>
            <w:tcBorders>
              <w:top w:val="nil"/>
            </w:tcBorders>
          </w:tcPr>
          <w:p>
            <w:pPr>
              <w:rPr>
                <w:sz w:val="2"/>
                <w:szCs w:val="2"/>
              </w:rPr>
            </w:pPr>
          </w:p>
        </w:tc>
        <w:tc>
          <w:tcPr>
            <w:tcW w:w="567" w:type="dxa"/>
            <w:vMerge/>
            <w:tcBorders>
              <w:top w:val="nil"/>
            </w:tcBorders>
          </w:tcPr>
          <w:p>
            <w:pPr>
              <w:rPr>
                <w:sz w:val="2"/>
                <w:szCs w:val="2"/>
              </w:rPr>
            </w:pPr>
          </w:p>
        </w:tc>
        <w:tc>
          <w:tcPr>
            <w:tcW w:w="992" w:type="dxa"/>
            <w:vMerge w:val="restart"/>
          </w:tcPr>
          <w:p>
            <w:pPr>
              <w:pStyle w:val="TableParagraph"/>
              <w:rPr>
                <w:rFonts w:ascii="黑体"/>
                <w:sz w:val="20"/>
              </w:rPr>
            </w:pPr>
          </w:p>
          <w:p>
            <w:pPr>
              <w:pStyle w:val="TableParagraph"/>
              <w:rPr>
                <w:rFonts w:ascii="黑体"/>
                <w:sz w:val="20"/>
              </w:rPr>
            </w:pPr>
          </w:p>
          <w:p>
            <w:pPr>
              <w:pStyle w:val="TableParagraph"/>
              <w:spacing w:before="12"/>
              <w:rPr>
                <w:rFonts w:ascii="黑体"/>
                <w:sz w:val="20"/>
              </w:rPr>
            </w:pPr>
          </w:p>
          <w:p>
            <w:pPr>
              <w:pStyle w:val="TableParagraph"/>
              <w:spacing w:line="194" w:lineRule="auto"/>
              <w:ind w:left="284" w:right="169" w:hanging="106"/>
              <w:rPr>
                <w:rFonts w:ascii="Microsoft JhengHei" w:eastAsia="Microsoft JhengHei" w:hint="eastAsia"/>
                <w:b/>
                <w:sz w:val="21"/>
              </w:rPr>
            </w:pPr>
            <w:r>
              <w:rPr>
                <w:rFonts w:ascii="Microsoft JhengHei" w:eastAsia="Microsoft JhengHei" w:hint="eastAsia"/>
                <w:b/>
                <w:sz w:val="21"/>
              </w:rPr>
              <w:t>危险源来源</w:t>
            </w:r>
          </w:p>
        </w:tc>
        <w:tc>
          <w:tcPr>
            <w:tcW w:w="1701" w:type="dxa"/>
            <w:vMerge w:val="restart"/>
          </w:tcPr>
          <w:p>
            <w:pPr>
              <w:pStyle w:val="TableParagraph"/>
              <w:rPr>
                <w:rFonts w:ascii="黑体"/>
                <w:sz w:val="20"/>
              </w:rPr>
            </w:pPr>
          </w:p>
          <w:p>
            <w:pPr>
              <w:pStyle w:val="TableParagraph"/>
              <w:spacing w:before="8"/>
              <w:rPr>
                <w:rFonts w:ascii="黑体"/>
                <w:sz w:val="24"/>
              </w:rPr>
            </w:pPr>
          </w:p>
          <w:p>
            <w:pPr>
              <w:pStyle w:val="TableParagraph"/>
              <w:ind w:left="92" w:right="87"/>
              <w:jc w:val="center"/>
              <w:rPr>
                <w:rFonts w:ascii="Microsoft JhengHei" w:eastAsia="Microsoft JhengHei" w:hint="eastAsia"/>
                <w:b/>
                <w:sz w:val="21"/>
              </w:rPr>
            </w:pPr>
            <w:r>
              <w:rPr>
                <w:rFonts w:ascii="Microsoft JhengHei" w:eastAsia="Microsoft JhengHei" w:hint="eastAsia"/>
                <w:b/>
                <w:sz w:val="21"/>
              </w:rPr>
              <w:t>可能导致的后果</w:t>
            </w:r>
          </w:p>
          <w:p>
            <w:pPr>
              <w:pStyle w:val="TableParagraph"/>
              <w:spacing w:line="324" w:lineRule="auto" w:before="16"/>
              <w:ind w:left="130" w:right="118"/>
              <w:jc w:val="center"/>
              <w:rPr>
                <w:sz w:val="18"/>
              </w:rPr>
            </w:pPr>
            <w:r>
              <w:rPr>
                <w:sz w:val="18"/>
              </w:rPr>
              <w:t>（事故、征候、一般事件等）</w:t>
            </w:r>
          </w:p>
        </w:tc>
        <w:tc>
          <w:tcPr>
            <w:tcW w:w="3260" w:type="dxa"/>
            <w:vMerge w:val="restart"/>
          </w:tcPr>
          <w:p>
            <w:pPr>
              <w:pStyle w:val="TableParagraph"/>
              <w:rPr>
                <w:rFonts w:ascii="黑体"/>
                <w:sz w:val="20"/>
              </w:rPr>
            </w:pPr>
          </w:p>
          <w:p>
            <w:pPr>
              <w:pStyle w:val="TableParagraph"/>
              <w:spacing w:before="8"/>
              <w:rPr>
                <w:rFonts w:ascii="黑体"/>
                <w:sz w:val="24"/>
              </w:rPr>
            </w:pPr>
          </w:p>
          <w:p>
            <w:pPr>
              <w:pStyle w:val="TableParagraph"/>
              <w:ind w:left="186" w:right="179"/>
              <w:jc w:val="center"/>
              <w:rPr>
                <w:rFonts w:ascii="Microsoft JhengHei" w:eastAsia="Microsoft JhengHei" w:hint="eastAsia"/>
                <w:b/>
                <w:sz w:val="21"/>
              </w:rPr>
            </w:pPr>
            <w:r>
              <w:rPr>
                <w:rFonts w:ascii="Microsoft JhengHei" w:eastAsia="Microsoft JhengHei" w:hint="eastAsia"/>
                <w:b/>
                <w:sz w:val="21"/>
              </w:rPr>
              <w:t>现有风险控制措施</w:t>
            </w:r>
          </w:p>
          <w:p>
            <w:pPr>
              <w:pStyle w:val="TableParagraph"/>
              <w:spacing w:line="324" w:lineRule="auto" w:before="16"/>
              <w:ind w:left="188" w:right="179"/>
              <w:jc w:val="center"/>
              <w:rPr>
                <w:sz w:val="18"/>
              </w:rPr>
            </w:pPr>
            <w:r>
              <w:rPr>
                <w:sz w:val="18"/>
              </w:rPr>
              <w:t>（针对危险源已有的规章制度和操作规程、技术、培训等）</w:t>
            </w:r>
          </w:p>
        </w:tc>
        <w:tc>
          <w:tcPr>
            <w:tcW w:w="2835" w:type="dxa"/>
            <w:gridSpan w:val="4"/>
          </w:tcPr>
          <w:p>
            <w:pPr>
              <w:pStyle w:val="TableParagraph"/>
              <w:spacing w:line="337" w:lineRule="exact"/>
              <w:ind w:left="586" w:right="575"/>
              <w:jc w:val="center"/>
              <w:rPr>
                <w:rFonts w:ascii="Microsoft JhengHei" w:eastAsia="Microsoft JhengHei" w:hint="eastAsia"/>
                <w:b/>
                <w:sz w:val="21"/>
              </w:rPr>
            </w:pPr>
            <w:r>
              <w:rPr>
                <w:rFonts w:ascii="Microsoft JhengHei" w:eastAsia="Microsoft JhengHei" w:hint="eastAsia"/>
                <w:b/>
                <w:sz w:val="21"/>
              </w:rPr>
              <w:t>风险分级</w:t>
            </w:r>
          </w:p>
          <w:p>
            <w:pPr>
              <w:pStyle w:val="TableParagraph"/>
              <w:spacing w:before="15"/>
              <w:ind w:left="586" w:right="578"/>
              <w:jc w:val="center"/>
              <w:rPr>
                <w:sz w:val="18"/>
              </w:rPr>
            </w:pPr>
            <w:r>
              <w:rPr>
                <w:sz w:val="18"/>
              </w:rPr>
              <w:t>（参照第七章 7.4）</w:t>
            </w:r>
          </w:p>
        </w:tc>
        <w:tc>
          <w:tcPr>
            <w:tcW w:w="4678" w:type="dxa"/>
            <w:vMerge/>
            <w:tcBorders>
              <w:top w:val="nil"/>
            </w:tcBorders>
          </w:tcPr>
          <w:p>
            <w:pPr>
              <w:rPr>
                <w:sz w:val="2"/>
                <w:szCs w:val="2"/>
              </w:rPr>
            </w:pPr>
          </w:p>
        </w:tc>
        <w:tc>
          <w:tcPr>
            <w:tcW w:w="4505" w:type="dxa"/>
            <w:gridSpan w:val="5"/>
            <w:vMerge/>
            <w:tcBorders>
              <w:top w:val="nil"/>
            </w:tcBorders>
          </w:tcPr>
          <w:p>
            <w:pPr>
              <w:rPr>
                <w:sz w:val="2"/>
                <w:szCs w:val="2"/>
              </w:rPr>
            </w:pPr>
          </w:p>
        </w:tc>
      </w:tr>
      <w:tr>
        <w:trPr>
          <w:trHeight w:val="1545" w:hRule="atLeast"/>
        </w:trPr>
        <w:tc>
          <w:tcPr>
            <w:tcW w:w="443" w:type="dxa"/>
            <w:vMerge/>
            <w:tcBorders>
              <w:top w:val="nil"/>
            </w:tcBorders>
          </w:tcPr>
          <w:p>
            <w:pPr>
              <w:rPr>
                <w:sz w:val="2"/>
                <w:szCs w:val="2"/>
              </w:rPr>
            </w:pPr>
          </w:p>
        </w:tc>
        <w:tc>
          <w:tcPr>
            <w:tcW w:w="1679" w:type="dxa"/>
            <w:vMerge/>
            <w:tcBorders>
              <w:top w:val="nil"/>
            </w:tcBorders>
          </w:tcPr>
          <w:p>
            <w:pPr>
              <w:rPr>
                <w:sz w:val="2"/>
                <w:szCs w:val="2"/>
              </w:rPr>
            </w:pPr>
          </w:p>
        </w:tc>
        <w:tc>
          <w:tcPr>
            <w:tcW w:w="1701" w:type="dxa"/>
            <w:vMerge/>
            <w:tcBorders>
              <w:top w:val="nil"/>
            </w:tcBorders>
          </w:tcPr>
          <w:p>
            <w:pPr>
              <w:rPr>
                <w:sz w:val="2"/>
                <w:szCs w:val="2"/>
              </w:rPr>
            </w:pPr>
          </w:p>
        </w:tc>
        <w:tc>
          <w:tcPr>
            <w:tcW w:w="567" w:type="dxa"/>
            <w:vMerge/>
            <w:tcBorders>
              <w:top w:val="nil"/>
            </w:tcBorders>
          </w:tcPr>
          <w:p>
            <w:pPr>
              <w:rPr>
                <w:sz w:val="2"/>
                <w:szCs w:val="2"/>
              </w:rPr>
            </w:pPr>
          </w:p>
        </w:tc>
        <w:tc>
          <w:tcPr>
            <w:tcW w:w="992" w:type="dxa"/>
            <w:vMerge/>
            <w:tcBorders>
              <w:top w:val="nil"/>
            </w:tcBorders>
          </w:tcPr>
          <w:p>
            <w:pPr>
              <w:rPr>
                <w:sz w:val="2"/>
                <w:szCs w:val="2"/>
              </w:rPr>
            </w:pPr>
          </w:p>
        </w:tc>
        <w:tc>
          <w:tcPr>
            <w:tcW w:w="1701" w:type="dxa"/>
            <w:vMerge/>
            <w:tcBorders>
              <w:top w:val="nil"/>
            </w:tcBorders>
          </w:tcPr>
          <w:p>
            <w:pPr>
              <w:rPr>
                <w:sz w:val="2"/>
                <w:szCs w:val="2"/>
              </w:rPr>
            </w:pPr>
          </w:p>
        </w:tc>
        <w:tc>
          <w:tcPr>
            <w:tcW w:w="3260" w:type="dxa"/>
            <w:vMerge/>
            <w:tcBorders>
              <w:top w:val="nil"/>
            </w:tcBorders>
          </w:tcPr>
          <w:p>
            <w:pPr>
              <w:rPr>
                <w:sz w:val="2"/>
                <w:szCs w:val="2"/>
              </w:rPr>
            </w:pPr>
          </w:p>
        </w:tc>
        <w:tc>
          <w:tcPr>
            <w:tcW w:w="567" w:type="dxa"/>
          </w:tcPr>
          <w:p>
            <w:pPr>
              <w:pStyle w:val="TableParagraph"/>
              <w:rPr>
                <w:rFonts w:ascii="黑体"/>
                <w:sz w:val="24"/>
              </w:rPr>
            </w:pPr>
          </w:p>
          <w:p>
            <w:pPr>
              <w:pStyle w:val="TableParagraph"/>
              <w:spacing w:line="194" w:lineRule="auto"/>
              <w:ind w:left="178" w:right="167"/>
              <w:jc w:val="both"/>
              <w:rPr>
                <w:rFonts w:ascii="Microsoft JhengHei" w:eastAsia="Microsoft JhengHei" w:hint="eastAsia"/>
                <w:b/>
                <w:sz w:val="21"/>
              </w:rPr>
            </w:pPr>
            <w:r>
              <w:rPr>
                <w:rFonts w:ascii="Microsoft JhengHei" w:eastAsia="Microsoft JhengHei" w:hint="eastAsia"/>
                <w:b/>
                <w:sz w:val="21"/>
              </w:rPr>
              <w:t>可能性</w:t>
            </w:r>
          </w:p>
        </w:tc>
        <w:tc>
          <w:tcPr>
            <w:tcW w:w="567" w:type="dxa"/>
          </w:tcPr>
          <w:p>
            <w:pPr>
              <w:pStyle w:val="TableParagraph"/>
              <w:rPr>
                <w:rFonts w:ascii="黑体"/>
                <w:sz w:val="24"/>
              </w:rPr>
            </w:pPr>
          </w:p>
          <w:p>
            <w:pPr>
              <w:pStyle w:val="TableParagraph"/>
              <w:spacing w:line="194" w:lineRule="auto"/>
              <w:ind w:left="177" w:right="168"/>
              <w:jc w:val="both"/>
              <w:rPr>
                <w:rFonts w:ascii="Microsoft JhengHei" w:eastAsia="Microsoft JhengHei" w:hint="eastAsia"/>
                <w:b/>
                <w:sz w:val="21"/>
              </w:rPr>
            </w:pPr>
            <w:r>
              <w:rPr>
                <w:rFonts w:ascii="Microsoft JhengHei" w:eastAsia="Microsoft JhengHei" w:hint="eastAsia"/>
                <w:b/>
                <w:sz w:val="21"/>
              </w:rPr>
              <w:t>严重性</w:t>
            </w:r>
          </w:p>
        </w:tc>
        <w:tc>
          <w:tcPr>
            <w:tcW w:w="567" w:type="dxa"/>
          </w:tcPr>
          <w:p>
            <w:pPr>
              <w:pStyle w:val="TableParagraph"/>
              <w:rPr>
                <w:rFonts w:ascii="黑体"/>
                <w:sz w:val="24"/>
              </w:rPr>
            </w:pPr>
          </w:p>
          <w:p>
            <w:pPr>
              <w:pStyle w:val="TableParagraph"/>
              <w:spacing w:line="194" w:lineRule="auto"/>
              <w:ind w:left="177" w:right="168"/>
              <w:jc w:val="both"/>
              <w:rPr>
                <w:rFonts w:ascii="Microsoft JhengHei" w:eastAsia="Microsoft JhengHei" w:hint="eastAsia"/>
                <w:b/>
                <w:sz w:val="21"/>
              </w:rPr>
            </w:pPr>
            <w:r>
              <w:rPr>
                <w:rFonts w:ascii="Microsoft JhengHei" w:eastAsia="Microsoft JhengHei" w:hint="eastAsia"/>
                <w:b/>
                <w:sz w:val="21"/>
              </w:rPr>
              <w:t>风险值</w:t>
            </w:r>
          </w:p>
        </w:tc>
        <w:tc>
          <w:tcPr>
            <w:tcW w:w="1134" w:type="dxa"/>
          </w:tcPr>
          <w:p>
            <w:pPr>
              <w:pStyle w:val="TableParagraph"/>
              <w:rPr>
                <w:rFonts w:ascii="黑体"/>
                <w:sz w:val="20"/>
              </w:rPr>
            </w:pPr>
          </w:p>
          <w:p>
            <w:pPr>
              <w:pStyle w:val="TableParagraph"/>
              <w:spacing w:before="2"/>
              <w:rPr>
                <w:rFonts w:ascii="黑体"/>
                <w:sz w:val="16"/>
              </w:rPr>
            </w:pPr>
          </w:p>
          <w:p>
            <w:pPr>
              <w:pStyle w:val="TableParagraph"/>
              <w:spacing w:line="194" w:lineRule="auto" w:before="1"/>
              <w:ind w:left="356" w:right="134" w:hanging="212"/>
              <w:rPr>
                <w:rFonts w:ascii="Microsoft JhengHei" w:eastAsia="Microsoft JhengHei" w:hint="eastAsia"/>
                <w:b/>
                <w:sz w:val="21"/>
              </w:rPr>
            </w:pPr>
            <w:r>
              <w:rPr>
                <w:rFonts w:ascii="Microsoft JhengHei" w:eastAsia="Microsoft JhengHei" w:hint="eastAsia"/>
                <w:b/>
                <w:sz w:val="21"/>
              </w:rPr>
              <w:t>风险评价分级</w:t>
            </w:r>
          </w:p>
        </w:tc>
        <w:tc>
          <w:tcPr>
            <w:tcW w:w="4678" w:type="dxa"/>
            <w:vMerge/>
            <w:tcBorders>
              <w:top w:val="nil"/>
            </w:tcBorders>
          </w:tcPr>
          <w:p>
            <w:pPr>
              <w:rPr>
                <w:sz w:val="2"/>
                <w:szCs w:val="2"/>
              </w:rPr>
            </w:pPr>
          </w:p>
        </w:tc>
        <w:tc>
          <w:tcPr>
            <w:tcW w:w="567" w:type="dxa"/>
          </w:tcPr>
          <w:p>
            <w:pPr>
              <w:pStyle w:val="TableParagraph"/>
              <w:rPr>
                <w:rFonts w:ascii="黑体"/>
                <w:sz w:val="24"/>
              </w:rPr>
            </w:pPr>
          </w:p>
          <w:p>
            <w:pPr>
              <w:pStyle w:val="TableParagraph"/>
              <w:spacing w:line="194" w:lineRule="auto"/>
              <w:ind w:left="177" w:right="168"/>
              <w:jc w:val="both"/>
              <w:rPr>
                <w:rFonts w:ascii="Microsoft JhengHei" w:eastAsia="Microsoft JhengHei" w:hint="eastAsia"/>
                <w:b/>
                <w:sz w:val="21"/>
              </w:rPr>
            </w:pPr>
            <w:r>
              <w:rPr>
                <w:rFonts w:ascii="Microsoft JhengHei" w:eastAsia="Microsoft JhengHei" w:hint="eastAsia"/>
                <w:b/>
                <w:sz w:val="21"/>
              </w:rPr>
              <w:t>可能性</w:t>
            </w:r>
          </w:p>
        </w:tc>
        <w:tc>
          <w:tcPr>
            <w:tcW w:w="567" w:type="dxa"/>
          </w:tcPr>
          <w:p>
            <w:pPr>
              <w:pStyle w:val="TableParagraph"/>
              <w:rPr>
                <w:rFonts w:ascii="黑体"/>
                <w:sz w:val="24"/>
              </w:rPr>
            </w:pPr>
          </w:p>
          <w:p>
            <w:pPr>
              <w:pStyle w:val="TableParagraph"/>
              <w:spacing w:line="194" w:lineRule="auto"/>
              <w:ind w:left="176" w:right="169"/>
              <w:jc w:val="both"/>
              <w:rPr>
                <w:rFonts w:ascii="Microsoft JhengHei" w:eastAsia="Microsoft JhengHei" w:hint="eastAsia"/>
                <w:b/>
                <w:sz w:val="21"/>
              </w:rPr>
            </w:pPr>
            <w:r>
              <w:rPr>
                <w:rFonts w:ascii="Microsoft JhengHei" w:eastAsia="Microsoft JhengHei" w:hint="eastAsia"/>
                <w:b/>
                <w:sz w:val="21"/>
              </w:rPr>
              <w:t>严重性</w:t>
            </w:r>
          </w:p>
        </w:tc>
        <w:tc>
          <w:tcPr>
            <w:tcW w:w="567" w:type="dxa"/>
          </w:tcPr>
          <w:p>
            <w:pPr>
              <w:pStyle w:val="TableParagraph"/>
              <w:rPr>
                <w:rFonts w:ascii="黑体"/>
                <w:sz w:val="24"/>
              </w:rPr>
            </w:pPr>
          </w:p>
          <w:p>
            <w:pPr>
              <w:pStyle w:val="TableParagraph"/>
              <w:spacing w:line="194" w:lineRule="auto"/>
              <w:ind w:left="178" w:right="167"/>
              <w:jc w:val="both"/>
              <w:rPr>
                <w:rFonts w:ascii="Microsoft JhengHei" w:eastAsia="Microsoft JhengHei" w:hint="eastAsia"/>
                <w:b/>
                <w:sz w:val="21"/>
              </w:rPr>
            </w:pPr>
            <w:r>
              <w:rPr>
                <w:rFonts w:ascii="Microsoft JhengHei" w:eastAsia="Microsoft JhengHei" w:hint="eastAsia"/>
                <w:b/>
                <w:sz w:val="21"/>
              </w:rPr>
              <w:t>风险值</w:t>
            </w:r>
          </w:p>
        </w:tc>
        <w:tc>
          <w:tcPr>
            <w:tcW w:w="1134" w:type="dxa"/>
          </w:tcPr>
          <w:p>
            <w:pPr>
              <w:pStyle w:val="TableParagraph"/>
              <w:rPr>
                <w:rFonts w:ascii="黑体"/>
                <w:sz w:val="20"/>
              </w:rPr>
            </w:pPr>
          </w:p>
          <w:p>
            <w:pPr>
              <w:pStyle w:val="TableParagraph"/>
              <w:spacing w:before="2"/>
              <w:rPr>
                <w:rFonts w:ascii="黑体"/>
                <w:sz w:val="16"/>
              </w:rPr>
            </w:pPr>
          </w:p>
          <w:p>
            <w:pPr>
              <w:pStyle w:val="TableParagraph"/>
              <w:spacing w:line="194" w:lineRule="auto" w:before="1"/>
              <w:ind w:left="355" w:right="135" w:hanging="212"/>
              <w:rPr>
                <w:rFonts w:ascii="Microsoft JhengHei" w:eastAsia="Microsoft JhengHei" w:hint="eastAsia"/>
                <w:b/>
                <w:sz w:val="21"/>
              </w:rPr>
            </w:pPr>
            <w:r>
              <w:rPr>
                <w:rFonts w:ascii="Microsoft JhengHei" w:eastAsia="Microsoft JhengHei" w:hint="eastAsia"/>
                <w:b/>
                <w:sz w:val="21"/>
              </w:rPr>
              <w:t>风险评价分级</w:t>
            </w:r>
          </w:p>
        </w:tc>
        <w:tc>
          <w:tcPr>
            <w:tcW w:w="1670" w:type="dxa"/>
          </w:tcPr>
          <w:p>
            <w:pPr>
              <w:pStyle w:val="TableParagraph"/>
              <w:spacing w:line="194" w:lineRule="auto" w:before="152"/>
              <w:ind w:left="200" w:right="194"/>
              <w:jc w:val="center"/>
              <w:rPr>
                <w:rFonts w:ascii="Microsoft JhengHei" w:eastAsia="Microsoft JhengHei" w:hint="eastAsia"/>
                <w:b/>
                <w:sz w:val="21"/>
              </w:rPr>
            </w:pPr>
            <w:r>
              <w:rPr>
                <w:rFonts w:ascii="Microsoft JhengHei" w:eastAsia="Microsoft JhengHei" w:hint="eastAsia"/>
                <w:b/>
                <w:sz w:val="21"/>
              </w:rPr>
              <w:t>是否衍生新的危险源</w:t>
            </w:r>
          </w:p>
          <w:p>
            <w:pPr>
              <w:pStyle w:val="TableParagraph"/>
              <w:spacing w:line="324" w:lineRule="auto" w:before="35"/>
              <w:ind w:left="114" w:right="103"/>
              <w:jc w:val="center"/>
              <w:rPr>
                <w:sz w:val="18"/>
              </w:rPr>
            </w:pPr>
            <w:r>
              <w:rPr>
                <w:sz w:val="18"/>
              </w:rPr>
              <w:t>（如是，填写新危险源名称和编号）</w:t>
            </w:r>
          </w:p>
        </w:tc>
      </w:tr>
      <w:tr>
        <w:trPr>
          <w:trHeight w:val="4991" w:hRule="atLeast"/>
        </w:trPr>
        <w:tc>
          <w:tcPr>
            <w:tcW w:w="443"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4"/>
              <w:rPr>
                <w:rFonts w:ascii="黑体"/>
                <w:sz w:val="24"/>
              </w:rPr>
            </w:pPr>
          </w:p>
          <w:p>
            <w:pPr>
              <w:pStyle w:val="TableParagraph"/>
              <w:ind w:left="7"/>
              <w:jc w:val="center"/>
              <w:rPr>
                <w:sz w:val="21"/>
              </w:rPr>
            </w:pPr>
            <w:r>
              <w:rPr>
                <w:w w:val="99"/>
                <w:sz w:val="21"/>
              </w:rPr>
              <w:t>1</w:t>
            </w:r>
          </w:p>
        </w:tc>
        <w:tc>
          <w:tcPr>
            <w:tcW w:w="1679"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line="278" w:lineRule="auto"/>
              <w:ind w:left="108" w:right="98"/>
              <w:rPr>
                <w:sz w:val="21"/>
              </w:rPr>
            </w:pPr>
            <w:r>
              <w:rPr>
                <w:sz w:val="21"/>
              </w:rPr>
              <w:t>xx</w:t>
            </w:r>
            <w:r>
              <w:rPr>
                <w:spacing w:val="-58"/>
                <w:sz w:val="21"/>
              </w:rPr>
              <w:t>、</w:t>
            </w:r>
            <w:r>
              <w:rPr>
                <w:sz w:val="21"/>
              </w:rPr>
              <w:t>xx</w:t>
            </w:r>
            <w:r>
              <w:rPr>
                <w:spacing w:val="-38"/>
                <w:sz w:val="21"/>
              </w:rPr>
              <w:t> 等 </w:t>
            </w:r>
            <w:r>
              <w:rPr>
                <w:sz w:val="21"/>
              </w:rPr>
              <w:t>3</w:t>
            </w:r>
            <w:r>
              <w:rPr>
                <w:spacing w:val="-23"/>
                <w:sz w:val="21"/>
              </w:rPr>
              <w:t> 个机</w:t>
            </w:r>
            <w:r>
              <w:rPr>
                <w:sz w:val="21"/>
              </w:rPr>
              <w:t>场冬季湿滑或污染跑道</w:t>
            </w:r>
          </w:p>
        </w:tc>
        <w:tc>
          <w:tcPr>
            <w:tcW w:w="1701"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line="278" w:lineRule="auto" w:before="156"/>
              <w:ind w:left="640" w:right="105" w:hanging="526"/>
              <w:rPr>
                <w:sz w:val="21"/>
              </w:rPr>
            </w:pPr>
            <w:r>
              <w:rPr>
                <w:sz w:val="21"/>
              </w:rPr>
              <w:t>飞行部（航空公司）</w:t>
            </w:r>
          </w:p>
        </w:tc>
        <w:tc>
          <w:tcPr>
            <w:tcW w:w="567"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4"/>
              <w:rPr>
                <w:rFonts w:ascii="黑体"/>
                <w:sz w:val="24"/>
              </w:rPr>
            </w:pPr>
          </w:p>
          <w:p>
            <w:pPr>
              <w:pStyle w:val="TableParagraph"/>
              <w:ind w:left="7"/>
              <w:jc w:val="center"/>
              <w:rPr>
                <w:sz w:val="21"/>
              </w:rPr>
            </w:pPr>
            <w:r>
              <w:rPr>
                <w:w w:val="99"/>
                <w:sz w:val="21"/>
              </w:rPr>
              <w:t>否</w:t>
            </w:r>
          </w:p>
        </w:tc>
        <w:tc>
          <w:tcPr>
            <w:tcW w:w="992"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line="278" w:lineRule="auto" w:before="156"/>
              <w:ind w:left="390" w:right="169" w:hanging="209"/>
              <w:rPr>
                <w:sz w:val="21"/>
              </w:rPr>
            </w:pPr>
            <w:r>
              <w:rPr>
                <w:sz w:val="21"/>
              </w:rPr>
              <w:t>事件调查</w:t>
            </w:r>
          </w:p>
        </w:tc>
        <w:tc>
          <w:tcPr>
            <w:tcW w:w="1701"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4"/>
              <w:rPr>
                <w:rFonts w:ascii="黑体"/>
                <w:sz w:val="24"/>
              </w:rPr>
            </w:pPr>
          </w:p>
          <w:p>
            <w:pPr>
              <w:pStyle w:val="TableParagraph"/>
              <w:ind w:left="106"/>
              <w:rPr>
                <w:sz w:val="21"/>
              </w:rPr>
            </w:pPr>
            <w:r>
              <w:rPr>
                <w:sz w:val="21"/>
              </w:rPr>
              <w:t>飞机冲偏出跑道</w:t>
            </w:r>
          </w:p>
        </w:tc>
        <w:tc>
          <w:tcPr>
            <w:tcW w:w="3260"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10"/>
              <w:rPr>
                <w:rFonts w:ascii="黑体"/>
                <w:sz w:val="27"/>
              </w:rPr>
            </w:pPr>
          </w:p>
          <w:p>
            <w:pPr>
              <w:pStyle w:val="TableParagraph"/>
              <w:numPr>
                <w:ilvl w:val="0"/>
                <w:numId w:val="74"/>
              </w:numPr>
              <w:tabs>
                <w:tab w:pos="319" w:val="left" w:leader="none"/>
              </w:tabs>
              <w:spacing w:line="278" w:lineRule="auto" w:before="0" w:after="0"/>
              <w:ind w:left="107" w:right="200" w:firstLine="0"/>
              <w:jc w:val="left"/>
              <w:rPr>
                <w:sz w:val="21"/>
              </w:rPr>
            </w:pPr>
            <w:r>
              <w:rPr>
                <w:spacing w:val="-1"/>
                <w:sz w:val="21"/>
              </w:rPr>
              <w:t>模拟机训练中有湿滑跑道的训</w:t>
            </w:r>
            <w:r>
              <w:rPr>
                <w:sz w:val="21"/>
              </w:rPr>
              <w:t>练科目。</w:t>
            </w:r>
          </w:p>
          <w:p>
            <w:pPr>
              <w:pStyle w:val="TableParagraph"/>
              <w:numPr>
                <w:ilvl w:val="0"/>
                <w:numId w:val="74"/>
              </w:numPr>
              <w:tabs>
                <w:tab w:pos="319" w:val="left" w:leader="none"/>
              </w:tabs>
              <w:spacing w:line="278" w:lineRule="auto" w:before="0" w:after="0"/>
              <w:ind w:left="107" w:right="150" w:firstLine="0"/>
              <w:jc w:val="left"/>
              <w:rPr>
                <w:sz w:val="21"/>
              </w:rPr>
            </w:pPr>
            <w:r>
              <w:rPr>
                <w:sz w:val="21"/>
              </w:rPr>
              <w:t>FOCM</w:t>
            </w:r>
            <w:r>
              <w:rPr>
                <w:spacing w:val="-9"/>
                <w:sz w:val="21"/>
              </w:rPr>
              <w:t> 手册中有湿滑跑道的起降</w:t>
            </w:r>
            <w:r>
              <w:rPr>
                <w:sz w:val="21"/>
              </w:rPr>
              <w:t>标准和程序。</w:t>
            </w:r>
          </w:p>
        </w:tc>
        <w:tc>
          <w:tcPr>
            <w:tcW w:w="567"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4"/>
              <w:rPr>
                <w:rFonts w:ascii="黑体"/>
                <w:sz w:val="24"/>
              </w:rPr>
            </w:pPr>
          </w:p>
          <w:p>
            <w:pPr>
              <w:pStyle w:val="TableParagraph"/>
              <w:ind w:left="9"/>
              <w:jc w:val="center"/>
              <w:rPr>
                <w:sz w:val="21"/>
              </w:rPr>
            </w:pPr>
            <w:r>
              <w:rPr>
                <w:w w:val="99"/>
                <w:sz w:val="21"/>
              </w:rPr>
              <w:t>4</w:t>
            </w:r>
          </w:p>
        </w:tc>
        <w:tc>
          <w:tcPr>
            <w:tcW w:w="567"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4"/>
              <w:rPr>
                <w:rFonts w:ascii="黑体"/>
                <w:sz w:val="24"/>
              </w:rPr>
            </w:pPr>
          </w:p>
          <w:p>
            <w:pPr>
              <w:pStyle w:val="TableParagraph"/>
              <w:ind w:left="8"/>
              <w:jc w:val="center"/>
              <w:rPr>
                <w:sz w:val="21"/>
              </w:rPr>
            </w:pPr>
            <w:r>
              <w:rPr>
                <w:w w:val="99"/>
                <w:sz w:val="21"/>
              </w:rPr>
              <w:t>B</w:t>
            </w:r>
          </w:p>
        </w:tc>
        <w:tc>
          <w:tcPr>
            <w:tcW w:w="567"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4"/>
              <w:rPr>
                <w:rFonts w:ascii="黑体"/>
                <w:sz w:val="24"/>
              </w:rPr>
            </w:pPr>
          </w:p>
          <w:p>
            <w:pPr>
              <w:pStyle w:val="TableParagraph"/>
              <w:ind w:left="157" w:right="150"/>
              <w:jc w:val="center"/>
              <w:rPr>
                <w:sz w:val="21"/>
              </w:rPr>
            </w:pPr>
            <w:r>
              <w:rPr>
                <w:sz w:val="21"/>
              </w:rPr>
              <w:t>4B</w:t>
            </w:r>
          </w:p>
        </w:tc>
        <w:tc>
          <w:tcPr>
            <w:tcW w:w="1134"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line="278" w:lineRule="auto" w:before="156"/>
              <w:ind w:left="106" w:right="177"/>
              <w:rPr>
                <w:sz w:val="21"/>
              </w:rPr>
            </w:pPr>
            <w:r>
              <w:rPr>
                <w:sz w:val="21"/>
              </w:rPr>
              <w:t>不可接受风险</w:t>
            </w:r>
          </w:p>
        </w:tc>
        <w:tc>
          <w:tcPr>
            <w:tcW w:w="4678" w:type="dxa"/>
          </w:tcPr>
          <w:p>
            <w:pPr>
              <w:pStyle w:val="TableParagraph"/>
              <w:numPr>
                <w:ilvl w:val="0"/>
                <w:numId w:val="75"/>
              </w:numPr>
              <w:tabs>
                <w:tab w:pos="320" w:val="left" w:leader="none"/>
              </w:tabs>
              <w:spacing w:line="278" w:lineRule="auto" w:before="22" w:after="0"/>
              <w:ind w:left="108" w:right="151" w:firstLine="0"/>
              <w:jc w:val="left"/>
              <w:rPr>
                <w:sz w:val="21"/>
              </w:rPr>
            </w:pPr>
            <w:r>
              <w:rPr>
                <w:w w:val="95"/>
                <w:sz w:val="21"/>
              </w:rPr>
              <w:t>一个定检周期内有过刹车系统故障的飞机不运</w:t>
            </w:r>
            <w:r>
              <w:rPr>
                <w:sz w:val="21"/>
              </w:rPr>
              <w:t>行该机场。</w:t>
            </w:r>
          </w:p>
          <w:p>
            <w:pPr>
              <w:pStyle w:val="TableParagraph"/>
              <w:numPr>
                <w:ilvl w:val="0"/>
                <w:numId w:val="75"/>
              </w:numPr>
              <w:tabs>
                <w:tab w:pos="320" w:val="left" w:leader="none"/>
              </w:tabs>
              <w:spacing w:line="278" w:lineRule="auto" w:before="0" w:after="0"/>
              <w:ind w:left="108" w:right="151" w:firstLine="0"/>
              <w:jc w:val="left"/>
              <w:rPr>
                <w:sz w:val="21"/>
              </w:rPr>
            </w:pPr>
            <w:r>
              <w:rPr>
                <w:spacing w:val="-19"/>
                <w:sz w:val="21"/>
              </w:rPr>
              <w:t>结合 </w:t>
            </w:r>
            <w:r>
              <w:rPr>
                <w:sz w:val="21"/>
              </w:rPr>
              <w:t>QAR</w:t>
            </w:r>
            <w:r>
              <w:rPr>
                <w:spacing w:val="-8"/>
                <w:sz w:val="21"/>
              </w:rPr>
              <w:t> 监控状况，在模拟机复训中增加部分</w:t>
            </w:r>
            <w:r>
              <w:rPr>
                <w:spacing w:val="-12"/>
                <w:sz w:val="21"/>
              </w:rPr>
              <w:t>飞行员湿滑跑道起降训练不少于 </w:t>
            </w:r>
            <w:r>
              <w:rPr>
                <w:sz w:val="21"/>
              </w:rPr>
              <w:t>2</w:t>
            </w:r>
            <w:r>
              <w:rPr>
                <w:spacing w:val="-27"/>
                <w:sz w:val="21"/>
              </w:rPr>
              <w:t> 次</w:t>
            </w:r>
            <w:r>
              <w:rPr>
                <w:sz w:val="21"/>
              </w:rPr>
              <w:t>/场；</w:t>
            </w:r>
          </w:p>
          <w:p>
            <w:pPr>
              <w:pStyle w:val="TableParagraph"/>
              <w:numPr>
                <w:ilvl w:val="0"/>
                <w:numId w:val="75"/>
              </w:numPr>
              <w:tabs>
                <w:tab w:pos="320" w:val="left" w:leader="none"/>
              </w:tabs>
              <w:spacing w:line="278" w:lineRule="auto" w:before="0" w:after="0"/>
              <w:ind w:left="108" w:right="148" w:firstLine="0"/>
              <w:jc w:val="both"/>
              <w:rPr>
                <w:sz w:val="21"/>
              </w:rPr>
            </w:pPr>
            <w:r>
              <w:rPr>
                <w:w w:val="95"/>
                <w:sz w:val="21"/>
              </w:rPr>
              <w:t>在换季学习中增加湿滑跑道着陆的学习内容， 培训飞行机组强化主动了解天气变化趋势和雪情 </w:t>
            </w:r>
            <w:r>
              <w:rPr>
                <w:sz w:val="21"/>
              </w:rPr>
              <w:t>通告的意识。</w:t>
            </w:r>
          </w:p>
          <w:p>
            <w:pPr>
              <w:pStyle w:val="TableParagraph"/>
              <w:numPr>
                <w:ilvl w:val="0"/>
                <w:numId w:val="75"/>
              </w:numPr>
              <w:tabs>
                <w:tab w:pos="320" w:val="left" w:leader="none"/>
              </w:tabs>
              <w:spacing w:line="278" w:lineRule="auto" w:before="0" w:after="0"/>
              <w:ind w:left="108" w:right="151" w:firstLine="0"/>
              <w:jc w:val="both"/>
              <w:rPr>
                <w:sz w:val="21"/>
              </w:rPr>
            </w:pPr>
            <w:r>
              <w:rPr>
                <w:w w:val="95"/>
                <w:sz w:val="21"/>
              </w:rPr>
              <w:t>细化飞行准备，飞行机组要准确识读新的道面 状况评估报告和雪情通告相关内容；签派员要讲 解帮助机组掌握污染道面变化情况和污染物导致 </w:t>
            </w:r>
            <w:r>
              <w:rPr>
                <w:sz w:val="21"/>
              </w:rPr>
              <w:t>跑道变窄的信息。</w:t>
            </w:r>
          </w:p>
          <w:p>
            <w:pPr>
              <w:pStyle w:val="TableParagraph"/>
              <w:numPr>
                <w:ilvl w:val="0"/>
                <w:numId w:val="75"/>
              </w:numPr>
              <w:tabs>
                <w:tab w:pos="320" w:val="left" w:leader="none"/>
              </w:tabs>
              <w:spacing w:line="278" w:lineRule="auto" w:before="0" w:after="0"/>
              <w:ind w:left="108" w:right="148" w:firstLine="0"/>
              <w:jc w:val="both"/>
              <w:rPr>
                <w:sz w:val="21"/>
              </w:rPr>
            </w:pPr>
            <w:r>
              <w:rPr>
                <w:w w:val="95"/>
                <w:sz w:val="21"/>
              </w:rPr>
              <w:t>在现有标准框架下，进一步明确湿跑道和污染 跑道上的运行限制与侧风标准，作为冬季飞行前 </w:t>
            </w:r>
            <w:r>
              <w:rPr>
                <w:spacing w:val="-5"/>
                <w:sz w:val="21"/>
              </w:rPr>
              <w:t>准备抽查项，抽查率不低于 </w:t>
            </w:r>
            <w:r>
              <w:rPr>
                <w:sz w:val="21"/>
              </w:rPr>
              <w:t>50%。</w:t>
            </w:r>
          </w:p>
          <w:p>
            <w:pPr>
              <w:pStyle w:val="TableParagraph"/>
              <w:numPr>
                <w:ilvl w:val="0"/>
                <w:numId w:val="75"/>
              </w:numPr>
              <w:tabs>
                <w:tab w:pos="320" w:val="left" w:leader="none"/>
              </w:tabs>
              <w:spacing w:line="269" w:lineRule="exact" w:before="0" w:after="0"/>
              <w:ind w:left="319" w:right="0" w:hanging="212"/>
              <w:jc w:val="left"/>
              <w:rPr>
                <w:sz w:val="21"/>
              </w:rPr>
            </w:pPr>
            <w:r>
              <w:rPr>
                <w:sz w:val="21"/>
              </w:rPr>
              <w:t>下发警示，要求配载部门和飞行机组严格按程</w:t>
            </w:r>
          </w:p>
          <w:p>
            <w:pPr>
              <w:pStyle w:val="TableParagraph"/>
              <w:spacing w:before="42"/>
              <w:ind w:left="108"/>
              <w:rPr>
                <w:sz w:val="21"/>
              </w:rPr>
            </w:pPr>
            <w:r>
              <w:rPr>
                <w:sz w:val="21"/>
              </w:rPr>
              <w:t>序做好性能分析，防范起降时偏出跑道风险。</w:t>
            </w:r>
          </w:p>
        </w:tc>
        <w:tc>
          <w:tcPr>
            <w:tcW w:w="567"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4"/>
              <w:rPr>
                <w:rFonts w:ascii="黑体"/>
                <w:sz w:val="24"/>
              </w:rPr>
            </w:pPr>
          </w:p>
          <w:p>
            <w:pPr>
              <w:pStyle w:val="TableParagraph"/>
              <w:ind w:left="7"/>
              <w:jc w:val="center"/>
              <w:rPr>
                <w:sz w:val="21"/>
              </w:rPr>
            </w:pPr>
            <w:r>
              <w:rPr>
                <w:w w:val="99"/>
                <w:sz w:val="21"/>
              </w:rPr>
              <w:t>1</w:t>
            </w:r>
          </w:p>
        </w:tc>
        <w:tc>
          <w:tcPr>
            <w:tcW w:w="567"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4"/>
              <w:rPr>
                <w:rFonts w:ascii="黑体"/>
                <w:sz w:val="24"/>
              </w:rPr>
            </w:pPr>
          </w:p>
          <w:p>
            <w:pPr>
              <w:pStyle w:val="TableParagraph"/>
              <w:ind w:left="6"/>
              <w:jc w:val="center"/>
              <w:rPr>
                <w:sz w:val="21"/>
              </w:rPr>
            </w:pPr>
            <w:r>
              <w:rPr>
                <w:w w:val="99"/>
                <w:sz w:val="21"/>
              </w:rPr>
              <w:t>B</w:t>
            </w:r>
          </w:p>
        </w:tc>
        <w:tc>
          <w:tcPr>
            <w:tcW w:w="567"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4"/>
              <w:rPr>
                <w:rFonts w:ascii="黑体"/>
                <w:sz w:val="24"/>
              </w:rPr>
            </w:pPr>
          </w:p>
          <w:p>
            <w:pPr>
              <w:pStyle w:val="TableParagraph"/>
              <w:ind w:left="157" w:right="150"/>
              <w:jc w:val="center"/>
              <w:rPr>
                <w:sz w:val="21"/>
              </w:rPr>
            </w:pPr>
            <w:r>
              <w:rPr>
                <w:sz w:val="21"/>
              </w:rPr>
              <w:t>1B</w:t>
            </w:r>
          </w:p>
        </w:tc>
        <w:tc>
          <w:tcPr>
            <w:tcW w:w="1134"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4"/>
              <w:rPr>
                <w:rFonts w:ascii="黑体"/>
                <w:sz w:val="24"/>
              </w:rPr>
            </w:pPr>
          </w:p>
          <w:p>
            <w:pPr>
              <w:pStyle w:val="TableParagraph"/>
              <w:ind w:left="186" w:right="177"/>
              <w:jc w:val="center"/>
              <w:rPr>
                <w:sz w:val="21"/>
              </w:rPr>
            </w:pPr>
            <w:r>
              <w:rPr>
                <w:sz w:val="21"/>
              </w:rPr>
              <w:t>可接受</w:t>
            </w:r>
          </w:p>
        </w:tc>
        <w:tc>
          <w:tcPr>
            <w:tcW w:w="1670" w:type="dxa"/>
          </w:tcPr>
          <w:p>
            <w:pPr>
              <w:pStyle w:val="TableParagraph"/>
              <w:rPr>
                <w:rFonts w:ascii="Times New Roman"/>
                <w:sz w:val="20"/>
              </w:rPr>
            </w:pPr>
          </w:p>
        </w:tc>
      </w:tr>
      <w:tr>
        <w:trPr>
          <w:trHeight w:val="2808" w:hRule="atLeast"/>
        </w:trPr>
        <w:tc>
          <w:tcPr>
            <w:tcW w:w="443"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1"/>
              <w:rPr>
                <w:rFonts w:ascii="黑体"/>
                <w:sz w:val="19"/>
              </w:rPr>
            </w:pPr>
          </w:p>
          <w:p>
            <w:pPr>
              <w:pStyle w:val="TableParagraph"/>
              <w:ind w:left="7"/>
              <w:jc w:val="center"/>
              <w:rPr>
                <w:sz w:val="21"/>
              </w:rPr>
            </w:pPr>
            <w:r>
              <w:rPr>
                <w:w w:val="99"/>
                <w:sz w:val="21"/>
              </w:rPr>
              <w:t>2</w:t>
            </w:r>
          </w:p>
        </w:tc>
        <w:tc>
          <w:tcPr>
            <w:tcW w:w="1679"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9"/>
              <w:rPr>
                <w:rFonts w:ascii="黑体"/>
                <w:sz w:val="14"/>
              </w:rPr>
            </w:pPr>
          </w:p>
          <w:p>
            <w:pPr>
              <w:pStyle w:val="TableParagraph"/>
              <w:spacing w:line="278" w:lineRule="auto"/>
              <w:ind w:left="108" w:right="73"/>
              <w:rPr>
                <w:sz w:val="21"/>
              </w:rPr>
            </w:pPr>
            <w:r>
              <w:rPr>
                <w:sz w:val="21"/>
              </w:rPr>
              <w:t>XX 机场春季低空风切变、强乱流</w:t>
            </w:r>
          </w:p>
        </w:tc>
        <w:tc>
          <w:tcPr>
            <w:tcW w:w="1701"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11"/>
              <w:rPr>
                <w:rFonts w:ascii="黑体"/>
                <w:sz w:val="26"/>
              </w:rPr>
            </w:pPr>
          </w:p>
          <w:p>
            <w:pPr>
              <w:pStyle w:val="TableParagraph"/>
              <w:spacing w:line="278" w:lineRule="auto" w:before="1"/>
              <w:ind w:left="640" w:right="105" w:hanging="526"/>
              <w:rPr>
                <w:sz w:val="21"/>
              </w:rPr>
            </w:pPr>
            <w:r>
              <w:rPr>
                <w:sz w:val="21"/>
              </w:rPr>
              <w:t>飞行部（航空公司）</w:t>
            </w:r>
          </w:p>
        </w:tc>
        <w:tc>
          <w:tcPr>
            <w:tcW w:w="567"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1"/>
              <w:rPr>
                <w:rFonts w:ascii="黑体"/>
                <w:sz w:val="19"/>
              </w:rPr>
            </w:pPr>
          </w:p>
          <w:p>
            <w:pPr>
              <w:pStyle w:val="TableParagraph"/>
              <w:ind w:left="7"/>
              <w:jc w:val="center"/>
              <w:rPr>
                <w:sz w:val="21"/>
              </w:rPr>
            </w:pPr>
            <w:r>
              <w:rPr>
                <w:w w:val="99"/>
                <w:sz w:val="21"/>
              </w:rPr>
              <w:t>否</w:t>
            </w:r>
          </w:p>
        </w:tc>
        <w:tc>
          <w:tcPr>
            <w:tcW w:w="992"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11"/>
              <w:rPr>
                <w:rFonts w:ascii="黑体"/>
                <w:sz w:val="26"/>
              </w:rPr>
            </w:pPr>
          </w:p>
          <w:p>
            <w:pPr>
              <w:pStyle w:val="TableParagraph"/>
              <w:spacing w:line="278" w:lineRule="auto" w:before="1"/>
              <w:ind w:left="181" w:right="169"/>
              <w:rPr>
                <w:sz w:val="21"/>
              </w:rPr>
            </w:pPr>
            <w:r>
              <w:rPr>
                <w:sz w:val="21"/>
              </w:rPr>
              <w:t>自愿报告统计</w:t>
            </w:r>
          </w:p>
        </w:tc>
        <w:tc>
          <w:tcPr>
            <w:tcW w:w="1701"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1"/>
              <w:rPr>
                <w:rFonts w:ascii="黑体"/>
                <w:sz w:val="19"/>
              </w:rPr>
            </w:pPr>
          </w:p>
          <w:p>
            <w:pPr>
              <w:pStyle w:val="TableParagraph"/>
              <w:ind w:left="106"/>
              <w:rPr>
                <w:sz w:val="21"/>
              </w:rPr>
            </w:pPr>
            <w:r>
              <w:rPr>
                <w:sz w:val="21"/>
              </w:rPr>
              <w:t>飞机可控撞地</w:t>
            </w:r>
          </w:p>
        </w:tc>
        <w:tc>
          <w:tcPr>
            <w:tcW w:w="3260" w:type="dxa"/>
          </w:tcPr>
          <w:p>
            <w:pPr>
              <w:pStyle w:val="TableParagraph"/>
              <w:rPr>
                <w:rFonts w:ascii="黑体"/>
                <w:sz w:val="20"/>
              </w:rPr>
            </w:pPr>
          </w:p>
          <w:p>
            <w:pPr>
              <w:pStyle w:val="TableParagraph"/>
              <w:rPr>
                <w:rFonts w:ascii="黑体"/>
                <w:sz w:val="20"/>
              </w:rPr>
            </w:pPr>
          </w:p>
          <w:p>
            <w:pPr>
              <w:pStyle w:val="TableParagraph"/>
              <w:spacing w:before="7"/>
              <w:rPr>
                <w:rFonts w:ascii="黑体"/>
                <w:sz w:val="22"/>
              </w:rPr>
            </w:pPr>
          </w:p>
          <w:p>
            <w:pPr>
              <w:pStyle w:val="TableParagraph"/>
              <w:numPr>
                <w:ilvl w:val="0"/>
                <w:numId w:val="76"/>
              </w:numPr>
              <w:tabs>
                <w:tab w:pos="319" w:val="left" w:leader="none"/>
              </w:tabs>
              <w:spacing w:line="240" w:lineRule="auto" w:before="0" w:after="0"/>
              <w:ind w:left="318" w:right="0" w:hanging="212"/>
              <w:jc w:val="left"/>
              <w:rPr>
                <w:sz w:val="21"/>
              </w:rPr>
            </w:pPr>
            <w:r>
              <w:rPr>
                <w:sz w:val="21"/>
              </w:rPr>
              <w:t>运行手册天气标准</w:t>
            </w:r>
          </w:p>
          <w:p>
            <w:pPr>
              <w:pStyle w:val="TableParagraph"/>
              <w:numPr>
                <w:ilvl w:val="0"/>
                <w:numId w:val="76"/>
              </w:numPr>
              <w:tabs>
                <w:tab w:pos="319" w:val="left" w:leader="none"/>
              </w:tabs>
              <w:spacing w:line="278" w:lineRule="auto" w:before="43" w:after="0"/>
              <w:ind w:left="107" w:right="200" w:firstLine="0"/>
              <w:jc w:val="left"/>
              <w:rPr>
                <w:sz w:val="21"/>
              </w:rPr>
            </w:pPr>
            <w:r>
              <w:rPr>
                <w:spacing w:val="-1"/>
                <w:sz w:val="21"/>
              </w:rPr>
              <w:t>机组训练手册颠簸、风切变处</w:t>
            </w:r>
            <w:r>
              <w:rPr>
                <w:sz w:val="21"/>
              </w:rPr>
              <w:t>置程序</w:t>
            </w:r>
          </w:p>
          <w:p>
            <w:pPr>
              <w:pStyle w:val="TableParagraph"/>
              <w:numPr>
                <w:ilvl w:val="0"/>
                <w:numId w:val="76"/>
              </w:numPr>
              <w:tabs>
                <w:tab w:pos="319" w:val="left" w:leader="none"/>
              </w:tabs>
              <w:spacing w:line="269" w:lineRule="exact" w:before="0" w:after="0"/>
              <w:ind w:left="318" w:right="0" w:hanging="212"/>
              <w:jc w:val="left"/>
              <w:rPr>
                <w:sz w:val="21"/>
              </w:rPr>
            </w:pPr>
            <w:r>
              <w:rPr>
                <w:sz w:val="21"/>
              </w:rPr>
              <w:t>模拟机复训科目</w:t>
            </w:r>
          </w:p>
        </w:tc>
        <w:tc>
          <w:tcPr>
            <w:tcW w:w="567"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1"/>
              <w:rPr>
                <w:rFonts w:ascii="黑体"/>
                <w:sz w:val="19"/>
              </w:rPr>
            </w:pPr>
          </w:p>
          <w:p>
            <w:pPr>
              <w:pStyle w:val="TableParagraph"/>
              <w:ind w:left="9"/>
              <w:jc w:val="center"/>
              <w:rPr>
                <w:sz w:val="21"/>
              </w:rPr>
            </w:pPr>
            <w:r>
              <w:rPr>
                <w:w w:val="99"/>
                <w:sz w:val="21"/>
              </w:rPr>
              <w:t>2</w:t>
            </w:r>
          </w:p>
        </w:tc>
        <w:tc>
          <w:tcPr>
            <w:tcW w:w="567"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1"/>
              <w:rPr>
                <w:rFonts w:ascii="黑体"/>
                <w:sz w:val="19"/>
              </w:rPr>
            </w:pPr>
          </w:p>
          <w:p>
            <w:pPr>
              <w:pStyle w:val="TableParagraph"/>
              <w:ind w:left="8"/>
              <w:jc w:val="center"/>
              <w:rPr>
                <w:sz w:val="21"/>
              </w:rPr>
            </w:pPr>
            <w:r>
              <w:rPr>
                <w:w w:val="99"/>
                <w:sz w:val="21"/>
              </w:rPr>
              <w:t>A</w:t>
            </w:r>
          </w:p>
        </w:tc>
        <w:tc>
          <w:tcPr>
            <w:tcW w:w="567"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1"/>
              <w:rPr>
                <w:rFonts w:ascii="黑体"/>
                <w:sz w:val="19"/>
              </w:rPr>
            </w:pPr>
          </w:p>
          <w:p>
            <w:pPr>
              <w:pStyle w:val="TableParagraph"/>
              <w:ind w:left="157" w:right="150"/>
              <w:jc w:val="center"/>
              <w:rPr>
                <w:sz w:val="21"/>
              </w:rPr>
            </w:pPr>
            <w:r>
              <w:rPr>
                <w:sz w:val="21"/>
              </w:rPr>
              <w:t>2A</w:t>
            </w:r>
          </w:p>
        </w:tc>
        <w:tc>
          <w:tcPr>
            <w:tcW w:w="1134"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11"/>
              <w:rPr>
                <w:rFonts w:ascii="黑体"/>
                <w:sz w:val="26"/>
              </w:rPr>
            </w:pPr>
          </w:p>
          <w:p>
            <w:pPr>
              <w:pStyle w:val="TableParagraph"/>
              <w:spacing w:line="278" w:lineRule="auto" w:before="1"/>
              <w:ind w:left="106" w:right="177"/>
              <w:rPr>
                <w:sz w:val="21"/>
              </w:rPr>
            </w:pPr>
            <w:r>
              <w:rPr>
                <w:sz w:val="21"/>
              </w:rPr>
              <w:t>缓解后可接受风险</w:t>
            </w:r>
          </w:p>
        </w:tc>
        <w:tc>
          <w:tcPr>
            <w:tcW w:w="4678" w:type="dxa"/>
          </w:tcPr>
          <w:p>
            <w:pPr>
              <w:pStyle w:val="TableParagraph"/>
              <w:spacing w:line="278" w:lineRule="auto" w:before="22"/>
              <w:ind w:left="108" w:right="148"/>
              <w:rPr>
                <w:sz w:val="21"/>
              </w:rPr>
            </w:pPr>
            <w:r>
              <w:rPr>
                <w:sz w:val="21"/>
              </w:rPr>
              <w:t>1</w:t>
            </w:r>
            <w:r>
              <w:rPr>
                <w:spacing w:val="-3"/>
                <w:sz w:val="21"/>
              </w:rPr>
              <w:t>.报告及数据分析中乱流、风切变最集中的 </w:t>
            </w:r>
            <w:r>
              <w:rPr>
                <w:sz w:val="21"/>
              </w:rPr>
              <w:t>3-4 </w:t>
            </w:r>
            <w:r>
              <w:rPr>
                <w:w w:val="95"/>
                <w:sz w:val="21"/>
              </w:rPr>
              <w:t>月份，调整部分航班时刻，起降时刻避开下午风 </w:t>
            </w:r>
            <w:r>
              <w:rPr>
                <w:sz w:val="21"/>
              </w:rPr>
              <w:t>险最高的时段，降低遇到极端天气的可能性。 </w:t>
            </w:r>
            <w:r>
              <w:rPr>
                <w:w w:val="95"/>
                <w:sz w:val="21"/>
              </w:rPr>
              <w:t>2.并增加签派席位专项监控程序，预报、实况等 </w:t>
            </w:r>
            <w:r>
              <w:rPr>
                <w:sz w:val="21"/>
              </w:rPr>
              <w:t>存在风切变或大风时及时提醒机组。</w:t>
            </w:r>
          </w:p>
          <w:p>
            <w:pPr>
              <w:pStyle w:val="TableParagraph"/>
              <w:spacing w:line="278" w:lineRule="auto"/>
              <w:ind w:left="108" w:right="98"/>
              <w:jc w:val="both"/>
              <w:rPr>
                <w:sz w:val="21"/>
              </w:rPr>
            </w:pPr>
            <w:r>
              <w:rPr>
                <w:sz w:val="21"/>
              </w:rPr>
              <w:t>3</w:t>
            </w:r>
            <w:r>
              <w:rPr>
                <w:spacing w:val="-10"/>
                <w:sz w:val="21"/>
              </w:rPr>
              <w:t>.排班确认 </w:t>
            </w:r>
            <w:r>
              <w:rPr>
                <w:sz w:val="21"/>
              </w:rPr>
              <w:t>3-4</w:t>
            </w:r>
            <w:r>
              <w:rPr>
                <w:spacing w:val="-8"/>
                <w:sz w:val="21"/>
              </w:rPr>
              <w:t> 月份执飞该机场的机组，最近一次复训中无风切变处置、稳定进近方面的不符合</w:t>
            </w:r>
            <w:r>
              <w:rPr>
                <w:spacing w:val="-12"/>
                <w:sz w:val="21"/>
              </w:rPr>
              <w:t>记录。且航前准备时提前向机组发放 </w:t>
            </w:r>
            <w:r>
              <w:rPr>
                <w:sz w:val="21"/>
              </w:rPr>
              <w:t>xx</w:t>
            </w:r>
            <w:r>
              <w:rPr>
                <w:spacing w:val="-12"/>
                <w:sz w:val="21"/>
              </w:rPr>
              <w:t> 机场航前</w:t>
            </w:r>
          </w:p>
          <w:p>
            <w:pPr>
              <w:pStyle w:val="TableParagraph"/>
              <w:spacing w:line="269" w:lineRule="exact"/>
              <w:ind w:left="108"/>
              <w:rPr>
                <w:sz w:val="21"/>
              </w:rPr>
            </w:pPr>
            <w:r>
              <w:rPr>
                <w:sz w:val="21"/>
              </w:rPr>
              <w:t>准备提示单。</w:t>
            </w:r>
          </w:p>
        </w:tc>
        <w:tc>
          <w:tcPr>
            <w:tcW w:w="567"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1"/>
              <w:rPr>
                <w:rFonts w:ascii="黑体"/>
                <w:sz w:val="19"/>
              </w:rPr>
            </w:pPr>
          </w:p>
          <w:p>
            <w:pPr>
              <w:pStyle w:val="TableParagraph"/>
              <w:ind w:left="7"/>
              <w:jc w:val="center"/>
              <w:rPr>
                <w:sz w:val="21"/>
              </w:rPr>
            </w:pPr>
            <w:r>
              <w:rPr>
                <w:w w:val="99"/>
                <w:sz w:val="21"/>
              </w:rPr>
              <w:t>1</w:t>
            </w:r>
          </w:p>
        </w:tc>
        <w:tc>
          <w:tcPr>
            <w:tcW w:w="567"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1"/>
              <w:rPr>
                <w:rFonts w:ascii="黑体"/>
                <w:sz w:val="19"/>
              </w:rPr>
            </w:pPr>
          </w:p>
          <w:p>
            <w:pPr>
              <w:pStyle w:val="TableParagraph"/>
              <w:ind w:left="6"/>
              <w:jc w:val="center"/>
              <w:rPr>
                <w:sz w:val="21"/>
              </w:rPr>
            </w:pPr>
            <w:r>
              <w:rPr>
                <w:w w:val="99"/>
                <w:sz w:val="21"/>
              </w:rPr>
              <w:t>A</w:t>
            </w:r>
          </w:p>
        </w:tc>
        <w:tc>
          <w:tcPr>
            <w:tcW w:w="567"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1"/>
              <w:rPr>
                <w:rFonts w:ascii="黑体"/>
                <w:sz w:val="19"/>
              </w:rPr>
            </w:pPr>
          </w:p>
          <w:p>
            <w:pPr>
              <w:pStyle w:val="TableParagraph"/>
              <w:ind w:left="157" w:right="150"/>
              <w:jc w:val="center"/>
              <w:rPr>
                <w:sz w:val="21"/>
              </w:rPr>
            </w:pPr>
            <w:r>
              <w:rPr>
                <w:sz w:val="21"/>
              </w:rPr>
              <w:t>1A</w:t>
            </w:r>
          </w:p>
        </w:tc>
        <w:tc>
          <w:tcPr>
            <w:tcW w:w="1134"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1"/>
              <w:rPr>
                <w:rFonts w:ascii="黑体"/>
                <w:sz w:val="19"/>
              </w:rPr>
            </w:pPr>
          </w:p>
          <w:p>
            <w:pPr>
              <w:pStyle w:val="TableParagraph"/>
              <w:ind w:left="186" w:right="177"/>
              <w:jc w:val="center"/>
              <w:rPr>
                <w:sz w:val="21"/>
              </w:rPr>
            </w:pPr>
            <w:r>
              <w:rPr>
                <w:sz w:val="21"/>
              </w:rPr>
              <w:t>可接受</w:t>
            </w:r>
          </w:p>
        </w:tc>
        <w:tc>
          <w:tcPr>
            <w:tcW w:w="1670" w:type="dxa"/>
          </w:tcPr>
          <w:p>
            <w:pPr>
              <w:pStyle w:val="TableParagraph"/>
              <w:rPr>
                <w:rFonts w:ascii="Times New Roman"/>
                <w:sz w:val="20"/>
              </w:rPr>
            </w:pPr>
          </w:p>
        </w:tc>
      </w:tr>
    </w:tbl>
    <w:p>
      <w:pPr>
        <w:spacing w:after="0"/>
        <w:rPr>
          <w:rFonts w:ascii="Times New Roman"/>
          <w:sz w:val="20"/>
        </w:rPr>
        <w:sectPr>
          <w:footerReference w:type="default" r:id="rId30"/>
          <w:pgSz w:w="23820" w:h="16840" w:orient="landscape"/>
          <w:pgMar w:footer="1196" w:header="0" w:top="1160" w:bottom="1380" w:left="300" w:right="300"/>
        </w:sectPr>
      </w:pPr>
    </w:p>
    <w:p>
      <w:pPr>
        <w:pStyle w:val="BodyText"/>
        <w:spacing w:before="12"/>
        <w:ind w:left="0"/>
        <w:rPr>
          <w:rFonts w:ascii="黑体"/>
          <w:sz w:val="19"/>
        </w:rPr>
      </w:pPr>
    </w:p>
    <w:p>
      <w:pPr>
        <w:pStyle w:val="BodyText"/>
        <w:spacing w:before="54"/>
        <w:ind w:left="8149" w:right="8150"/>
        <w:jc w:val="center"/>
        <w:rPr>
          <w:rFonts w:ascii="黑体" w:eastAsia="黑体" w:hint="eastAsia"/>
        </w:rPr>
      </w:pPr>
      <w:r>
        <w:rPr>
          <w:rFonts w:ascii="黑体" w:eastAsia="黑体" w:hint="eastAsia"/>
        </w:rPr>
        <w:t>附录 </w:t>
      </w:r>
      <w:r>
        <w:rPr/>
        <w:t>2 </w:t>
      </w:r>
      <w:r>
        <w:rPr>
          <w:rFonts w:ascii="黑体" w:eastAsia="黑体" w:hint="eastAsia"/>
        </w:rPr>
        <w:t>安全隐患排查治理样例（安全隐患清单）</w:t>
      </w:r>
    </w:p>
    <w:p>
      <w:pPr>
        <w:pStyle w:val="BodyText"/>
        <w:spacing w:before="4"/>
        <w:ind w:left="0"/>
        <w:rPr>
          <w:rFonts w:ascii="黑体"/>
          <w:sz w:val="8"/>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5"/>
        <w:gridCol w:w="1408"/>
        <w:gridCol w:w="1423"/>
        <w:gridCol w:w="1094"/>
        <w:gridCol w:w="2487"/>
        <w:gridCol w:w="1890"/>
        <w:gridCol w:w="1290"/>
        <w:gridCol w:w="713"/>
        <w:gridCol w:w="1267"/>
        <w:gridCol w:w="620"/>
        <w:gridCol w:w="1210"/>
        <w:gridCol w:w="1908"/>
        <w:gridCol w:w="867"/>
        <w:gridCol w:w="795"/>
        <w:gridCol w:w="750"/>
        <w:gridCol w:w="1133"/>
        <w:gridCol w:w="2170"/>
        <w:gridCol w:w="420"/>
        <w:gridCol w:w="1120"/>
      </w:tblGrid>
      <w:tr>
        <w:trPr>
          <w:trHeight w:val="1872" w:hRule="atLeast"/>
        </w:trPr>
        <w:tc>
          <w:tcPr>
            <w:tcW w:w="425" w:type="dxa"/>
          </w:tcPr>
          <w:p>
            <w:pPr>
              <w:pStyle w:val="TableParagraph"/>
              <w:rPr>
                <w:rFonts w:ascii="黑体"/>
                <w:sz w:val="20"/>
              </w:rPr>
            </w:pPr>
          </w:p>
          <w:p>
            <w:pPr>
              <w:pStyle w:val="TableParagraph"/>
              <w:spacing w:before="1"/>
              <w:rPr>
                <w:rFonts w:ascii="黑体"/>
                <w:sz w:val="29"/>
              </w:rPr>
            </w:pPr>
          </w:p>
          <w:p>
            <w:pPr>
              <w:pStyle w:val="TableParagraph"/>
              <w:spacing w:line="194" w:lineRule="auto"/>
              <w:ind w:left="108" w:right="95"/>
              <w:rPr>
                <w:rFonts w:ascii="Microsoft JhengHei" w:eastAsia="Microsoft JhengHei" w:hint="eastAsia"/>
                <w:b/>
                <w:sz w:val="21"/>
              </w:rPr>
            </w:pPr>
            <w:r>
              <w:rPr>
                <w:rFonts w:ascii="Microsoft JhengHei" w:eastAsia="Microsoft JhengHei" w:hint="eastAsia"/>
                <w:b/>
                <w:sz w:val="21"/>
              </w:rPr>
              <w:t>编号</w:t>
            </w:r>
          </w:p>
        </w:tc>
        <w:tc>
          <w:tcPr>
            <w:tcW w:w="1408" w:type="dxa"/>
          </w:tcPr>
          <w:p>
            <w:pPr>
              <w:pStyle w:val="TableParagraph"/>
              <w:spacing w:line="194" w:lineRule="auto" w:before="161"/>
              <w:ind w:left="597" w:right="167" w:hanging="420"/>
              <w:rPr>
                <w:rFonts w:ascii="Microsoft JhengHei" w:eastAsia="Microsoft JhengHei" w:hint="eastAsia"/>
                <w:b/>
                <w:sz w:val="21"/>
              </w:rPr>
            </w:pPr>
            <w:r>
              <w:rPr>
                <w:rFonts w:ascii="Microsoft JhengHei" w:eastAsia="Microsoft JhengHei" w:hint="eastAsia"/>
                <w:b/>
                <w:sz w:val="21"/>
              </w:rPr>
              <w:t>安全隐患名称</w:t>
            </w:r>
          </w:p>
          <w:p>
            <w:pPr>
              <w:pStyle w:val="TableParagraph"/>
              <w:spacing w:line="324" w:lineRule="auto" w:before="35"/>
              <w:ind w:left="163" w:right="152"/>
              <w:jc w:val="both"/>
              <w:rPr>
                <w:sz w:val="18"/>
              </w:rPr>
            </w:pPr>
            <w:r>
              <w:rPr>
                <w:sz w:val="18"/>
              </w:rPr>
              <w:t>（参照第三章安全隐患定义及注释 3）</w:t>
            </w:r>
          </w:p>
        </w:tc>
        <w:tc>
          <w:tcPr>
            <w:tcW w:w="1423" w:type="dxa"/>
          </w:tcPr>
          <w:p>
            <w:pPr>
              <w:pStyle w:val="TableParagraph"/>
              <w:spacing w:line="194" w:lineRule="auto" w:before="161"/>
              <w:ind w:left="183" w:right="176"/>
              <w:jc w:val="center"/>
              <w:rPr>
                <w:rFonts w:ascii="Microsoft JhengHei" w:eastAsia="Microsoft JhengHei" w:hint="eastAsia"/>
                <w:b/>
                <w:sz w:val="21"/>
              </w:rPr>
            </w:pPr>
            <w:r>
              <w:rPr>
                <w:rFonts w:ascii="Microsoft JhengHei" w:eastAsia="Microsoft JhengHei" w:hint="eastAsia"/>
                <w:b/>
                <w:sz w:val="21"/>
              </w:rPr>
              <w:t>重大安全隐患</w:t>
            </w:r>
          </w:p>
          <w:p>
            <w:pPr>
              <w:pStyle w:val="TableParagraph"/>
              <w:spacing w:line="324" w:lineRule="auto" w:before="35"/>
              <w:ind w:left="171" w:right="159"/>
              <w:jc w:val="center"/>
              <w:rPr>
                <w:sz w:val="18"/>
              </w:rPr>
            </w:pPr>
            <w:r>
              <w:rPr>
                <w:sz w:val="18"/>
              </w:rPr>
              <w:t>（参照第三章重大安全隐患定义）</w:t>
            </w:r>
          </w:p>
        </w:tc>
        <w:tc>
          <w:tcPr>
            <w:tcW w:w="1094" w:type="dxa"/>
          </w:tcPr>
          <w:p>
            <w:pPr>
              <w:pStyle w:val="TableParagraph"/>
              <w:rPr>
                <w:rFonts w:ascii="黑体"/>
                <w:sz w:val="20"/>
              </w:rPr>
            </w:pPr>
          </w:p>
          <w:p>
            <w:pPr>
              <w:pStyle w:val="TableParagraph"/>
              <w:spacing w:before="11"/>
              <w:rPr>
                <w:rFonts w:ascii="黑体"/>
                <w:sz w:val="16"/>
              </w:rPr>
            </w:pPr>
          </w:p>
          <w:p>
            <w:pPr>
              <w:pStyle w:val="TableParagraph"/>
              <w:spacing w:line="194" w:lineRule="auto"/>
              <w:ind w:left="106" w:right="97" w:firstLine="19"/>
              <w:rPr>
                <w:sz w:val="18"/>
              </w:rPr>
            </w:pPr>
            <w:r>
              <w:rPr>
                <w:rFonts w:ascii="Microsoft JhengHei" w:eastAsia="Microsoft JhengHei" w:hint="eastAsia"/>
                <w:b/>
                <w:sz w:val="21"/>
              </w:rPr>
              <w:t>隐患的类</w:t>
            </w:r>
            <w:r>
              <w:rPr>
                <w:rFonts w:ascii="Microsoft JhengHei" w:eastAsia="Microsoft JhengHei" w:hint="eastAsia"/>
                <w:b/>
                <w:spacing w:val="-51"/>
                <w:w w:val="95"/>
                <w:sz w:val="21"/>
              </w:rPr>
              <w:t>别</w:t>
            </w:r>
            <w:r>
              <w:rPr>
                <w:w w:val="95"/>
                <w:sz w:val="18"/>
              </w:rPr>
              <w:t>（</w:t>
            </w:r>
            <w:r>
              <w:rPr>
                <w:spacing w:val="-6"/>
                <w:w w:val="95"/>
                <w:sz w:val="18"/>
              </w:rPr>
              <w:t>参照第</w:t>
            </w:r>
          </w:p>
          <w:p>
            <w:pPr>
              <w:pStyle w:val="TableParagraph"/>
              <w:spacing w:before="35"/>
              <w:ind w:left="118"/>
              <w:rPr>
                <w:sz w:val="18"/>
              </w:rPr>
            </w:pPr>
            <w:r>
              <w:rPr>
                <w:spacing w:val="-16"/>
                <w:sz w:val="18"/>
              </w:rPr>
              <w:t>八章 </w:t>
            </w:r>
            <w:r>
              <w:rPr>
                <w:sz w:val="18"/>
              </w:rPr>
              <w:t>8.4）</w:t>
            </w:r>
          </w:p>
        </w:tc>
        <w:tc>
          <w:tcPr>
            <w:tcW w:w="2487" w:type="dxa"/>
          </w:tcPr>
          <w:p>
            <w:pPr>
              <w:pStyle w:val="TableParagraph"/>
              <w:rPr>
                <w:rFonts w:ascii="黑体"/>
                <w:sz w:val="20"/>
              </w:rPr>
            </w:pPr>
          </w:p>
          <w:p>
            <w:pPr>
              <w:pStyle w:val="TableParagraph"/>
              <w:spacing w:before="12"/>
              <w:rPr>
                <w:rFonts w:ascii="黑体"/>
                <w:sz w:val="24"/>
              </w:rPr>
            </w:pPr>
          </w:p>
          <w:p>
            <w:pPr>
              <w:pStyle w:val="TableParagraph"/>
              <w:ind w:left="822"/>
              <w:rPr>
                <w:rFonts w:ascii="Microsoft JhengHei" w:eastAsia="Microsoft JhengHei" w:hint="eastAsia"/>
                <w:b/>
                <w:sz w:val="21"/>
              </w:rPr>
            </w:pPr>
            <w:r>
              <w:rPr>
                <w:rFonts w:ascii="Microsoft JhengHei" w:eastAsia="Microsoft JhengHei" w:hint="eastAsia"/>
                <w:b/>
                <w:sz w:val="21"/>
              </w:rPr>
              <w:t>原因分析</w:t>
            </w:r>
          </w:p>
          <w:p>
            <w:pPr>
              <w:pStyle w:val="TableParagraph"/>
              <w:spacing w:before="15"/>
              <w:ind w:left="793"/>
              <w:rPr>
                <w:sz w:val="18"/>
              </w:rPr>
            </w:pPr>
            <w:r>
              <w:rPr>
                <w:sz w:val="18"/>
              </w:rPr>
              <w:t>（如适用）</w:t>
            </w:r>
          </w:p>
        </w:tc>
        <w:tc>
          <w:tcPr>
            <w:tcW w:w="1890" w:type="dxa"/>
          </w:tcPr>
          <w:p>
            <w:pPr>
              <w:pStyle w:val="TableParagraph"/>
              <w:spacing w:before="9"/>
              <w:rPr>
                <w:rFonts w:ascii="黑体"/>
                <w:sz w:val="24"/>
              </w:rPr>
            </w:pPr>
          </w:p>
          <w:p>
            <w:pPr>
              <w:pStyle w:val="TableParagraph"/>
              <w:spacing w:line="194" w:lineRule="auto"/>
              <w:ind w:left="108" w:right="96" w:hanging="3"/>
              <w:jc w:val="center"/>
              <w:rPr>
                <w:sz w:val="18"/>
              </w:rPr>
            </w:pPr>
            <w:r>
              <w:rPr>
                <w:rFonts w:ascii="Microsoft JhengHei" w:eastAsia="Microsoft JhengHei" w:hint="eastAsia"/>
                <w:b/>
                <w:sz w:val="21"/>
              </w:rPr>
              <w:t>关联的风险控制</w:t>
            </w:r>
            <w:r>
              <w:rPr>
                <w:rFonts w:ascii="Microsoft JhengHei" w:eastAsia="Microsoft JhengHei" w:hint="eastAsia"/>
                <w:b/>
                <w:spacing w:val="-2"/>
                <w:sz w:val="21"/>
              </w:rPr>
              <w:t>措施</w:t>
            </w:r>
            <w:r>
              <w:rPr>
                <w:spacing w:val="-3"/>
                <w:sz w:val="18"/>
              </w:rPr>
              <w:t>（</w:t>
            </w:r>
            <w:r>
              <w:rPr>
                <w:spacing w:val="-4"/>
                <w:sz w:val="18"/>
              </w:rPr>
              <w:t>法规、制度或</w:t>
            </w:r>
          </w:p>
          <w:p>
            <w:pPr>
              <w:pStyle w:val="TableParagraph"/>
              <w:spacing w:line="324" w:lineRule="auto" w:before="35"/>
              <w:ind w:left="135" w:right="122"/>
              <w:jc w:val="center"/>
              <w:rPr>
                <w:sz w:val="18"/>
              </w:rPr>
            </w:pPr>
            <w:r>
              <w:rPr>
                <w:sz w:val="18"/>
              </w:rPr>
              <w:t>者风险控制措施的具体要求）</w:t>
            </w:r>
          </w:p>
        </w:tc>
        <w:tc>
          <w:tcPr>
            <w:tcW w:w="1290" w:type="dxa"/>
          </w:tcPr>
          <w:p>
            <w:pPr>
              <w:pStyle w:val="TableParagraph"/>
              <w:rPr>
                <w:rFonts w:ascii="黑体"/>
                <w:sz w:val="20"/>
              </w:rPr>
            </w:pPr>
          </w:p>
          <w:p>
            <w:pPr>
              <w:pStyle w:val="TableParagraph"/>
              <w:spacing w:before="12"/>
              <w:rPr>
                <w:rFonts w:ascii="黑体"/>
                <w:sz w:val="24"/>
              </w:rPr>
            </w:pPr>
          </w:p>
          <w:p>
            <w:pPr>
              <w:pStyle w:val="TableParagraph"/>
              <w:ind w:left="117"/>
              <w:rPr>
                <w:rFonts w:ascii="Microsoft JhengHei" w:eastAsia="Microsoft JhengHei" w:hint="eastAsia"/>
                <w:b/>
                <w:sz w:val="21"/>
              </w:rPr>
            </w:pPr>
            <w:r>
              <w:rPr>
                <w:rFonts w:ascii="Microsoft JhengHei" w:eastAsia="Microsoft JhengHei" w:hint="eastAsia"/>
                <w:b/>
                <w:sz w:val="21"/>
              </w:rPr>
              <w:t>关联的后果</w:t>
            </w:r>
          </w:p>
          <w:p>
            <w:pPr>
              <w:pStyle w:val="TableParagraph"/>
              <w:spacing w:before="15"/>
              <w:ind w:left="193"/>
              <w:rPr>
                <w:sz w:val="18"/>
              </w:rPr>
            </w:pPr>
            <w:r>
              <w:rPr>
                <w:sz w:val="18"/>
              </w:rPr>
              <w:t>（如适用）</w:t>
            </w:r>
          </w:p>
        </w:tc>
        <w:tc>
          <w:tcPr>
            <w:tcW w:w="713" w:type="dxa"/>
          </w:tcPr>
          <w:p>
            <w:pPr>
              <w:pStyle w:val="TableParagraph"/>
              <w:rPr>
                <w:rFonts w:ascii="黑体"/>
                <w:sz w:val="20"/>
              </w:rPr>
            </w:pPr>
          </w:p>
          <w:p>
            <w:pPr>
              <w:pStyle w:val="TableParagraph"/>
              <w:rPr>
                <w:rFonts w:ascii="黑体"/>
                <w:sz w:val="20"/>
              </w:rPr>
            </w:pPr>
          </w:p>
          <w:p>
            <w:pPr>
              <w:pStyle w:val="TableParagraph"/>
              <w:spacing w:before="1"/>
              <w:rPr>
                <w:rFonts w:ascii="黑体"/>
                <w:sz w:val="17"/>
              </w:rPr>
            </w:pPr>
          </w:p>
          <w:p>
            <w:pPr>
              <w:pStyle w:val="TableParagraph"/>
              <w:ind w:left="144"/>
              <w:rPr>
                <w:rFonts w:ascii="Microsoft JhengHei" w:eastAsia="Microsoft JhengHei" w:hint="eastAsia"/>
                <w:b/>
                <w:sz w:val="21"/>
              </w:rPr>
            </w:pPr>
            <w:r>
              <w:rPr>
                <w:rFonts w:ascii="Microsoft JhengHei" w:eastAsia="Microsoft JhengHei" w:hint="eastAsia"/>
                <w:b/>
                <w:sz w:val="21"/>
              </w:rPr>
              <w:t>来源</w:t>
            </w:r>
          </w:p>
        </w:tc>
        <w:tc>
          <w:tcPr>
            <w:tcW w:w="1267" w:type="dxa"/>
          </w:tcPr>
          <w:p>
            <w:pPr>
              <w:pStyle w:val="TableParagraph"/>
              <w:rPr>
                <w:rFonts w:ascii="黑体"/>
                <w:sz w:val="20"/>
              </w:rPr>
            </w:pPr>
          </w:p>
          <w:p>
            <w:pPr>
              <w:pStyle w:val="TableParagraph"/>
              <w:spacing w:before="1"/>
              <w:rPr>
                <w:rFonts w:ascii="黑体"/>
                <w:sz w:val="29"/>
              </w:rPr>
            </w:pPr>
          </w:p>
          <w:p>
            <w:pPr>
              <w:pStyle w:val="TableParagraph"/>
              <w:spacing w:line="194" w:lineRule="auto"/>
              <w:ind w:left="420" w:right="414"/>
              <w:rPr>
                <w:rFonts w:ascii="Microsoft JhengHei" w:eastAsia="Microsoft JhengHei" w:hint="eastAsia"/>
                <w:b/>
                <w:sz w:val="21"/>
              </w:rPr>
            </w:pPr>
            <w:r>
              <w:rPr>
                <w:rFonts w:ascii="Microsoft JhengHei" w:eastAsia="Microsoft JhengHei" w:hint="eastAsia"/>
                <w:b/>
                <w:sz w:val="21"/>
              </w:rPr>
              <w:t>发现时间</w:t>
            </w:r>
          </w:p>
        </w:tc>
        <w:tc>
          <w:tcPr>
            <w:tcW w:w="620" w:type="dxa"/>
          </w:tcPr>
          <w:p>
            <w:pPr>
              <w:pStyle w:val="TableParagraph"/>
              <w:spacing w:line="194" w:lineRule="auto" w:before="5"/>
              <w:ind w:left="149" w:right="142" w:firstLine="55"/>
              <w:jc w:val="both"/>
              <w:rPr>
                <w:rFonts w:ascii="Microsoft JhengHei" w:eastAsia="Microsoft JhengHei" w:hint="eastAsia"/>
                <w:b/>
                <w:sz w:val="21"/>
              </w:rPr>
            </w:pPr>
            <w:r>
              <w:rPr>
                <w:rFonts w:ascii="Microsoft JhengHei" w:eastAsia="Microsoft JhengHei" w:hint="eastAsia"/>
                <w:b/>
                <w:sz w:val="21"/>
              </w:rPr>
              <w:t>整改单位</w:t>
            </w:r>
            <w:r>
              <w:rPr>
                <w:b/>
                <w:sz w:val="21"/>
              </w:rPr>
              <w:t>/ </w:t>
            </w:r>
            <w:r>
              <w:rPr>
                <w:rFonts w:ascii="Microsoft JhengHei" w:eastAsia="Microsoft JhengHei" w:hint="eastAsia"/>
                <w:b/>
                <w:sz w:val="21"/>
              </w:rPr>
              <w:t>部</w:t>
            </w:r>
          </w:p>
          <w:p>
            <w:pPr>
              <w:pStyle w:val="TableParagraph"/>
              <w:spacing w:line="283" w:lineRule="exact"/>
              <w:ind w:left="204"/>
              <w:rPr>
                <w:rFonts w:ascii="Microsoft JhengHei" w:eastAsia="Microsoft JhengHei" w:hint="eastAsia"/>
                <w:b/>
                <w:sz w:val="21"/>
              </w:rPr>
            </w:pPr>
            <w:r>
              <w:rPr>
                <w:rFonts w:ascii="Microsoft JhengHei" w:eastAsia="Microsoft JhengHei" w:hint="eastAsia"/>
                <w:b/>
                <w:w w:val="99"/>
                <w:sz w:val="21"/>
              </w:rPr>
              <w:t>门</w:t>
            </w:r>
          </w:p>
        </w:tc>
        <w:tc>
          <w:tcPr>
            <w:tcW w:w="1210" w:type="dxa"/>
          </w:tcPr>
          <w:p>
            <w:pPr>
              <w:pStyle w:val="TableParagraph"/>
              <w:rPr>
                <w:rFonts w:ascii="黑体"/>
                <w:sz w:val="20"/>
              </w:rPr>
            </w:pPr>
          </w:p>
          <w:p>
            <w:pPr>
              <w:pStyle w:val="TableParagraph"/>
              <w:rPr>
                <w:rFonts w:ascii="黑体"/>
                <w:sz w:val="20"/>
              </w:rPr>
            </w:pPr>
          </w:p>
          <w:p>
            <w:pPr>
              <w:pStyle w:val="TableParagraph"/>
              <w:spacing w:before="1"/>
              <w:rPr>
                <w:rFonts w:ascii="黑体"/>
                <w:sz w:val="17"/>
              </w:rPr>
            </w:pPr>
          </w:p>
          <w:p>
            <w:pPr>
              <w:pStyle w:val="TableParagraph"/>
              <w:ind w:left="163" w:right="156"/>
              <w:jc w:val="center"/>
              <w:rPr>
                <w:rFonts w:ascii="Microsoft JhengHei" w:eastAsia="Microsoft JhengHei" w:hint="eastAsia"/>
                <w:b/>
                <w:sz w:val="21"/>
              </w:rPr>
            </w:pPr>
            <w:r>
              <w:rPr>
                <w:rFonts w:ascii="Microsoft JhengHei" w:eastAsia="Microsoft JhengHei" w:hint="eastAsia"/>
                <w:b/>
                <w:sz w:val="21"/>
              </w:rPr>
              <w:t>整改时间</w:t>
            </w:r>
          </w:p>
        </w:tc>
        <w:tc>
          <w:tcPr>
            <w:tcW w:w="1908" w:type="dxa"/>
          </w:tcPr>
          <w:p>
            <w:pPr>
              <w:pStyle w:val="TableParagraph"/>
              <w:rPr>
                <w:rFonts w:ascii="黑体"/>
                <w:sz w:val="20"/>
              </w:rPr>
            </w:pPr>
          </w:p>
          <w:p>
            <w:pPr>
              <w:pStyle w:val="TableParagraph"/>
              <w:rPr>
                <w:rFonts w:ascii="黑体"/>
                <w:sz w:val="20"/>
              </w:rPr>
            </w:pPr>
          </w:p>
          <w:p>
            <w:pPr>
              <w:pStyle w:val="TableParagraph"/>
              <w:spacing w:before="1"/>
              <w:rPr>
                <w:rFonts w:ascii="黑体"/>
                <w:sz w:val="17"/>
              </w:rPr>
            </w:pPr>
          </w:p>
          <w:p>
            <w:pPr>
              <w:pStyle w:val="TableParagraph"/>
              <w:ind w:left="532"/>
              <w:rPr>
                <w:rFonts w:ascii="Microsoft JhengHei" w:eastAsia="Microsoft JhengHei" w:hint="eastAsia"/>
                <w:b/>
                <w:sz w:val="21"/>
              </w:rPr>
            </w:pPr>
            <w:r>
              <w:rPr>
                <w:rFonts w:ascii="Microsoft JhengHei" w:eastAsia="Microsoft JhengHei" w:hint="eastAsia"/>
                <w:b/>
                <w:sz w:val="21"/>
              </w:rPr>
              <w:t>整改措施</w:t>
            </w:r>
          </w:p>
        </w:tc>
        <w:tc>
          <w:tcPr>
            <w:tcW w:w="867" w:type="dxa"/>
          </w:tcPr>
          <w:p>
            <w:pPr>
              <w:pStyle w:val="TableParagraph"/>
              <w:spacing w:before="9"/>
              <w:rPr>
                <w:rFonts w:ascii="黑体"/>
                <w:sz w:val="24"/>
              </w:rPr>
            </w:pPr>
          </w:p>
          <w:p>
            <w:pPr>
              <w:pStyle w:val="TableParagraph"/>
              <w:spacing w:line="194" w:lineRule="auto"/>
              <w:ind w:left="328" w:right="106" w:hanging="212"/>
              <w:rPr>
                <w:rFonts w:ascii="Microsoft JhengHei" w:eastAsia="Microsoft JhengHei" w:hint="eastAsia"/>
                <w:b/>
                <w:sz w:val="21"/>
              </w:rPr>
            </w:pPr>
            <w:r>
              <w:rPr>
                <w:rFonts w:ascii="Microsoft JhengHei" w:eastAsia="Microsoft JhengHei" w:hint="eastAsia"/>
                <w:b/>
                <w:spacing w:val="-6"/>
                <w:sz w:val="21"/>
              </w:rPr>
              <w:t>整改资</w:t>
            </w:r>
            <w:r>
              <w:rPr>
                <w:rFonts w:ascii="Microsoft JhengHei" w:eastAsia="Microsoft JhengHei" w:hint="eastAsia"/>
                <w:b/>
                <w:sz w:val="21"/>
              </w:rPr>
              <w:t>金</w:t>
            </w:r>
          </w:p>
          <w:p>
            <w:pPr>
              <w:pStyle w:val="TableParagraph"/>
              <w:spacing w:line="324" w:lineRule="auto" w:before="35"/>
              <w:ind w:left="251" w:right="152" w:hanging="89"/>
              <w:rPr>
                <w:sz w:val="18"/>
              </w:rPr>
            </w:pPr>
            <w:r>
              <w:rPr>
                <w:sz w:val="18"/>
              </w:rPr>
              <w:t>（</w:t>
            </w:r>
            <w:r>
              <w:rPr>
                <w:spacing w:val="-9"/>
                <w:sz w:val="18"/>
              </w:rPr>
              <w:t>如适</w:t>
            </w:r>
            <w:r>
              <w:rPr>
                <w:sz w:val="18"/>
              </w:rPr>
              <w:t>用）</w:t>
            </w:r>
          </w:p>
        </w:tc>
        <w:tc>
          <w:tcPr>
            <w:tcW w:w="795" w:type="dxa"/>
          </w:tcPr>
          <w:p>
            <w:pPr>
              <w:pStyle w:val="TableParagraph"/>
              <w:spacing w:line="194" w:lineRule="auto" w:before="5"/>
              <w:ind w:left="186" w:right="176"/>
              <w:rPr>
                <w:rFonts w:ascii="Microsoft JhengHei" w:eastAsia="Microsoft JhengHei" w:hint="eastAsia"/>
                <w:b/>
                <w:sz w:val="21"/>
              </w:rPr>
            </w:pPr>
            <w:r>
              <w:rPr>
                <w:rFonts w:ascii="Microsoft JhengHei" w:eastAsia="Microsoft JhengHei" w:hint="eastAsia"/>
                <w:b/>
                <w:spacing w:val="-9"/>
                <w:sz w:val="21"/>
              </w:rPr>
              <w:t>应急预案</w:t>
            </w:r>
          </w:p>
          <w:p>
            <w:pPr>
              <w:pStyle w:val="TableParagraph"/>
              <w:spacing w:line="324" w:lineRule="auto" w:before="35"/>
              <w:ind w:left="126" w:right="116"/>
              <w:jc w:val="both"/>
              <w:rPr>
                <w:sz w:val="18"/>
              </w:rPr>
            </w:pPr>
            <w:r>
              <w:rPr>
                <w:sz w:val="18"/>
              </w:rPr>
              <w:t>（</w:t>
            </w:r>
            <w:r>
              <w:rPr>
                <w:spacing w:val="-9"/>
                <w:sz w:val="18"/>
              </w:rPr>
              <w:t>涉及</w:t>
            </w:r>
            <w:r>
              <w:rPr>
                <w:spacing w:val="-6"/>
                <w:sz w:val="18"/>
              </w:rPr>
              <w:t>重大隐患时填</w:t>
            </w:r>
          </w:p>
          <w:p>
            <w:pPr>
              <w:pStyle w:val="TableParagraph"/>
              <w:spacing w:before="2"/>
              <w:ind w:left="217"/>
              <w:rPr>
                <w:sz w:val="18"/>
              </w:rPr>
            </w:pPr>
            <w:r>
              <w:rPr>
                <w:sz w:val="18"/>
              </w:rPr>
              <w:t>写）</w:t>
            </w:r>
          </w:p>
        </w:tc>
        <w:tc>
          <w:tcPr>
            <w:tcW w:w="750" w:type="dxa"/>
          </w:tcPr>
          <w:p>
            <w:pPr>
              <w:pStyle w:val="TableParagraph"/>
              <w:rPr>
                <w:rFonts w:ascii="黑体"/>
                <w:sz w:val="20"/>
              </w:rPr>
            </w:pPr>
          </w:p>
          <w:p>
            <w:pPr>
              <w:pStyle w:val="TableParagraph"/>
              <w:spacing w:before="11"/>
              <w:rPr>
                <w:rFonts w:ascii="黑体"/>
                <w:sz w:val="16"/>
              </w:rPr>
            </w:pPr>
          </w:p>
          <w:p>
            <w:pPr>
              <w:pStyle w:val="TableParagraph"/>
              <w:spacing w:line="194" w:lineRule="auto"/>
              <w:ind w:left="163" w:right="153"/>
              <w:jc w:val="both"/>
              <w:rPr>
                <w:rFonts w:ascii="Microsoft JhengHei" w:eastAsia="Microsoft JhengHei" w:hint="eastAsia"/>
                <w:b/>
                <w:sz w:val="21"/>
              </w:rPr>
            </w:pPr>
            <w:r>
              <w:rPr>
                <w:rFonts w:ascii="Microsoft JhengHei" w:eastAsia="Microsoft JhengHei" w:hint="eastAsia"/>
                <w:b/>
                <w:sz w:val="21"/>
              </w:rPr>
              <w:t>措施验证人</w:t>
            </w:r>
          </w:p>
        </w:tc>
        <w:tc>
          <w:tcPr>
            <w:tcW w:w="1133" w:type="dxa"/>
          </w:tcPr>
          <w:p>
            <w:pPr>
              <w:pStyle w:val="TableParagraph"/>
              <w:rPr>
                <w:rFonts w:ascii="黑体"/>
                <w:sz w:val="20"/>
              </w:rPr>
            </w:pPr>
          </w:p>
          <w:p>
            <w:pPr>
              <w:pStyle w:val="TableParagraph"/>
              <w:spacing w:before="1"/>
              <w:rPr>
                <w:rFonts w:ascii="黑体"/>
                <w:sz w:val="29"/>
              </w:rPr>
            </w:pPr>
          </w:p>
          <w:p>
            <w:pPr>
              <w:pStyle w:val="TableParagraph"/>
              <w:spacing w:line="194" w:lineRule="auto"/>
              <w:ind w:left="354" w:right="134" w:hanging="212"/>
              <w:rPr>
                <w:rFonts w:ascii="Microsoft JhengHei" w:eastAsia="Microsoft JhengHei" w:hint="eastAsia"/>
                <w:b/>
                <w:sz w:val="21"/>
              </w:rPr>
            </w:pPr>
            <w:r>
              <w:rPr>
                <w:rFonts w:ascii="Microsoft JhengHei" w:eastAsia="Microsoft JhengHei" w:hint="eastAsia"/>
                <w:b/>
                <w:sz w:val="21"/>
              </w:rPr>
              <w:t>措施验证时间</w:t>
            </w:r>
          </w:p>
        </w:tc>
        <w:tc>
          <w:tcPr>
            <w:tcW w:w="2170" w:type="dxa"/>
          </w:tcPr>
          <w:p>
            <w:pPr>
              <w:pStyle w:val="TableParagraph"/>
              <w:rPr>
                <w:rFonts w:ascii="黑体"/>
                <w:sz w:val="20"/>
              </w:rPr>
            </w:pPr>
          </w:p>
          <w:p>
            <w:pPr>
              <w:pStyle w:val="TableParagraph"/>
              <w:rPr>
                <w:rFonts w:ascii="黑体"/>
                <w:sz w:val="20"/>
              </w:rPr>
            </w:pPr>
          </w:p>
          <w:p>
            <w:pPr>
              <w:pStyle w:val="TableParagraph"/>
              <w:spacing w:before="1"/>
              <w:rPr>
                <w:rFonts w:ascii="黑体"/>
                <w:sz w:val="17"/>
              </w:rPr>
            </w:pPr>
          </w:p>
          <w:p>
            <w:pPr>
              <w:pStyle w:val="TableParagraph"/>
              <w:ind w:left="241"/>
              <w:rPr>
                <w:rFonts w:ascii="Microsoft JhengHei" w:eastAsia="Microsoft JhengHei" w:hint="eastAsia"/>
                <w:b/>
                <w:sz w:val="21"/>
              </w:rPr>
            </w:pPr>
            <w:r>
              <w:rPr>
                <w:rFonts w:ascii="Microsoft JhengHei" w:eastAsia="Microsoft JhengHei" w:hint="eastAsia"/>
                <w:b/>
                <w:sz w:val="21"/>
              </w:rPr>
              <w:t>治理效果验证情况</w:t>
            </w:r>
          </w:p>
        </w:tc>
        <w:tc>
          <w:tcPr>
            <w:tcW w:w="420" w:type="dxa"/>
          </w:tcPr>
          <w:p>
            <w:pPr>
              <w:pStyle w:val="TableParagraph"/>
              <w:spacing w:before="9"/>
              <w:rPr>
                <w:rFonts w:ascii="黑体"/>
                <w:sz w:val="24"/>
              </w:rPr>
            </w:pPr>
          </w:p>
          <w:p>
            <w:pPr>
              <w:pStyle w:val="TableParagraph"/>
              <w:spacing w:line="194" w:lineRule="auto"/>
              <w:ind w:left="106" w:right="92"/>
              <w:jc w:val="both"/>
              <w:rPr>
                <w:rFonts w:ascii="Microsoft JhengHei" w:eastAsia="Microsoft JhengHei" w:hint="eastAsia"/>
                <w:b/>
                <w:sz w:val="21"/>
              </w:rPr>
            </w:pPr>
            <w:r>
              <w:rPr>
                <w:rFonts w:ascii="Microsoft JhengHei" w:eastAsia="Microsoft JhengHei" w:hint="eastAsia"/>
                <w:b/>
                <w:sz w:val="21"/>
              </w:rPr>
              <w:t>是否关闭</w:t>
            </w:r>
          </w:p>
        </w:tc>
        <w:tc>
          <w:tcPr>
            <w:tcW w:w="1120" w:type="dxa"/>
          </w:tcPr>
          <w:p>
            <w:pPr>
              <w:pStyle w:val="TableParagraph"/>
              <w:rPr>
                <w:rFonts w:ascii="黑体"/>
                <w:sz w:val="20"/>
              </w:rPr>
            </w:pPr>
          </w:p>
          <w:p>
            <w:pPr>
              <w:pStyle w:val="TableParagraph"/>
              <w:spacing w:before="1"/>
              <w:rPr>
                <w:rFonts w:ascii="黑体"/>
                <w:sz w:val="29"/>
              </w:rPr>
            </w:pPr>
          </w:p>
          <w:p>
            <w:pPr>
              <w:pStyle w:val="TableParagraph"/>
              <w:spacing w:line="194" w:lineRule="auto"/>
              <w:ind w:left="349" w:right="338"/>
              <w:rPr>
                <w:rFonts w:ascii="Microsoft JhengHei" w:eastAsia="Microsoft JhengHei" w:hint="eastAsia"/>
                <w:b/>
                <w:sz w:val="21"/>
              </w:rPr>
            </w:pPr>
            <w:r>
              <w:rPr>
                <w:rFonts w:ascii="Microsoft JhengHei" w:eastAsia="Microsoft JhengHei" w:hint="eastAsia"/>
                <w:b/>
                <w:sz w:val="21"/>
              </w:rPr>
              <w:t>关闭时间</w:t>
            </w:r>
          </w:p>
        </w:tc>
      </w:tr>
      <w:tr>
        <w:trPr>
          <w:trHeight w:val="5663" w:hRule="atLeast"/>
        </w:trPr>
        <w:tc>
          <w:tcPr>
            <w:tcW w:w="425"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134"/>
              <w:ind w:left="6"/>
              <w:jc w:val="center"/>
              <w:rPr>
                <w:sz w:val="21"/>
              </w:rPr>
            </w:pPr>
            <w:r>
              <w:rPr>
                <w:w w:val="99"/>
                <w:sz w:val="21"/>
              </w:rPr>
              <w:t>1</w:t>
            </w:r>
          </w:p>
        </w:tc>
        <w:tc>
          <w:tcPr>
            <w:tcW w:w="1408"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5"/>
              <w:rPr>
                <w:rFonts w:ascii="黑体"/>
                <w:sz w:val="17"/>
              </w:rPr>
            </w:pPr>
          </w:p>
          <w:p>
            <w:pPr>
              <w:pStyle w:val="TableParagraph"/>
              <w:spacing w:line="278" w:lineRule="auto"/>
              <w:ind w:left="107" w:right="97"/>
              <w:rPr>
                <w:sz w:val="21"/>
              </w:rPr>
            </w:pPr>
            <w:r>
              <w:rPr>
                <w:sz w:val="21"/>
              </w:rPr>
              <w:t>某进近管制室部分管制员违反管制</w:t>
            </w:r>
            <w:r>
              <w:rPr>
                <w:spacing w:val="-15"/>
                <w:sz w:val="21"/>
              </w:rPr>
              <w:t>协议，向相邻</w:t>
            </w:r>
            <w:r>
              <w:rPr>
                <w:sz w:val="21"/>
              </w:rPr>
              <w:t>管制单位过早进行电子移交。</w:t>
            </w:r>
          </w:p>
        </w:tc>
        <w:tc>
          <w:tcPr>
            <w:tcW w:w="1423"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134"/>
              <w:ind w:left="7"/>
              <w:jc w:val="center"/>
              <w:rPr>
                <w:sz w:val="21"/>
              </w:rPr>
            </w:pPr>
            <w:r>
              <w:rPr>
                <w:w w:val="99"/>
                <w:sz w:val="21"/>
              </w:rPr>
              <w:t>否</w:t>
            </w:r>
          </w:p>
        </w:tc>
        <w:tc>
          <w:tcPr>
            <w:tcW w:w="1094"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3"/>
              <w:rPr>
                <w:rFonts w:ascii="黑体"/>
                <w:sz w:val="18"/>
              </w:rPr>
            </w:pPr>
          </w:p>
          <w:p>
            <w:pPr>
              <w:pStyle w:val="TableParagraph"/>
              <w:spacing w:line="278" w:lineRule="auto" w:before="1"/>
              <w:ind w:left="125" w:right="118"/>
              <w:rPr>
                <w:sz w:val="21"/>
              </w:rPr>
            </w:pPr>
            <w:r>
              <w:rPr>
                <w:sz w:val="21"/>
              </w:rPr>
              <w:t>风险控制措施失效</w:t>
            </w:r>
          </w:p>
        </w:tc>
        <w:tc>
          <w:tcPr>
            <w:tcW w:w="2487"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3"/>
              <w:rPr>
                <w:rFonts w:ascii="黑体"/>
                <w:sz w:val="25"/>
              </w:rPr>
            </w:pPr>
          </w:p>
          <w:p>
            <w:pPr>
              <w:pStyle w:val="TableParagraph"/>
              <w:spacing w:line="278" w:lineRule="auto"/>
              <w:ind w:left="106" w:right="59"/>
              <w:rPr>
                <w:sz w:val="21"/>
              </w:rPr>
            </w:pPr>
            <w:r>
              <w:rPr>
                <w:sz w:val="21"/>
              </w:rPr>
              <w:t>1.部分管制员对管制协 </w:t>
            </w:r>
            <w:r>
              <w:rPr>
                <w:spacing w:val="-2"/>
                <w:sz w:val="21"/>
              </w:rPr>
              <w:t>议向相关内容存在误解； </w:t>
            </w:r>
            <w:r>
              <w:rPr>
                <w:sz w:val="21"/>
              </w:rPr>
              <w:t>2.进近管制室对管制协 </w:t>
            </w:r>
            <w:r>
              <w:rPr>
                <w:spacing w:val="-6"/>
                <w:sz w:val="21"/>
              </w:rPr>
              <w:t>议开展了培训，但无相关考核；</w:t>
            </w:r>
          </w:p>
          <w:p>
            <w:pPr>
              <w:pStyle w:val="TableParagraph"/>
              <w:spacing w:line="278" w:lineRule="auto"/>
              <w:ind w:left="106" w:right="59"/>
              <w:jc w:val="both"/>
              <w:rPr>
                <w:sz w:val="21"/>
              </w:rPr>
            </w:pPr>
            <w:r>
              <w:rPr>
                <w:sz w:val="21"/>
              </w:rPr>
              <w:t>3.进近管制室的《业务培训管理规定》中没有明确需要考核的条件及要求。</w:t>
            </w:r>
          </w:p>
        </w:tc>
        <w:tc>
          <w:tcPr>
            <w:tcW w:w="1890"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7"/>
              <w:rPr>
                <w:rFonts w:ascii="黑体"/>
                <w:sz w:val="29"/>
              </w:rPr>
            </w:pPr>
          </w:p>
          <w:p>
            <w:pPr>
              <w:pStyle w:val="TableParagraph"/>
              <w:spacing w:line="278" w:lineRule="auto"/>
              <w:ind w:left="108" w:right="91"/>
              <w:rPr>
                <w:sz w:val="21"/>
              </w:rPr>
            </w:pPr>
            <w:r>
              <w:rPr>
                <w:spacing w:val="-1"/>
                <w:sz w:val="21"/>
              </w:rPr>
              <w:t>进近管制室的《业</w:t>
            </w:r>
            <w:r>
              <w:rPr>
                <w:spacing w:val="-3"/>
                <w:sz w:val="21"/>
              </w:rPr>
              <w:t>务培训管理规定》</w:t>
            </w:r>
            <w:r>
              <w:rPr>
                <w:sz w:val="21"/>
              </w:rPr>
              <w:t>规定：协议签订 </w:t>
            </w:r>
            <w:r>
              <w:rPr>
                <w:spacing w:val="-2"/>
                <w:sz w:val="21"/>
              </w:rPr>
              <w:t>后，应对全体人员</w:t>
            </w:r>
            <w:r>
              <w:rPr>
                <w:spacing w:val="-12"/>
                <w:sz w:val="21"/>
              </w:rPr>
              <w:t>开展不少于 </w:t>
            </w:r>
            <w:r>
              <w:rPr>
                <w:sz w:val="21"/>
              </w:rPr>
              <w:t>2</w:t>
            </w:r>
            <w:r>
              <w:rPr>
                <w:spacing w:val="-20"/>
                <w:sz w:val="21"/>
              </w:rPr>
              <w:t> 小时的培训。</w:t>
            </w:r>
          </w:p>
        </w:tc>
        <w:tc>
          <w:tcPr>
            <w:tcW w:w="1290"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134"/>
              <w:ind w:left="107"/>
              <w:rPr>
                <w:sz w:val="21"/>
              </w:rPr>
            </w:pPr>
            <w:r>
              <w:rPr>
                <w:sz w:val="21"/>
              </w:rPr>
              <w:t>飞行冲突</w:t>
            </w:r>
          </w:p>
        </w:tc>
        <w:tc>
          <w:tcPr>
            <w:tcW w:w="713"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3"/>
              <w:rPr>
                <w:rFonts w:ascii="黑体"/>
                <w:sz w:val="18"/>
              </w:rPr>
            </w:pPr>
          </w:p>
          <w:p>
            <w:pPr>
              <w:pStyle w:val="TableParagraph"/>
              <w:spacing w:line="278" w:lineRule="auto" w:before="1"/>
              <w:ind w:left="108" w:right="174"/>
              <w:rPr>
                <w:sz w:val="21"/>
              </w:rPr>
            </w:pPr>
            <w:r>
              <w:rPr>
                <w:sz w:val="21"/>
              </w:rPr>
              <w:t>内部检查</w:t>
            </w:r>
          </w:p>
        </w:tc>
        <w:tc>
          <w:tcPr>
            <w:tcW w:w="1267"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134"/>
              <w:ind w:left="192" w:right="185"/>
              <w:jc w:val="center"/>
              <w:rPr>
                <w:sz w:val="21"/>
              </w:rPr>
            </w:pPr>
            <w:r>
              <w:rPr>
                <w:sz w:val="21"/>
              </w:rPr>
              <w:t>2022/1/3</w:t>
            </w:r>
          </w:p>
        </w:tc>
        <w:tc>
          <w:tcPr>
            <w:tcW w:w="620"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9"/>
              <w:rPr>
                <w:rFonts w:ascii="黑体"/>
                <w:sz w:val="21"/>
              </w:rPr>
            </w:pPr>
          </w:p>
          <w:p>
            <w:pPr>
              <w:pStyle w:val="TableParagraph"/>
              <w:spacing w:line="278" w:lineRule="auto" w:before="1"/>
              <w:ind w:left="108" w:right="290"/>
              <w:jc w:val="both"/>
              <w:rPr>
                <w:sz w:val="21"/>
              </w:rPr>
            </w:pPr>
            <w:r>
              <w:rPr>
                <w:sz w:val="21"/>
              </w:rPr>
              <w:t>进近管制室</w:t>
            </w:r>
          </w:p>
        </w:tc>
        <w:tc>
          <w:tcPr>
            <w:tcW w:w="1210"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134"/>
              <w:ind w:left="163" w:right="155"/>
              <w:jc w:val="center"/>
              <w:rPr>
                <w:sz w:val="21"/>
              </w:rPr>
            </w:pPr>
            <w:r>
              <w:rPr>
                <w:sz w:val="21"/>
              </w:rPr>
              <w:t>2022/1/9</w:t>
            </w:r>
          </w:p>
        </w:tc>
        <w:tc>
          <w:tcPr>
            <w:tcW w:w="1908" w:type="dxa"/>
          </w:tcPr>
          <w:p>
            <w:pPr>
              <w:pStyle w:val="TableParagraph"/>
              <w:rPr>
                <w:rFonts w:ascii="黑体"/>
                <w:sz w:val="20"/>
              </w:rPr>
            </w:pPr>
          </w:p>
          <w:p>
            <w:pPr>
              <w:pStyle w:val="TableParagraph"/>
              <w:rPr>
                <w:rFonts w:ascii="黑体"/>
                <w:sz w:val="20"/>
              </w:rPr>
            </w:pPr>
          </w:p>
          <w:p>
            <w:pPr>
              <w:pStyle w:val="TableParagraph"/>
              <w:spacing w:before="4"/>
              <w:rPr>
                <w:rFonts w:ascii="黑体"/>
                <w:sz w:val="24"/>
              </w:rPr>
            </w:pPr>
          </w:p>
          <w:p>
            <w:pPr>
              <w:pStyle w:val="TableParagraph"/>
              <w:spacing w:before="1"/>
              <w:ind w:left="107"/>
              <w:rPr>
                <w:sz w:val="21"/>
              </w:rPr>
            </w:pPr>
            <w:r>
              <w:rPr>
                <w:sz w:val="21"/>
              </w:rPr>
              <w:t>1.修订进近管制室</w:t>
            </w:r>
          </w:p>
          <w:p>
            <w:pPr>
              <w:pStyle w:val="TableParagraph"/>
              <w:spacing w:line="278" w:lineRule="auto" w:before="42"/>
              <w:ind w:left="107" w:right="108"/>
              <w:jc w:val="both"/>
              <w:rPr>
                <w:sz w:val="21"/>
              </w:rPr>
            </w:pPr>
            <w:r>
              <w:rPr>
                <w:sz w:val="21"/>
              </w:rPr>
              <w:t>《业务培训管理规定》，增加业务培训后应对受训人员进行考核，不合格的直到补考合格后方可上岗的要求。2.进近管制室对全体人员开展管制协议培训和考核，对不合格的人员进行了补考，直到全体人员考核合格。</w:t>
            </w:r>
          </w:p>
        </w:tc>
        <w:tc>
          <w:tcPr>
            <w:tcW w:w="867"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134"/>
              <w:ind w:left="8"/>
              <w:jc w:val="center"/>
              <w:rPr>
                <w:sz w:val="21"/>
              </w:rPr>
            </w:pPr>
            <w:r>
              <w:rPr>
                <w:w w:val="99"/>
                <w:sz w:val="21"/>
              </w:rPr>
              <w:t>无</w:t>
            </w:r>
          </w:p>
        </w:tc>
        <w:tc>
          <w:tcPr>
            <w:tcW w:w="795" w:type="dxa"/>
          </w:tcPr>
          <w:p>
            <w:pPr>
              <w:pStyle w:val="TableParagraph"/>
              <w:rPr>
                <w:rFonts w:ascii="Times New Roman"/>
                <w:sz w:val="20"/>
              </w:rPr>
            </w:pPr>
          </w:p>
        </w:tc>
        <w:tc>
          <w:tcPr>
            <w:tcW w:w="750"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1"/>
              <w:rPr>
                <w:rFonts w:ascii="黑体"/>
                <w:sz w:val="26"/>
              </w:rPr>
            </w:pPr>
          </w:p>
          <w:p>
            <w:pPr>
              <w:pStyle w:val="TableParagraph"/>
              <w:spacing w:line="278" w:lineRule="auto"/>
              <w:ind w:left="108" w:right="211"/>
              <w:jc w:val="both"/>
              <w:rPr>
                <w:sz w:val="21"/>
              </w:rPr>
            </w:pPr>
            <w:r>
              <w:rPr>
                <w:sz w:val="21"/>
              </w:rPr>
              <w:t>安质部检查员</w:t>
            </w:r>
          </w:p>
        </w:tc>
        <w:tc>
          <w:tcPr>
            <w:tcW w:w="1133"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134"/>
              <w:ind w:right="95"/>
              <w:jc w:val="right"/>
              <w:rPr>
                <w:sz w:val="21"/>
              </w:rPr>
            </w:pPr>
            <w:r>
              <w:rPr>
                <w:sz w:val="21"/>
              </w:rPr>
              <w:t>2022/2/1</w:t>
            </w:r>
          </w:p>
        </w:tc>
        <w:tc>
          <w:tcPr>
            <w:tcW w:w="2170" w:type="dxa"/>
          </w:tcPr>
          <w:p>
            <w:pPr>
              <w:pStyle w:val="TableParagraph"/>
              <w:spacing w:line="310" w:lineRule="atLeast" w:before="4"/>
              <w:ind w:left="107" w:right="111"/>
              <w:rPr>
                <w:sz w:val="21"/>
              </w:rPr>
            </w:pPr>
            <w:r>
              <w:rPr>
                <w:sz w:val="21"/>
              </w:rPr>
              <w:t>1.2022</w:t>
            </w:r>
            <w:r>
              <w:rPr>
                <w:spacing w:val="-36"/>
                <w:sz w:val="21"/>
              </w:rPr>
              <w:t> 年 </w:t>
            </w:r>
            <w:r>
              <w:rPr>
                <w:sz w:val="21"/>
              </w:rPr>
              <w:t>2</w:t>
            </w:r>
            <w:r>
              <w:rPr>
                <w:spacing w:val="-36"/>
                <w:sz w:val="21"/>
              </w:rPr>
              <w:t> 月 </w:t>
            </w:r>
            <w:r>
              <w:rPr>
                <w:sz w:val="21"/>
              </w:rPr>
              <w:t>1</w:t>
            </w:r>
            <w:r>
              <w:rPr>
                <w:spacing w:val="-24"/>
                <w:sz w:val="21"/>
              </w:rPr>
              <w:t> 日检</w:t>
            </w:r>
            <w:r>
              <w:rPr>
                <w:sz w:val="21"/>
              </w:rPr>
              <w:t>查了进近管制室修订的《业务培训管理规定》，该规定明确业务培训后应对受训人员进行考核，不合格的直到补考合格后方可上岗的要求。2.2022</w:t>
            </w:r>
            <w:r>
              <w:rPr>
                <w:spacing w:val="-36"/>
                <w:sz w:val="21"/>
              </w:rPr>
              <w:t> 年 </w:t>
            </w:r>
            <w:r>
              <w:rPr>
                <w:sz w:val="21"/>
              </w:rPr>
              <w:t>2</w:t>
            </w:r>
            <w:r>
              <w:rPr>
                <w:spacing w:val="-36"/>
                <w:sz w:val="21"/>
              </w:rPr>
              <w:t> 月 </w:t>
            </w:r>
            <w:r>
              <w:rPr>
                <w:sz w:val="21"/>
              </w:rPr>
              <w:t>1</w:t>
            </w:r>
            <w:r>
              <w:rPr>
                <w:spacing w:val="-24"/>
                <w:sz w:val="21"/>
              </w:rPr>
              <w:t> 日检</w:t>
            </w:r>
            <w:r>
              <w:rPr>
                <w:sz w:val="21"/>
              </w:rPr>
              <w:t>查进近管制室对全体人员进行管制协议培训和考核记录，均已经 考 核 合 格 。 3.2022</w:t>
            </w:r>
            <w:r>
              <w:rPr>
                <w:spacing w:val="-36"/>
                <w:sz w:val="21"/>
              </w:rPr>
              <w:t> 年 </w:t>
            </w:r>
            <w:r>
              <w:rPr>
                <w:sz w:val="21"/>
              </w:rPr>
              <w:t>2</w:t>
            </w:r>
            <w:r>
              <w:rPr>
                <w:spacing w:val="-36"/>
                <w:sz w:val="21"/>
              </w:rPr>
              <w:t> 月 </w:t>
            </w:r>
            <w:r>
              <w:rPr>
                <w:sz w:val="21"/>
              </w:rPr>
              <w:t>1</w:t>
            </w:r>
            <w:r>
              <w:rPr>
                <w:spacing w:val="-24"/>
                <w:sz w:val="21"/>
              </w:rPr>
              <w:t> 日随</w:t>
            </w:r>
            <w:r>
              <w:rPr>
                <w:sz w:val="21"/>
              </w:rPr>
              <w:t>机抽查了过去两个月</w:t>
            </w:r>
            <w:r>
              <w:rPr>
                <w:spacing w:val="-11"/>
                <w:sz w:val="21"/>
              </w:rPr>
              <w:t>中每周各 </w:t>
            </w:r>
            <w:r>
              <w:rPr>
                <w:sz w:val="21"/>
              </w:rPr>
              <w:t>1</w:t>
            </w:r>
            <w:r>
              <w:rPr>
                <w:spacing w:val="-12"/>
                <w:sz w:val="21"/>
              </w:rPr>
              <w:t> 小时的录像，没有发现过早进行电子移交的情况。</w:t>
            </w:r>
          </w:p>
        </w:tc>
        <w:tc>
          <w:tcPr>
            <w:tcW w:w="420"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134"/>
              <w:ind w:left="12"/>
              <w:jc w:val="center"/>
              <w:rPr>
                <w:sz w:val="21"/>
              </w:rPr>
            </w:pPr>
            <w:r>
              <w:rPr>
                <w:w w:val="99"/>
                <w:sz w:val="21"/>
              </w:rPr>
              <w:t>是</w:t>
            </w:r>
          </w:p>
        </w:tc>
        <w:tc>
          <w:tcPr>
            <w:tcW w:w="1120"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134"/>
              <w:ind w:left="140"/>
              <w:rPr>
                <w:sz w:val="21"/>
              </w:rPr>
            </w:pPr>
            <w:r>
              <w:rPr>
                <w:sz w:val="21"/>
              </w:rPr>
              <w:t>2022/3/1</w:t>
            </w:r>
          </w:p>
        </w:tc>
      </w:tr>
      <w:tr>
        <w:trPr>
          <w:trHeight w:val="4436" w:hRule="atLeast"/>
        </w:trPr>
        <w:tc>
          <w:tcPr>
            <w:tcW w:w="425"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7"/>
              <w:rPr>
                <w:rFonts w:ascii="黑体"/>
                <w:sz w:val="22"/>
              </w:rPr>
            </w:pPr>
          </w:p>
          <w:p>
            <w:pPr>
              <w:pStyle w:val="TableParagraph"/>
              <w:ind w:left="6"/>
              <w:jc w:val="center"/>
              <w:rPr>
                <w:sz w:val="21"/>
              </w:rPr>
            </w:pPr>
            <w:r>
              <w:rPr>
                <w:w w:val="99"/>
                <w:sz w:val="21"/>
              </w:rPr>
              <w:t>2</w:t>
            </w:r>
          </w:p>
        </w:tc>
        <w:tc>
          <w:tcPr>
            <w:tcW w:w="1408"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6"/>
              </w:rPr>
            </w:pPr>
          </w:p>
          <w:p>
            <w:pPr>
              <w:pStyle w:val="TableParagraph"/>
              <w:spacing w:line="278" w:lineRule="auto"/>
              <w:ind w:left="107" w:right="239"/>
              <w:jc w:val="both"/>
              <w:rPr>
                <w:sz w:val="21"/>
              </w:rPr>
            </w:pPr>
            <w:r>
              <w:rPr>
                <w:sz w:val="21"/>
              </w:rPr>
              <w:t>货运平板车阻挡加油车前方的紧急通道。</w:t>
            </w:r>
          </w:p>
        </w:tc>
        <w:tc>
          <w:tcPr>
            <w:tcW w:w="1423"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7"/>
              <w:rPr>
                <w:rFonts w:ascii="黑体"/>
                <w:sz w:val="22"/>
              </w:rPr>
            </w:pPr>
          </w:p>
          <w:p>
            <w:pPr>
              <w:pStyle w:val="TableParagraph"/>
              <w:ind w:left="7"/>
              <w:jc w:val="center"/>
              <w:rPr>
                <w:sz w:val="21"/>
              </w:rPr>
            </w:pPr>
            <w:r>
              <w:rPr>
                <w:w w:val="99"/>
                <w:sz w:val="21"/>
              </w:rPr>
              <w:t>否</w:t>
            </w:r>
          </w:p>
        </w:tc>
        <w:tc>
          <w:tcPr>
            <w:tcW w:w="1094"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line="278" w:lineRule="auto" w:before="133"/>
              <w:ind w:left="231" w:right="118" w:hanging="106"/>
              <w:rPr>
                <w:sz w:val="21"/>
              </w:rPr>
            </w:pPr>
            <w:r>
              <w:rPr>
                <w:sz w:val="21"/>
              </w:rPr>
              <w:t>重复性违规违章</w:t>
            </w:r>
          </w:p>
        </w:tc>
        <w:tc>
          <w:tcPr>
            <w:tcW w:w="2487"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6"/>
              </w:rPr>
            </w:pPr>
          </w:p>
          <w:p>
            <w:pPr>
              <w:pStyle w:val="TableParagraph"/>
              <w:spacing w:line="278" w:lineRule="auto"/>
              <w:ind w:left="106" w:right="164"/>
              <w:rPr>
                <w:sz w:val="21"/>
              </w:rPr>
            </w:pPr>
            <w:r>
              <w:rPr>
                <w:sz w:val="21"/>
              </w:rPr>
              <w:t>1、作业人员违反车辆靠机作业规范；</w:t>
            </w:r>
          </w:p>
          <w:p>
            <w:pPr>
              <w:pStyle w:val="TableParagraph"/>
              <w:spacing w:line="278" w:lineRule="auto"/>
              <w:ind w:left="106" w:right="164"/>
              <w:rPr>
                <w:sz w:val="21"/>
              </w:rPr>
            </w:pPr>
            <w:r>
              <w:rPr>
                <w:sz w:val="21"/>
              </w:rPr>
              <w:t>2、作业人员对加油车紧急通道的要求不熟悉。</w:t>
            </w:r>
          </w:p>
        </w:tc>
        <w:tc>
          <w:tcPr>
            <w:tcW w:w="1890" w:type="dxa"/>
          </w:tcPr>
          <w:p>
            <w:pPr>
              <w:pStyle w:val="TableParagraph"/>
              <w:rPr>
                <w:rFonts w:ascii="黑体"/>
                <w:sz w:val="20"/>
              </w:rPr>
            </w:pPr>
          </w:p>
          <w:p>
            <w:pPr>
              <w:pStyle w:val="TableParagraph"/>
              <w:rPr>
                <w:rFonts w:ascii="黑体"/>
                <w:sz w:val="20"/>
              </w:rPr>
            </w:pPr>
          </w:p>
          <w:p>
            <w:pPr>
              <w:pStyle w:val="TableParagraph"/>
              <w:spacing w:before="2"/>
              <w:rPr>
                <w:rFonts w:ascii="黑体"/>
                <w:sz w:val="25"/>
              </w:rPr>
            </w:pPr>
          </w:p>
          <w:p>
            <w:pPr>
              <w:pStyle w:val="TableParagraph"/>
              <w:spacing w:line="278" w:lineRule="auto"/>
              <w:ind w:left="108" w:right="96"/>
              <w:rPr>
                <w:sz w:val="21"/>
              </w:rPr>
            </w:pPr>
            <w:r>
              <w:rPr>
                <w:spacing w:val="-4"/>
                <w:sz w:val="21"/>
              </w:rPr>
              <w:t>公司《航站运行手册》“航空器活动</w:t>
            </w:r>
            <w:r>
              <w:rPr>
                <w:sz w:val="21"/>
              </w:rPr>
              <w:t>区道路交通管理</w:t>
            </w:r>
            <w:r>
              <w:rPr>
                <w:spacing w:val="-11"/>
                <w:sz w:val="21"/>
              </w:rPr>
              <w:t>规则”第 </w:t>
            </w:r>
            <w:r>
              <w:rPr>
                <w:sz w:val="21"/>
              </w:rPr>
              <w:t>XXX</w:t>
            </w:r>
            <w:r>
              <w:rPr>
                <w:spacing w:val="-18"/>
                <w:sz w:val="21"/>
              </w:rPr>
              <w:t> 条" 当飞机正在加油</w:t>
            </w:r>
            <w:r>
              <w:rPr>
                <w:spacing w:val="-6"/>
                <w:sz w:val="21"/>
              </w:rPr>
              <w:t>时，在停机位内的</w:t>
            </w:r>
            <w:r>
              <w:rPr>
                <w:sz w:val="21"/>
              </w:rPr>
              <w:t>车辆不得阻碍加油车前方的紧急通道。</w:t>
            </w:r>
          </w:p>
        </w:tc>
        <w:tc>
          <w:tcPr>
            <w:tcW w:w="1290"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8"/>
              <w:rPr>
                <w:rFonts w:ascii="黑体"/>
                <w:sz w:val="21"/>
              </w:rPr>
            </w:pPr>
          </w:p>
          <w:p>
            <w:pPr>
              <w:pStyle w:val="TableParagraph"/>
              <w:spacing w:line="278" w:lineRule="auto" w:before="1"/>
              <w:ind w:left="107" w:right="97"/>
              <w:jc w:val="both"/>
              <w:rPr>
                <w:sz w:val="21"/>
              </w:rPr>
            </w:pPr>
            <w:r>
              <w:rPr>
                <w:sz w:val="21"/>
              </w:rPr>
              <w:t>1</w:t>
            </w:r>
            <w:r>
              <w:rPr>
                <w:spacing w:val="-20"/>
                <w:sz w:val="21"/>
              </w:rPr>
              <w:t>、紧急情况</w:t>
            </w:r>
            <w:r>
              <w:rPr>
                <w:sz w:val="21"/>
              </w:rPr>
              <w:t>下阻挡加油车的撤离； 2</w:t>
            </w:r>
            <w:r>
              <w:rPr>
                <w:spacing w:val="-20"/>
                <w:sz w:val="21"/>
              </w:rPr>
              <w:t>、车辆与飞</w:t>
            </w:r>
            <w:r>
              <w:rPr>
                <w:sz w:val="21"/>
              </w:rPr>
              <w:t>机或车辆与车辆刮碰</w:t>
            </w:r>
          </w:p>
        </w:tc>
        <w:tc>
          <w:tcPr>
            <w:tcW w:w="713"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2"/>
              <w:rPr>
                <w:rFonts w:ascii="黑体"/>
                <w:sz w:val="18"/>
              </w:rPr>
            </w:pPr>
          </w:p>
          <w:p>
            <w:pPr>
              <w:pStyle w:val="TableParagraph"/>
              <w:spacing w:line="278" w:lineRule="auto" w:before="1"/>
              <w:ind w:left="108" w:right="174"/>
              <w:jc w:val="both"/>
              <w:rPr>
                <w:sz w:val="21"/>
              </w:rPr>
            </w:pPr>
            <w:r>
              <w:rPr>
                <w:sz w:val="21"/>
              </w:rPr>
              <w:t>日常安全检查</w:t>
            </w:r>
          </w:p>
        </w:tc>
        <w:tc>
          <w:tcPr>
            <w:tcW w:w="1267"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7"/>
              <w:rPr>
                <w:rFonts w:ascii="黑体"/>
                <w:sz w:val="22"/>
              </w:rPr>
            </w:pPr>
          </w:p>
          <w:p>
            <w:pPr>
              <w:pStyle w:val="TableParagraph"/>
              <w:ind w:left="192" w:right="185"/>
              <w:jc w:val="center"/>
              <w:rPr>
                <w:sz w:val="21"/>
              </w:rPr>
            </w:pPr>
            <w:r>
              <w:rPr>
                <w:sz w:val="21"/>
              </w:rPr>
              <w:t>2022/1/3</w:t>
            </w:r>
          </w:p>
        </w:tc>
        <w:tc>
          <w:tcPr>
            <w:tcW w:w="620"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2"/>
              <w:rPr>
                <w:rFonts w:ascii="黑体"/>
                <w:sz w:val="18"/>
              </w:rPr>
            </w:pPr>
          </w:p>
          <w:p>
            <w:pPr>
              <w:pStyle w:val="TableParagraph"/>
              <w:spacing w:line="278" w:lineRule="auto" w:before="1"/>
              <w:ind w:left="108" w:right="290"/>
              <w:jc w:val="both"/>
              <w:rPr>
                <w:sz w:val="21"/>
              </w:rPr>
            </w:pPr>
            <w:r>
              <w:rPr>
                <w:sz w:val="21"/>
              </w:rPr>
              <w:t>货运部</w:t>
            </w:r>
          </w:p>
        </w:tc>
        <w:tc>
          <w:tcPr>
            <w:tcW w:w="1210"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7"/>
              <w:rPr>
                <w:rFonts w:ascii="黑体"/>
                <w:sz w:val="22"/>
              </w:rPr>
            </w:pPr>
          </w:p>
          <w:p>
            <w:pPr>
              <w:pStyle w:val="TableParagraph"/>
              <w:ind w:left="163" w:right="155"/>
              <w:jc w:val="center"/>
              <w:rPr>
                <w:sz w:val="21"/>
              </w:rPr>
            </w:pPr>
            <w:r>
              <w:rPr>
                <w:sz w:val="21"/>
              </w:rPr>
              <w:t>2022/1/5</w:t>
            </w:r>
          </w:p>
        </w:tc>
        <w:tc>
          <w:tcPr>
            <w:tcW w:w="1908" w:type="dxa"/>
          </w:tcPr>
          <w:p>
            <w:pPr>
              <w:pStyle w:val="TableParagraph"/>
              <w:spacing w:line="278" w:lineRule="auto" w:before="55"/>
              <w:ind w:left="107" w:right="96"/>
              <w:jc w:val="both"/>
              <w:rPr>
                <w:sz w:val="21"/>
              </w:rPr>
            </w:pPr>
            <w:r>
              <w:rPr>
                <w:sz w:val="21"/>
              </w:rPr>
              <w:t>1</w:t>
            </w:r>
            <w:r>
              <w:rPr>
                <w:spacing w:val="-15"/>
                <w:sz w:val="21"/>
              </w:rPr>
              <w:t>、对违规操作人员</w:t>
            </w:r>
            <w:r>
              <w:rPr>
                <w:sz w:val="21"/>
              </w:rPr>
              <w:t>进行批评教育并现场纠正；</w:t>
            </w:r>
          </w:p>
          <w:p>
            <w:pPr>
              <w:pStyle w:val="TableParagraph"/>
              <w:spacing w:line="278" w:lineRule="auto"/>
              <w:ind w:left="107" w:right="96"/>
              <w:jc w:val="both"/>
              <w:rPr>
                <w:sz w:val="21"/>
              </w:rPr>
            </w:pPr>
            <w:r>
              <w:rPr>
                <w:sz w:val="21"/>
              </w:rPr>
              <w:t>2</w:t>
            </w:r>
            <w:r>
              <w:rPr>
                <w:spacing w:val="-15"/>
                <w:sz w:val="21"/>
              </w:rPr>
              <w:t>、组织装卸处员工</w:t>
            </w:r>
            <w:r>
              <w:rPr>
                <w:sz w:val="21"/>
              </w:rPr>
              <w:t>再次学习《航空器活动区道路交通管理规则》的相关要求；</w:t>
            </w:r>
          </w:p>
          <w:p>
            <w:pPr>
              <w:pStyle w:val="TableParagraph"/>
              <w:spacing w:line="278" w:lineRule="auto"/>
              <w:ind w:left="107" w:right="96"/>
              <w:jc w:val="both"/>
              <w:rPr>
                <w:sz w:val="21"/>
              </w:rPr>
            </w:pPr>
            <w:r>
              <w:rPr>
                <w:sz w:val="21"/>
              </w:rPr>
              <w:t>3</w:t>
            </w:r>
            <w:r>
              <w:rPr>
                <w:spacing w:val="-15"/>
                <w:sz w:val="21"/>
              </w:rPr>
              <w:t>、安质处组织对车</w:t>
            </w:r>
            <w:r>
              <w:rPr>
                <w:sz w:val="21"/>
              </w:rPr>
              <w:t>辆靠机作业安全检</w:t>
            </w:r>
            <w:r>
              <w:rPr>
                <w:spacing w:val="-8"/>
                <w:sz w:val="21"/>
              </w:rPr>
              <w:t>查频次由每周 </w:t>
            </w:r>
            <w:r>
              <w:rPr>
                <w:sz w:val="21"/>
              </w:rPr>
              <w:t>3</w:t>
            </w:r>
            <w:r>
              <w:rPr>
                <w:spacing w:val="-28"/>
                <w:sz w:val="21"/>
              </w:rPr>
              <w:t> 次</w:t>
            </w:r>
          </w:p>
          <w:p>
            <w:pPr>
              <w:pStyle w:val="TableParagraph"/>
              <w:spacing w:line="269" w:lineRule="exact"/>
              <w:ind w:left="107"/>
              <w:rPr>
                <w:sz w:val="21"/>
              </w:rPr>
            </w:pPr>
            <w:r>
              <w:rPr>
                <w:spacing w:val="-14"/>
                <w:sz w:val="21"/>
              </w:rPr>
              <w:t>增加至 </w:t>
            </w:r>
            <w:r>
              <w:rPr>
                <w:sz w:val="21"/>
              </w:rPr>
              <w:t>5</w:t>
            </w:r>
            <w:r>
              <w:rPr>
                <w:spacing w:val="-12"/>
                <w:sz w:val="21"/>
              </w:rPr>
              <w:t> 次，并协</w:t>
            </w:r>
          </w:p>
          <w:p>
            <w:pPr>
              <w:pStyle w:val="TableParagraph"/>
              <w:spacing w:line="310" w:lineRule="atLeast" w:before="1"/>
              <w:ind w:left="107" w:right="110"/>
              <w:rPr>
                <w:sz w:val="21"/>
              </w:rPr>
            </w:pPr>
            <w:r>
              <w:rPr>
                <w:sz w:val="21"/>
              </w:rPr>
              <w:t>调机场进行视频抽查。</w:t>
            </w:r>
          </w:p>
        </w:tc>
        <w:tc>
          <w:tcPr>
            <w:tcW w:w="867"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7"/>
              <w:rPr>
                <w:rFonts w:ascii="黑体"/>
                <w:sz w:val="22"/>
              </w:rPr>
            </w:pPr>
          </w:p>
          <w:p>
            <w:pPr>
              <w:pStyle w:val="TableParagraph"/>
              <w:ind w:left="8"/>
              <w:jc w:val="center"/>
              <w:rPr>
                <w:sz w:val="21"/>
              </w:rPr>
            </w:pPr>
            <w:r>
              <w:rPr>
                <w:w w:val="99"/>
                <w:sz w:val="21"/>
              </w:rPr>
              <w:t>无</w:t>
            </w:r>
          </w:p>
        </w:tc>
        <w:tc>
          <w:tcPr>
            <w:tcW w:w="795" w:type="dxa"/>
          </w:tcPr>
          <w:p>
            <w:pPr>
              <w:pStyle w:val="TableParagraph"/>
              <w:rPr>
                <w:rFonts w:ascii="Times New Roman"/>
                <w:sz w:val="20"/>
              </w:rPr>
            </w:pPr>
          </w:p>
        </w:tc>
        <w:tc>
          <w:tcPr>
            <w:tcW w:w="750"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line="278" w:lineRule="auto" w:before="177"/>
              <w:ind w:left="108" w:right="211"/>
              <w:jc w:val="both"/>
              <w:rPr>
                <w:sz w:val="21"/>
              </w:rPr>
            </w:pPr>
            <w:r>
              <w:rPr>
                <w:sz w:val="21"/>
              </w:rPr>
              <w:t>货运部安全质量经理</w:t>
            </w:r>
          </w:p>
        </w:tc>
        <w:tc>
          <w:tcPr>
            <w:tcW w:w="1133"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7"/>
              <w:rPr>
                <w:rFonts w:ascii="黑体"/>
                <w:sz w:val="22"/>
              </w:rPr>
            </w:pPr>
          </w:p>
          <w:p>
            <w:pPr>
              <w:pStyle w:val="TableParagraph"/>
              <w:ind w:right="95"/>
              <w:jc w:val="right"/>
              <w:rPr>
                <w:sz w:val="21"/>
              </w:rPr>
            </w:pPr>
            <w:r>
              <w:rPr>
                <w:sz w:val="21"/>
              </w:rPr>
              <w:t>2022/2/3</w:t>
            </w:r>
          </w:p>
        </w:tc>
        <w:tc>
          <w:tcPr>
            <w:tcW w:w="2170" w:type="dxa"/>
          </w:tcPr>
          <w:p>
            <w:pPr>
              <w:pStyle w:val="TableParagraph"/>
              <w:spacing w:before="8"/>
              <w:rPr>
                <w:rFonts w:ascii="黑体"/>
                <w:sz w:val="28"/>
              </w:rPr>
            </w:pPr>
          </w:p>
          <w:p>
            <w:pPr>
              <w:pStyle w:val="TableParagraph"/>
              <w:spacing w:line="278" w:lineRule="auto"/>
              <w:ind w:left="107" w:right="111"/>
              <w:jc w:val="both"/>
              <w:rPr>
                <w:sz w:val="21"/>
              </w:rPr>
            </w:pPr>
            <w:r>
              <w:rPr>
                <w:sz w:val="21"/>
              </w:rPr>
              <w:t>1.2022</w:t>
            </w:r>
            <w:r>
              <w:rPr>
                <w:spacing w:val="-36"/>
                <w:sz w:val="21"/>
              </w:rPr>
              <w:t> 年 </w:t>
            </w:r>
            <w:r>
              <w:rPr>
                <w:sz w:val="21"/>
              </w:rPr>
              <w:t>2</w:t>
            </w:r>
            <w:r>
              <w:rPr>
                <w:spacing w:val="-36"/>
                <w:sz w:val="21"/>
              </w:rPr>
              <w:t> 月 </w:t>
            </w:r>
            <w:r>
              <w:rPr>
                <w:sz w:val="21"/>
              </w:rPr>
              <w:t>3</w:t>
            </w:r>
            <w:r>
              <w:rPr>
                <w:spacing w:val="-24"/>
                <w:sz w:val="21"/>
              </w:rPr>
              <w:t> 日检</w:t>
            </w:r>
            <w:r>
              <w:rPr>
                <w:sz w:val="21"/>
              </w:rPr>
              <w:t>查了装卸处员工学习</w:t>
            </w:r>
          </w:p>
          <w:p>
            <w:pPr>
              <w:pStyle w:val="TableParagraph"/>
              <w:spacing w:line="278" w:lineRule="auto"/>
              <w:ind w:left="107" w:right="111"/>
              <w:jc w:val="both"/>
              <w:rPr>
                <w:sz w:val="21"/>
              </w:rPr>
            </w:pPr>
            <w:r>
              <w:rPr>
                <w:sz w:val="21"/>
              </w:rPr>
              <w:t>《航空器活动区道路交通管理规则》的记录和考核记录，所有员工学习和考核合格2.2022</w:t>
            </w:r>
            <w:r>
              <w:rPr>
                <w:spacing w:val="-36"/>
                <w:sz w:val="21"/>
              </w:rPr>
              <w:t> 年 </w:t>
            </w:r>
            <w:r>
              <w:rPr>
                <w:sz w:val="21"/>
              </w:rPr>
              <w:t>2</w:t>
            </w:r>
            <w:r>
              <w:rPr>
                <w:spacing w:val="-36"/>
                <w:sz w:val="21"/>
              </w:rPr>
              <w:t> 月 </w:t>
            </w:r>
            <w:r>
              <w:rPr>
                <w:sz w:val="21"/>
              </w:rPr>
              <w:t>3</w:t>
            </w:r>
            <w:r>
              <w:rPr>
                <w:spacing w:val="-24"/>
                <w:sz w:val="21"/>
              </w:rPr>
              <w:t> 日随</w:t>
            </w:r>
            <w:r>
              <w:rPr>
                <w:sz w:val="21"/>
              </w:rPr>
              <w:t>机抽查过去两个月的车辆靠机作业安全检查记录，发现连续两个月没有发生类似违规事件</w:t>
            </w:r>
          </w:p>
        </w:tc>
        <w:tc>
          <w:tcPr>
            <w:tcW w:w="420"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7"/>
              <w:rPr>
                <w:rFonts w:ascii="黑体"/>
                <w:sz w:val="22"/>
              </w:rPr>
            </w:pPr>
          </w:p>
          <w:p>
            <w:pPr>
              <w:pStyle w:val="TableParagraph"/>
              <w:ind w:left="12"/>
              <w:jc w:val="center"/>
              <w:rPr>
                <w:sz w:val="21"/>
              </w:rPr>
            </w:pPr>
            <w:r>
              <w:rPr>
                <w:w w:val="99"/>
                <w:sz w:val="21"/>
              </w:rPr>
              <w:t>是</w:t>
            </w:r>
          </w:p>
        </w:tc>
        <w:tc>
          <w:tcPr>
            <w:tcW w:w="1120"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7"/>
              <w:rPr>
                <w:rFonts w:ascii="黑体"/>
                <w:sz w:val="22"/>
              </w:rPr>
            </w:pPr>
          </w:p>
          <w:p>
            <w:pPr>
              <w:pStyle w:val="TableParagraph"/>
              <w:ind w:left="140"/>
              <w:rPr>
                <w:sz w:val="21"/>
              </w:rPr>
            </w:pPr>
            <w:r>
              <w:rPr>
                <w:sz w:val="21"/>
              </w:rPr>
              <w:t>2022/3/6</w:t>
            </w:r>
          </w:p>
        </w:tc>
      </w:tr>
    </w:tbl>
    <w:p>
      <w:pPr>
        <w:spacing w:after="0"/>
        <w:rPr>
          <w:sz w:val="21"/>
        </w:rPr>
        <w:sectPr>
          <w:footerReference w:type="default" r:id="rId31"/>
          <w:pgSz w:w="23820" w:h="16840" w:orient="landscape"/>
          <w:pgMar w:footer="975" w:header="0" w:top="1580" w:bottom="1160" w:left="300" w:right="300"/>
        </w:sectPr>
      </w:pPr>
    </w:p>
    <w:p>
      <w:pPr>
        <w:pStyle w:val="BodyText"/>
        <w:spacing w:before="5"/>
        <w:ind w:left="0"/>
        <w:rPr>
          <w:rFonts w:ascii="黑体"/>
          <w:sz w:val="24"/>
        </w:rPr>
      </w:pPr>
    </w:p>
    <w:p>
      <w:pPr>
        <w:spacing w:line="254" w:lineRule="auto" w:before="41"/>
        <w:ind w:left="311" w:right="452" w:firstLine="441"/>
        <w:jc w:val="left"/>
        <w:rPr>
          <w:sz w:val="44"/>
        </w:rPr>
      </w:pPr>
      <w:bookmarkStart w:name="国家粮食和物资储备局垂直管理系统" w:id="48"/>
      <w:bookmarkEnd w:id="48"/>
      <w:r>
        <w:rPr/>
      </w:r>
      <w:bookmarkStart w:name="重大生产安全事故隐患判定标准（试行）" w:id="49"/>
      <w:bookmarkEnd w:id="49"/>
      <w:r>
        <w:rPr/>
      </w:r>
      <w:r>
        <w:rPr>
          <w:sz w:val="44"/>
        </w:rPr>
        <w:t>国家粮食和物资储备局垂直管理系统 重大生产安全事故隐患判定标准（试行</w:t>
      </w:r>
      <w:r>
        <w:rPr>
          <w:spacing w:val="-12"/>
          <w:sz w:val="44"/>
        </w:rPr>
        <w:t>）</w:t>
      </w:r>
    </w:p>
    <w:p>
      <w:pPr>
        <w:pStyle w:val="BodyText"/>
        <w:ind w:left="0"/>
        <w:rPr>
          <w:sz w:val="55"/>
        </w:rPr>
      </w:pPr>
    </w:p>
    <w:p>
      <w:pPr>
        <w:pStyle w:val="BodyText"/>
        <w:spacing w:line="328" w:lineRule="auto" w:before="1"/>
        <w:ind w:left="120" w:right="245" w:firstLine="640"/>
        <w:jc w:val="both"/>
      </w:pPr>
      <w:r>
        <w:rPr/>
        <w:t>本标准适用于国家粮食和物资储备垂管系统通用仓库、成品油库和火炸药仓库（以下简称储备仓库）的重大生产安全事故隐患的判定。储备仓库重大事故隐患分为通用类和专项类，通用类重大事故隐患适用于所有储备仓库，专项类重大事故隐患仅适用于对应的储备仓库。除重大火灾隐患含直接判定和综合判定要素外，其他类别重大事故隐患均为直接判定。若国家相关法规标准另有规定的，以国家法规标准为准。</w:t>
      </w:r>
    </w:p>
    <w:p>
      <w:pPr>
        <w:pStyle w:val="BodyText"/>
        <w:spacing w:before="28"/>
        <w:ind w:left="760"/>
        <w:rPr>
          <w:rFonts w:ascii="黑体" w:eastAsia="黑体" w:hint="eastAsia"/>
        </w:rPr>
      </w:pPr>
      <w:r>
        <w:rPr>
          <w:rFonts w:ascii="黑体" w:eastAsia="黑体" w:hint="eastAsia"/>
        </w:rPr>
        <w:t>一、通用类重大事故隐患判定标准</w:t>
      </w:r>
    </w:p>
    <w:p>
      <w:pPr>
        <w:pStyle w:val="Heading3"/>
        <w:spacing w:before="94"/>
        <w:ind w:left="760" w:firstLine="0"/>
      </w:pPr>
      <w:r>
        <w:rPr/>
        <w:t>（一）重大火灾隐患判定标准</w:t>
      </w:r>
    </w:p>
    <w:p>
      <w:pPr>
        <w:pStyle w:val="BodyText"/>
        <w:spacing w:line="357" w:lineRule="auto" w:before="126"/>
        <w:ind w:left="120" w:right="257" w:firstLine="640"/>
        <w:jc w:val="both"/>
      </w:pPr>
      <w:r>
        <w:rPr>
          <w:spacing w:val="13"/>
          <w:w w:val="95"/>
        </w:rPr>
        <w:t>重大火灾隐患的判定标准分为直接判定和综合判定方 </w:t>
      </w:r>
      <w:r>
        <w:rPr>
          <w:spacing w:val="-1"/>
          <w:w w:val="95"/>
        </w:rPr>
        <w:t>法。直接判定是只需符合任意一条判定要素，则直接判定为 </w:t>
      </w:r>
      <w:r>
        <w:rPr>
          <w:spacing w:val="-3"/>
        </w:rPr>
        <w:t>重大火灾隐患。综合判定是根据判定要素的情形、数量进行综合判定。</w:t>
      </w:r>
    </w:p>
    <w:p>
      <w:pPr>
        <w:pStyle w:val="Heading3"/>
        <w:spacing w:line="480" w:lineRule="exact"/>
        <w:ind w:left="760" w:firstLine="0"/>
      </w:pPr>
      <w:r>
        <w:rPr/>
        <w:t>直接判定要素如下：</w:t>
      </w:r>
    </w:p>
    <w:p>
      <w:pPr>
        <w:pStyle w:val="BodyText"/>
        <w:spacing w:line="328" w:lineRule="auto" w:before="86"/>
        <w:ind w:left="120" w:right="245" w:firstLine="640"/>
        <w:jc w:val="right"/>
      </w:pPr>
      <w:r>
        <w:rPr>
          <w:spacing w:val="5"/>
          <w:w w:val="95"/>
        </w:rPr>
        <w:t>1</w:t>
      </w:r>
      <w:r>
        <w:rPr>
          <w:spacing w:val="11"/>
          <w:w w:val="95"/>
        </w:rPr>
        <w:t>.储存和装卸易燃易爆危险品的仓库和专用车站、码 头、储罐区，未设置在城市的边缘或相对独立的安全地带； 2.储存、经营易燃易爆危险品的场所与人员密集场所、</w:t>
      </w:r>
    </w:p>
    <w:p>
      <w:pPr>
        <w:pStyle w:val="BodyText"/>
        <w:spacing w:line="326" w:lineRule="auto"/>
        <w:ind w:left="120" w:right="260"/>
      </w:pPr>
      <w:r>
        <w:rPr>
          <w:spacing w:val="11"/>
          <w:w w:val="95"/>
        </w:rPr>
        <w:t>居住场所的防火间距小于国家工程建设消防技术标准规定 </w:t>
      </w:r>
      <w:r>
        <w:rPr>
          <w:spacing w:val="-20"/>
        </w:rPr>
        <w:t>值的 </w:t>
      </w:r>
      <w:r>
        <w:rPr/>
        <w:t>75%；</w:t>
      </w:r>
    </w:p>
    <w:p>
      <w:pPr>
        <w:spacing w:after="0" w:line="326" w:lineRule="auto"/>
        <w:sectPr>
          <w:footerReference w:type="default" r:id="rId32"/>
          <w:pgSz w:w="11910" w:h="16840"/>
          <w:pgMar w:footer="975" w:header="0" w:top="1580" w:bottom="1160" w:left="1680" w:right="1540"/>
          <w:pgNumType w:start="175"/>
        </w:sectPr>
      </w:pPr>
    </w:p>
    <w:p>
      <w:pPr>
        <w:pStyle w:val="ListParagraph"/>
        <w:numPr>
          <w:ilvl w:val="0"/>
          <w:numId w:val="77"/>
        </w:numPr>
        <w:tabs>
          <w:tab w:pos="1083" w:val="left" w:leader="none"/>
        </w:tabs>
        <w:spacing w:line="240" w:lineRule="auto" w:before="32" w:after="0"/>
        <w:ind w:left="1082" w:right="0" w:hanging="323"/>
        <w:jc w:val="left"/>
        <w:rPr>
          <w:sz w:val="32"/>
        </w:rPr>
      </w:pPr>
      <w:r>
        <w:rPr>
          <w:sz w:val="32"/>
        </w:rPr>
        <w:t>甲、乙类仓库设置在建筑的地下室或半地下室；</w:t>
      </w:r>
    </w:p>
    <w:p>
      <w:pPr>
        <w:pStyle w:val="ListParagraph"/>
        <w:numPr>
          <w:ilvl w:val="0"/>
          <w:numId w:val="77"/>
        </w:numPr>
        <w:tabs>
          <w:tab w:pos="1083" w:val="left" w:leader="none"/>
        </w:tabs>
        <w:spacing w:line="328" w:lineRule="auto" w:before="149" w:after="0"/>
        <w:ind w:left="120" w:right="257" w:firstLine="640"/>
        <w:jc w:val="both"/>
        <w:rPr>
          <w:sz w:val="32"/>
        </w:rPr>
      </w:pPr>
      <w:r>
        <w:rPr>
          <w:spacing w:val="-1"/>
          <w:w w:val="95"/>
          <w:sz w:val="32"/>
        </w:rPr>
        <w:t>易燃可燃液体储罐</w:t>
      </w:r>
      <w:r>
        <w:rPr>
          <w:w w:val="95"/>
          <w:sz w:val="32"/>
        </w:rPr>
        <w:t>（区</w:t>
      </w:r>
      <w:r>
        <w:rPr>
          <w:spacing w:val="-5"/>
          <w:w w:val="95"/>
          <w:sz w:val="32"/>
        </w:rPr>
        <w:t>）</w:t>
      </w:r>
      <w:r>
        <w:rPr>
          <w:w w:val="95"/>
          <w:sz w:val="32"/>
        </w:rPr>
        <w:t>未按国家工程建设消防技术 </w:t>
      </w:r>
      <w:r>
        <w:rPr>
          <w:spacing w:val="-3"/>
          <w:sz w:val="32"/>
        </w:rPr>
        <w:t>标准的规定设置固定灭火、冷却、可燃气体浓度报警、火灾报警设施。</w:t>
      </w:r>
    </w:p>
    <w:p>
      <w:pPr>
        <w:pStyle w:val="Heading3"/>
        <w:spacing w:line="519" w:lineRule="exact"/>
        <w:ind w:left="760" w:firstLine="0"/>
      </w:pPr>
      <w:r>
        <w:rPr/>
        <w:t>综合判定要素如下：</w:t>
      </w:r>
    </w:p>
    <w:p>
      <w:pPr>
        <w:pStyle w:val="ListParagraph"/>
        <w:numPr>
          <w:ilvl w:val="0"/>
          <w:numId w:val="78"/>
        </w:numPr>
        <w:tabs>
          <w:tab w:pos="1092" w:val="left" w:leader="none"/>
        </w:tabs>
        <w:spacing w:line="326" w:lineRule="auto" w:before="86" w:after="0"/>
        <w:ind w:left="120" w:right="260" w:firstLine="640"/>
        <w:jc w:val="left"/>
        <w:rPr>
          <w:sz w:val="32"/>
        </w:rPr>
      </w:pPr>
      <w:r>
        <w:rPr>
          <w:spacing w:val="13"/>
          <w:w w:val="95"/>
          <w:sz w:val="32"/>
        </w:rPr>
        <w:t>未按国家工程建设消防技术标准的规定或城市消防 </w:t>
      </w:r>
      <w:r>
        <w:rPr>
          <w:spacing w:val="13"/>
          <w:sz w:val="32"/>
        </w:rPr>
        <w:t>规划的要求设置消防车道或消防车道被堵塞、占用；</w:t>
      </w:r>
    </w:p>
    <w:p>
      <w:pPr>
        <w:pStyle w:val="ListParagraph"/>
        <w:numPr>
          <w:ilvl w:val="0"/>
          <w:numId w:val="78"/>
        </w:numPr>
        <w:tabs>
          <w:tab w:pos="1092" w:val="left" w:leader="none"/>
        </w:tabs>
        <w:spacing w:line="328" w:lineRule="auto" w:before="5" w:after="0"/>
        <w:ind w:left="120" w:right="260" w:firstLine="640"/>
        <w:jc w:val="both"/>
        <w:rPr>
          <w:sz w:val="32"/>
        </w:rPr>
      </w:pPr>
      <w:r>
        <w:rPr>
          <w:spacing w:val="13"/>
          <w:w w:val="95"/>
          <w:sz w:val="32"/>
        </w:rPr>
        <w:t>建筑之间的既有防火间距被占用或小于国家工程建 </w:t>
      </w:r>
      <w:r>
        <w:rPr>
          <w:spacing w:val="-6"/>
          <w:sz w:val="32"/>
        </w:rPr>
        <w:t>设消防技术标准的规定值的 </w:t>
      </w:r>
      <w:r>
        <w:rPr>
          <w:sz w:val="32"/>
        </w:rPr>
        <w:t>80%，明火和散发火花地点与易</w:t>
      </w:r>
      <w:r>
        <w:rPr>
          <w:spacing w:val="11"/>
          <w:w w:val="95"/>
          <w:sz w:val="32"/>
        </w:rPr>
        <w:t>燃易爆装置设备之间的防火间距小于国家工程建设消防技 </w:t>
      </w:r>
      <w:r>
        <w:rPr>
          <w:spacing w:val="11"/>
          <w:sz w:val="32"/>
        </w:rPr>
        <w:t>术标准的规定值；</w:t>
      </w:r>
    </w:p>
    <w:p>
      <w:pPr>
        <w:pStyle w:val="ListParagraph"/>
        <w:numPr>
          <w:ilvl w:val="0"/>
          <w:numId w:val="78"/>
        </w:numPr>
        <w:tabs>
          <w:tab w:pos="1083" w:val="left" w:leader="none"/>
        </w:tabs>
        <w:spacing w:line="326" w:lineRule="auto" w:before="0" w:after="0"/>
        <w:ind w:left="120" w:right="260" w:firstLine="640"/>
        <w:jc w:val="both"/>
        <w:rPr>
          <w:sz w:val="32"/>
        </w:rPr>
      </w:pPr>
      <w:r>
        <w:rPr>
          <w:spacing w:val="-1"/>
          <w:w w:val="95"/>
          <w:sz w:val="32"/>
        </w:rPr>
        <w:t>在库房中设置员工宿舍且不符合《住宿与生产储存经 </w:t>
      </w:r>
      <w:r>
        <w:rPr>
          <w:spacing w:val="-13"/>
          <w:sz w:val="32"/>
        </w:rPr>
        <w:t>营合用场所消防安全技术要求》</w:t>
      </w:r>
      <w:r>
        <w:rPr>
          <w:sz w:val="32"/>
        </w:rPr>
        <w:t>（GA</w:t>
      </w:r>
      <w:r>
        <w:rPr>
          <w:spacing w:val="-3"/>
          <w:sz w:val="32"/>
        </w:rPr>
        <w:t> </w:t>
      </w:r>
      <w:r>
        <w:rPr>
          <w:sz w:val="32"/>
        </w:rPr>
        <w:t>703）的规定；</w:t>
      </w:r>
    </w:p>
    <w:p>
      <w:pPr>
        <w:pStyle w:val="ListParagraph"/>
        <w:numPr>
          <w:ilvl w:val="0"/>
          <w:numId w:val="78"/>
        </w:numPr>
        <w:tabs>
          <w:tab w:pos="1092" w:val="left" w:leader="none"/>
        </w:tabs>
        <w:spacing w:line="326" w:lineRule="auto" w:before="0" w:after="0"/>
        <w:ind w:left="120" w:right="260" w:firstLine="640"/>
        <w:jc w:val="left"/>
        <w:rPr>
          <w:sz w:val="32"/>
        </w:rPr>
      </w:pPr>
      <w:r>
        <w:rPr>
          <w:spacing w:val="13"/>
          <w:w w:val="95"/>
          <w:sz w:val="32"/>
        </w:rPr>
        <w:t>未按国家工程建设消防技术标准的规定设置除自动 </w:t>
      </w:r>
      <w:r>
        <w:rPr>
          <w:spacing w:val="13"/>
          <w:sz w:val="32"/>
        </w:rPr>
        <w:t>喷水灭火系统外的其他固定灭火设施；</w:t>
      </w:r>
    </w:p>
    <w:p>
      <w:pPr>
        <w:pStyle w:val="ListParagraph"/>
        <w:numPr>
          <w:ilvl w:val="0"/>
          <w:numId w:val="78"/>
        </w:numPr>
        <w:tabs>
          <w:tab w:pos="1092" w:val="left" w:leader="none"/>
        </w:tabs>
        <w:spacing w:line="328" w:lineRule="auto" w:before="1" w:after="0"/>
        <w:ind w:left="120" w:right="260" w:firstLine="640"/>
        <w:jc w:val="left"/>
        <w:rPr>
          <w:sz w:val="32"/>
        </w:rPr>
      </w:pPr>
      <w:r>
        <w:rPr>
          <w:spacing w:val="13"/>
          <w:w w:val="95"/>
          <w:sz w:val="32"/>
        </w:rPr>
        <w:t>已设置的自动喷水灭火系统或其他固定灭火设施不 </w:t>
      </w:r>
      <w:r>
        <w:rPr>
          <w:spacing w:val="13"/>
          <w:sz w:val="32"/>
        </w:rPr>
        <w:t>能正常使用或运行；</w:t>
      </w:r>
    </w:p>
    <w:p>
      <w:pPr>
        <w:pStyle w:val="ListParagraph"/>
        <w:numPr>
          <w:ilvl w:val="0"/>
          <w:numId w:val="78"/>
        </w:numPr>
        <w:tabs>
          <w:tab w:pos="1092" w:val="left" w:leader="none"/>
        </w:tabs>
        <w:spacing w:line="326" w:lineRule="auto" w:before="0" w:after="0"/>
        <w:ind w:left="120" w:right="260" w:firstLine="640"/>
        <w:jc w:val="left"/>
        <w:rPr>
          <w:sz w:val="32"/>
        </w:rPr>
      </w:pPr>
      <w:r>
        <w:rPr>
          <w:spacing w:val="13"/>
          <w:w w:val="95"/>
          <w:sz w:val="32"/>
        </w:rPr>
        <w:t>消防控制室操作人员未按《消防控制室通用技术要 </w:t>
      </w:r>
      <w:r>
        <w:rPr>
          <w:spacing w:val="-73"/>
          <w:sz w:val="32"/>
        </w:rPr>
        <w:t>求》</w:t>
      </w:r>
      <w:r>
        <w:rPr>
          <w:sz w:val="32"/>
        </w:rPr>
        <w:t>（GB</w:t>
      </w:r>
      <w:r>
        <w:rPr>
          <w:spacing w:val="-2"/>
          <w:sz w:val="32"/>
        </w:rPr>
        <w:t> </w:t>
      </w:r>
      <w:r>
        <w:rPr>
          <w:sz w:val="32"/>
        </w:rPr>
        <w:t>25506）的规定持证上岗；</w:t>
      </w:r>
    </w:p>
    <w:p>
      <w:pPr>
        <w:pStyle w:val="ListParagraph"/>
        <w:numPr>
          <w:ilvl w:val="0"/>
          <w:numId w:val="78"/>
        </w:numPr>
        <w:tabs>
          <w:tab w:pos="1092" w:val="left" w:leader="none"/>
        </w:tabs>
        <w:spacing w:line="326" w:lineRule="auto" w:before="3" w:after="0"/>
        <w:ind w:left="120" w:right="260" w:firstLine="640"/>
        <w:jc w:val="left"/>
        <w:rPr>
          <w:sz w:val="32"/>
        </w:rPr>
      </w:pPr>
      <w:r>
        <w:rPr>
          <w:spacing w:val="13"/>
          <w:w w:val="95"/>
          <w:sz w:val="32"/>
        </w:rPr>
        <w:t>安全出口数量或宽度不符合国家工程建设消防技术 </w:t>
      </w:r>
      <w:r>
        <w:rPr>
          <w:spacing w:val="13"/>
          <w:sz w:val="32"/>
        </w:rPr>
        <w:t>标准的规定，或既有安全出口被封堵；</w:t>
      </w:r>
    </w:p>
    <w:p>
      <w:pPr>
        <w:pStyle w:val="ListParagraph"/>
        <w:numPr>
          <w:ilvl w:val="0"/>
          <w:numId w:val="78"/>
        </w:numPr>
        <w:tabs>
          <w:tab w:pos="1083" w:val="left" w:leader="none"/>
        </w:tabs>
        <w:spacing w:line="328" w:lineRule="auto" w:before="4" w:after="0"/>
        <w:ind w:left="120" w:right="257" w:firstLine="640"/>
        <w:jc w:val="left"/>
        <w:rPr>
          <w:sz w:val="32"/>
        </w:rPr>
      </w:pPr>
      <w:r>
        <w:rPr>
          <w:spacing w:val="-1"/>
          <w:w w:val="95"/>
          <w:sz w:val="32"/>
        </w:rPr>
        <w:t>按国家工程建设消防技术标准的规定，建筑物应设置 </w:t>
      </w:r>
      <w:r>
        <w:rPr>
          <w:spacing w:val="-1"/>
          <w:sz w:val="32"/>
        </w:rPr>
        <w:t>独立的安全出口或疏散楼梯而未设置；</w:t>
      </w:r>
    </w:p>
    <w:p>
      <w:pPr>
        <w:pStyle w:val="ListParagraph"/>
        <w:numPr>
          <w:ilvl w:val="0"/>
          <w:numId w:val="78"/>
        </w:numPr>
        <w:tabs>
          <w:tab w:pos="1092" w:val="left" w:leader="none"/>
        </w:tabs>
        <w:spacing w:line="407" w:lineRule="exact" w:before="0" w:after="0"/>
        <w:ind w:left="1092" w:right="0" w:hanging="332"/>
        <w:jc w:val="left"/>
        <w:rPr>
          <w:sz w:val="32"/>
        </w:rPr>
      </w:pPr>
      <w:r>
        <w:rPr>
          <w:spacing w:val="13"/>
          <w:sz w:val="32"/>
        </w:rPr>
        <w:t>未按国家工程建设消防技术标准的规定设置消防水</w:t>
      </w:r>
    </w:p>
    <w:p>
      <w:pPr>
        <w:spacing w:after="0" w:line="407" w:lineRule="exact"/>
        <w:jc w:val="left"/>
        <w:rPr>
          <w:sz w:val="32"/>
        </w:rPr>
        <w:sectPr>
          <w:pgSz w:w="11910" w:h="16840"/>
          <w:pgMar w:header="0" w:footer="975" w:top="1520" w:bottom="1160" w:left="1680" w:right="1540"/>
        </w:sectPr>
      </w:pPr>
    </w:p>
    <w:p>
      <w:pPr>
        <w:pStyle w:val="BodyText"/>
        <w:spacing w:before="32"/>
        <w:ind w:left="120"/>
      </w:pPr>
      <w:r>
        <w:rPr/>
        <w:t>源、储存泡沫液等灭火剂；</w:t>
      </w:r>
    </w:p>
    <w:p>
      <w:pPr>
        <w:pStyle w:val="ListParagraph"/>
        <w:numPr>
          <w:ilvl w:val="0"/>
          <w:numId w:val="78"/>
        </w:numPr>
        <w:tabs>
          <w:tab w:pos="1246" w:val="left" w:leader="none"/>
        </w:tabs>
        <w:spacing w:line="328" w:lineRule="auto" w:before="149" w:after="0"/>
        <w:ind w:left="120" w:right="260" w:firstLine="640"/>
        <w:jc w:val="both"/>
        <w:rPr>
          <w:sz w:val="32"/>
        </w:rPr>
      </w:pPr>
      <w:r>
        <w:rPr>
          <w:spacing w:val="6"/>
          <w:w w:val="95"/>
          <w:sz w:val="32"/>
        </w:rPr>
        <w:t>未按国家工程建设消防技术标准的规定设置室外消 </w:t>
      </w:r>
      <w:r>
        <w:rPr>
          <w:spacing w:val="11"/>
          <w:w w:val="95"/>
          <w:sz w:val="32"/>
        </w:rPr>
        <w:t>防给水系统，或已设置但不符合标准的规定或不能正常使 </w:t>
      </w:r>
      <w:r>
        <w:rPr>
          <w:spacing w:val="11"/>
          <w:sz w:val="32"/>
        </w:rPr>
        <w:t>用；</w:t>
      </w:r>
    </w:p>
    <w:p>
      <w:pPr>
        <w:pStyle w:val="ListParagraph"/>
        <w:numPr>
          <w:ilvl w:val="0"/>
          <w:numId w:val="78"/>
        </w:numPr>
        <w:tabs>
          <w:tab w:pos="1246" w:val="left" w:leader="none"/>
        </w:tabs>
        <w:spacing w:line="328" w:lineRule="auto" w:before="0" w:after="0"/>
        <w:ind w:left="120" w:right="245" w:firstLine="640"/>
        <w:jc w:val="right"/>
        <w:rPr>
          <w:sz w:val="32"/>
        </w:rPr>
      </w:pPr>
      <w:r>
        <w:rPr>
          <w:spacing w:val="6"/>
          <w:w w:val="95"/>
          <w:sz w:val="32"/>
        </w:rPr>
        <w:t>未按国家工程建设消防技术标准的规定设置室内消 火栓系统，或已设置但不符合标准的规定或不能正常使用； 12</w:t>
      </w:r>
      <w:r>
        <w:rPr>
          <w:spacing w:val="5"/>
          <w:w w:val="95"/>
          <w:sz w:val="32"/>
        </w:rPr>
        <w:t>.未按国家工程建设消防技术标准的规定设置自动喷</w:t>
      </w:r>
    </w:p>
    <w:p>
      <w:pPr>
        <w:pStyle w:val="BodyText"/>
        <w:spacing w:line="405" w:lineRule="exact"/>
        <w:ind w:left="120"/>
      </w:pPr>
      <w:r>
        <w:rPr/>
        <w:t>水灭火系统；</w:t>
      </w:r>
    </w:p>
    <w:p>
      <w:pPr>
        <w:pStyle w:val="ListParagraph"/>
        <w:numPr>
          <w:ilvl w:val="0"/>
          <w:numId w:val="79"/>
        </w:numPr>
        <w:tabs>
          <w:tab w:pos="1246" w:val="left" w:leader="none"/>
        </w:tabs>
        <w:spacing w:line="328" w:lineRule="auto" w:before="144" w:after="0"/>
        <w:ind w:left="120" w:right="260" w:firstLine="640"/>
        <w:jc w:val="both"/>
        <w:rPr>
          <w:sz w:val="32"/>
        </w:rPr>
      </w:pPr>
      <w:r>
        <w:rPr>
          <w:spacing w:val="6"/>
          <w:w w:val="95"/>
          <w:sz w:val="32"/>
        </w:rPr>
        <w:t>原有防火分区被改变并导致实际防火分区的建筑面 </w:t>
      </w:r>
      <w:r>
        <w:rPr>
          <w:spacing w:val="1"/>
          <w:sz w:val="32"/>
        </w:rPr>
        <w:t>积大于国家工程建设消防技术标准规定值的 </w:t>
      </w:r>
      <w:r>
        <w:rPr>
          <w:sz w:val="32"/>
        </w:rPr>
        <w:t>50%；</w:t>
      </w:r>
    </w:p>
    <w:p>
      <w:pPr>
        <w:pStyle w:val="ListParagraph"/>
        <w:numPr>
          <w:ilvl w:val="0"/>
          <w:numId w:val="79"/>
        </w:numPr>
        <w:tabs>
          <w:tab w:pos="1246" w:val="left" w:leader="none"/>
        </w:tabs>
        <w:spacing w:line="326" w:lineRule="auto" w:before="0" w:after="0"/>
        <w:ind w:left="120" w:right="260" w:firstLine="640"/>
        <w:jc w:val="both"/>
        <w:rPr>
          <w:sz w:val="32"/>
        </w:rPr>
      </w:pPr>
      <w:r>
        <w:rPr>
          <w:spacing w:val="6"/>
          <w:w w:val="95"/>
          <w:sz w:val="32"/>
        </w:rPr>
        <w:t>防火门、防火卷帘等防火分隔设施损坏的数量大于 </w:t>
      </w:r>
      <w:r>
        <w:rPr>
          <w:sz w:val="32"/>
        </w:rPr>
        <w:t>该防火分区相应防火分隔设施总数的 50%；</w:t>
      </w:r>
    </w:p>
    <w:p>
      <w:pPr>
        <w:pStyle w:val="ListParagraph"/>
        <w:numPr>
          <w:ilvl w:val="0"/>
          <w:numId w:val="79"/>
        </w:numPr>
        <w:tabs>
          <w:tab w:pos="1246" w:val="left" w:leader="none"/>
        </w:tabs>
        <w:spacing w:line="326" w:lineRule="auto" w:before="3" w:after="0"/>
        <w:ind w:left="120" w:right="260" w:firstLine="640"/>
        <w:jc w:val="both"/>
        <w:rPr>
          <w:sz w:val="32"/>
        </w:rPr>
      </w:pPr>
      <w:r>
        <w:rPr>
          <w:spacing w:val="6"/>
          <w:w w:val="95"/>
          <w:sz w:val="32"/>
        </w:rPr>
        <w:t>未按国家工程建设消防技术标准的规定设置疏散指 </w:t>
      </w:r>
      <w:r>
        <w:rPr>
          <w:spacing w:val="-2"/>
          <w:sz w:val="32"/>
        </w:rPr>
        <w:t>示标志、应急照明，或所设置设施的损坏率大于标准规定要</w:t>
      </w:r>
      <w:r>
        <w:rPr>
          <w:spacing w:val="-12"/>
          <w:sz w:val="32"/>
        </w:rPr>
        <w:t>求设置数量的 </w:t>
      </w:r>
      <w:r>
        <w:rPr>
          <w:sz w:val="32"/>
        </w:rPr>
        <w:t>50%；</w:t>
      </w:r>
    </w:p>
    <w:p>
      <w:pPr>
        <w:pStyle w:val="ListParagraph"/>
        <w:numPr>
          <w:ilvl w:val="0"/>
          <w:numId w:val="79"/>
        </w:numPr>
        <w:tabs>
          <w:tab w:pos="1246" w:val="left" w:leader="none"/>
        </w:tabs>
        <w:spacing w:line="326" w:lineRule="auto" w:before="7" w:after="0"/>
        <w:ind w:left="120" w:right="260" w:firstLine="640"/>
        <w:jc w:val="both"/>
        <w:rPr>
          <w:sz w:val="32"/>
        </w:rPr>
      </w:pPr>
      <w:r>
        <w:rPr>
          <w:spacing w:val="6"/>
          <w:w w:val="95"/>
          <w:sz w:val="32"/>
        </w:rPr>
        <w:t>封闭楼梯间或防烟楼梯间的门的损坏率大于其设置 </w:t>
      </w:r>
      <w:r>
        <w:rPr>
          <w:spacing w:val="-16"/>
          <w:sz w:val="32"/>
        </w:rPr>
        <w:t>总数的 </w:t>
      </w:r>
      <w:r>
        <w:rPr>
          <w:sz w:val="32"/>
        </w:rPr>
        <w:t>50%；</w:t>
      </w:r>
    </w:p>
    <w:p>
      <w:pPr>
        <w:pStyle w:val="ListParagraph"/>
        <w:numPr>
          <w:ilvl w:val="0"/>
          <w:numId w:val="79"/>
        </w:numPr>
        <w:tabs>
          <w:tab w:pos="1246" w:val="left" w:leader="none"/>
        </w:tabs>
        <w:spacing w:line="328" w:lineRule="auto" w:before="3" w:after="0"/>
        <w:ind w:left="120" w:right="260" w:firstLine="640"/>
        <w:jc w:val="left"/>
        <w:rPr>
          <w:sz w:val="32"/>
        </w:rPr>
      </w:pPr>
      <w:r>
        <w:rPr>
          <w:spacing w:val="6"/>
          <w:w w:val="95"/>
          <w:sz w:val="32"/>
        </w:rPr>
        <w:t>消防用电设备的供电负荷级别不符合国家工程建设 </w:t>
      </w:r>
      <w:r>
        <w:rPr>
          <w:spacing w:val="6"/>
          <w:sz w:val="32"/>
        </w:rPr>
        <w:t>消防技术标准的规定；</w:t>
      </w:r>
    </w:p>
    <w:p>
      <w:pPr>
        <w:pStyle w:val="ListParagraph"/>
        <w:numPr>
          <w:ilvl w:val="0"/>
          <w:numId w:val="79"/>
        </w:numPr>
        <w:tabs>
          <w:tab w:pos="1246" w:val="left" w:leader="none"/>
        </w:tabs>
        <w:spacing w:line="326" w:lineRule="auto" w:before="0" w:after="0"/>
        <w:ind w:left="120" w:right="260" w:firstLine="640"/>
        <w:jc w:val="left"/>
        <w:rPr>
          <w:sz w:val="32"/>
        </w:rPr>
      </w:pPr>
      <w:r>
        <w:rPr>
          <w:spacing w:val="6"/>
          <w:w w:val="95"/>
          <w:sz w:val="32"/>
        </w:rPr>
        <w:t>消防用电设备未按国家工程建设消防技术标准的规 </w:t>
      </w:r>
      <w:r>
        <w:rPr>
          <w:spacing w:val="6"/>
          <w:sz w:val="32"/>
        </w:rPr>
        <w:t>定采用专用的供电回路；</w:t>
      </w:r>
    </w:p>
    <w:p>
      <w:pPr>
        <w:pStyle w:val="ListParagraph"/>
        <w:numPr>
          <w:ilvl w:val="0"/>
          <w:numId w:val="79"/>
        </w:numPr>
        <w:tabs>
          <w:tab w:pos="1246" w:val="left" w:leader="none"/>
        </w:tabs>
        <w:spacing w:line="326" w:lineRule="auto" w:before="3" w:after="0"/>
        <w:ind w:left="120" w:right="260" w:firstLine="640"/>
        <w:jc w:val="both"/>
        <w:rPr>
          <w:sz w:val="32"/>
        </w:rPr>
      </w:pPr>
      <w:r>
        <w:rPr>
          <w:spacing w:val="6"/>
          <w:w w:val="95"/>
          <w:sz w:val="32"/>
        </w:rPr>
        <w:t>未按国家工程建设消防技术标准的规定设置消防用 </w:t>
      </w:r>
      <w:r>
        <w:rPr>
          <w:sz w:val="32"/>
        </w:rPr>
        <w:t>电设备末端自动切换装置，或已设置但不符合标准的规定或不能正常自动切换；</w:t>
      </w:r>
    </w:p>
    <w:p>
      <w:pPr>
        <w:spacing w:after="0" w:line="326" w:lineRule="auto"/>
        <w:jc w:val="both"/>
        <w:rPr>
          <w:sz w:val="32"/>
        </w:rPr>
        <w:sectPr>
          <w:pgSz w:w="11910" w:h="16840"/>
          <w:pgMar w:header="0" w:footer="975" w:top="1520" w:bottom="1160" w:left="1680" w:right="1540"/>
        </w:sectPr>
      </w:pPr>
    </w:p>
    <w:p>
      <w:pPr>
        <w:pStyle w:val="ListParagraph"/>
        <w:numPr>
          <w:ilvl w:val="0"/>
          <w:numId w:val="79"/>
        </w:numPr>
        <w:tabs>
          <w:tab w:pos="1246" w:val="left" w:leader="none"/>
        </w:tabs>
        <w:spacing w:line="326" w:lineRule="auto" w:before="32" w:after="0"/>
        <w:ind w:left="120" w:right="260" w:firstLine="640"/>
        <w:jc w:val="left"/>
        <w:rPr>
          <w:sz w:val="32"/>
        </w:rPr>
      </w:pPr>
      <w:r>
        <w:rPr>
          <w:spacing w:val="6"/>
          <w:w w:val="95"/>
          <w:sz w:val="32"/>
        </w:rPr>
        <w:t>丙、丁、戊类库房内有火灾或爆炸危险的部位未采 </w:t>
      </w:r>
      <w:r>
        <w:rPr>
          <w:spacing w:val="6"/>
          <w:sz w:val="32"/>
        </w:rPr>
        <w:t>取防火分隔等防火防爆技术措施；</w:t>
      </w:r>
    </w:p>
    <w:p>
      <w:pPr>
        <w:pStyle w:val="ListParagraph"/>
        <w:numPr>
          <w:ilvl w:val="0"/>
          <w:numId w:val="79"/>
        </w:numPr>
        <w:tabs>
          <w:tab w:pos="1246" w:val="left" w:leader="none"/>
        </w:tabs>
        <w:spacing w:line="328" w:lineRule="auto" w:before="3" w:after="0"/>
        <w:ind w:left="120" w:right="260" w:firstLine="640"/>
        <w:jc w:val="left"/>
        <w:rPr>
          <w:sz w:val="32"/>
        </w:rPr>
      </w:pPr>
      <w:r>
        <w:rPr>
          <w:spacing w:val="6"/>
          <w:w w:val="95"/>
          <w:sz w:val="32"/>
        </w:rPr>
        <w:t>未按国家工程建设消防技术标准的规定设置火灾自 </w:t>
      </w:r>
      <w:r>
        <w:rPr>
          <w:spacing w:val="6"/>
          <w:sz w:val="32"/>
        </w:rPr>
        <w:t>动报警系统；</w:t>
      </w:r>
    </w:p>
    <w:p>
      <w:pPr>
        <w:pStyle w:val="ListParagraph"/>
        <w:numPr>
          <w:ilvl w:val="0"/>
          <w:numId w:val="79"/>
        </w:numPr>
        <w:tabs>
          <w:tab w:pos="1241" w:val="left" w:leader="none"/>
        </w:tabs>
        <w:spacing w:line="407" w:lineRule="exact" w:before="0" w:after="0"/>
        <w:ind w:left="1240" w:right="0" w:hanging="481"/>
        <w:jc w:val="left"/>
        <w:rPr>
          <w:sz w:val="32"/>
        </w:rPr>
      </w:pPr>
      <w:r>
        <w:rPr>
          <w:sz w:val="32"/>
        </w:rPr>
        <w:t>火灾自动报警系统不能正常运行；</w:t>
      </w:r>
    </w:p>
    <w:p>
      <w:pPr>
        <w:pStyle w:val="ListParagraph"/>
        <w:numPr>
          <w:ilvl w:val="0"/>
          <w:numId w:val="79"/>
        </w:numPr>
        <w:tabs>
          <w:tab w:pos="1246" w:val="left" w:leader="none"/>
        </w:tabs>
        <w:spacing w:line="328" w:lineRule="auto" w:before="149" w:after="0"/>
        <w:ind w:left="120" w:right="260" w:firstLine="640"/>
        <w:jc w:val="left"/>
        <w:rPr>
          <w:sz w:val="32"/>
        </w:rPr>
      </w:pPr>
      <w:r>
        <w:rPr>
          <w:spacing w:val="6"/>
          <w:w w:val="95"/>
          <w:sz w:val="32"/>
        </w:rPr>
        <w:t>防烟排烟系统、消防水泵以及其他自动消防设施不 </w:t>
      </w:r>
      <w:r>
        <w:rPr>
          <w:spacing w:val="6"/>
          <w:sz w:val="32"/>
        </w:rPr>
        <w:t>能正常联动控制；</w:t>
      </w:r>
    </w:p>
    <w:p>
      <w:pPr>
        <w:pStyle w:val="ListParagraph"/>
        <w:numPr>
          <w:ilvl w:val="0"/>
          <w:numId w:val="79"/>
        </w:numPr>
        <w:tabs>
          <w:tab w:pos="1241" w:val="left" w:leader="none"/>
        </w:tabs>
        <w:spacing w:line="407" w:lineRule="exact" w:before="0" w:after="0"/>
        <w:ind w:left="1240" w:right="0" w:hanging="481"/>
        <w:jc w:val="left"/>
        <w:rPr>
          <w:sz w:val="32"/>
        </w:rPr>
      </w:pPr>
      <w:r>
        <w:rPr>
          <w:sz w:val="32"/>
        </w:rPr>
        <w:t>未按消防法律法规要求设置专职消防队；</w:t>
      </w:r>
    </w:p>
    <w:p>
      <w:pPr>
        <w:pStyle w:val="ListParagraph"/>
        <w:numPr>
          <w:ilvl w:val="0"/>
          <w:numId w:val="79"/>
        </w:numPr>
        <w:tabs>
          <w:tab w:pos="1246" w:val="left" w:leader="none"/>
        </w:tabs>
        <w:spacing w:line="328" w:lineRule="auto" w:before="149" w:after="0"/>
        <w:ind w:left="120" w:right="245" w:firstLine="640"/>
        <w:jc w:val="right"/>
        <w:rPr>
          <w:sz w:val="32"/>
        </w:rPr>
      </w:pPr>
      <w:r>
        <w:rPr>
          <w:spacing w:val="6"/>
          <w:w w:val="95"/>
          <w:sz w:val="32"/>
        </w:rPr>
        <w:t>储存场所的建筑耐火等级与其储存物品的火灾危险 性类别不相匹配，违反国家工程建设消防技术标准的规定； 26</w:t>
      </w:r>
      <w:r>
        <w:rPr>
          <w:spacing w:val="5"/>
          <w:w w:val="95"/>
          <w:sz w:val="32"/>
        </w:rPr>
        <w:t>.储存、装卸和经营易燃易爆危险品的场所或有粉尘</w:t>
      </w:r>
    </w:p>
    <w:p>
      <w:pPr>
        <w:pStyle w:val="BodyText"/>
        <w:spacing w:line="328" w:lineRule="auto"/>
        <w:ind w:left="120" w:right="215"/>
      </w:pPr>
      <w:r>
        <w:rPr/>
        <w:t>爆炸危险场所未按规定设置防爆电气设备和泄压设施，或防爆电气设备和泄压设施失效；</w:t>
      </w:r>
    </w:p>
    <w:p>
      <w:pPr>
        <w:pStyle w:val="ListParagraph"/>
        <w:numPr>
          <w:ilvl w:val="0"/>
          <w:numId w:val="80"/>
        </w:numPr>
        <w:tabs>
          <w:tab w:pos="1246" w:val="left" w:leader="none"/>
        </w:tabs>
        <w:spacing w:line="328" w:lineRule="auto" w:before="0" w:after="0"/>
        <w:ind w:left="120" w:right="260" w:firstLine="640"/>
        <w:jc w:val="both"/>
        <w:rPr>
          <w:sz w:val="32"/>
        </w:rPr>
      </w:pPr>
      <w:r>
        <w:rPr>
          <w:spacing w:val="6"/>
          <w:w w:val="95"/>
          <w:sz w:val="32"/>
        </w:rPr>
        <w:t>违反国家工程建设消防技术标准的规定使用燃油、 </w:t>
      </w:r>
      <w:r>
        <w:rPr>
          <w:spacing w:val="-2"/>
          <w:sz w:val="32"/>
        </w:rPr>
        <w:t>燃气设备，或燃油、燃气管道敷设和紧急切断装置不符合标</w:t>
      </w:r>
      <w:r>
        <w:rPr>
          <w:sz w:val="32"/>
        </w:rPr>
        <w:t>准规定；</w:t>
      </w:r>
    </w:p>
    <w:p>
      <w:pPr>
        <w:pStyle w:val="ListParagraph"/>
        <w:numPr>
          <w:ilvl w:val="0"/>
          <w:numId w:val="80"/>
        </w:numPr>
        <w:tabs>
          <w:tab w:pos="1246" w:val="left" w:leader="none"/>
        </w:tabs>
        <w:spacing w:line="328" w:lineRule="auto" w:before="0" w:after="0"/>
        <w:ind w:left="120" w:right="260" w:firstLine="640"/>
        <w:jc w:val="both"/>
        <w:rPr>
          <w:sz w:val="32"/>
        </w:rPr>
      </w:pPr>
      <w:r>
        <w:rPr>
          <w:spacing w:val="6"/>
          <w:w w:val="95"/>
          <w:sz w:val="32"/>
        </w:rPr>
        <w:t>违反国家工程建设消防技术标准的规定在可燃材料 </w:t>
      </w:r>
      <w:r>
        <w:rPr>
          <w:spacing w:val="1"/>
          <w:sz w:val="32"/>
        </w:rPr>
        <w:t>或可燃构件上直接敷设电气线路或安装电气设备，或采用不符合标准规定的消防配电线缆和其他供配电线缆。</w:t>
      </w:r>
    </w:p>
    <w:p>
      <w:pPr>
        <w:pStyle w:val="BodyText"/>
        <w:spacing w:line="326" w:lineRule="auto"/>
        <w:ind w:left="120" w:right="164" w:firstLine="640"/>
        <w:jc w:val="both"/>
      </w:pPr>
      <w:r>
        <w:rPr>
          <w:spacing w:val="-5"/>
        </w:rPr>
        <w:t>易燃、易爆危险品场所存在综合判定要素 </w:t>
      </w:r>
      <w:r>
        <w:rPr/>
        <w:t>1、2、3、4、5</w:t>
      </w:r>
      <w:r>
        <w:rPr>
          <w:spacing w:val="-52"/>
        </w:rPr>
        <w:t> 中 </w:t>
      </w:r>
      <w:r>
        <w:rPr/>
        <w:t>3</w:t>
      </w:r>
      <w:r>
        <w:rPr>
          <w:spacing w:val="-13"/>
        </w:rPr>
        <w:t> 条以上或任意综合判定要素 </w:t>
      </w:r>
      <w:r>
        <w:rPr/>
        <w:t>4</w:t>
      </w:r>
      <w:r>
        <w:rPr>
          <w:spacing w:val="-8"/>
        </w:rPr>
        <w:t> 条以上，即判定为重大</w:t>
      </w:r>
    </w:p>
    <w:p>
      <w:pPr>
        <w:pStyle w:val="BodyText"/>
        <w:spacing w:line="326" w:lineRule="auto"/>
        <w:ind w:left="120" w:right="260"/>
        <w:jc w:val="both"/>
      </w:pPr>
      <w:r>
        <w:rPr>
          <w:spacing w:val="-6"/>
        </w:rPr>
        <w:t>火灾隐患；其他场所存在任意综合判定要素 </w:t>
      </w:r>
      <w:r>
        <w:rPr/>
        <w:t>6</w:t>
      </w:r>
      <w:r>
        <w:rPr>
          <w:spacing w:val="-14"/>
        </w:rPr>
        <w:t> 条以上，即判定为重大火灾隐患。</w:t>
      </w:r>
    </w:p>
    <w:p>
      <w:pPr>
        <w:pStyle w:val="Heading3"/>
        <w:spacing w:line="527" w:lineRule="exact"/>
        <w:ind w:left="760" w:firstLine="0"/>
      </w:pPr>
      <w:r>
        <w:rPr/>
        <w:t>（二）特种设备重大隐患判定标准</w:t>
      </w:r>
    </w:p>
    <w:p>
      <w:pPr>
        <w:spacing w:after="0" w:line="527" w:lineRule="exact"/>
        <w:sectPr>
          <w:pgSz w:w="11910" w:h="16840"/>
          <w:pgMar w:header="0" w:footer="975" w:top="1520" w:bottom="1160" w:left="1680" w:right="1540"/>
        </w:sectPr>
      </w:pPr>
    </w:p>
    <w:p>
      <w:pPr>
        <w:pStyle w:val="ListParagraph"/>
        <w:numPr>
          <w:ilvl w:val="0"/>
          <w:numId w:val="81"/>
        </w:numPr>
        <w:tabs>
          <w:tab w:pos="1083" w:val="left" w:leader="none"/>
        </w:tabs>
        <w:spacing w:line="326" w:lineRule="auto" w:before="32" w:after="0"/>
        <w:ind w:left="120" w:right="260" w:firstLine="640"/>
        <w:jc w:val="left"/>
        <w:rPr>
          <w:sz w:val="32"/>
        </w:rPr>
      </w:pPr>
      <w:r>
        <w:rPr>
          <w:spacing w:val="-1"/>
          <w:w w:val="95"/>
          <w:sz w:val="32"/>
        </w:rPr>
        <w:t>特种设备作业人员无相应的特种设备作业资格证，或 </w:t>
      </w:r>
      <w:r>
        <w:rPr>
          <w:spacing w:val="-1"/>
          <w:sz w:val="32"/>
        </w:rPr>
        <w:t>者作业资格证已经超过有效日期的；</w:t>
      </w:r>
    </w:p>
    <w:p>
      <w:pPr>
        <w:pStyle w:val="ListParagraph"/>
        <w:numPr>
          <w:ilvl w:val="0"/>
          <w:numId w:val="81"/>
        </w:numPr>
        <w:tabs>
          <w:tab w:pos="1083" w:val="left" w:leader="none"/>
        </w:tabs>
        <w:spacing w:line="328" w:lineRule="auto" w:before="3" w:after="0"/>
        <w:ind w:left="120" w:right="260" w:firstLine="640"/>
        <w:jc w:val="left"/>
        <w:rPr>
          <w:sz w:val="32"/>
        </w:rPr>
      </w:pPr>
      <w:r>
        <w:rPr>
          <w:spacing w:val="-2"/>
          <w:w w:val="95"/>
          <w:sz w:val="32"/>
        </w:rPr>
        <w:t>在用的特种设备是未取得许可进行安装、改造、重大 </w:t>
      </w:r>
      <w:r>
        <w:rPr>
          <w:spacing w:val="-2"/>
          <w:sz w:val="32"/>
        </w:rPr>
        <w:t>修理的；</w:t>
      </w:r>
    </w:p>
    <w:p>
      <w:pPr>
        <w:pStyle w:val="ListParagraph"/>
        <w:numPr>
          <w:ilvl w:val="0"/>
          <w:numId w:val="81"/>
        </w:numPr>
        <w:tabs>
          <w:tab w:pos="1083" w:val="left" w:leader="none"/>
        </w:tabs>
        <w:spacing w:line="326" w:lineRule="auto" w:before="0" w:after="0"/>
        <w:ind w:left="120" w:right="257" w:firstLine="640"/>
        <w:jc w:val="left"/>
        <w:rPr>
          <w:sz w:val="32"/>
        </w:rPr>
      </w:pPr>
      <w:r>
        <w:rPr>
          <w:spacing w:val="-1"/>
          <w:sz w:val="32"/>
        </w:rPr>
        <w:t>在用的特种设备是未经检验或检验不合格的</w:t>
      </w:r>
      <w:r>
        <w:rPr>
          <w:sz w:val="32"/>
        </w:rPr>
        <w:t>（使用资</w:t>
      </w:r>
      <w:r>
        <w:rPr>
          <w:w w:val="99"/>
          <w:sz w:val="32"/>
        </w:rPr>
        <w:t>料不符合安全技术规范导致检验不合格的电梯除外</w:t>
      </w:r>
      <w:r>
        <w:rPr>
          <w:spacing w:val="-159"/>
          <w:w w:val="99"/>
          <w:sz w:val="32"/>
        </w:rPr>
        <w:t>）</w:t>
      </w:r>
      <w:r>
        <w:rPr>
          <w:w w:val="99"/>
          <w:sz w:val="32"/>
        </w:rPr>
        <w:t>；</w:t>
      </w:r>
    </w:p>
    <w:p>
      <w:pPr>
        <w:pStyle w:val="ListParagraph"/>
        <w:numPr>
          <w:ilvl w:val="0"/>
          <w:numId w:val="81"/>
        </w:numPr>
        <w:tabs>
          <w:tab w:pos="1083" w:val="left" w:leader="none"/>
        </w:tabs>
        <w:spacing w:line="240" w:lineRule="auto" w:before="3" w:after="0"/>
        <w:ind w:left="1082" w:right="0" w:hanging="323"/>
        <w:jc w:val="left"/>
        <w:rPr>
          <w:sz w:val="32"/>
        </w:rPr>
      </w:pPr>
      <w:r>
        <w:rPr>
          <w:sz w:val="32"/>
        </w:rPr>
        <w:t>在用特种设备超过规定参数、使用范围使用的；</w:t>
      </w:r>
    </w:p>
    <w:p>
      <w:pPr>
        <w:pStyle w:val="ListParagraph"/>
        <w:numPr>
          <w:ilvl w:val="0"/>
          <w:numId w:val="81"/>
        </w:numPr>
        <w:tabs>
          <w:tab w:pos="1083" w:val="left" w:leader="none"/>
        </w:tabs>
        <w:spacing w:line="240" w:lineRule="auto" w:before="149" w:after="0"/>
        <w:ind w:left="1082" w:right="0" w:hanging="323"/>
        <w:jc w:val="left"/>
        <w:rPr>
          <w:sz w:val="32"/>
        </w:rPr>
      </w:pPr>
      <w:r>
        <w:rPr>
          <w:sz w:val="32"/>
        </w:rPr>
        <w:t>在用的特种设备是国家明令淘汰的；</w:t>
      </w:r>
    </w:p>
    <w:p>
      <w:pPr>
        <w:pStyle w:val="ListParagraph"/>
        <w:numPr>
          <w:ilvl w:val="0"/>
          <w:numId w:val="81"/>
        </w:numPr>
        <w:tabs>
          <w:tab w:pos="1083" w:val="left" w:leader="none"/>
        </w:tabs>
        <w:spacing w:line="240" w:lineRule="auto" w:before="149" w:after="0"/>
        <w:ind w:left="1082" w:right="0" w:hanging="323"/>
        <w:jc w:val="left"/>
        <w:rPr>
          <w:sz w:val="32"/>
        </w:rPr>
      </w:pPr>
      <w:r>
        <w:rPr>
          <w:sz w:val="32"/>
        </w:rPr>
        <w:t>在用的特种设备是已经报废的；</w:t>
      </w:r>
    </w:p>
    <w:p>
      <w:pPr>
        <w:pStyle w:val="ListParagraph"/>
        <w:numPr>
          <w:ilvl w:val="0"/>
          <w:numId w:val="81"/>
        </w:numPr>
        <w:tabs>
          <w:tab w:pos="1083" w:val="left" w:leader="none"/>
        </w:tabs>
        <w:spacing w:line="240" w:lineRule="auto" w:before="152" w:after="0"/>
        <w:ind w:left="1082" w:right="0" w:hanging="323"/>
        <w:jc w:val="left"/>
        <w:rPr>
          <w:sz w:val="32"/>
        </w:rPr>
      </w:pPr>
      <w:r>
        <w:rPr>
          <w:sz w:val="32"/>
        </w:rPr>
        <w:t>在用特种设备存在必须停用修理的超标缺陷的；</w:t>
      </w:r>
    </w:p>
    <w:p>
      <w:pPr>
        <w:pStyle w:val="ListParagraph"/>
        <w:numPr>
          <w:ilvl w:val="0"/>
          <w:numId w:val="81"/>
        </w:numPr>
        <w:tabs>
          <w:tab w:pos="1083" w:val="left" w:leader="none"/>
        </w:tabs>
        <w:spacing w:line="326" w:lineRule="auto" w:before="149" w:after="0"/>
        <w:ind w:left="120" w:right="260" w:firstLine="640"/>
        <w:jc w:val="left"/>
        <w:rPr>
          <w:sz w:val="32"/>
        </w:rPr>
      </w:pPr>
      <w:r>
        <w:rPr>
          <w:spacing w:val="-1"/>
          <w:w w:val="95"/>
          <w:sz w:val="32"/>
        </w:rPr>
        <w:t>在用特种设备是已被召回</w:t>
      </w:r>
      <w:r>
        <w:rPr>
          <w:w w:val="95"/>
          <w:sz w:val="32"/>
        </w:rPr>
        <w:t>（</w:t>
      </w:r>
      <w:r>
        <w:rPr>
          <w:spacing w:val="-1"/>
          <w:w w:val="95"/>
          <w:sz w:val="32"/>
        </w:rPr>
        <w:t>含生产单位主动召回、政 </w:t>
      </w:r>
      <w:r>
        <w:rPr>
          <w:spacing w:val="-1"/>
          <w:sz w:val="32"/>
        </w:rPr>
        <w:t>府相关部门强制召回）的；</w:t>
      </w:r>
    </w:p>
    <w:p>
      <w:pPr>
        <w:pStyle w:val="ListParagraph"/>
        <w:numPr>
          <w:ilvl w:val="0"/>
          <w:numId w:val="81"/>
        </w:numPr>
        <w:tabs>
          <w:tab w:pos="1083" w:val="left" w:leader="none"/>
        </w:tabs>
        <w:spacing w:line="240" w:lineRule="auto" w:before="5" w:after="0"/>
        <w:ind w:left="1082" w:right="0" w:hanging="323"/>
        <w:jc w:val="left"/>
        <w:rPr>
          <w:sz w:val="32"/>
        </w:rPr>
      </w:pPr>
      <w:r>
        <w:rPr>
          <w:sz w:val="32"/>
        </w:rPr>
        <w:t>使用被责令整改而未予整改的特种设备的；</w:t>
      </w:r>
    </w:p>
    <w:p>
      <w:pPr>
        <w:pStyle w:val="ListParagraph"/>
        <w:numPr>
          <w:ilvl w:val="0"/>
          <w:numId w:val="81"/>
        </w:numPr>
        <w:tabs>
          <w:tab w:pos="1246" w:val="left" w:leader="none"/>
        </w:tabs>
        <w:spacing w:line="328" w:lineRule="auto" w:before="150" w:after="0"/>
        <w:ind w:left="120" w:right="260" w:firstLine="640"/>
        <w:jc w:val="both"/>
        <w:rPr>
          <w:sz w:val="32"/>
        </w:rPr>
      </w:pPr>
      <w:r>
        <w:rPr>
          <w:spacing w:val="6"/>
          <w:w w:val="95"/>
          <w:sz w:val="32"/>
        </w:rPr>
        <w:t>特种设备存在严重事故隐患无改造、修理价值，或 </w:t>
      </w:r>
      <w:r>
        <w:rPr>
          <w:sz w:val="32"/>
        </w:rPr>
        <w:t>者达到安全技术规范规定的其他报废条件，未依法履行报废义务，并办理使用登记证书注销手续的；</w:t>
      </w:r>
    </w:p>
    <w:p>
      <w:pPr>
        <w:pStyle w:val="ListParagraph"/>
        <w:numPr>
          <w:ilvl w:val="0"/>
          <w:numId w:val="81"/>
        </w:numPr>
        <w:tabs>
          <w:tab w:pos="1246" w:val="left" w:leader="none"/>
        </w:tabs>
        <w:spacing w:line="326" w:lineRule="auto" w:before="0" w:after="0"/>
        <w:ind w:left="120" w:right="260" w:firstLine="640"/>
        <w:jc w:val="left"/>
        <w:rPr>
          <w:sz w:val="32"/>
        </w:rPr>
      </w:pPr>
      <w:r>
        <w:rPr>
          <w:spacing w:val="6"/>
          <w:w w:val="95"/>
          <w:sz w:val="32"/>
        </w:rPr>
        <w:t>特种设备或者其主要部件不符合安全技术规范，包 </w:t>
      </w:r>
      <w:r>
        <w:rPr>
          <w:spacing w:val="6"/>
          <w:sz w:val="32"/>
        </w:rPr>
        <w:t>括安全附件、安全保护装置等缺少、失效或失灵的；</w:t>
      </w:r>
    </w:p>
    <w:p>
      <w:pPr>
        <w:pStyle w:val="ListParagraph"/>
        <w:numPr>
          <w:ilvl w:val="0"/>
          <w:numId w:val="81"/>
        </w:numPr>
        <w:tabs>
          <w:tab w:pos="1246" w:val="left" w:leader="none"/>
        </w:tabs>
        <w:spacing w:line="326" w:lineRule="auto" w:before="0" w:after="0"/>
        <w:ind w:left="120" w:right="260" w:firstLine="640"/>
        <w:jc w:val="left"/>
        <w:rPr>
          <w:sz w:val="32"/>
        </w:rPr>
      </w:pPr>
      <w:r>
        <w:rPr>
          <w:spacing w:val="6"/>
          <w:w w:val="95"/>
          <w:sz w:val="32"/>
        </w:rPr>
        <w:t>将非承压锅炉、非压力容器作为承压锅炉、压力容 </w:t>
      </w:r>
      <w:r>
        <w:rPr>
          <w:spacing w:val="6"/>
          <w:sz w:val="32"/>
        </w:rPr>
        <w:t>器使用或热水锅炉改为蒸汽锅炉使用的；</w:t>
      </w:r>
    </w:p>
    <w:p>
      <w:pPr>
        <w:pStyle w:val="ListParagraph"/>
        <w:numPr>
          <w:ilvl w:val="0"/>
          <w:numId w:val="81"/>
        </w:numPr>
        <w:tabs>
          <w:tab w:pos="1246" w:val="left" w:leader="none"/>
        </w:tabs>
        <w:spacing w:line="328" w:lineRule="auto" w:before="3" w:after="0"/>
        <w:ind w:left="120" w:right="260" w:firstLine="640"/>
        <w:jc w:val="left"/>
        <w:rPr>
          <w:sz w:val="32"/>
        </w:rPr>
      </w:pPr>
      <w:r>
        <w:rPr>
          <w:spacing w:val="6"/>
          <w:w w:val="95"/>
          <w:sz w:val="32"/>
        </w:rPr>
        <w:t>特种设备出现故障或者发生异常情况，未对其进行 </w:t>
      </w:r>
      <w:r>
        <w:rPr>
          <w:spacing w:val="6"/>
          <w:sz w:val="32"/>
        </w:rPr>
        <w:t>全面检查、消除事故隐患，继续使用的；</w:t>
      </w:r>
    </w:p>
    <w:p>
      <w:pPr>
        <w:pStyle w:val="ListParagraph"/>
        <w:numPr>
          <w:ilvl w:val="0"/>
          <w:numId w:val="81"/>
        </w:numPr>
        <w:tabs>
          <w:tab w:pos="1241" w:val="left" w:leader="none"/>
        </w:tabs>
        <w:spacing w:line="407" w:lineRule="exact" w:before="0" w:after="0"/>
        <w:ind w:left="1240" w:right="0" w:hanging="481"/>
        <w:jc w:val="left"/>
        <w:rPr>
          <w:sz w:val="32"/>
        </w:rPr>
      </w:pPr>
      <w:r>
        <w:rPr>
          <w:sz w:val="32"/>
        </w:rPr>
        <w:t>特种设备发生事故不予报告而继续使用的；</w:t>
      </w:r>
    </w:p>
    <w:p>
      <w:pPr>
        <w:pStyle w:val="ListParagraph"/>
        <w:numPr>
          <w:ilvl w:val="0"/>
          <w:numId w:val="81"/>
        </w:numPr>
        <w:tabs>
          <w:tab w:pos="1246" w:val="left" w:leader="none"/>
        </w:tabs>
        <w:spacing w:line="240" w:lineRule="auto" w:before="150" w:after="0"/>
        <w:ind w:left="1245" w:right="0" w:hanging="486"/>
        <w:jc w:val="left"/>
        <w:rPr>
          <w:sz w:val="32"/>
        </w:rPr>
      </w:pPr>
      <w:r>
        <w:rPr>
          <w:spacing w:val="6"/>
          <w:sz w:val="32"/>
        </w:rPr>
        <w:t>电梯使用单位委托不具备资质的单位承担电梯维护</w:t>
      </w:r>
    </w:p>
    <w:p>
      <w:pPr>
        <w:spacing w:after="0" w:line="240" w:lineRule="auto"/>
        <w:jc w:val="left"/>
        <w:rPr>
          <w:sz w:val="32"/>
        </w:rPr>
        <w:sectPr>
          <w:pgSz w:w="11910" w:h="16840"/>
          <w:pgMar w:header="0" w:footer="975" w:top="1520" w:bottom="1160" w:left="1680" w:right="1540"/>
        </w:sectPr>
      </w:pPr>
    </w:p>
    <w:p>
      <w:pPr>
        <w:pStyle w:val="BodyText"/>
        <w:spacing w:before="32"/>
        <w:ind w:left="120"/>
      </w:pPr>
      <w:r>
        <w:rPr/>
        <w:t>保养工作的；</w:t>
      </w:r>
    </w:p>
    <w:p>
      <w:pPr>
        <w:pStyle w:val="ListParagraph"/>
        <w:numPr>
          <w:ilvl w:val="0"/>
          <w:numId w:val="81"/>
        </w:numPr>
        <w:tabs>
          <w:tab w:pos="1246" w:val="left" w:leader="none"/>
        </w:tabs>
        <w:spacing w:line="328" w:lineRule="auto" w:before="149" w:after="0"/>
        <w:ind w:left="120" w:right="257" w:firstLine="640"/>
        <w:jc w:val="both"/>
        <w:rPr>
          <w:sz w:val="32"/>
        </w:rPr>
      </w:pPr>
      <w:r>
        <w:rPr>
          <w:spacing w:val="6"/>
          <w:w w:val="95"/>
          <w:sz w:val="32"/>
        </w:rPr>
        <w:t>特种设备办理停用手续后，未办理启用手续擅自启 </w:t>
      </w:r>
      <w:r>
        <w:rPr>
          <w:spacing w:val="-1"/>
          <w:sz w:val="32"/>
        </w:rPr>
        <w:t>用的；或停用一年以上，未经特种设备检验检测机构检验合格后使用的。</w:t>
      </w:r>
    </w:p>
    <w:p>
      <w:pPr>
        <w:pStyle w:val="BodyText"/>
        <w:spacing w:before="35"/>
        <w:ind w:left="760"/>
        <w:rPr>
          <w:rFonts w:ascii="黑体" w:eastAsia="黑体" w:hint="eastAsia"/>
        </w:rPr>
      </w:pPr>
      <w:r>
        <w:rPr>
          <w:rFonts w:ascii="黑体" w:eastAsia="黑体" w:hint="eastAsia"/>
        </w:rPr>
        <w:t>二、专项类重大事故隐患判定标准</w:t>
      </w:r>
    </w:p>
    <w:p>
      <w:pPr>
        <w:pStyle w:val="Heading3"/>
        <w:spacing w:before="94"/>
        <w:ind w:left="760" w:firstLine="0"/>
      </w:pPr>
      <w:r>
        <w:rPr/>
        <w:t>（一）成品油库重大事故隐患判定标准</w:t>
      </w:r>
    </w:p>
    <w:p>
      <w:pPr>
        <w:pStyle w:val="ListParagraph"/>
        <w:numPr>
          <w:ilvl w:val="0"/>
          <w:numId w:val="82"/>
        </w:numPr>
        <w:tabs>
          <w:tab w:pos="1092" w:val="left" w:leader="none"/>
        </w:tabs>
        <w:spacing w:line="240" w:lineRule="auto" w:before="86" w:after="0"/>
        <w:ind w:left="1092" w:right="0" w:hanging="332"/>
        <w:jc w:val="left"/>
        <w:rPr>
          <w:sz w:val="32"/>
        </w:rPr>
      </w:pPr>
      <w:r>
        <w:rPr>
          <w:spacing w:val="13"/>
          <w:sz w:val="32"/>
        </w:rPr>
        <w:t>主要负责人和安全生产管理人员未依法经考核合格</w:t>
      </w:r>
    </w:p>
    <w:p>
      <w:pPr>
        <w:pStyle w:val="BodyText"/>
        <w:spacing w:before="152"/>
        <w:ind w:left="120"/>
      </w:pPr>
      <w:r>
        <w:rPr/>
        <w:t>的；</w:t>
      </w:r>
    </w:p>
    <w:p>
      <w:pPr>
        <w:pStyle w:val="ListParagraph"/>
        <w:numPr>
          <w:ilvl w:val="0"/>
          <w:numId w:val="82"/>
        </w:numPr>
        <w:tabs>
          <w:tab w:pos="1092" w:val="left" w:leader="none"/>
        </w:tabs>
        <w:spacing w:line="240" w:lineRule="auto" w:before="149" w:after="0"/>
        <w:ind w:left="1092" w:right="0" w:hanging="332"/>
        <w:jc w:val="left"/>
        <w:rPr>
          <w:sz w:val="32"/>
        </w:rPr>
      </w:pPr>
      <w:r>
        <w:rPr>
          <w:spacing w:val="13"/>
          <w:sz w:val="32"/>
        </w:rPr>
        <w:t>未建立与岗位相匹配的全员安全生产责任制或者未</w:t>
      </w:r>
    </w:p>
    <w:p>
      <w:pPr>
        <w:pStyle w:val="BodyText"/>
        <w:spacing w:before="149"/>
        <w:ind w:left="120"/>
      </w:pPr>
      <w:r>
        <w:rPr/>
        <w:t>制定实施生产安全事故隐患排查治理制度的；</w:t>
      </w:r>
    </w:p>
    <w:p>
      <w:pPr>
        <w:pStyle w:val="ListParagraph"/>
        <w:numPr>
          <w:ilvl w:val="0"/>
          <w:numId w:val="82"/>
        </w:numPr>
        <w:tabs>
          <w:tab w:pos="1083" w:val="left" w:leader="none"/>
        </w:tabs>
        <w:spacing w:line="240" w:lineRule="auto" w:before="152" w:after="0"/>
        <w:ind w:left="1082" w:right="0" w:hanging="323"/>
        <w:jc w:val="left"/>
        <w:rPr>
          <w:sz w:val="32"/>
        </w:rPr>
      </w:pPr>
      <w:r>
        <w:rPr>
          <w:sz w:val="32"/>
        </w:rPr>
        <w:t>未制定操作规程和工艺控制指标的；</w:t>
      </w:r>
    </w:p>
    <w:p>
      <w:pPr>
        <w:pStyle w:val="ListParagraph"/>
        <w:numPr>
          <w:ilvl w:val="0"/>
          <w:numId w:val="82"/>
        </w:numPr>
        <w:tabs>
          <w:tab w:pos="1083" w:val="left" w:leader="none"/>
        </w:tabs>
        <w:spacing w:line="326" w:lineRule="auto" w:before="149" w:after="0"/>
        <w:ind w:left="120" w:right="260" w:firstLine="640"/>
        <w:jc w:val="left"/>
        <w:rPr>
          <w:sz w:val="32"/>
        </w:rPr>
      </w:pPr>
      <w:r>
        <w:rPr>
          <w:spacing w:val="-2"/>
          <w:w w:val="95"/>
          <w:sz w:val="32"/>
        </w:rPr>
        <w:t>未按照国家标准制定动火、进入受限空间等特殊作业 </w:t>
      </w:r>
      <w:r>
        <w:rPr>
          <w:spacing w:val="-2"/>
          <w:sz w:val="32"/>
        </w:rPr>
        <w:t>管理制度，或者制度未有效执行的；</w:t>
      </w:r>
    </w:p>
    <w:p>
      <w:pPr>
        <w:pStyle w:val="ListParagraph"/>
        <w:numPr>
          <w:ilvl w:val="0"/>
          <w:numId w:val="82"/>
        </w:numPr>
        <w:tabs>
          <w:tab w:pos="1083" w:val="left" w:leader="none"/>
        </w:tabs>
        <w:spacing w:line="240" w:lineRule="auto" w:before="6" w:after="0"/>
        <w:ind w:left="1082" w:right="0" w:hanging="323"/>
        <w:jc w:val="left"/>
        <w:rPr>
          <w:sz w:val="32"/>
        </w:rPr>
      </w:pPr>
      <w:r>
        <w:rPr>
          <w:sz w:val="32"/>
        </w:rPr>
        <w:t>新建油库未制定试生产方案投料运行的；</w:t>
      </w:r>
    </w:p>
    <w:p>
      <w:pPr>
        <w:pStyle w:val="ListParagraph"/>
        <w:numPr>
          <w:ilvl w:val="0"/>
          <w:numId w:val="82"/>
        </w:numPr>
        <w:tabs>
          <w:tab w:pos="1083" w:val="left" w:leader="none"/>
        </w:tabs>
        <w:spacing w:line="326" w:lineRule="auto" w:before="149" w:after="0"/>
        <w:ind w:left="120" w:right="245" w:firstLine="640"/>
        <w:jc w:val="left"/>
        <w:rPr>
          <w:sz w:val="32"/>
        </w:rPr>
      </w:pPr>
      <w:r>
        <w:rPr>
          <w:w w:val="95"/>
          <w:sz w:val="32"/>
        </w:rPr>
        <w:t>使用淘汰落后安全技术工艺、设备目录列出的工艺、 </w:t>
      </w:r>
      <w:r>
        <w:rPr>
          <w:sz w:val="32"/>
        </w:rPr>
        <w:t>设备的；</w:t>
      </w:r>
    </w:p>
    <w:p>
      <w:pPr>
        <w:pStyle w:val="ListParagraph"/>
        <w:numPr>
          <w:ilvl w:val="0"/>
          <w:numId w:val="82"/>
        </w:numPr>
        <w:tabs>
          <w:tab w:pos="1083" w:val="left" w:leader="none"/>
        </w:tabs>
        <w:spacing w:line="240" w:lineRule="auto" w:before="6" w:after="0"/>
        <w:ind w:left="1082" w:right="0" w:hanging="323"/>
        <w:jc w:val="left"/>
        <w:rPr>
          <w:sz w:val="32"/>
        </w:rPr>
      </w:pPr>
      <w:r>
        <w:rPr>
          <w:sz w:val="32"/>
        </w:rPr>
        <w:t>安全阀等安全附件未正常投用的；</w:t>
      </w:r>
    </w:p>
    <w:p>
      <w:pPr>
        <w:pStyle w:val="ListParagraph"/>
        <w:numPr>
          <w:ilvl w:val="0"/>
          <w:numId w:val="82"/>
        </w:numPr>
        <w:tabs>
          <w:tab w:pos="1083" w:val="left" w:leader="none"/>
        </w:tabs>
        <w:spacing w:line="326" w:lineRule="auto" w:before="149" w:after="0"/>
        <w:ind w:left="120" w:right="260" w:firstLine="640"/>
        <w:jc w:val="left"/>
        <w:rPr>
          <w:sz w:val="32"/>
        </w:rPr>
      </w:pPr>
      <w:r>
        <w:rPr>
          <w:spacing w:val="-4"/>
          <w:w w:val="95"/>
          <w:sz w:val="32"/>
        </w:rPr>
        <w:t>涉及“两重点一重大”的生产装置、储存设施外部安 </w:t>
      </w:r>
      <w:r>
        <w:rPr>
          <w:spacing w:val="-4"/>
          <w:sz w:val="32"/>
        </w:rPr>
        <w:t>全防护距离不符合国家标准要求的；</w:t>
      </w:r>
    </w:p>
    <w:p>
      <w:pPr>
        <w:pStyle w:val="ListParagraph"/>
        <w:numPr>
          <w:ilvl w:val="0"/>
          <w:numId w:val="82"/>
        </w:numPr>
        <w:tabs>
          <w:tab w:pos="1083" w:val="left" w:leader="none"/>
        </w:tabs>
        <w:spacing w:line="326" w:lineRule="auto" w:before="5" w:after="0"/>
        <w:ind w:left="120" w:right="257" w:firstLine="640"/>
        <w:jc w:val="left"/>
        <w:rPr>
          <w:sz w:val="32"/>
        </w:rPr>
      </w:pPr>
      <w:r>
        <w:rPr>
          <w:spacing w:val="-3"/>
          <w:w w:val="95"/>
          <w:sz w:val="32"/>
        </w:rPr>
        <w:t>构成一级、二级重大危险源的储油罐区未实现紧急切 </w:t>
      </w:r>
      <w:r>
        <w:rPr>
          <w:spacing w:val="-3"/>
          <w:sz w:val="32"/>
        </w:rPr>
        <w:t>断功能的；</w:t>
      </w:r>
    </w:p>
    <w:p>
      <w:pPr>
        <w:pStyle w:val="ListParagraph"/>
        <w:numPr>
          <w:ilvl w:val="0"/>
          <w:numId w:val="82"/>
        </w:numPr>
        <w:tabs>
          <w:tab w:pos="1246" w:val="left" w:leader="none"/>
        </w:tabs>
        <w:spacing w:line="328" w:lineRule="auto" w:before="4" w:after="0"/>
        <w:ind w:left="120" w:right="260" w:firstLine="640"/>
        <w:jc w:val="left"/>
        <w:rPr>
          <w:sz w:val="32"/>
        </w:rPr>
      </w:pPr>
      <w:r>
        <w:rPr>
          <w:spacing w:val="6"/>
          <w:w w:val="95"/>
          <w:sz w:val="32"/>
        </w:rPr>
        <w:t>地区架空电力线路穿越储罐区、易燃和可燃液体装 </w:t>
      </w:r>
      <w:r>
        <w:rPr>
          <w:spacing w:val="6"/>
          <w:sz w:val="32"/>
        </w:rPr>
        <w:t>卸区或其他不符合国家标准要求的情况；</w:t>
      </w:r>
    </w:p>
    <w:p>
      <w:pPr>
        <w:pStyle w:val="ListParagraph"/>
        <w:numPr>
          <w:ilvl w:val="0"/>
          <w:numId w:val="82"/>
        </w:numPr>
        <w:tabs>
          <w:tab w:pos="1246" w:val="left" w:leader="none"/>
        </w:tabs>
        <w:spacing w:line="407" w:lineRule="exact" w:before="0" w:after="0"/>
        <w:ind w:left="1245" w:right="0" w:hanging="486"/>
        <w:jc w:val="left"/>
        <w:rPr>
          <w:sz w:val="32"/>
        </w:rPr>
      </w:pPr>
      <w:r>
        <w:rPr>
          <w:spacing w:val="6"/>
          <w:sz w:val="32"/>
        </w:rPr>
        <w:t>涉及可燃和有毒有害气体泄漏的场所未按国家标准</w:t>
      </w:r>
    </w:p>
    <w:p>
      <w:pPr>
        <w:spacing w:after="0" w:line="407" w:lineRule="exact"/>
        <w:jc w:val="left"/>
        <w:rPr>
          <w:sz w:val="32"/>
        </w:rPr>
        <w:sectPr>
          <w:footerReference w:type="default" r:id="rId33"/>
          <w:pgSz w:w="11910" w:h="16840"/>
          <w:pgMar w:footer="975" w:header="0" w:top="1520" w:bottom="1160" w:left="1680" w:right="1540"/>
          <w:pgNumType w:start="180"/>
        </w:sectPr>
      </w:pPr>
    </w:p>
    <w:p>
      <w:pPr>
        <w:pStyle w:val="BodyText"/>
        <w:spacing w:line="326" w:lineRule="auto" w:before="32"/>
        <w:ind w:left="120" w:right="215"/>
      </w:pPr>
      <w:r>
        <w:rPr/>
        <w:t>设置检测报警装置，爆炸危险场所未按国家标准安装使用防爆电气设备的；</w:t>
      </w:r>
    </w:p>
    <w:p>
      <w:pPr>
        <w:pStyle w:val="ListParagraph"/>
        <w:numPr>
          <w:ilvl w:val="0"/>
          <w:numId w:val="82"/>
        </w:numPr>
        <w:tabs>
          <w:tab w:pos="1246" w:val="left" w:leader="none"/>
        </w:tabs>
        <w:spacing w:line="328" w:lineRule="auto" w:before="3" w:after="0"/>
        <w:ind w:left="120" w:right="260" w:firstLine="640"/>
        <w:jc w:val="left"/>
        <w:rPr>
          <w:sz w:val="32"/>
        </w:rPr>
      </w:pPr>
      <w:r>
        <w:rPr>
          <w:spacing w:val="6"/>
          <w:w w:val="95"/>
          <w:sz w:val="32"/>
        </w:rPr>
        <w:t>控制室或机柜间面向具有火灾、爆炸危险性装置一 </w:t>
      </w:r>
      <w:r>
        <w:rPr>
          <w:spacing w:val="6"/>
          <w:sz w:val="32"/>
        </w:rPr>
        <w:t>侧不满足国家标准关于防火防爆要求的；</w:t>
      </w:r>
    </w:p>
    <w:p>
      <w:pPr>
        <w:pStyle w:val="ListParagraph"/>
        <w:numPr>
          <w:ilvl w:val="0"/>
          <w:numId w:val="82"/>
        </w:numPr>
        <w:tabs>
          <w:tab w:pos="1246" w:val="left" w:leader="none"/>
        </w:tabs>
        <w:spacing w:line="326" w:lineRule="auto" w:before="0" w:after="0"/>
        <w:ind w:left="120" w:right="260" w:firstLine="640"/>
        <w:jc w:val="left"/>
        <w:rPr>
          <w:sz w:val="32"/>
        </w:rPr>
      </w:pPr>
      <w:r>
        <w:rPr>
          <w:spacing w:val="6"/>
          <w:w w:val="95"/>
          <w:sz w:val="32"/>
        </w:rPr>
        <w:t>生产装置、自动化控制系统、电动紧急切断阀、安 </w:t>
      </w:r>
      <w:r>
        <w:rPr>
          <w:spacing w:val="6"/>
          <w:sz w:val="32"/>
        </w:rPr>
        <w:t>防系统未按国家标准要求供电的；</w:t>
      </w:r>
    </w:p>
    <w:p>
      <w:pPr>
        <w:pStyle w:val="ListParagraph"/>
        <w:numPr>
          <w:ilvl w:val="0"/>
          <w:numId w:val="82"/>
        </w:numPr>
        <w:tabs>
          <w:tab w:pos="1246" w:val="left" w:leader="none"/>
        </w:tabs>
        <w:spacing w:line="326" w:lineRule="auto" w:before="3" w:after="0"/>
        <w:ind w:left="120" w:right="260" w:firstLine="640"/>
        <w:jc w:val="left"/>
        <w:rPr>
          <w:sz w:val="32"/>
        </w:rPr>
      </w:pPr>
      <w:r>
        <w:rPr>
          <w:spacing w:val="6"/>
          <w:w w:val="95"/>
          <w:sz w:val="32"/>
        </w:rPr>
        <w:t>未按国家标准分区分类储存危险化学品，超量、超 </w:t>
      </w:r>
      <w:r>
        <w:rPr>
          <w:spacing w:val="6"/>
          <w:sz w:val="32"/>
        </w:rPr>
        <w:t>品种储存危险化学品，相互禁配物质混放混存的。</w:t>
      </w:r>
    </w:p>
    <w:p>
      <w:pPr>
        <w:pStyle w:val="Heading3"/>
        <w:spacing w:line="527" w:lineRule="exact"/>
        <w:ind w:left="760" w:firstLine="0"/>
      </w:pPr>
      <w:r>
        <w:rPr/>
        <w:t>（二）火炸药仓库重大事故隐患判定标准</w:t>
      </w:r>
    </w:p>
    <w:p>
      <w:pPr>
        <w:pStyle w:val="ListParagraph"/>
        <w:numPr>
          <w:ilvl w:val="0"/>
          <w:numId w:val="83"/>
        </w:numPr>
        <w:tabs>
          <w:tab w:pos="1092" w:val="left" w:leader="none"/>
        </w:tabs>
        <w:spacing w:line="240" w:lineRule="auto" w:before="86" w:after="0"/>
        <w:ind w:left="1092" w:right="0" w:hanging="332"/>
        <w:jc w:val="left"/>
        <w:rPr>
          <w:sz w:val="32"/>
        </w:rPr>
      </w:pPr>
      <w:r>
        <w:rPr>
          <w:spacing w:val="13"/>
          <w:sz w:val="32"/>
        </w:rPr>
        <w:t>主要负责人和安全生产管理人员未依法经考核合格</w:t>
      </w:r>
    </w:p>
    <w:p>
      <w:pPr>
        <w:pStyle w:val="BodyText"/>
        <w:spacing w:before="151"/>
        <w:ind w:left="120"/>
      </w:pPr>
      <w:r>
        <w:rPr/>
        <w:t>的；</w:t>
      </w:r>
    </w:p>
    <w:p>
      <w:pPr>
        <w:pStyle w:val="ListParagraph"/>
        <w:numPr>
          <w:ilvl w:val="0"/>
          <w:numId w:val="83"/>
        </w:numPr>
        <w:tabs>
          <w:tab w:pos="1092" w:val="left" w:leader="none"/>
        </w:tabs>
        <w:spacing w:line="240" w:lineRule="auto" w:before="149" w:after="0"/>
        <w:ind w:left="1092" w:right="0" w:hanging="332"/>
        <w:jc w:val="left"/>
        <w:rPr>
          <w:sz w:val="32"/>
        </w:rPr>
      </w:pPr>
      <w:r>
        <w:rPr>
          <w:spacing w:val="13"/>
          <w:sz w:val="32"/>
        </w:rPr>
        <w:t>未建立与岗位相匹配的全员安全生产责任制或未制</w:t>
      </w:r>
    </w:p>
    <w:p>
      <w:pPr>
        <w:pStyle w:val="BodyText"/>
        <w:spacing w:before="150"/>
        <w:ind w:left="120"/>
      </w:pPr>
      <w:r>
        <w:rPr/>
        <w:t>定实施生产安全事故隐患排查治理制度的；</w:t>
      </w:r>
    </w:p>
    <w:p>
      <w:pPr>
        <w:pStyle w:val="ListParagraph"/>
        <w:numPr>
          <w:ilvl w:val="0"/>
          <w:numId w:val="83"/>
        </w:numPr>
        <w:tabs>
          <w:tab w:pos="1083" w:val="left" w:leader="none"/>
        </w:tabs>
        <w:spacing w:line="240" w:lineRule="auto" w:before="151" w:after="0"/>
        <w:ind w:left="1082" w:right="0" w:hanging="323"/>
        <w:jc w:val="left"/>
        <w:rPr>
          <w:sz w:val="32"/>
        </w:rPr>
      </w:pPr>
      <w:r>
        <w:rPr>
          <w:w w:val="95"/>
          <w:sz w:val="32"/>
        </w:rPr>
        <w:t>库房实际存放量超过核定的安全储量的；</w:t>
      </w:r>
    </w:p>
    <w:p>
      <w:pPr>
        <w:pStyle w:val="ListParagraph"/>
        <w:numPr>
          <w:ilvl w:val="0"/>
          <w:numId w:val="83"/>
        </w:numPr>
        <w:tabs>
          <w:tab w:pos="1083" w:val="left" w:leader="none"/>
        </w:tabs>
        <w:spacing w:line="240" w:lineRule="auto" w:before="149" w:after="0"/>
        <w:ind w:left="1082" w:right="0" w:hanging="323"/>
        <w:jc w:val="left"/>
        <w:rPr>
          <w:sz w:val="32"/>
        </w:rPr>
      </w:pPr>
      <w:r>
        <w:rPr>
          <w:w w:val="95"/>
          <w:sz w:val="32"/>
        </w:rPr>
        <w:t>直接实施作业人员数量超过核定人数的；</w:t>
      </w:r>
    </w:p>
    <w:p>
      <w:pPr>
        <w:pStyle w:val="ListParagraph"/>
        <w:numPr>
          <w:ilvl w:val="0"/>
          <w:numId w:val="83"/>
        </w:numPr>
        <w:tabs>
          <w:tab w:pos="1083" w:val="left" w:leader="none"/>
        </w:tabs>
        <w:spacing w:line="328" w:lineRule="auto" w:before="150" w:after="0"/>
        <w:ind w:left="120" w:right="260" w:firstLine="640"/>
        <w:jc w:val="both"/>
        <w:rPr>
          <w:sz w:val="32"/>
        </w:rPr>
      </w:pPr>
      <w:r>
        <w:rPr>
          <w:spacing w:val="-1"/>
          <w:w w:val="95"/>
          <w:sz w:val="32"/>
        </w:rPr>
        <w:t>本库区的行政生活区和居民点的人流通过危险区，运 </w:t>
      </w:r>
      <w:r>
        <w:rPr>
          <w:spacing w:val="-5"/>
          <w:sz w:val="32"/>
        </w:rPr>
        <w:t>送火药、炸药的车辆通过本库区的行政生活区，且未采取有</w:t>
      </w:r>
      <w:r>
        <w:rPr>
          <w:sz w:val="32"/>
        </w:rPr>
        <w:t>效风险管控措施的；</w:t>
      </w:r>
    </w:p>
    <w:p>
      <w:pPr>
        <w:pStyle w:val="ListParagraph"/>
        <w:numPr>
          <w:ilvl w:val="0"/>
          <w:numId w:val="83"/>
        </w:numPr>
        <w:tabs>
          <w:tab w:pos="1083" w:val="left" w:leader="none"/>
        </w:tabs>
        <w:spacing w:line="328" w:lineRule="auto" w:before="0" w:after="0"/>
        <w:ind w:left="120" w:right="257" w:firstLine="640"/>
        <w:jc w:val="both"/>
        <w:rPr>
          <w:sz w:val="32"/>
        </w:rPr>
      </w:pPr>
      <w:r>
        <w:rPr>
          <w:spacing w:val="-1"/>
          <w:w w:val="95"/>
          <w:sz w:val="32"/>
        </w:rPr>
        <w:t>洞库和覆土库及其转运站</w:t>
      </w:r>
      <w:r>
        <w:rPr>
          <w:w w:val="95"/>
          <w:sz w:val="32"/>
        </w:rPr>
        <w:t>（作业期间</w:t>
      </w:r>
      <w:r>
        <w:rPr>
          <w:spacing w:val="-5"/>
          <w:w w:val="95"/>
          <w:sz w:val="32"/>
        </w:rPr>
        <w:t>）</w:t>
      </w:r>
      <w:r>
        <w:rPr>
          <w:spacing w:val="-1"/>
          <w:w w:val="95"/>
          <w:sz w:val="32"/>
        </w:rPr>
        <w:t>的内、外部安 </w:t>
      </w:r>
      <w:r>
        <w:rPr>
          <w:spacing w:val="-3"/>
          <w:sz w:val="32"/>
        </w:rPr>
        <w:t>全距离不足，防护屏障缺失或者不符合要求，且未采取有效风险管控措施的；</w:t>
      </w:r>
    </w:p>
    <w:p>
      <w:pPr>
        <w:pStyle w:val="ListParagraph"/>
        <w:numPr>
          <w:ilvl w:val="0"/>
          <w:numId w:val="83"/>
        </w:numPr>
        <w:tabs>
          <w:tab w:pos="1083" w:val="left" w:leader="none"/>
        </w:tabs>
        <w:spacing w:line="405" w:lineRule="exact" w:before="0" w:after="0"/>
        <w:ind w:left="1082" w:right="0" w:hanging="323"/>
        <w:jc w:val="left"/>
        <w:rPr>
          <w:sz w:val="32"/>
        </w:rPr>
      </w:pPr>
      <w:r>
        <w:rPr>
          <w:sz w:val="32"/>
        </w:rPr>
        <w:t>防静电、防火、防雷设备设施缺失或者失效的；</w:t>
      </w:r>
    </w:p>
    <w:p>
      <w:pPr>
        <w:pStyle w:val="ListParagraph"/>
        <w:numPr>
          <w:ilvl w:val="0"/>
          <w:numId w:val="83"/>
        </w:numPr>
        <w:tabs>
          <w:tab w:pos="1083" w:val="left" w:leader="none"/>
        </w:tabs>
        <w:spacing w:line="326" w:lineRule="auto" w:before="146" w:after="0"/>
        <w:ind w:left="120" w:right="260" w:firstLine="640"/>
        <w:jc w:val="left"/>
        <w:rPr>
          <w:sz w:val="32"/>
        </w:rPr>
      </w:pPr>
      <w:r>
        <w:rPr>
          <w:spacing w:val="-2"/>
          <w:w w:val="95"/>
          <w:sz w:val="32"/>
        </w:rPr>
        <w:t>运输火炸药时，使用无爆炸品运输资质的车辆，在管 </w:t>
      </w:r>
      <w:r>
        <w:rPr>
          <w:spacing w:val="-2"/>
          <w:sz w:val="32"/>
        </w:rPr>
        <w:t>辖范围内违规装卸、停车、修车、加油的；</w:t>
      </w:r>
    </w:p>
    <w:p>
      <w:pPr>
        <w:spacing w:after="0" w:line="326" w:lineRule="auto"/>
        <w:jc w:val="left"/>
        <w:rPr>
          <w:sz w:val="32"/>
        </w:rPr>
        <w:sectPr>
          <w:pgSz w:w="11910" w:h="16840"/>
          <w:pgMar w:header="0" w:footer="975" w:top="1520" w:bottom="1160" w:left="1680" w:right="1540"/>
        </w:sectPr>
      </w:pPr>
    </w:p>
    <w:p>
      <w:pPr>
        <w:pStyle w:val="ListParagraph"/>
        <w:numPr>
          <w:ilvl w:val="0"/>
          <w:numId w:val="83"/>
        </w:numPr>
        <w:tabs>
          <w:tab w:pos="1083" w:val="left" w:leader="none"/>
        </w:tabs>
        <w:spacing w:line="326" w:lineRule="auto" w:before="32" w:after="0"/>
        <w:ind w:left="120" w:right="260" w:firstLine="640"/>
        <w:jc w:val="left"/>
        <w:rPr>
          <w:sz w:val="32"/>
        </w:rPr>
      </w:pPr>
      <w:r>
        <w:rPr>
          <w:spacing w:val="-2"/>
          <w:w w:val="95"/>
          <w:sz w:val="32"/>
        </w:rPr>
        <w:t>覆土库屋面覆土厚度、墙顶部水平覆土厚度和坡向地 </w:t>
      </w:r>
      <w:r>
        <w:rPr>
          <w:spacing w:val="-2"/>
          <w:sz w:val="32"/>
        </w:rPr>
        <w:t>面或外侧挡墙坡度不符合要求的；</w:t>
      </w:r>
    </w:p>
    <w:p>
      <w:pPr>
        <w:pStyle w:val="ListParagraph"/>
        <w:numPr>
          <w:ilvl w:val="0"/>
          <w:numId w:val="83"/>
        </w:numPr>
        <w:tabs>
          <w:tab w:pos="1241" w:val="left" w:leader="none"/>
        </w:tabs>
        <w:spacing w:line="240" w:lineRule="auto" w:before="3" w:after="0"/>
        <w:ind w:left="1240" w:right="0" w:hanging="481"/>
        <w:jc w:val="left"/>
        <w:rPr>
          <w:sz w:val="32"/>
        </w:rPr>
      </w:pPr>
      <w:r>
        <w:rPr>
          <w:spacing w:val="79"/>
          <w:sz w:val="32"/>
        </w:rPr>
        <w:t>在</w:t>
      </w:r>
      <w:r>
        <w:rPr>
          <w:sz w:val="32"/>
        </w:rPr>
        <w:t>F0</w:t>
      </w:r>
      <w:r>
        <w:rPr>
          <w:spacing w:val="-10"/>
          <w:sz w:val="32"/>
        </w:rPr>
        <w:t> 危险场所安装电气设备或敷设电气线路的；</w:t>
      </w:r>
    </w:p>
    <w:p>
      <w:pPr>
        <w:pStyle w:val="ListParagraph"/>
        <w:numPr>
          <w:ilvl w:val="0"/>
          <w:numId w:val="83"/>
        </w:numPr>
        <w:tabs>
          <w:tab w:pos="1241" w:val="left" w:leader="none"/>
        </w:tabs>
        <w:spacing w:line="240" w:lineRule="auto" w:before="151" w:after="0"/>
        <w:ind w:left="1240" w:right="0" w:hanging="481"/>
        <w:jc w:val="left"/>
        <w:rPr>
          <w:sz w:val="32"/>
        </w:rPr>
      </w:pPr>
      <w:r>
        <w:rPr>
          <w:spacing w:val="37"/>
          <w:sz w:val="32"/>
        </w:rPr>
        <w:t>用于</w:t>
      </w:r>
      <w:r>
        <w:rPr>
          <w:sz w:val="32"/>
        </w:rPr>
        <w:t>F1</w:t>
      </w:r>
      <w:r>
        <w:rPr>
          <w:spacing w:val="-10"/>
          <w:sz w:val="32"/>
        </w:rPr>
        <w:t> 类危险场所电气或照明设备不符合防爆要求</w:t>
      </w:r>
    </w:p>
    <w:p>
      <w:pPr>
        <w:pStyle w:val="BodyText"/>
        <w:spacing w:before="149"/>
        <w:ind w:left="120"/>
      </w:pPr>
      <w:r>
        <w:rPr/>
        <w:t>的；</w:t>
      </w:r>
    </w:p>
    <w:p>
      <w:pPr>
        <w:pStyle w:val="ListParagraph"/>
        <w:numPr>
          <w:ilvl w:val="0"/>
          <w:numId w:val="83"/>
        </w:numPr>
        <w:tabs>
          <w:tab w:pos="1246" w:val="left" w:leader="none"/>
        </w:tabs>
        <w:spacing w:line="240" w:lineRule="auto" w:before="150" w:after="0"/>
        <w:ind w:left="1245" w:right="0" w:hanging="486"/>
        <w:jc w:val="left"/>
        <w:rPr>
          <w:sz w:val="32"/>
        </w:rPr>
      </w:pPr>
      <w:r>
        <w:rPr>
          <w:spacing w:val="6"/>
          <w:sz w:val="32"/>
        </w:rPr>
        <w:t>与库区和转运站无关的高压电气线路穿越库区和转</w:t>
      </w:r>
    </w:p>
    <w:p>
      <w:pPr>
        <w:pStyle w:val="BodyText"/>
        <w:spacing w:before="151"/>
        <w:ind w:left="120"/>
      </w:pPr>
      <w:r>
        <w:rPr>
          <w:spacing w:val="-14"/>
        </w:rPr>
        <w:t>运站，或跨越危险性建筑物，且未采取有效风险管控措施的；</w:t>
      </w:r>
    </w:p>
    <w:p>
      <w:pPr>
        <w:pStyle w:val="ListParagraph"/>
        <w:numPr>
          <w:ilvl w:val="0"/>
          <w:numId w:val="83"/>
        </w:numPr>
        <w:tabs>
          <w:tab w:pos="1246" w:val="left" w:leader="none"/>
        </w:tabs>
        <w:spacing w:line="326" w:lineRule="auto" w:before="149" w:after="0"/>
        <w:ind w:left="120" w:right="260" w:firstLine="640"/>
        <w:jc w:val="left"/>
        <w:rPr>
          <w:sz w:val="32"/>
        </w:rPr>
      </w:pPr>
      <w:r>
        <w:rPr>
          <w:spacing w:val="6"/>
          <w:w w:val="95"/>
          <w:sz w:val="32"/>
        </w:rPr>
        <w:t>从前端控制箱引至洞库、覆土库的安全防范系统线 </w:t>
      </w:r>
      <w:r>
        <w:rPr>
          <w:spacing w:val="6"/>
          <w:sz w:val="32"/>
        </w:rPr>
        <w:t>路未埋地敷设的；</w:t>
      </w:r>
    </w:p>
    <w:p>
      <w:pPr>
        <w:pStyle w:val="ListParagraph"/>
        <w:numPr>
          <w:ilvl w:val="0"/>
          <w:numId w:val="83"/>
        </w:numPr>
        <w:tabs>
          <w:tab w:pos="1246" w:val="left" w:leader="none"/>
        </w:tabs>
        <w:spacing w:line="326" w:lineRule="auto" w:before="6" w:after="0"/>
        <w:ind w:left="120" w:right="260" w:firstLine="640"/>
        <w:jc w:val="left"/>
        <w:rPr>
          <w:sz w:val="32"/>
        </w:rPr>
      </w:pPr>
      <w:r>
        <w:rPr>
          <w:spacing w:val="6"/>
          <w:w w:val="95"/>
          <w:sz w:val="32"/>
        </w:rPr>
        <w:t>火药炸药库房钥匙、密码和电子感应卡未按管理制 </w:t>
      </w:r>
      <w:r>
        <w:rPr>
          <w:spacing w:val="6"/>
          <w:sz w:val="32"/>
        </w:rPr>
        <w:t>度执行的；</w:t>
      </w:r>
    </w:p>
    <w:p>
      <w:pPr>
        <w:pStyle w:val="ListParagraph"/>
        <w:numPr>
          <w:ilvl w:val="0"/>
          <w:numId w:val="83"/>
        </w:numPr>
        <w:tabs>
          <w:tab w:pos="1246" w:val="left" w:leader="none"/>
        </w:tabs>
        <w:spacing w:line="328" w:lineRule="auto" w:before="3" w:after="0"/>
        <w:ind w:left="120" w:right="260" w:firstLine="640"/>
        <w:jc w:val="both"/>
        <w:rPr>
          <w:sz w:val="32"/>
        </w:rPr>
      </w:pPr>
      <w:r>
        <w:rPr>
          <w:spacing w:val="6"/>
          <w:w w:val="95"/>
          <w:sz w:val="32"/>
        </w:rPr>
        <w:t>未按规定时间和要求对火炸药进行倒垛、倒库、外 </w:t>
      </w:r>
      <w:r>
        <w:rPr>
          <w:spacing w:val="-2"/>
          <w:w w:val="95"/>
          <w:sz w:val="32"/>
        </w:rPr>
        <w:t>观检查和理化分析等工作，或者在倒垛、倒库、外观检查发 </w:t>
      </w:r>
      <w:r>
        <w:rPr>
          <w:spacing w:val="-4"/>
          <w:sz w:val="32"/>
        </w:rPr>
        <w:t>生包装袋破损未按规定处置，或者理化分析后火药剩余安定剂含量不符合要求且未及时处置的；</w:t>
      </w:r>
    </w:p>
    <w:p>
      <w:pPr>
        <w:pStyle w:val="ListParagraph"/>
        <w:numPr>
          <w:ilvl w:val="0"/>
          <w:numId w:val="83"/>
        </w:numPr>
        <w:tabs>
          <w:tab w:pos="1241" w:val="left" w:leader="none"/>
        </w:tabs>
        <w:spacing w:line="405" w:lineRule="exact" w:before="0" w:after="0"/>
        <w:ind w:left="1240" w:right="0" w:hanging="481"/>
        <w:jc w:val="left"/>
        <w:rPr>
          <w:sz w:val="32"/>
        </w:rPr>
      </w:pPr>
      <w:r>
        <w:rPr>
          <w:sz w:val="32"/>
        </w:rPr>
        <w:t>擅自改造、改装储存火炸药物资库房的。</w:t>
      </w:r>
    </w:p>
    <w:sectPr>
      <w:pgSz w:w="11910" w:h="16840"/>
      <w:pgMar w:header="0" w:footer="975" w:top="1520" w:bottom="1160" w:left="1680" w:right="15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黑体">
    <w:altName w:val="黑体"/>
    <w:charset w:val="86"/>
    <w:family w:val="modern"/>
    <w:pitch w:val="fixed"/>
  </w:font>
  <w:font w:name="宋体">
    <w:altName w:val="宋体"/>
    <w:charset w:val="86"/>
    <w:family w:val="auto"/>
    <w:pitch w:val="variable"/>
  </w:font>
  <w:font w:name="Microsoft JhengHei">
    <w:altName w:val="Microsoft JhengHei"/>
    <w:charset w:val="0"/>
    <w:family w:val="swiss"/>
    <w:pitch w:val="variable"/>
  </w:font>
  <w:font w:name="微软雅黑">
    <w:altName w:val="微软雅黑"/>
    <w:charset w:val="86"/>
    <w:family w:val="swiss"/>
    <w:pitch w:val="variable"/>
  </w:font>
  <w:font w:name="PMingLiU">
    <w:altName w:val="PMingLiU"/>
    <w:charset w:val="0"/>
    <w:family w:val="roman"/>
    <w:pitch w:val="variable"/>
  </w:font>
  <w:font w:name="Microsoft JhengHei UI">
    <w:altName w:val="Microsoft JhengHei UI"/>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288.399994pt;margin-top:780.915649pt;width:8.5pt;height:11pt;mso-position-horizontal-relative:page;mso-position-vertical-relative:page;z-index:-264586240" type="#_x0000_t202" filled="false" stroked="false">
          <v:textbox inset="0,0,0,0">
            <w:txbxContent>
              <w:p>
                <w:pPr>
                  <w:spacing w:line="220" w:lineRule="exact" w:before="0"/>
                  <w:ind w:left="40" w:right="0" w:firstLine="0"/>
                  <w:jc w:val="left"/>
                  <w:rPr>
                    <w:sz w:val="18"/>
                  </w:rPr>
                </w:pPr>
                <w:r>
                  <w:rPr/>
                  <w:fldChar w:fldCharType="begin"/>
                </w:r>
                <w:r>
                  <w:rPr>
                    <w:sz w:val="18"/>
                  </w:rPr>
                  <w:instrText> PAGE </w:instrText>
                </w:r>
                <w:r>
                  <w:rPr/>
                  <w:fldChar w:fldCharType="separate"/>
                </w:r>
                <w:r>
                  <w:rPr/>
                  <w:t>1</w:t>
                </w:r>
                <w:r>
                  <w:rPr/>
                  <w:fldChar w:fldCharType="end"/>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91.158997pt;margin-top:781.634644pt;width:13.1pt;height:11pt;mso-position-horizontal-relative:page;mso-position-vertical-relative:page;z-index:-264577024" type="#_x0000_t202" filled="false" stroked="false">
          <v:textbox inset="0,0,0,0">
            <w:txbxContent>
              <w:p>
                <w:pPr>
                  <w:spacing w:line="220" w:lineRule="exact" w:before="0"/>
                  <w:ind w:left="40" w:right="0" w:firstLine="0"/>
                  <w:jc w:val="left"/>
                  <w:rPr>
                    <w:sz w:val="18"/>
                  </w:rPr>
                </w:pPr>
                <w:r>
                  <w:rPr/>
                  <w:fldChar w:fldCharType="begin"/>
                </w:r>
                <w:r>
                  <w:rPr>
                    <w:sz w:val="18"/>
                  </w:rPr>
                  <w:instrText> PAGE </w:instrText>
                </w:r>
                <w:r>
                  <w:rPr/>
                  <w:fldChar w:fldCharType="separate"/>
                </w:r>
                <w:r>
                  <w:rPr/>
                  <w:t>70</w:t>
                </w:r>
                <w:r>
                  <w:rPr/>
                  <w:fldChar w:fldCharType="end"/>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91.158997pt;margin-top:781.634644pt;width:13.1pt;height:11pt;mso-position-horizontal-relative:page;mso-position-vertical-relative:page;z-index:-264576000" type="#_x0000_t202" filled="false" stroked="false">
          <v:textbox inset="0,0,0,0">
            <w:txbxContent>
              <w:p>
                <w:pPr>
                  <w:spacing w:line="220" w:lineRule="exact" w:before="0"/>
                  <w:ind w:left="40" w:right="0" w:firstLine="0"/>
                  <w:jc w:val="left"/>
                  <w:rPr>
                    <w:sz w:val="18"/>
                  </w:rPr>
                </w:pPr>
                <w:r>
                  <w:rPr/>
                  <w:fldChar w:fldCharType="begin"/>
                </w:r>
                <w:r>
                  <w:rPr>
                    <w:sz w:val="18"/>
                  </w:rPr>
                  <w:instrText> PAGE </w:instrText>
                </w:r>
                <w:r>
                  <w:rPr/>
                  <w:fldChar w:fldCharType="separate"/>
                </w:r>
                <w:r>
                  <w:rPr/>
                  <w:t>80</w:t>
                </w:r>
                <w:r>
                  <w:rPr/>
                  <w:fldChar w:fldCharType="end"/>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91.158997pt;margin-top:781.634644pt;width:13.1pt;height:11pt;mso-position-horizontal-relative:page;mso-position-vertical-relative:page;z-index:-264574976" type="#_x0000_t202" filled="false" stroked="false">
          <v:textbox inset="0,0,0,0">
            <w:txbxContent>
              <w:p>
                <w:pPr>
                  <w:spacing w:line="220" w:lineRule="exact" w:before="0"/>
                  <w:ind w:left="40" w:right="0" w:firstLine="0"/>
                  <w:jc w:val="left"/>
                  <w:rPr>
                    <w:sz w:val="18"/>
                  </w:rPr>
                </w:pPr>
                <w:r>
                  <w:rPr/>
                  <w:fldChar w:fldCharType="begin"/>
                </w:r>
                <w:r>
                  <w:rPr>
                    <w:sz w:val="18"/>
                  </w:rPr>
                  <w:instrText> PAGE </w:instrText>
                </w:r>
                <w:r>
                  <w:rPr/>
                  <w:fldChar w:fldCharType="separate"/>
                </w:r>
                <w:r>
                  <w:rPr/>
                  <w:t>90</w:t>
                </w:r>
                <w:r>
                  <w:rPr/>
                  <w:fldChar w:fldCharType="end"/>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98.239990pt;margin-top:774.940002pt;width:13.15pt;height:11pt;mso-position-horizontal-relative:page;mso-position-vertical-relative:page;z-index:-264573952" type="#_x0000_t202" filled="false" stroked="false">
          <v:textbox inset="0,0,0,0">
            <w:txbxContent>
              <w:p>
                <w:pPr>
                  <w:spacing w:line="203" w:lineRule="exact" w:before="0"/>
                  <w:ind w:left="40" w:right="0" w:firstLine="0"/>
                  <w:jc w:val="left"/>
                  <w:rPr>
                    <w:rFonts w:ascii="Calibri"/>
                    <w:sz w:val="18"/>
                  </w:rPr>
                </w:pPr>
                <w:r>
                  <w:rPr/>
                  <w:fldChar w:fldCharType="begin"/>
                </w:r>
                <w:r>
                  <w:rPr>
                    <w:rFonts w:ascii="Calibri"/>
                    <w:sz w:val="18"/>
                  </w:rPr>
                  <w:instrText> PAGE </w:instrText>
                </w:r>
                <w:r>
                  <w:rPr/>
                  <w:fldChar w:fldCharType="separate"/>
                </w:r>
                <w:r>
                  <w:rPr/>
                  <w:t>96</w:t>
                </w:r>
                <w:r>
                  <w:rPr/>
                  <w:fldChar w:fldCharType="end"/>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12"/>
      </w:rPr>
    </w:pPr>
    <w:r>
      <w:rPr/>
      <w:pict>
        <v:shape style="position:absolute;margin-left:295.839996pt;margin-top:774.940002pt;width:17.7pt;height:11pt;mso-position-horizontal-relative:page;mso-position-vertical-relative:page;z-index:-264572928" type="#_x0000_t202" filled="false" stroked="false">
          <v:textbox inset="0,0,0,0">
            <w:txbxContent>
              <w:p>
                <w:pPr>
                  <w:spacing w:line="203" w:lineRule="exact" w:before="0"/>
                  <w:ind w:left="40" w:right="0" w:firstLine="0"/>
                  <w:jc w:val="left"/>
                  <w:rPr>
                    <w:rFonts w:ascii="Calibri"/>
                    <w:sz w:val="18"/>
                  </w:rPr>
                </w:pPr>
                <w:r>
                  <w:rPr/>
                  <w:fldChar w:fldCharType="begin"/>
                </w:r>
                <w:r>
                  <w:rPr>
                    <w:rFonts w:ascii="Calibri"/>
                    <w:sz w:val="18"/>
                  </w:rPr>
                  <w:instrText> PAGE </w:instrText>
                </w:r>
                <w:r>
                  <w:rPr/>
                  <w:fldChar w:fldCharType="separate"/>
                </w:r>
                <w:r>
                  <w:rPr/>
                  <w:t>104</w:t>
                </w:r>
                <w:r>
                  <w:rPr/>
                  <w:fldChar w:fldCharType="end"/>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95.839996pt;margin-top:774.940002pt;width:17.7pt;height:11pt;mso-position-horizontal-relative:page;mso-position-vertical-relative:page;z-index:-264571904" type="#_x0000_t202" filled="false" stroked="false">
          <v:textbox inset="0,0,0,0">
            <w:txbxContent>
              <w:p>
                <w:pPr>
                  <w:spacing w:line="203" w:lineRule="exact" w:before="0"/>
                  <w:ind w:left="40" w:right="0" w:firstLine="0"/>
                  <w:jc w:val="left"/>
                  <w:rPr>
                    <w:rFonts w:ascii="Calibri"/>
                    <w:sz w:val="18"/>
                  </w:rPr>
                </w:pPr>
                <w:r>
                  <w:rPr/>
                  <w:fldChar w:fldCharType="begin"/>
                </w:r>
                <w:r>
                  <w:rPr>
                    <w:rFonts w:ascii="Calibri"/>
                    <w:sz w:val="18"/>
                  </w:rPr>
                  <w:instrText> PAGE </w:instrText>
                </w:r>
                <w:r>
                  <w:rPr/>
                  <w:fldChar w:fldCharType="separate"/>
                </w:r>
                <w:r>
                  <w:rPr/>
                  <w:t>110</w:t>
                </w:r>
                <w:r>
                  <w:rPr/>
                  <w:fldChar w:fldCharType="end"/>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95.839996pt;margin-top:774.940002pt;width:17.7pt;height:11pt;mso-position-horizontal-relative:page;mso-position-vertical-relative:page;z-index:-264570880" type="#_x0000_t202" filled="false" stroked="false">
          <v:textbox inset="0,0,0,0">
            <w:txbxContent>
              <w:p>
                <w:pPr>
                  <w:spacing w:line="203" w:lineRule="exact" w:before="0"/>
                  <w:ind w:left="40" w:right="0" w:firstLine="0"/>
                  <w:jc w:val="left"/>
                  <w:rPr>
                    <w:rFonts w:ascii="Calibri"/>
                    <w:sz w:val="18"/>
                  </w:rPr>
                </w:pPr>
                <w:r>
                  <w:rPr/>
                  <w:fldChar w:fldCharType="begin"/>
                </w:r>
                <w:r>
                  <w:rPr>
                    <w:rFonts w:ascii="Calibri"/>
                    <w:sz w:val="18"/>
                  </w:rPr>
                  <w:instrText> PAGE </w:instrText>
                </w:r>
                <w:r>
                  <w:rPr/>
                  <w:fldChar w:fldCharType="separate"/>
                </w:r>
                <w:r>
                  <w:rPr/>
                  <w:t>120</w:t>
                </w:r>
                <w:r>
                  <w:rPr/>
                  <w:fldChar w:fldCharType="end"/>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95.839996pt;margin-top:774.940002pt;width:17.7pt;height:11pt;mso-position-horizontal-relative:page;mso-position-vertical-relative:page;z-index:-264569856" type="#_x0000_t202" filled="false" stroked="false">
          <v:textbox inset="0,0,0,0">
            <w:txbxContent>
              <w:p>
                <w:pPr>
                  <w:spacing w:line="203" w:lineRule="exact" w:before="0"/>
                  <w:ind w:left="40" w:right="0" w:firstLine="0"/>
                  <w:jc w:val="left"/>
                  <w:rPr>
                    <w:rFonts w:ascii="Calibri"/>
                    <w:sz w:val="18"/>
                  </w:rPr>
                </w:pPr>
                <w:r>
                  <w:rPr/>
                  <w:fldChar w:fldCharType="begin"/>
                </w:r>
                <w:r>
                  <w:rPr>
                    <w:rFonts w:ascii="Calibri"/>
                    <w:sz w:val="18"/>
                  </w:rPr>
                  <w:instrText> PAGE </w:instrText>
                </w:r>
                <w:r>
                  <w:rPr/>
                  <w:fldChar w:fldCharType="separate"/>
                </w:r>
                <w:r>
                  <w:rPr/>
                  <w:t>130</w:t>
                </w:r>
                <w:r>
                  <w:rPr/>
                  <w:fldChar w:fldCharType="end"/>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88.759003pt;margin-top:769.300049pt;width:17.7pt;height:11pt;mso-position-horizontal-relative:page;mso-position-vertical-relative:page;z-index:-264568832" type="#_x0000_t202" filled="false" stroked="false">
          <v:textbox inset="0,0,0,0">
            <w:txbxContent>
              <w:p>
                <w:pPr>
                  <w:spacing w:line="203" w:lineRule="exact" w:before="0"/>
                  <w:ind w:left="40" w:right="0" w:firstLine="0"/>
                  <w:jc w:val="left"/>
                  <w:rPr>
                    <w:rFonts w:ascii="Calibri"/>
                    <w:sz w:val="18"/>
                  </w:rPr>
                </w:pPr>
                <w:r>
                  <w:rPr/>
                  <w:fldChar w:fldCharType="begin"/>
                </w:r>
                <w:r>
                  <w:rPr>
                    <w:rFonts w:ascii="Calibri"/>
                    <w:sz w:val="18"/>
                  </w:rPr>
                  <w:instrText> PAGE </w:instrText>
                </w:r>
                <w:r>
                  <w:rPr/>
                  <w:fldChar w:fldCharType="separate"/>
                </w:r>
                <w:r>
                  <w:rPr/>
                  <w:t>133</w:t>
                </w:r>
                <w:r>
                  <w:rPr/>
                  <w:fldChar w:fldCharType="end"/>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88.759003pt;margin-top:769.300049pt;width:17.7pt;height:11pt;mso-position-horizontal-relative:page;mso-position-vertical-relative:page;z-index:-264567808" type="#_x0000_t202" filled="false" stroked="false">
          <v:textbox inset="0,0,0,0">
            <w:txbxContent>
              <w:p>
                <w:pPr>
                  <w:spacing w:line="203" w:lineRule="exact" w:before="0"/>
                  <w:ind w:left="40" w:right="0" w:firstLine="0"/>
                  <w:jc w:val="left"/>
                  <w:rPr>
                    <w:rFonts w:ascii="Calibri"/>
                    <w:sz w:val="18"/>
                  </w:rPr>
                </w:pPr>
                <w:r>
                  <w:rPr/>
                  <w:fldChar w:fldCharType="begin"/>
                </w:r>
                <w:r>
                  <w:rPr>
                    <w:rFonts w:ascii="Calibri"/>
                    <w:sz w:val="18"/>
                  </w:rPr>
                  <w:instrText> PAGE </w:instrText>
                </w:r>
                <w:r>
                  <w:rPr/>
                  <w:fldChar w:fldCharType="separate"/>
                </w:r>
                <w:r>
                  <w:rPr/>
                  <w:t>140</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86.239990pt;margin-top:780.915649pt;width:13.1pt;height:11pt;mso-position-horizontal-relative:page;mso-position-vertical-relative:page;z-index:-264585216" type="#_x0000_t202" filled="false" stroked="false">
          <v:textbox inset="0,0,0,0">
            <w:txbxContent>
              <w:p>
                <w:pPr>
                  <w:spacing w:line="220" w:lineRule="exact" w:before="0"/>
                  <w:ind w:left="40" w:right="0" w:firstLine="0"/>
                  <w:jc w:val="left"/>
                  <w:rPr>
                    <w:sz w:val="18"/>
                  </w:rPr>
                </w:pPr>
                <w:r>
                  <w:rPr/>
                  <w:fldChar w:fldCharType="begin"/>
                </w:r>
                <w:r>
                  <w:rPr>
                    <w:sz w:val="18"/>
                  </w:rPr>
                  <w:instrText> PAGE </w:instrText>
                </w:r>
                <w:r>
                  <w:rPr/>
                  <w:fldChar w:fldCharType="separate"/>
                </w:r>
                <w:r>
                  <w:rPr/>
                  <w:t>10</w:t>
                </w:r>
                <w:r>
                  <w:rPr/>
                  <w:fldChar w:fldCharType="end"/>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88.759003pt;margin-top:769.300049pt;width:17.7pt;height:11pt;mso-position-horizontal-relative:page;mso-position-vertical-relative:page;z-index:-264566784" type="#_x0000_t202" filled="false" stroked="false">
          <v:textbox inset="0,0,0,0">
            <w:txbxContent>
              <w:p>
                <w:pPr>
                  <w:spacing w:line="203" w:lineRule="exact" w:before="0"/>
                  <w:ind w:left="40" w:right="0" w:firstLine="0"/>
                  <w:jc w:val="left"/>
                  <w:rPr>
                    <w:rFonts w:ascii="Calibri"/>
                    <w:sz w:val="18"/>
                  </w:rPr>
                </w:pPr>
                <w:r>
                  <w:rPr/>
                  <w:fldChar w:fldCharType="begin"/>
                </w:r>
                <w:r>
                  <w:rPr>
                    <w:rFonts w:ascii="Calibri"/>
                    <w:sz w:val="18"/>
                  </w:rPr>
                  <w:instrText> PAGE </w:instrText>
                </w:r>
                <w:r>
                  <w:rPr/>
                  <w:fldChar w:fldCharType="separate"/>
                </w:r>
                <w:r>
                  <w:rPr/>
                  <w:t>150</w:t>
                </w:r>
                <w:r>
                  <w:rPr/>
                  <w:fldChar w:fldCharType="end"/>
                </w:r>
              </w:p>
            </w:txbxContent>
          </v:textbox>
          <w10:wrap type="non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88.759003pt;margin-top:769.300049pt;width:17.7pt;height:11pt;mso-position-horizontal-relative:page;mso-position-vertical-relative:page;z-index:-264565760" type="#_x0000_t202" filled="false" stroked="false">
          <v:textbox inset="0,0,0,0">
            <w:txbxContent>
              <w:p>
                <w:pPr>
                  <w:spacing w:line="203" w:lineRule="exact" w:before="0"/>
                  <w:ind w:left="40" w:right="0" w:firstLine="0"/>
                  <w:jc w:val="left"/>
                  <w:rPr>
                    <w:rFonts w:ascii="Calibri"/>
                    <w:sz w:val="18"/>
                  </w:rPr>
                </w:pPr>
                <w:r>
                  <w:rPr/>
                  <w:fldChar w:fldCharType="begin"/>
                </w:r>
                <w:r>
                  <w:rPr>
                    <w:rFonts w:ascii="Calibri"/>
                    <w:sz w:val="18"/>
                  </w:rPr>
                  <w:instrText> PAGE </w:instrText>
                </w:r>
                <w:r>
                  <w:rPr/>
                  <w:fldChar w:fldCharType="separate"/>
                </w:r>
                <w:r>
                  <w:rPr/>
                  <w:t>160</w:t>
                </w:r>
                <w:r>
                  <w:rPr/>
                  <w:fldChar w:fldCharType="end"/>
                </w:r>
              </w:p>
            </w:txbxContent>
          </v:textbox>
          <w10:wrap type="non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88.759003pt;margin-top:769.300049pt;width:17.7pt;height:11pt;mso-position-horizontal-relative:page;mso-position-vertical-relative:page;z-index:-264564736" type="#_x0000_t202" filled="false" stroked="false">
          <v:textbox inset="0,0,0,0">
            <w:txbxContent>
              <w:p>
                <w:pPr>
                  <w:spacing w:line="203" w:lineRule="exact" w:before="0"/>
                  <w:ind w:left="40" w:right="0" w:firstLine="0"/>
                  <w:jc w:val="left"/>
                  <w:rPr>
                    <w:rFonts w:ascii="Calibri"/>
                    <w:sz w:val="18"/>
                  </w:rPr>
                </w:pPr>
                <w:r>
                  <w:rPr/>
                  <w:fldChar w:fldCharType="begin"/>
                </w:r>
                <w:r>
                  <w:rPr>
                    <w:rFonts w:ascii="Calibri"/>
                    <w:sz w:val="18"/>
                  </w:rPr>
                  <w:instrText> PAGE </w:instrText>
                </w:r>
                <w:r>
                  <w:rPr/>
                  <w:fldChar w:fldCharType="separate"/>
                </w:r>
                <w:r>
                  <w:rPr/>
                  <w:t>170</w:t>
                </w:r>
                <w:r>
                  <w:rPr/>
                  <w:fldChar w:fldCharType="end"/>
                </w:r>
              </w:p>
            </w:txbxContent>
          </v:textbox>
          <w10:wrap type="non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87.479980pt;margin-top:771.100037pt;width:15.7pt;height:11pt;mso-position-horizontal-relative:page;mso-position-vertical-relative:page;z-index:-264563712" type="#_x0000_t202" filled="false" stroked="false">
          <v:textbox inset="0,0,0,0">
            <w:txbxContent>
              <w:p>
                <w:pPr>
                  <w:spacing w:line="203" w:lineRule="exact" w:before="0"/>
                  <w:ind w:left="20" w:right="0" w:firstLine="0"/>
                  <w:jc w:val="left"/>
                  <w:rPr>
                    <w:rFonts w:ascii="Calibri"/>
                    <w:sz w:val="18"/>
                  </w:rPr>
                </w:pPr>
                <w:r>
                  <w:rPr>
                    <w:rFonts w:ascii="Calibri"/>
                    <w:sz w:val="18"/>
                  </w:rPr>
                  <w:t>173</w:t>
                </w:r>
              </w:p>
            </w:txbxContent>
          </v:textbox>
          <w10:wrap type="non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87.479980pt;margin-top:782.140015pt;width:15.7pt;height:11pt;mso-position-horizontal-relative:page;mso-position-vertical-relative:page;z-index:-264562688" type="#_x0000_t202" filled="false" stroked="false">
          <v:textbox inset="0,0,0,0">
            <w:txbxContent>
              <w:p>
                <w:pPr>
                  <w:spacing w:line="203" w:lineRule="exact" w:before="0"/>
                  <w:ind w:left="20" w:right="0" w:firstLine="0"/>
                  <w:jc w:val="left"/>
                  <w:rPr>
                    <w:rFonts w:ascii="Calibri"/>
                    <w:sz w:val="18"/>
                  </w:rPr>
                </w:pPr>
                <w:r>
                  <w:rPr>
                    <w:rFonts w:ascii="Calibri"/>
                    <w:sz w:val="18"/>
                  </w:rPr>
                  <w:t>174</w:t>
                </w:r>
              </w:p>
            </w:txbxContent>
          </v:textbox>
          <w10:wrap type="non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88.759003pt;margin-top:782.140015pt;width:17.7pt;height:11pt;mso-position-horizontal-relative:page;mso-position-vertical-relative:page;z-index:-264561664" type="#_x0000_t202" filled="false" stroked="false">
          <v:textbox inset="0,0,0,0">
            <w:txbxContent>
              <w:p>
                <w:pPr>
                  <w:spacing w:line="203" w:lineRule="exact" w:before="0"/>
                  <w:ind w:left="40" w:right="0" w:firstLine="0"/>
                  <w:jc w:val="left"/>
                  <w:rPr>
                    <w:rFonts w:ascii="Calibri"/>
                    <w:sz w:val="18"/>
                  </w:rPr>
                </w:pPr>
                <w:r>
                  <w:rPr/>
                  <w:fldChar w:fldCharType="begin"/>
                </w:r>
                <w:r>
                  <w:rPr>
                    <w:rFonts w:ascii="Calibri"/>
                    <w:sz w:val="18"/>
                  </w:rPr>
                  <w:instrText> PAGE </w:instrText>
                </w:r>
                <w:r>
                  <w:rPr/>
                  <w:fldChar w:fldCharType="separate"/>
                </w:r>
                <w:r>
                  <w:rPr/>
                  <w:t>175</w:t>
                </w:r>
                <w:r>
                  <w:rPr/>
                  <w:fldChar w:fldCharType="end"/>
                </w:r>
              </w:p>
            </w:txbxContent>
          </v:textbox>
          <w10:wrap type="non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88.759003pt;margin-top:782.140015pt;width:17.7pt;height:11pt;mso-position-horizontal-relative:page;mso-position-vertical-relative:page;z-index:-264560640" type="#_x0000_t202" filled="false" stroked="false">
          <v:textbox inset="0,0,0,0">
            <w:txbxContent>
              <w:p>
                <w:pPr>
                  <w:spacing w:line="203" w:lineRule="exact" w:before="0"/>
                  <w:ind w:left="40" w:right="0" w:firstLine="0"/>
                  <w:jc w:val="left"/>
                  <w:rPr>
                    <w:rFonts w:ascii="Calibri"/>
                    <w:sz w:val="18"/>
                  </w:rPr>
                </w:pPr>
                <w:r>
                  <w:rPr/>
                  <w:fldChar w:fldCharType="begin"/>
                </w:r>
                <w:r>
                  <w:rPr>
                    <w:rFonts w:ascii="Calibri"/>
                    <w:sz w:val="18"/>
                  </w:rPr>
                  <w:instrText> PAGE </w:instrText>
                </w:r>
                <w:r>
                  <w:rPr/>
                  <w:fldChar w:fldCharType="separate"/>
                </w:r>
                <w:r>
                  <w:rPr/>
                  <w:t>180</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86.239990pt;margin-top:780.915649pt;width:13.1pt;height:11pt;mso-position-horizontal-relative:page;mso-position-vertical-relative:page;z-index:-264584192" type="#_x0000_t202" filled="false" stroked="false">
          <v:textbox inset="0,0,0,0">
            <w:txbxContent>
              <w:p>
                <w:pPr>
                  <w:spacing w:line="220" w:lineRule="exact" w:before="0"/>
                  <w:ind w:left="40" w:right="0" w:firstLine="0"/>
                  <w:jc w:val="left"/>
                  <w:rPr>
                    <w:sz w:val="18"/>
                  </w:rPr>
                </w:pPr>
                <w:r>
                  <w:rPr/>
                  <w:fldChar w:fldCharType="begin"/>
                </w:r>
                <w:r>
                  <w:rPr>
                    <w:sz w:val="18"/>
                  </w:rPr>
                  <w:instrText> PAGE </w:instrText>
                </w:r>
                <w:r>
                  <w:rPr/>
                  <w:fldChar w:fldCharType="separate"/>
                </w:r>
                <w:r>
                  <w:rPr/>
                  <w:t>20</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86.239990pt;margin-top:780.915649pt;width:13.1pt;height:11pt;mso-position-horizontal-relative:page;mso-position-vertical-relative:page;z-index:-264583168" type="#_x0000_t202" filled="false" stroked="false">
          <v:textbox inset="0,0,0,0">
            <w:txbxContent>
              <w:p>
                <w:pPr>
                  <w:spacing w:line="220" w:lineRule="exact" w:before="0"/>
                  <w:ind w:left="40" w:right="0" w:firstLine="0"/>
                  <w:jc w:val="left"/>
                  <w:rPr>
                    <w:sz w:val="18"/>
                  </w:rPr>
                </w:pPr>
                <w:r>
                  <w:rPr/>
                  <w:fldChar w:fldCharType="begin"/>
                </w:r>
                <w:r>
                  <w:rPr>
                    <w:sz w:val="18"/>
                  </w:rPr>
                  <w:instrText> PAGE </w:instrText>
                </w:r>
                <w:r>
                  <w:rPr/>
                  <w:fldChar w:fldCharType="separate"/>
                </w:r>
                <w:r>
                  <w:rPr/>
                  <w:t>30</w:t>
                </w:r>
                <w:r>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86.239990pt;margin-top:780.915649pt;width:13.1pt;height:11pt;mso-position-horizontal-relative:page;mso-position-vertical-relative:page;z-index:-264582144" type="#_x0000_t202" filled="false" stroked="false">
          <v:textbox inset="0,0,0,0">
            <w:txbxContent>
              <w:p>
                <w:pPr>
                  <w:spacing w:line="220" w:lineRule="exact" w:before="0"/>
                  <w:ind w:left="40" w:right="0" w:firstLine="0"/>
                  <w:jc w:val="left"/>
                  <w:rPr>
                    <w:sz w:val="18"/>
                  </w:rPr>
                </w:pPr>
                <w:r>
                  <w:rPr/>
                  <w:fldChar w:fldCharType="begin"/>
                </w:r>
                <w:r>
                  <w:rPr>
                    <w:sz w:val="18"/>
                  </w:rPr>
                  <w:instrText> PAGE </w:instrText>
                </w:r>
                <w:r>
                  <w:rPr/>
                  <w:fldChar w:fldCharType="separate"/>
                </w:r>
                <w:r>
                  <w:rPr/>
                  <w:t>40</w:t>
                </w:r>
                <w:r>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86.239990pt;margin-top:780.915649pt;width:13.1pt;height:11pt;mso-position-horizontal-relative:page;mso-position-vertical-relative:page;z-index:-264581120" type="#_x0000_t202" filled="false" stroked="false">
          <v:textbox inset="0,0,0,0">
            <w:txbxContent>
              <w:p>
                <w:pPr>
                  <w:spacing w:line="220" w:lineRule="exact" w:before="0"/>
                  <w:ind w:left="40" w:right="0" w:firstLine="0"/>
                  <w:jc w:val="left"/>
                  <w:rPr>
                    <w:sz w:val="18"/>
                  </w:rPr>
                </w:pPr>
                <w:r>
                  <w:rPr/>
                  <w:fldChar w:fldCharType="begin"/>
                </w:r>
                <w:r>
                  <w:rPr>
                    <w:sz w:val="18"/>
                  </w:rPr>
                  <w:instrText> PAGE </w:instrText>
                </w:r>
                <w:r>
                  <w:rPr/>
                  <w:fldChar w:fldCharType="separate"/>
                </w:r>
                <w:r>
                  <w:rPr/>
                  <w:t>50</w:t>
                </w:r>
                <w:r>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86.239990pt;margin-top:780.915649pt;width:13.1pt;height:11pt;mso-position-horizontal-relative:page;mso-position-vertical-relative:page;z-index:-264580096" type="#_x0000_t202" filled="false" stroked="false">
          <v:textbox inset="0,0,0,0">
            <w:txbxContent>
              <w:p>
                <w:pPr>
                  <w:spacing w:line="220" w:lineRule="exact" w:before="0"/>
                  <w:ind w:left="40" w:right="0" w:firstLine="0"/>
                  <w:jc w:val="left"/>
                  <w:rPr>
                    <w:sz w:val="18"/>
                  </w:rPr>
                </w:pPr>
                <w:r>
                  <w:rPr/>
                  <w:fldChar w:fldCharType="begin"/>
                </w:r>
                <w:r>
                  <w:rPr>
                    <w:sz w:val="18"/>
                  </w:rPr>
                  <w:instrText> PAGE </w:instrText>
                </w:r>
                <w:r>
                  <w:rPr/>
                  <w:fldChar w:fldCharType="separate"/>
                </w:r>
                <w:r>
                  <w:rPr/>
                  <w:t>60</w:t>
                </w:r>
                <w:r>
                  <w:rPr/>
                  <w:fldChar w:fldCharType="end"/>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409.480011pt;margin-top:534.315613pt;width:13.1pt;height:11pt;mso-position-horizontal-relative:page;mso-position-vertical-relative:page;z-index:-264579072" type="#_x0000_t202" filled="false" stroked="false">
          <v:textbox inset="0,0,0,0">
            <w:txbxContent>
              <w:p>
                <w:pPr>
                  <w:spacing w:line="220" w:lineRule="exact" w:before="0"/>
                  <w:ind w:left="40" w:right="0" w:firstLine="0"/>
                  <w:jc w:val="left"/>
                  <w:rPr>
                    <w:sz w:val="18"/>
                  </w:rPr>
                </w:pPr>
                <w:r>
                  <w:rPr/>
                  <w:fldChar w:fldCharType="begin"/>
                </w:r>
                <w:r>
                  <w:rPr>
                    <w:sz w:val="18"/>
                  </w:rPr>
                  <w:instrText> PAGE </w:instrText>
                </w:r>
                <w:r>
                  <w:rPr/>
                  <w:fldChar w:fldCharType="separate"/>
                </w:r>
                <w:r>
                  <w:rPr/>
                  <w:t>64</w:t>
                </w:r>
                <w:r>
                  <w:rPr/>
                  <w:fldChar w:fldCharType="end"/>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91.158997pt;margin-top:781.634644pt;width:13.1pt;height:11pt;mso-position-horizontal-relative:page;mso-position-vertical-relative:page;z-index:-264578048" type="#_x0000_t202" filled="false" stroked="false">
          <v:textbox inset="0,0,0,0">
            <w:txbxContent>
              <w:p>
                <w:pPr>
                  <w:spacing w:line="220" w:lineRule="exact" w:before="0"/>
                  <w:ind w:left="40" w:right="0" w:firstLine="0"/>
                  <w:jc w:val="left"/>
                  <w:rPr>
                    <w:sz w:val="18"/>
                  </w:rPr>
                </w:pPr>
                <w:r>
                  <w:rPr/>
                  <w:fldChar w:fldCharType="begin"/>
                </w:r>
                <w:r>
                  <w:rPr>
                    <w:sz w:val="18"/>
                  </w:rPr>
                  <w:instrText> PAGE </w:instrText>
                </w:r>
                <w:r>
                  <w:rPr/>
                  <w:fldChar w:fldCharType="separate"/>
                </w:r>
                <w:r>
                  <w:rPr/>
                  <w:t>69</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
    <w:multiLevelType w:val="hybridMultilevel"/>
    <w:lvl w:ilvl="0">
      <w:start w:val="1"/>
      <w:numFmt w:val="decimal"/>
      <w:lvlText w:val="%1."/>
      <w:lvlJc w:val="left"/>
      <w:pPr>
        <w:ind w:left="1092" w:hanging="332"/>
        <w:jc w:val="left"/>
      </w:pPr>
      <w:rPr>
        <w:rFonts w:hint="default" w:ascii="宋体" w:hAnsi="宋体" w:eastAsia="宋体" w:cs="宋体"/>
        <w:spacing w:val="1"/>
        <w:w w:val="99"/>
        <w:sz w:val="30"/>
        <w:szCs w:val="30"/>
        <w:lang w:val="zh-CN" w:eastAsia="zh-CN" w:bidi="zh-CN"/>
      </w:rPr>
    </w:lvl>
    <w:lvl w:ilvl="1">
      <w:start w:val="0"/>
      <w:numFmt w:val="bullet"/>
      <w:lvlText w:val="•"/>
      <w:lvlJc w:val="left"/>
      <w:pPr>
        <w:ind w:left="1858" w:hanging="332"/>
      </w:pPr>
      <w:rPr>
        <w:rFonts w:hint="default"/>
        <w:lang w:val="zh-CN" w:eastAsia="zh-CN" w:bidi="zh-CN"/>
      </w:rPr>
    </w:lvl>
    <w:lvl w:ilvl="2">
      <w:start w:val="0"/>
      <w:numFmt w:val="bullet"/>
      <w:lvlText w:val="•"/>
      <w:lvlJc w:val="left"/>
      <w:pPr>
        <w:ind w:left="2617" w:hanging="332"/>
      </w:pPr>
      <w:rPr>
        <w:rFonts w:hint="default"/>
        <w:lang w:val="zh-CN" w:eastAsia="zh-CN" w:bidi="zh-CN"/>
      </w:rPr>
    </w:lvl>
    <w:lvl w:ilvl="3">
      <w:start w:val="0"/>
      <w:numFmt w:val="bullet"/>
      <w:lvlText w:val="•"/>
      <w:lvlJc w:val="left"/>
      <w:pPr>
        <w:ind w:left="3375" w:hanging="332"/>
      </w:pPr>
      <w:rPr>
        <w:rFonts w:hint="default"/>
        <w:lang w:val="zh-CN" w:eastAsia="zh-CN" w:bidi="zh-CN"/>
      </w:rPr>
    </w:lvl>
    <w:lvl w:ilvl="4">
      <w:start w:val="0"/>
      <w:numFmt w:val="bullet"/>
      <w:lvlText w:val="•"/>
      <w:lvlJc w:val="left"/>
      <w:pPr>
        <w:ind w:left="4134" w:hanging="332"/>
      </w:pPr>
      <w:rPr>
        <w:rFonts w:hint="default"/>
        <w:lang w:val="zh-CN" w:eastAsia="zh-CN" w:bidi="zh-CN"/>
      </w:rPr>
    </w:lvl>
    <w:lvl w:ilvl="5">
      <w:start w:val="0"/>
      <w:numFmt w:val="bullet"/>
      <w:lvlText w:val="•"/>
      <w:lvlJc w:val="left"/>
      <w:pPr>
        <w:ind w:left="4893" w:hanging="332"/>
      </w:pPr>
      <w:rPr>
        <w:rFonts w:hint="default"/>
        <w:lang w:val="zh-CN" w:eastAsia="zh-CN" w:bidi="zh-CN"/>
      </w:rPr>
    </w:lvl>
    <w:lvl w:ilvl="6">
      <w:start w:val="0"/>
      <w:numFmt w:val="bullet"/>
      <w:lvlText w:val="•"/>
      <w:lvlJc w:val="left"/>
      <w:pPr>
        <w:ind w:left="5651" w:hanging="332"/>
      </w:pPr>
      <w:rPr>
        <w:rFonts w:hint="default"/>
        <w:lang w:val="zh-CN" w:eastAsia="zh-CN" w:bidi="zh-CN"/>
      </w:rPr>
    </w:lvl>
    <w:lvl w:ilvl="7">
      <w:start w:val="0"/>
      <w:numFmt w:val="bullet"/>
      <w:lvlText w:val="•"/>
      <w:lvlJc w:val="left"/>
      <w:pPr>
        <w:ind w:left="6410" w:hanging="332"/>
      </w:pPr>
      <w:rPr>
        <w:rFonts w:hint="default"/>
        <w:lang w:val="zh-CN" w:eastAsia="zh-CN" w:bidi="zh-CN"/>
      </w:rPr>
    </w:lvl>
    <w:lvl w:ilvl="8">
      <w:start w:val="0"/>
      <w:numFmt w:val="bullet"/>
      <w:lvlText w:val="•"/>
      <w:lvlJc w:val="left"/>
      <w:pPr>
        <w:ind w:left="7168" w:hanging="332"/>
      </w:pPr>
      <w:rPr>
        <w:rFonts w:hint="default"/>
        <w:lang w:val="zh-CN" w:eastAsia="zh-CN" w:bidi="zh-CN"/>
      </w:rPr>
    </w:lvl>
  </w:abstractNum>
  <w:abstractNum w:abstractNumId="81">
    <w:multiLevelType w:val="hybridMultilevel"/>
    <w:lvl w:ilvl="0">
      <w:start w:val="1"/>
      <w:numFmt w:val="decimal"/>
      <w:lvlText w:val="%1."/>
      <w:lvlJc w:val="left"/>
      <w:pPr>
        <w:ind w:left="1092" w:hanging="332"/>
        <w:jc w:val="left"/>
      </w:pPr>
      <w:rPr>
        <w:rFonts w:hint="default" w:ascii="宋体" w:hAnsi="宋体" w:eastAsia="宋体" w:cs="宋体"/>
        <w:spacing w:val="1"/>
        <w:w w:val="99"/>
        <w:sz w:val="30"/>
        <w:szCs w:val="30"/>
        <w:lang w:val="zh-CN" w:eastAsia="zh-CN" w:bidi="zh-CN"/>
      </w:rPr>
    </w:lvl>
    <w:lvl w:ilvl="1">
      <w:start w:val="0"/>
      <w:numFmt w:val="bullet"/>
      <w:lvlText w:val="•"/>
      <w:lvlJc w:val="left"/>
      <w:pPr>
        <w:ind w:left="1858" w:hanging="332"/>
      </w:pPr>
      <w:rPr>
        <w:rFonts w:hint="default"/>
        <w:lang w:val="zh-CN" w:eastAsia="zh-CN" w:bidi="zh-CN"/>
      </w:rPr>
    </w:lvl>
    <w:lvl w:ilvl="2">
      <w:start w:val="0"/>
      <w:numFmt w:val="bullet"/>
      <w:lvlText w:val="•"/>
      <w:lvlJc w:val="left"/>
      <w:pPr>
        <w:ind w:left="2617" w:hanging="332"/>
      </w:pPr>
      <w:rPr>
        <w:rFonts w:hint="default"/>
        <w:lang w:val="zh-CN" w:eastAsia="zh-CN" w:bidi="zh-CN"/>
      </w:rPr>
    </w:lvl>
    <w:lvl w:ilvl="3">
      <w:start w:val="0"/>
      <w:numFmt w:val="bullet"/>
      <w:lvlText w:val="•"/>
      <w:lvlJc w:val="left"/>
      <w:pPr>
        <w:ind w:left="3375" w:hanging="332"/>
      </w:pPr>
      <w:rPr>
        <w:rFonts w:hint="default"/>
        <w:lang w:val="zh-CN" w:eastAsia="zh-CN" w:bidi="zh-CN"/>
      </w:rPr>
    </w:lvl>
    <w:lvl w:ilvl="4">
      <w:start w:val="0"/>
      <w:numFmt w:val="bullet"/>
      <w:lvlText w:val="•"/>
      <w:lvlJc w:val="left"/>
      <w:pPr>
        <w:ind w:left="4134" w:hanging="332"/>
      </w:pPr>
      <w:rPr>
        <w:rFonts w:hint="default"/>
        <w:lang w:val="zh-CN" w:eastAsia="zh-CN" w:bidi="zh-CN"/>
      </w:rPr>
    </w:lvl>
    <w:lvl w:ilvl="5">
      <w:start w:val="0"/>
      <w:numFmt w:val="bullet"/>
      <w:lvlText w:val="•"/>
      <w:lvlJc w:val="left"/>
      <w:pPr>
        <w:ind w:left="4893" w:hanging="332"/>
      </w:pPr>
      <w:rPr>
        <w:rFonts w:hint="default"/>
        <w:lang w:val="zh-CN" w:eastAsia="zh-CN" w:bidi="zh-CN"/>
      </w:rPr>
    </w:lvl>
    <w:lvl w:ilvl="6">
      <w:start w:val="0"/>
      <w:numFmt w:val="bullet"/>
      <w:lvlText w:val="•"/>
      <w:lvlJc w:val="left"/>
      <w:pPr>
        <w:ind w:left="5651" w:hanging="332"/>
      </w:pPr>
      <w:rPr>
        <w:rFonts w:hint="default"/>
        <w:lang w:val="zh-CN" w:eastAsia="zh-CN" w:bidi="zh-CN"/>
      </w:rPr>
    </w:lvl>
    <w:lvl w:ilvl="7">
      <w:start w:val="0"/>
      <w:numFmt w:val="bullet"/>
      <w:lvlText w:val="•"/>
      <w:lvlJc w:val="left"/>
      <w:pPr>
        <w:ind w:left="6410" w:hanging="332"/>
      </w:pPr>
      <w:rPr>
        <w:rFonts w:hint="default"/>
        <w:lang w:val="zh-CN" w:eastAsia="zh-CN" w:bidi="zh-CN"/>
      </w:rPr>
    </w:lvl>
    <w:lvl w:ilvl="8">
      <w:start w:val="0"/>
      <w:numFmt w:val="bullet"/>
      <w:lvlText w:val="•"/>
      <w:lvlJc w:val="left"/>
      <w:pPr>
        <w:ind w:left="7168" w:hanging="332"/>
      </w:pPr>
      <w:rPr>
        <w:rFonts w:hint="default"/>
        <w:lang w:val="zh-CN" w:eastAsia="zh-CN" w:bidi="zh-CN"/>
      </w:rPr>
    </w:lvl>
  </w:abstractNum>
  <w:abstractNum w:abstractNumId="80">
    <w:multiLevelType w:val="hybridMultilevel"/>
    <w:lvl w:ilvl="0">
      <w:start w:val="1"/>
      <w:numFmt w:val="decimal"/>
      <w:lvlText w:val="%1."/>
      <w:lvlJc w:val="left"/>
      <w:pPr>
        <w:ind w:left="120" w:hanging="322"/>
        <w:jc w:val="left"/>
      </w:pPr>
      <w:rPr>
        <w:rFonts w:hint="default" w:ascii="宋体" w:hAnsi="宋体" w:eastAsia="宋体" w:cs="宋体"/>
        <w:spacing w:val="-2"/>
        <w:w w:val="99"/>
        <w:sz w:val="30"/>
        <w:szCs w:val="30"/>
        <w:lang w:val="zh-CN" w:eastAsia="zh-CN" w:bidi="zh-CN"/>
      </w:rPr>
    </w:lvl>
    <w:lvl w:ilvl="1">
      <w:start w:val="0"/>
      <w:numFmt w:val="bullet"/>
      <w:lvlText w:val="•"/>
      <w:lvlJc w:val="left"/>
      <w:pPr>
        <w:ind w:left="976" w:hanging="322"/>
      </w:pPr>
      <w:rPr>
        <w:rFonts w:hint="default"/>
        <w:lang w:val="zh-CN" w:eastAsia="zh-CN" w:bidi="zh-CN"/>
      </w:rPr>
    </w:lvl>
    <w:lvl w:ilvl="2">
      <w:start w:val="0"/>
      <w:numFmt w:val="bullet"/>
      <w:lvlText w:val="•"/>
      <w:lvlJc w:val="left"/>
      <w:pPr>
        <w:ind w:left="1833" w:hanging="322"/>
      </w:pPr>
      <w:rPr>
        <w:rFonts w:hint="default"/>
        <w:lang w:val="zh-CN" w:eastAsia="zh-CN" w:bidi="zh-CN"/>
      </w:rPr>
    </w:lvl>
    <w:lvl w:ilvl="3">
      <w:start w:val="0"/>
      <w:numFmt w:val="bullet"/>
      <w:lvlText w:val="•"/>
      <w:lvlJc w:val="left"/>
      <w:pPr>
        <w:ind w:left="2689" w:hanging="322"/>
      </w:pPr>
      <w:rPr>
        <w:rFonts w:hint="default"/>
        <w:lang w:val="zh-CN" w:eastAsia="zh-CN" w:bidi="zh-CN"/>
      </w:rPr>
    </w:lvl>
    <w:lvl w:ilvl="4">
      <w:start w:val="0"/>
      <w:numFmt w:val="bullet"/>
      <w:lvlText w:val="•"/>
      <w:lvlJc w:val="left"/>
      <w:pPr>
        <w:ind w:left="3546" w:hanging="322"/>
      </w:pPr>
      <w:rPr>
        <w:rFonts w:hint="default"/>
        <w:lang w:val="zh-CN" w:eastAsia="zh-CN" w:bidi="zh-CN"/>
      </w:rPr>
    </w:lvl>
    <w:lvl w:ilvl="5">
      <w:start w:val="0"/>
      <w:numFmt w:val="bullet"/>
      <w:lvlText w:val="•"/>
      <w:lvlJc w:val="left"/>
      <w:pPr>
        <w:ind w:left="4403" w:hanging="322"/>
      </w:pPr>
      <w:rPr>
        <w:rFonts w:hint="default"/>
        <w:lang w:val="zh-CN" w:eastAsia="zh-CN" w:bidi="zh-CN"/>
      </w:rPr>
    </w:lvl>
    <w:lvl w:ilvl="6">
      <w:start w:val="0"/>
      <w:numFmt w:val="bullet"/>
      <w:lvlText w:val="•"/>
      <w:lvlJc w:val="left"/>
      <w:pPr>
        <w:ind w:left="5259" w:hanging="322"/>
      </w:pPr>
      <w:rPr>
        <w:rFonts w:hint="default"/>
        <w:lang w:val="zh-CN" w:eastAsia="zh-CN" w:bidi="zh-CN"/>
      </w:rPr>
    </w:lvl>
    <w:lvl w:ilvl="7">
      <w:start w:val="0"/>
      <w:numFmt w:val="bullet"/>
      <w:lvlText w:val="•"/>
      <w:lvlJc w:val="left"/>
      <w:pPr>
        <w:ind w:left="6116" w:hanging="322"/>
      </w:pPr>
      <w:rPr>
        <w:rFonts w:hint="default"/>
        <w:lang w:val="zh-CN" w:eastAsia="zh-CN" w:bidi="zh-CN"/>
      </w:rPr>
    </w:lvl>
    <w:lvl w:ilvl="8">
      <w:start w:val="0"/>
      <w:numFmt w:val="bullet"/>
      <w:lvlText w:val="•"/>
      <w:lvlJc w:val="left"/>
      <w:pPr>
        <w:ind w:left="6972" w:hanging="322"/>
      </w:pPr>
      <w:rPr>
        <w:rFonts w:hint="default"/>
        <w:lang w:val="zh-CN" w:eastAsia="zh-CN" w:bidi="zh-CN"/>
      </w:rPr>
    </w:lvl>
  </w:abstractNum>
  <w:abstractNum w:abstractNumId="79">
    <w:multiLevelType w:val="hybridMultilevel"/>
    <w:lvl w:ilvl="0">
      <w:start w:val="27"/>
      <w:numFmt w:val="decimal"/>
      <w:lvlText w:val="%1."/>
      <w:lvlJc w:val="left"/>
      <w:pPr>
        <w:ind w:left="120" w:hanging="485"/>
        <w:jc w:val="left"/>
      </w:pPr>
      <w:rPr>
        <w:rFonts w:hint="default" w:ascii="宋体" w:hAnsi="宋体" w:eastAsia="宋体" w:cs="宋体"/>
        <w:spacing w:val="-2"/>
        <w:w w:val="99"/>
        <w:sz w:val="30"/>
        <w:szCs w:val="30"/>
        <w:lang w:val="zh-CN" w:eastAsia="zh-CN" w:bidi="zh-CN"/>
      </w:rPr>
    </w:lvl>
    <w:lvl w:ilvl="1">
      <w:start w:val="0"/>
      <w:numFmt w:val="bullet"/>
      <w:lvlText w:val="•"/>
      <w:lvlJc w:val="left"/>
      <w:pPr>
        <w:ind w:left="976" w:hanging="485"/>
      </w:pPr>
      <w:rPr>
        <w:rFonts w:hint="default"/>
        <w:lang w:val="zh-CN" w:eastAsia="zh-CN" w:bidi="zh-CN"/>
      </w:rPr>
    </w:lvl>
    <w:lvl w:ilvl="2">
      <w:start w:val="0"/>
      <w:numFmt w:val="bullet"/>
      <w:lvlText w:val="•"/>
      <w:lvlJc w:val="left"/>
      <w:pPr>
        <w:ind w:left="1833" w:hanging="485"/>
      </w:pPr>
      <w:rPr>
        <w:rFonts w:hint="default"/>
        <w:lang w:val="zh-CN" w:eastAsia="zh-CN" w:bidi="zh-CN"/>
      </w:rPr>
    </w:lvl>
    <w:lvl w:ilvl="3">
      <w:start w:val="0"/>
      <w:numFmt w:val="bullet"/>
      <w:lvlText w:val="•"/>
      <w:lvlJc w:val="left"/>
      <w:pPr>
        <w:ind w:left="2689" w:hanging="485"/>
      </w:pPr>
      <w:rPr>
        <w:rFonts w:hint="default"/>
        <w:lang w:val="zh-CN" w:eastAsia="zh-CN" w:bidi="zh-CN"/>
      </w:rPr>
    </w:lvl>
    <w:lvl w:ilvl="4">
      <w:start w:val="0"/>
      <w:numFmt w:val="bullet"/>
      <w:lvlText w:val="•"/>
      <w:lvlJc w:val="left"/>
      <w:pPr>
        <w:ind w:left="3546" w:hanging="485"/>
      </w:pPr>
      <w:rPr>
        <w:rFonts w:hint="default"/>
        <w:lang w:val="zh-CN" w:eastAsia="zh-CN" w:bidi="zh-CN"/>
      </w:rPr>
    </w:lvl>
    <w:lvl w:ilvl="5">
      <w:start w:val="0"/>
      <w:numFmt w:val="bullet"/>
      <w:lvlText w:val="•"/>
      <w:lvlJc w:val="left"/>
      <w:pPr>
        <w:ind w:left="4403" w:hanging="485"/>
      </w:pPr>
      <w:rPr>
        <w:rFonts w:hint="default"/>
        <w:lang w:val="zh-CN" w:eastAsia="zh-CN" w:bidi="zh-CN"/>
      </w:rPr>
    </w:lvl>
    <w:lvl w:ilvl="6">
      <w:start w:val="0"/>
      <w:numFmt w:val="bullet"/>
      <w:lvlText w:val="•"/>
      <w:lvlJc w:val="left"/>
      <w:pPr>
        <w:ind w:left="5259" w:hanging="485"/>
      </w:pPr>
      <w:rPr>
        <w:rFonts w:hint="default"/>
        <w:lang w:val="zh-CN" w:eastAsia="zh-CN" w:bidi="zh-CN"/>
      </w:rPr>
    </w:lvl>
    <w:lvl w:ilvl="7">
      <w:start w:val="0"/>
      <w:numFmt w:val="bullet"/>
      <w:lvlText w:val="•"/>
      <w:lvlJc w:val="left"/>
      <w:pPr>
        <w:ind w:left="6116" w:hanging="485"/>
      </w:pPr>
      <w:rPr>
        <w:rFonts w:hint="default"/>
        <w:lang w:val="zh-CN" w:eastAsia="zh-CN" w:bidi="zh-CN"/>
      </w:rPr>
    </w:lvl>
    <w:lvl w:ilvl="8">
      <w:start w:val="0"/>
      <w:numFmt w:val="bullet"/>
      <w:lvlText w:val="•"/>
      <w:lvlJc w:val="left"/>
      <w:pPr>
        <w:ind w:left="6972" w:hanging="485"/>
      </w:pPr>
      <w:rPr>
        <w:rFonts w:hint="default"/>
        <w:lang w:val="zh-CN" w:eastAsia="zh-CN" w:bidi="zh-CN"/>
      </w:rPr>
    </w:lvl>
  </w:abstractNum>
  <w:abstractNum w:abstractNumId="78">
    <w:multiLevelType w:val="hybridMultilevel"/>
    <w:lvl w:ilvl="0">
      <w:start w:val="13"/>
      <w:numFmt w:val="decimal"/>
      <w:lvlText w:val="%1."/>
      <w:lvlJc w:val="left"/>
      <w:pPr>
        <w:ind w:left="120" w:hanging="485"/>
        <w:jc w:val="left"/>
      </w:pPr>
      <w:rPr>
        <w:rFonts w:hint="default" w:ascii="宋体" w:hAnsi="宋体" w:eastAsia="宋体" w:cs="宋体"/>
        <w:spacing w:val="-2"/>
        <w:w w:val="99"/>
        <w:sz w:val="30"/>
        <w:szCs w:val="30"/>
        <w:lang w:val="zh-CN" w:eastAsia="zh-CN" w:bidi="zh-CN"/>
      </w:rPr>
    </w:lvl>
    <w:lvl w:ilvl="1">
      <w:start w:val="0"/>
      <w:numFmt w:val="bullet"/>
      <w:lvlText w:val="•"/>
      <w:lvlJc w:val="left"/>
      <w:pPr>
        <w:ind w:left="976" w:hanging="485"/>
      </w:pPr>
      <w:rPr>
        <w:rFonts w:hint="default"/>
        <w:lang w:val="zh-CN" w:eastAsia="zh-CN" w:bidi="zh-CN"/>
      </w:rPr>
    </w:lvl>
    <w:lvl w:ilvl="2">
      <w:start w:val="0"/>
      <w:numFmt w:val="bullet"/>
      <w:lvlText w:val="•"/>
      <w:lvlJc w:val="left"/>
      <w:pPr>
        <w:ind w:left="1833" w:hanging="485"/>
      </w:pPr>
      <w:rPr>
        <w:rFonts w:hint="default"/>
        <w:lang w:val="zh-CN" w:eastAsia="zh-CN" w:bidi="zh-CN"/>
      </w:rPr>
    </w:lvl>
    <w:lvl w:ilvl="3">
      <w:start w:val="0"/>
      <w:numFmt w:val="bullet"/>
      <w:lvlText w:val="•"/>
      <w:lvlJc w:val="left"/>
      <w:pPr>
        <w:ind w:left="2689" w:hanging="485"/>
      </w:pPr>
      <w:rPr>
        <w:rFonts w:hint="default"/>
        <w:lang w:val="zh-CN" w:eastAsia="zh-CN" w:bidi="zh-CN"/>
      </w:rPr>
    </w:lvl>
    <w:lvl w:ilvl="4">
      <w:start w:val="0"/>
      <w:numFmt w:val="bullet"/>
      <w:lvlText w:val="•"/>
      <w:lvlJc w:val="left"/>
      <w:pPr>
        <w:ind w:left="3546" w:hanging="485"/>
      </w:pPr>
      <w:rPr>
        <w:rFonts w:hint="default"/>
        <w:lang w:val="zh-CN" w:eastAsia="zh-CN" w:bidi="zh-CN"/>
      </w:rPr>
    </w:lvl>
    <w:lvl w:ilvl="5">
      <w:start w:val="0"/>
      <w:numFmt w:val="bullet"/>
      <w:lvlText w:val="•"/>
      <w:lvlJc w:val="left"/>
      <w:pPr>
        <w:ind w:left="4403" w:hanging="485"/>
      </w:pPr>
      <w:rPr>
        <w:rFonts w:hint="default"/>
        <w:lang w:val="zh-CN" w:eastAsia="zh-CN" w:bidi="zh-CN"/>
      </w:rPr>
    </w:lvl>
    <w:lvl w:ilvl="6">
      <w:start w:val="0"/>
      <w:numFmt w:val="bullet"/>
      <w:lvlText w:val="•"/>
      <w:lvlJc w:val="left"/>
      <w:pPr>
        <w:ind w:left="5259" w:hanging="485"/>
      </w:pPr>
      <w:rPr>
        <w:rFonts w:hint="default"/>
        <w:lang w:val="zh-CN" w:eastAsia="zh-CN" w:bidi="zh-CN"/>
      </w:rPr>
    </w:lvl>
    <w:lvl w:ilvl="7">
      <w:start w:val="0"/>
      <w:numFmt w:val="bullet"/>
      <w:lvlText w:val="•"/>
      <w:lvlJc w:val="left"/>
      <w:pPr>
        <w:ind w:left="6116" w:hanging="485"/>
      </w:pPr>
      <w:rPr>
        <w:rFonts w:hint="default"/>
        <w:lang w:val="zh-CN" w:eastAsia="zh-CN" w:bidi="zh-CN"/>
      </w:rPr>
    </w:lvl>
    <w:lvl w:ilvl="8">
      <w:start w:val="0"/>
      <w:numFmt w:val="bullet"/>
      <w:lvlText w:val="•"/>
      <w:lvlJc w:val="left"/>
      <w:pPr>
        <w:ind w:left="6972" w:hanging="485"/>
      </w:pPr>
      <w:rPr>
        <w:rFonts w:hint="default"/>
        <w:lang w:val="zh-CN" w:eastAsia="zh-CN" w:bidi="zh-CN"/>
      </w:rPr>
    </w:lvl>
  </w:abstractNum>
  <w:abstractNum w:abstractNumId="77">
    <w:multiLevelType w:val="hybridMultilevel"/>
    <w:lvl w:ilvl="0">
      <w:start w:val="1"/>
      <w:numFmt w:val="decimal"/>
      <w:lvlText w:val="%1."/>
      <w:lvlJc w:val="left"/>
      <w:pPr>
        <w:ind w:left="120" w:hanging="332"/>
        <w:jc w:val="left"/>
      </w:pPr>
      <w:rPr>
        <w:rFonts w:hint="default" w:ascii="宋体" w:hAnsi="宋体" w:eastAsia="宋体" w:cs="宋体"/>
        <w:spacing w:val="1"/>
        <w:w w:val="99"/>
        <w:sz w:val="30"/>
        <w:szCs w:val="30"/>
        <w:lang w:val="zh-CN" w:eastAsia="zh-CN" w:bidi="zh-CN"/>
      </w:rPr>
    </w:lvl>
    <w:lvl w:ilvl="1">
      <w:start w:val="0"/>
      <w:numFmt w:val="bullet"/>
      <w:lvlText w:val="•"/>
      <w:lvlJc w:val="left"/>
      <w:pPr>
        <w:ind w:left="976" w:hanging="332"/>
      </w:pPr>
      <w:rPr>
        <w:rFonts w:hint="default"/>
        <w:lang w:val="zh-CN" w:eastAsia="zh-CN" w:bidi="zh-CN"/>
      </w:rPr>
    </w:lvl>
    <w:lvl w:ilvl="2">
      <w:start w:val="0"/>
      <w:numFmt w:val="bullet"/>
      <w:lvlText w:val="•"/>
      <w:lvlJc w:val="left"/>
      <w:pPr>
        <w:ind w:left="1833" w:hanging="332"/>
      </w:pPr>
      <w:rPr>
        <w:rFonts w:hint="default"/>
        <w:lang w:val="zh-CN" w:eastAsia="zh-CN" w:bidi="zh-CN"/>
      </w:rPr>
    </w:lvl>
    <w:lvl w:ilvl="3">
      <w:start w:val="0"/>
      <w:numFmt w:val="bullet"/>
      <w:lvlText w:val="•"/>
      <w:lvlJc w:val="left"/>
      <w:pPr>
        <w:ind w:left="2689" w:hanging="332"/>
      </w:pPr>
      <w:rPr>
        <w:rFonts w:hint="default"/>
        <w:lang w:val="zh-CN" w:eastAsia="zh-CN" w:bidi="zh-CN"/>
      </w:rPr>
    </w:lvl>
    <w:lvl w:ilvl="4">
      <w:start w:val="0"/>
      <w:numFmt w:val="bullet"/>
      <w:lvlText w:val="•"/>
      <w:lvlJc w:val="left"/>
      <w:pPr>
        <w:ind w:left="3546" w:hanging="332"/>
      </w:pPr>
      <w:rPr>
        <w:rFonts w:hint="default"/>
        <w:lang w:val="zh-CN" w:eastAsia="zh-CN" w:bidi="zh-CN"/>
      </w:rPr>
    </w:lvl>
    <w:lvl w:ilvl="5">
      <w:start w:val="0"/>
      <w:numFmt w:val="bullet"/>
      <w:lvlText w:val="•"/>
      <w:lvlJc w:val="left"/>
      <w:pPr>
        <w:ind w:left="4403" w:hanging="332"/>
      </w:pPr>
      <w:rPr>
        <w:rFonts w:hint="default"/>
        <w:lang w:val="zh-CN" w:eastAsia="zh-CN" w:bidi="zh-CN"/>
      </w:rPr>
    </w:lvl>
    <w:lvl w:ilvl="6">
      <w:start w:val="0"/>
      <w:numFmt w:val="bullet"/>
      <w:lvlText w:val="•"/>
      <w:lvlJc w:val="left"/>
      <w:pPr>
        <w:ind w:left="5259" w:hanging="332"/>
      </w:pPr>
      <w:rPr>
        <w:rFonts w:hint="default"/>
        <w:lang w:val="zh-CN" w:eastAsia="zh-CN" w:bidi="zh-CN"/>
      </w:rPr>
    </w:lvl>
    <w:lvl w:ilvl="7">
      <w:start w:val="0"/>
      <w:numFmt w:val="bullet"/>
      <w:lvlText w:val="•"/>
      <w:lvlJc w:val="left"/>
      <w:pPr>
        <w:ind w:left="6116" w:hanging="332"/>
      </w:pPr>
      <w:rPr>
        <w:rFonts w:hint="default"/>
        <w:lang w:val="zh-CN" w:eastAsia="zh-CN" w:bidi="zh-CN"/>
      </w:rPr>
    </w:lvl>
    <w:lvl w:ilvl="8">
      <w:start w:val="0"/>
      <w:numFmt w:val="bullet"/>
      <w:lvlText w:val="•"/>
      <w:lvlJc w:val="left"/>
      <w:pPr>
        <w:ind w:left="6972" w:hanging="332"/>
      </w:pPr>
      <w:rPr>
        <w:rFonts w:hint="default"/>
        <w:lang w:val="zh-CN" w:eastAsia="zh-CN" w:bidi="zh-CN"/>
      </w:rPr>
    </w:lvl>
  </w:abstractNum>
  <w:abstractNum w:abstractNumId="76">
    <w:multiLevelType w:val="hybridMultilevel"/>
    <w:lvl w:ilvl="0">
      <w:start w:val="3"/>
      <w:numFmt w:val="decimal"/>
      <w:lvlText w:val="%1."/>
      <w:lvlJc w:val="left"/>
      <w:pPr>
        <w:ind w:left="1082" w:hanging="322"/>
        <w:jc w:val="left"/>
      </w:pPr>
      <w:rPr>
        <w:rFonts w:hint="default" w:ascii="宋体" w:hAnsi="宋体" w:eastAsia="宋体" w:cs="宋体"/>
        <w:spacing w:val="-2"/>
        <w:w w:val="99"/>
        <w:sz w:val="30"/>
        <w:szCs w:val="30"/>
        <w:lang w:val="zh-CN" w:eastAsia="zh-CN" w:bidi="zh-CN"/>
      </w:rPr>
    </w:lvl>
    <w:lvl w:ilvl="1">
      <w:start w:val="0"/>
      <w:numFmt w:val="bullet"/>
      <w:lvlText w:val="•"/>
      <w:lvlJc w:val="left"/>
      <w:pPr>
        <w:ind w:left="1840" w:hanging="322"/>
      </w:pPr>
      <w:rPr>
        <w:rFonts w:hint="default"/>
        <w:lang w:val="zh-CN" w:eastAsia="zh-CN" w:bidi="zh-CN"/>
      </w:rPr>
    </w:lvl>
    <w:lvl w:ilvl="2">
      <w:start w:val="0"/>
      <w:numFmt w:val="bullet"/>
      <w:lvlText w:val="•"/>
      <w:lvlJc w:val="left"/>
      <w:pPr>
        <w:ind w:left="2601" w:hanging="322"/>
      </w:pPr>
      <w:rPr>
        <w:rFonts w:hint="default"/>
        <w:lang w:val="zh-CN" w:eastAsia="zh-CN" w:bidi="zh-CN"/>
      </w:rPr>
    </w:lvl>
    <w:lvl w:ilvl="3">
      <w:start w:val="0"/>
      <w:numFmt w:val="bullet"/>
      <w:lvlText w:val="•"/>
      <w:lvlJc w:val="left"/>
      <w:pPr>
        <w:ind w:left="3361" w:hanging="322"/>
      </w:pPr>
      <w:rPr>
        <w:rFonts w:hint="default"/>
        <w:lang w:val="zh-CN" w:eastAsia="zh-CN" w:bidi="zh-CN"/>
      </w:rPr>
    </w:lvl>
    <w:lvl w:ilvl="4">
      <w:start w:val="0"/>
      <w:numFmt w:val="bullet"/>
      <w:lvlText w:val="•"/>
      <w:lvlJc w:val="left"/>
      <w:pPr>
        <w:ind w:left="4122" w:hanging="322"/>
      </w:pPr>
      <w:rPr>
        <w:rFonts w:hint="default"/>
        <w:lang w:val="zh-CN" w:eastAsia="zh-CN" w:bidi="zh-CN"/>
      </w:rPr>
    </w:lvl>
    <w:lvl w:ilvl="5">
      <w:start w:val="0"/>
      <w:numFmt w:val="bullet"/>
      <w:lvlText w:val="•"/>
      <w:lvlJc w:val="left"/>
      <w:pPr>
        <w:ind w:left="4883" w:hanging="322"/>
      </w:pPr>
      <w:rPr>
        <w:rFonts w:hint="default"/>
        <w:lang w:val="zh-CN" w:eastAsia="zh-CN" w:bidi="zh-CN"/>
      </w:rPr>
    </w:lvl>
    <w:lvl w:ilvl="6">
      <w:start w:val="0"/>
      <w:numFmt w:val="bullet"/>
      <w:lvlText w:val="•"/>
      <w:lvlJc w:val="left"/>
      <w:pPr>
        <w:ind w:left="5643" w:hanging="322"/>
      </w:pPr>
      <w:rPr>
        <w:rFonts w:hint="default"/>
        <w:lang w:val="zh-CN" w:eastAsia="zh-CN" w:bidi="zh-CN"/>
      </w:rPr>
    </w:lvl>
    <w:lvl w:ilvl="7">
      <w:start w:val="0"/>
      <w:numFmt w:val="bullet"/>
      <w:lvlText w:val="•"/>
      <w:lvlJc w:val="left"/>
      <w:pPr>
        <w:ind w:left="6404" w:hanging="322"/>
      </w:pPr>
      <w:rPr>
        <w:rFonts w:hint="default"/>
        <w:lang w:val="zh-CN" w:eastAsia="zh-CN" w:bidi="zh-CN"/>
      </w:rPr>
    </w:lvl>
    <w:lvl w:ilvl="8">
      <w:start w:val="0"/>
      <w:numFmt w:val="bullet"/>
      <w:lvlText w:val="•"/>
      <w:lvlJc w:val="left"/>
      <w:pPr>
        <w:ind w:left="7164" w:hanging="322"/>
      </w:pPr>
      <w:rPr>
        <w:rFonts w:hint="default"/>
        <w:lang w:val="zh-CN" w:eastAsia="zh-CN" w:bidi="zh-CN"/>
      </w:rPr>
    </w:lvl>
  </w:abstractNum>
  <w:abstractNum w:abstractNumId="75">
    <w:multiLevelType w:val="hybridMultilevel"/>
    <w:lvl w:ilvl="0">
      <w:start w:val="1"/>
      <w:numFmt w:val="decimal"/>
      <w:lvlText w:val="%1."/>
      <w:lvlJc w:val="left"/>
      <w:pPr>
        <w:ind w:left="318" w:hanging="212"/>
        <w:jc w:val="left"/>
      </w:pPr>
      <w:rPr>
        <w:rFonts w:hint="default" w:ascii="宋体" w:hAnsi="宋体" w:eastAsia="宋体" w:cs="宋体"/>
        <w:spacing w:val="1"/>
        <w:w w:val="99"/>
        <w:sz w:val="19"/>
        <w:szCs w:val="19"/>
        <w:lang w:val="zh-CN" w:eastAsia="zh-CN" w:bidi="zh-CN"/>
      </w:rPr>
    </w:lvl>
    <w:lvl w:ilvl="1">
      <w:start w:val="0"/>
      <w:numFmt w:val="bullet"/>
      <w:lvlText w:val="•"/>
      <w:lvlJc w:val="left"/>
      <w:pPr>
        <w:ind w:left="613" w:hanging="212"/>
      </w:pPr>
      <w:rPr>
        <w:rFonts w:hint="default"/>
        <w:lang w:val="zh-CN" w:eastAsia="zh-CN" w:bidi="zh-CN"/>
      </w:rPr>
    </w:lvl>
    <w:lvl w:ilvl="2">
      <w:start w:val="0"/>
      <w:numFmt w:val="bullet"/>
      <w:lvlText w:val="•"/>
      <w:lvlJc w:val="left"/>
      <w:pPr>
        <w:ind w:left="906" w:hanging="212"/>
      </w:pPr>
      <w:rPr>
        <w:rFonts w:hint="default"/>
        <w:lang w:val="zh-CN" w:eastAsia="zh-CN" w:bidi="zh-CN"/>
      </w:rPr>
    </w:lvl>
    <w:lvl w:ilvl="3">
      <w:start w:val="0"/>
      <w:numFmt w:val="bullet"/>
      <w:lvlText w:val="•"/>
      <w:lvlJc w:val="left"/>
      <w:pPr>
        <w:ind w:left="1199" w:hanging="212"/>
      </w:pPr>
      <w:rPr>
        <w:rFonts w:hint="default"/>
        <w:lang w:val="zh-CN" w:eastAsia="zh-CN" w:bidi="zh-CN"/>
      </w:rPr>
    </w:lvl>
    <w:lvl w:ilvl="4">
      <w:start w:val="0"/>
      <w:numFmt w:val="bullet"/>
      <w:lvlText w:val="•"/>
      <w:lvlJc w:val="left"/>
      <w:pPr>
        <w:ind w:left="1492" w:hanging="212"/>
      </w:pPr>
      <w:rPr>
        <w:rFonts w:hint="default"/>
        <w:lang w:val="zh-CN" w:eastAsia="zh-CN" w:bidi="zh-CN"/>
      </w:rPr>
    </w:lvl>
    <w:lvl w:ilvl="5">
      <w:start w:val="0"/>
      <w:numFmt w:val="bullet"/>
      <w:lvlText w:val="•"/>
      <w:lvlJc w:val="left"/>
      <w:pPr>
        <w:ind w:left="1785" w:hanging="212"/>
      </w:pPr>
      <w:rPr>
        <w:rFonts w:hint="default"/>
        <w:lang w:val="zh-CN" w:eastAsia="zh-CN" w:bidi="zh-CN"/>
      </w:rPr>
    </w:lvl>
    <w:lvl w:ilvl="6">
      <w:start w:val="0"/>
      <w:numFmt w:val="bullet"/>
      <w:lvlText w:val="•"/>
      <w:lvlJc w:val="left"/>
      <w:pPr>
        <w:ind w:left="2078" w:hanging="212"/>
      </w:pPr>
      <w:rPr>
        <w:rFonts w:hint="default"/>
        <w:lang w:val="zh-CN" w:eastAsia="zh-CN" w:bidi="zh-CN"/>
      </w:rPr>
    </w:lvl>
    <w:lvl w:ilvl="7">
      <w:start w:val="0"/>
      <w:numFmt w:val="bullet"/>
      <w:lvlText w:val="•"/>
      <w:lvlJc w:val="left"/>
      <w:pPr>
        <w:ind w:left="2371" w:hanging="212"/>
      </w:pPr>
      <w:rPr>
        <w:rFonts w:hint="default"/>
        <w:lang w:val="zh-CN" w:eastAsia="zh-CN" w:bidi="zh-CN"/>
      </w:rPr>
    </w:lvl>
    <w:lvl w:ilvl="8">
      <w:start w:val="0"/>
      <w:numFmt w:val="bullet"/>
      <w:lvlText w:val="•"/>
      <w:lvlJc w:val="left"/>
      <w:pPr>
        <w:ind w:left="2664" w:hanging="212"/>
      </w:pPr>
      <w:rPr>
        <w:rFonts w:hint="default"/>
        <w:lang w:val="zh-CN" w:eastAsia="zh-CN" w:bidi="zh-CN"/>
      </w:rPr>
    </w:lvl>
  </w:abstractNum>
  <w:abstractNum w:abstractNumId="74">
    <w:multiLevelType w:val="hybridMultilevel"/>
    <w:lvl w:ilvl="0">
      <w:start w:val="1"/>
      <w:numFmt w:val="decimal"/>
      <w:lvlText w:val="%1."/>
      <w:lvlJc w:val="left"/>
      <w:pPr>
        <w:ind w:left="108" w:hanging="212"/>
        <w:jc w:val="left"/>
      </w:pPr>
      <w:rPr>
        <w:rFonts w:hint="default" w:ascii="宋体" w:hAnsi="宋体" w:eastAsia="宋体" w:cs="宋体"/>
        <w:spacing w:val="-2"/>
        <w:w w:val="99"/>
        <w:sz w:val="19"/>
        <w:szCs w:val="19"/>
        <w:lang w:val="zh-CN" w:eastAsia="zh-CN" w:bidi="zh-CN"/>
      </w:rPr>
    </w:lvl>
    <w:lvl w:ilvl="1">
      <w:start w:val="0"/>
      <w:numFmt w:val="bullet"/>
      <w:lvlText w:val="•"/>
      <w:lvlJc w:val="left"/>
      <w:pPr>
        <w:ind w:left="556" w:hanging="212"/>
      </w:pPr>
      <w:rPr>
        <w:rFonts w:hint="default"/>
        <w:lang w:val="zh-CN" w:eastAsia="zh-CN" w:bidi="zh-CN"/>
      </w:rPr>
    </w:lvl>
    <w:lvl w:ilvl="2">
      <w:start w:val="0"/>
      <w:numFmt w:val="bullet"/>
      <w:lvlText w:val="•"/>
      <w:lvlJc w:val="left"/>
      <w:pPr>
        <w:ind w:left="1013" w:hanging="212"/>
      </w:pPr>
      <w:rPr>
        <w:rFonts w:hint="default"/>
        <w:lang w:val="zh-CN" w:eastAsia="zh-CN" w:bidi="zh-CN"/>
      </w:rPr>
    </w:lvl>
    <w:lvl w:ilvl="3">
      <w:start w:val="0"/>
      <w:numFmt w:val="bullet"/>
      <w:lvlText w:val="•"/>
      <w:lvlJc w:val="left"/>
      <w:pPr>
        <w:ind w:left="1470" w:hanging="212"/>
      </w:pPr>
      <w:rPr>
        <w:rFonts w:hint="default"/>
        <w:lang w:val="zh-CN" w:eastAsia="zh-CN" w:bidi="zh-CN"/>
      </w:rPr>
    </w:lvl>
    <w:lvl w:ilvl="4">
      <w:start w:val="0"/>
      <w:numFmt w:val="bullet"/>
      <w:lvlText w:val="•"/>
      <w:lvlJc w:val="left"/>
      <w:pPr>
        <w:ind w:left="1927" w:hanging="212"/>
      </w:pPr>
      <w:rPr>
        <w:rFonts w:hint="default"/>
        <w:lang w:val="zh-CN" w:eastAsia="zh-CN" w:bidi="zh-CN"/>
      </w:rPr>
    </w:lvl>
    <w:lvl w:ilvl="5">
      <w:start w:val="0"/>
      <w:numFmt w:val="bullet"/>
      <w:lvlText w:val="•"/>
      <w:lvlJc w:val="left"/>
      <w:pPr>
        <w:ind w:left="2384" w:hanging="212"/>
      </w:pPr>
      <w:rPr>
        <w:rFonts w:hint="default"/>
        <w:lang w:val="zh-CN" w:eastAsia="zh-CN" w:bidi="zh-CN"/>
      </w:rPr>
    </w:lvl>
    <w:lvl w:ilvl="6">
      <w:start w:val="0"/>
      <w:numFmt w:val="bullet"/>
      <w:lvlText w:val="•"/>
      <w:lvlJc w:val="left"/>
      <w:pPr>
        <w:ind w:left="2840" w:hanging="212"/>
      </w:pPr>
      <w:rPr>
        <w:rFonts w:hint="default"/>
        <w:lang w:val="zh-CN" w:eastAsia="zh-CN" w:bidi="zh-CN"/>
      </w:rPr>
    </w:lvl>
    <w:lvl w:ilvl="7">
      <w:start w:val="0"/>
      <w:numFmt w:val="bullet"/>
      <w:lvlText w:val="•"/>
      <w:lvlJc w:val="left"/>
      <w:pPr>
        <w:ind w:left="3297" w:hanging="212"/>
      </w:pPr>
      <w:rPr>
        <w:rFonts w:hint="default"/>
        <w:lang w:val="zh-CN" w:eastAsia="zh-CN" w:bidi="zh-CN"/>
      </w:rPr>
    </w:lvl>
    <w:lvl w:ilvl="8">
      <w:start w:val="0"/>
      <w:numFmt w:val="bullet"/>
      <w:lvlText w:val="•"/>
      <w:lvlJc w:val="left"/>
      <w:pPr>
        <w:ind w:left="3754" w:hanging="212"/>
      </w:pPr>
      <w:rPr>
        <w:rFonts w:hint="default"/>
        <w:lang w:val="zh-CN" w:eastAsia="zh-CN" w:bidi="zh-CN"/>
      </w:rPr>
    </w:lvl>
  </w:abstractNum>
  <w:abstractNum w:abstractNumId="73">
    <w:multiLevelType w:val="hybridMultilevel"/>
    <w:lvl w:ilvl="0">
      <w:start w:val="1"/>
      <w:numFmt w:val="decimal"/>
      <w:lvlText w:val="%1."/>
      <w:lvlJc w:val="left"/>
      <w:pPr>
        <w:ind w:left="107" w:hanging="212"/>
        <w:jc w:val="left"/>
      </w:pPr>
      <w:rPr>
        <w:rFonts w:hint="default" w:ascii="宋体" w:hAnsi="宋体" w:eastAsia="宋体" w:cs="宋体"/>
        <w:spacing w:val="1"/>
        <w:w w:val="99"/>
        <w:sz w:val="19"/>
        <w:szCs w:val="19"/>
        <w:lang w:val="zh-CN" w:eastAsia="zh-CN" w:bidi="zh-CN"/>
      </w:rPr>
    </w:lvl>
    <w:lvl w:ilvl="1">
      <w:start w:val="0"/>
      <w:numFmt w:val="bullet"/>
      <w:lvlText w:val="•"/>
      <w:lvlJc w:val="left"/>
      <w:pPr>
        <w:ind w:left="415" w:hanging="212"/>
      </w:pPr>
      <w:rPr>
        <w:rFonts w:hint="default"/>
        <w:lang w:val="zh-CN" w:eastAsia="zh-CN" w:bidi="zh-CN"/>
      </w:rPr>
    </w:lvl>
    <w:lvl w:ilvl="2">
      <w:start w:val="0"/>
      <w:numFmt w:val="bullet"/>
      <w:lvlText w:val="•"/>
      <w:lvlJc w:val="left"/>
      <w:pPr>
        <w:ind w:left="730" w:hanging="212"/>
      </w:pPr>
      <w:rPr>
        <w:rFonts w:hint="default"/>
        <w:lang w:val="zh-CN" w:eastAsia="zh-CN" w:bidi="zh-CN"/>
      </w:rPr>
    </w:lvl>
    <w:lvl w:ilvl="3">
      <w:start w:val="0"/>
      <w:numFmt w:val="bullet"/>
      <w:lvlText w:val="•"/>
      <w:lvlJc w:val="left"/>
      <w:pPr>
        <w:ind w:left="1045" w:hanging="212"/>
      </w:pPr>
      <w:rPr>
        <w:rFonts w:hint="default"/>
        <w:lang w:val="zh-CN" w:eastAsia="zh-CN" w:bidi="zh-CN"/>
      </w:rPr>
    </w:lvl>
    <w:lvl w:ilvl="4">
      <w:start w:val="0"/>
      <w:numFmt w:val="bullet"/>
      <w:lvlText w:val="•"/>
      <w:lvlJc w:val="left"/>
      <w:pPr>
        <w:ind w:left="1360" w:hanging="212"/>
      </w:pPr>
      <w:rPr>
        <w:rFonts w:hint="default"/>
        <w:lang w:val="zh-CN" w:eastAsia="zh-CN" w:bidi="zh-CN"/>
      </w:rPr>
    </w:lvl>
    <w:lvl w:ilvl="5">
      <w:start w:val="0"/>
      <w:numFmt w:val="bullet"/>
      <w:lvlText w:val="•"/>
      <w:lvlJc w:val="left"/>
      <w:pPr>
        <w:ind w:left="1675" w:hanging="212"/>
      </w:pPr>
      <w:rPr>
        <w:rFonts w:hint="default"/>
        <w:lang w:val="zh-CN" w:eastAsia="zh-CN" w:bidi="zh-CN"/>
      </w:rPr>
    </w:lvl>
    <w:lvl w:ilvl="6">
      <w:start w:val="0"/>
      <w:numFmt w:val="bullet"/>
      <w:lvlText w:val="•"/>
      <w:lvlJc w:val="left"/>
      <w:pPr>
        <w:ind w:left="1990" w:hanging="212"/>
      </w:pPr>
      <w:rPr>
        <w:rFonts w:hint="default"/>
        <w:lang w:val="zh-CN" w:eastAsia="zh-CN" w:bidi="zh-CN"/>
      </w:rPr>
    </w:lvl>
    <w:lvl w:ilvl="7">
      <w:start w:val="0"/>
      <w:numFmt w:val="bullet"/>
      <w:lvlText w:val="•"/>
      <w:lvlJc w:val="left"/>
      <w:pPr>
        <w:ind w:left="2305" w:hanging="212"/>
      </w:pPr>
      <w:rPr>
        <w:rFonts w:hint="default"/>
        <w:lang w:val="zh-CN" w:eastAsia="zh-CN" w:bidi="zh-CN"/>
      </w:rPr>
    </w:lvl>
    <w:lvl w:ilvl="8">
      <w:start w:val="0"/>
      <w:numFmt w:val="bullet"/>
      <w:lvlText w:val="•"/>
      <w:lvlJc w:val="left"/>
      <w:pPr>
        <w:ind w:left="2620" w:hanging="212"/>
      </w:pPr>
      <w:rPr>
        <w:rFonts w:hint="default"/>
        <w:lang w:val="zh-CN" w:eastAsia="zh-CN" w:bidi="zh-CN"/>
      </w:rPr>
    </w:lvl>
  </w:abstractNum>
  <w:abstractNum w:abstractNumId="72">
    <w:multiLevelType w:val="hybridMultilevel"/>
    <w:lvl w:ilvl="0">
      <w:start w:val="1"/>
      <w:numFmt w:val="decimal"/>
      <w:lvlText w:val="（%1）"/>
      <w:lvlJc w:val="left"/>
      <w:pPr>
        <w:ind w:left="2199" w:hanging="819"/>
        <w:jc w:val="left"/>
      </w:pPr>
      <w:rPr>
        <w:rFonts w:hint="default" w:ascii="宋体" w:hAnsi="宋体" w:eastAsia="宋体" w:cs="宋体"/>
        <w:spacing w:val="5"/>
        <w:w w:val="99"/>
        <w:sz w:val="30"/>
        <w:szCs w:val="30"/>
        <w:lang w:val="zh-CN" w:eastAsia="zh-CN" w:bidi="zh-CN"/>
      </w:rPr>
    </w:lvl>
    <w:lvl w:ilvl="1">
      <w:start w:val="0"/>
      <w:numFmt w:val="bullet"/>
      <w:lvlText w:val="•"/>
      <w:lvlJc w:val="left"/>
      <w:pPr>
        <w:ind w:left="2978" w:hanging="819"/>
      </w:pPr>
      <w:rPr>
        <w:rFonts w:hint="default"/>
        <w:lang w:val="zh-CN" w:eastAsia="zh-CN" w:bidi="zh-CN"/>
      </w:rPr>
    </w:lvl>
    <w:lvl w:ilvl="2">
      <w:start w:val="0"/>
      <w:numFmt w:val="bullet"/>
      <w:lvlText w:val="•"/>
      <w:lvlJc w:val="left"/>
      <w:pPr>
        <w:ind w:left="3757" w:hanging="819"/>
      </w:pPr>
      <w:rPr>
        <w:rFonts w:hint="default"/>
        <w:lang w:val="zh-CN" w:eastAsia="zh-CN" w:bidi="zh-CN"/>
      </w:rPr>
    </w:lvl>
    <w:lvl w:ilvl="3">
      <w:start w:val="0"/>
      <w:numFmt w:val="bullet"/>
      <w:lvlText w:val="•"/>
      <w:lvlJc w:val="left"/>
      <w:pPr>
        <w:ind w:left="4535" w:hanging="819"/>
      </w:pPr>
      <w:rPr>
        <w:rFonts w:hint="default"/>
        <w:lang w:val="zh-CN" w:eastAsia="zh-CN" w:bidi="zh-CN"/>
      </w:rPr>
    </w:lvl>
    <w:lvl w:ilvl="4">
      <w:start w:val="0"/>
      <w:numFmt w:val="bullet"/>
      <w:lvlText w:val="•"/>
      <w:lvlJc w:val="left"/>
      <w:pPr>
        <w:ind w:left="5314" w:hanging="819"/>
      </w:pPr>
      <w:rPr>
        <w:rFonts w:hint="default"/>
        <w:lang w:val="zh-CN" w:eastAsia="zh-CN" w:bidi="zh-CN"/>
      </w:rPr>
    </w:lvl>
    <w:lvl w:ilvl="5">
      <w:start w:val="0"/>
      <w:numFmt w:val="bullet"/>
      <w:lvlText w:val="•"/>
      <w:lvlJc w:val="left"/>
      <w:pPr>
        <w:ind w:left="6093" w:hanging="819"/>
      </w:pPr>
      <w:rPr>
        <w:rFonts w:hint="default"/>
        <w:lang w:val="zh-CN" w:eastAsia="zh-CN" w:bidi="zh-CN"/>
      </w:rPr>
    </w:lvl>
    <w:lvl w:ilvl="6">
      <w:start w:val="0"/>
      <w:numFmt w:val="bullet"/>
      <w:lvlText w:val="•"/>
      <w:lvlJc w:val="left"/>
      <w:pPr>
        <w:ind w:left="6871" w:hanging="819"/>
      </w:pPr>
      <w:rPr>
        <w:rFonts w:hint="default"/>
        <w:lang w:val="zh-CN" w:eastAsia="zh-CN" w:bidi="zh-CN"/>
      </w:rPr>
    </w:lvl>
    <w:lvl w:ilvl="7">
      <w:start w:val="0"/>
      <w:numFmt w:val="bullet"/>
      <w:lvlText w:val="•"/>
      <w:lvlJc w:val="left"/>
      <w:pPr>
        <w:ind w:left="7650" w:hanging="819"/>
      </w:pPr>
      <w:rPr>
        <w:rFonts w:hint="default"/>
        <w:lang w:val="zh-CN" w:eastAsia="zh-CN" w:bidi="zh-CN"/>
      </w:rPr>
    </w:lvl>
    <w:lvl w:ilvl="8">
      <w:start w:val="0"/>
      <w:numFmt w:val="bullet"/>
      <w:lvlText w:val="•"/>
      <w:lvlJc w:val="left"/>
      <w:pPr>
        <w:ind w:left="8428" w:hanging="819"/>
      </w:pPr>
      <w:rPr>
        <w:rFonts w:hint="default"/>
        <w:lang w:val="zh-CN" w:eastAsia="zh-CN" w:bidi="zh-CN"/>
      </w:rPr>
    </w:lvl>
  </w:abstractNum>
  <w:abstractNum w:abstractNumId="71">
    <w:multiLevelType w:val="hybridMultilevel"/>
    <w:lvl w:ilvl="0">
      <w:start w:val="9"/>
      <w:numFmt w:val="decimal"/>
      <w:lvlText w:val="%1"/>
      <w:lvlJc w:val="left"/>
      <w:pPr>
        <w:ind w:left="1383" w:hanging="644"/>
        <w:jc w:val="left"/>
      </w:pPr>
      <w:rPr>
        <w:rFonts w:hint="default"/>
        <w:lang w:val="zh-CN" w:eastAsia="zh-CN" w:bidi="zh-CN"/>
      </w:rPr>
    </w:lvl>
    <w:lvl w:ilvl="1">
      <w:start w:val="1"/>
      <w:numFmt w:val="decimal"/>
      <w:lvlText w:val="%1.%2"/>
      <w:lvlJc w:val="left"/>
      <w:pPr>
        <w:ind w:left="1383" w:hanging="644"/>
        <w:jc w:val="left"/>
      </w:pPr>
      <w:rPr>
        <w:rFonts w:hint="default" w:ascii="宋体" w:hAnsi="宋体" w:eastAsia="宋体" w:cs="宋体"/>
        <w:b/>
        <w:bCs/>
        <w:spacing w:val="0"/>
        <w:w w:val="98"/>
        <w:sz w:val="32"/>
        <w:szCs w:val="32"/>
        <w:lang w:val="zh-CN" w:eastAsia="zh-CN" w:bidi="zh-CN"/>
      </w:rPr>
    </w:lvl>
    <w:lvl w:ilvl="2">
      <w:start w:val="1"/>
      <w:numFmt w:val="decimal"/>
      <w:lvlText w:val="（%3）"/>
      <w:lvlJc w:val="left"/>
      <w:pPr>
        <w:ind w:left="740" w:hanging="819"/>
        <w:jc w:val="left"/>
      </w:pPr>
      <w:rPr>
        <w:rFonts w:hint="default" w:ascii="宋体" w:hAnsi="宋体" w:eastAsia="宋体" w:cs="宋体"/>
        <w:spacing w:val="5"/>
        <w:w w:val="99"/>
        <w:sz w:val="30"/>
        <w:szCs w:val="30"/>
        <w:lang w:val="zh-CN" w:eastAsia="zh-CN" w:bidi="zh-CN"/>
      </w:rPr>
    </w:lvl>
    <w:lvl w:ilvl="3">
      <w:start w:val="0"/>
      <w:numFmt w:val="bullet"/>
      <w:lvlText w:val="•"/>
      <w:lvlJc w:val="left"/>
      <w:pPr>
        <w:ind w:left="3292" w:hanging="819"/>
      </w:pPr>
      <w:rPr>
        <w:rFonts w:hint="default"/>
        <w:lang w:val="zh-CN" w:eastAsia="zh-CN" w:bidi="zh-CN"/>
      </w:rPr>
    </w:lvl>
    <w:lvl w:ilvl="4">
      <w:start w:val="0"/>
      <w:numFmt w:val="bullet"/>
      <w:lvlText w:val="•"/>
      <w:lvlJc w:val="left"/>
      <w:pPr>
        <w:ind w:left="4248" w:hanging="819"/>
      </w:pPr>
      <w:rPr>
        <w:rFonts w:hint="default"/>
        <w:lang w:val="zh-CN" w:eastAsia="zh-CN" w:bidi="zh-CN"/>
      </w:rPr>
    </w:lvl>
    <w:lvl w:ilvl="5">
      <w:start w:val="0"/>
      <w:numFmt w:val="bullet"/>
      <w:lvlText w:val="•"/>
      <w:lvlJc w:val="left"/>
      <w:pPr>
        <w:ind w:left="5204" w:hanging="819"/>
      </w:pPr>
      <w:rPr>
        <w:rFonts w:hint="default"/>
        <w:lang w:val="zh-CN" w:eastAsia="zh-CN" w:bidi="zh-CN"/>
      </w:rPr>
    </w:lvl>
    <w:lvl w:ilvl="6">
      <w:start w:val="0"/>
      <w:numFmt w:val="bullet"/>
      <w:lvlText w:val="•"/>
      <w:lvlJc w:val="left"/>
      <w:pPr>
        <w:ind w:left="6161" w:hanging="819"/>
      </w:pPr>
      <w:rPr>
        <w:rFonts w:hint="default"/>
        <w:lang w:val="zh-CN" w:eastAsia="zh-CN" w:bidi="zh-CN"/>
      </w:rPr>
    </w:lvl>
    <w:lvl w:ilvl="7">
      <w:start w:val="0"/>
      <w:numFmt w:val="bullet"/>
      <w:lvlText w:val="•"/>
      <w:lvlJc w:val="left"/>
      <w:pPr>
        <w:ind w:left="7117" w:hanging="819"/>
      </w:pPr>
      <w:rPr>
        <w:rFonts w:hint="default"/>
        <w:lang w:val="zh-CN" w:eastAsia="zh-CN" w:bidi="zh-CN"/>
      </w:rPr>
    </w:lvl>
    <w:lvl w:ilvl="8">
      <w:start w:val="0"/>
      <w:numFmt w:val="bullet"/>
      <w:lvlText w:val="•"/>
      <w:lvlJc w:val="left"/>
      <w:pPr>
        <w:ind w:left="8073" w:hanging="819"/>
      </w:pPr>
      <w:rPr>
        <w:rFonts w:hint="default"/>
        <w:lang w:val="zh-CN" w:eastAsia="zh-CN" w:bidi="zh-CN"/>
      </w:rPr>
    </w:lvl>
  </w:abstractNum>
  <w:abstractNum w:abstractNumId="70">
    <w:multiLevelType w:val="hybridMultilevel"/>
    <w:lvl w:ilvl="0">
      <w:start w:val="1"/>
      <w:numFmt w:val="decimal"/>
      <w:lvlText w:val="（%1）"/>
      <w:lvlJc w:val="left"/>
      <w:pPr>
        <w:ind w:left="740" w:hanging="819"/>
        <w:jc w:val="left"/>
      </w:pPr>
      <w:rPr>
        <w:rFonts w:hint="default" w:ascii="宋体" w:hAnsi="宋体" w:eastAsia="宋体" w:cs="宋体"/>
        <w:spacing w:val="5"/>
        <w:w w:val="99"/>
        <w:sz w:val="30"/>
        <w:szCs w:val="30"/>
        <w:lang w:val="zh-CN" w:eastAsia="zh-CN" w:bidi="zh-CN"/>
      </w:rPr>
    </w:lvl>
    <w:lvl w:ilvl="1">
      <w:start w:val="0"/>
      <w:numFmt w:val="bullet"/>
      <w:lvlText w:val="•"/>
      <w:lvlJc w:val="left"/>
      <w:pPr>
        <w:ind w:left="1664" w:hanging="819"/>
      </w:pPr>
      <w:rPr>
        <w:rFonts w:hint="default"/>
        <w:lang w:val="zh-CN" w:eastAsia="zh-CN" w:bidi="zh-CN"/>
      </w:rPr>
    </w:lvl>
    <w:lvl w:ilvl="2">
      <w:start w:val="0"/>
      <w:numFmt w:val="bullet"/>
      <w:lvlText w:val="•"/>
      <w:lvlJc w:val="left"/>
      <w:pPr>
        <w:ind w:left="2589" w:hanging="819"/>
      </w:pPr>
      <w:rPr>
        <w:rFonts w:hint="default"/>
        <w:lang w:val="zh-CN" w:eastAsia="zh-CN" w:bidi="zh-CN"/>
      </w:rPr>
    </w:lvl>
    <w:lvl w:ilvl="3">
      <w:start w:val="0"/>
      <w:numFmt w:val="bullet"/>
      <w:lvlText w:val="•"/>
      <w:lvlJc w:val="left"/>
      <w:pPr>
        <w:ind w:left="3513" w:hanging="819"/>
      </w:pPr>
      <w:rPr>
        <w:rFonts w:hint="default"/>
        <w:lang w:val="zh-CN" w:eastAsia="zh-CN" w:bidi="zh-CN"/>
      </w:rPr>
    </w:lvl>
    <w:lvl w:ilvl="4">
      <w:start w:val="0"/>
      <w:numFmt w:val="bullet"/>
      <w:lvlText w:val="•"/>
      <w:lvlJc w:val="left"/>
      <w:pPr>
        <w:ind w:left="4438" w:hanging="819"/>
      </w:pPr>
      <w:rPr>
        <w:rFonts w:hint="default"/>
        <w:lang w:val="zh-CN" w:eastAsia="zh-CN" w:bidi="zh-CN"/>
      </w:rPr>
    </w:lvl>
    <w:lvl w:ilvl="5">
      <w:start w:val="0"/>
      <w:numFmt w:val="bullet"/>
      <w:lvlText w:val="•"/>
      <w:lvlJc w:val="left"/>
      <w:pPr>
        <w:ind w:left="5363" w:hanging="819"/>
      </w:pPr>
      <w:rPr>
        <w:rFonts w:hint="default"/>
        <w:lang w:val="zh-CN" w:eastAsia="zh-CN" w:bidi="zh-CN"/>
      </w:rPr>
    </w:lvl>
    <w:lvl w:ilvl="6">
      <w:start w:val="0"/>
      <w:numFmt w:val="bullet"/>
      <w:lvlText w:val="•"/>
      <w:lvlJc w:val="left"/>
      <w:pPr>
        <w:ind w:left="6287" w:hanging="819"/>
      </w:pPr>
      <w:rPr>
        <w:rFonts w:hint="default"/>
        <w:lang w:val="zh-CN" w:eastAsia="zh-CN" w:bidi="zh-CN"/>
      </w:rPr>
    </w:lvl>
    <w:lvl w:ilvl="7">
      <w:start w:val="0"/>
      <w:numFmt w:val="bullet"/>
      <w:lvlText w:val="•"/>
      <w:lvlJc w:val="left"/>
      <w:pPr>
        <w:ind w:left="7212" w:hanging="819"/>
      </w:pPr>
      <w:rPr>
        <w:rFonts w:hint="default"/>
        <w:lang w:val="zh-CN" w:eastAsia="zh-CN" w:bidi="zh-CN"/>
      </w:rPr>
    </w:lvl>
    <w:lvl w:ilvl="8">
      <w:start w:val="0"/>
      <w:numFmt w:val="bullet"/>
      <w:lvlText w:val="•"/>
      <w:lvlJc w:val="left"/>
      <w:pPr>
        <w:ind w:left="8136" w:hanging="819"/>
      </w:pPr>
      <w:rPr>
        <w:rFonts w:hint="default"/>
        <w:lang w:val="zh-CN" w:eastAsia="zh-CN" w:bidi="zh-CN"/>
      </w:rPr>
    </w:lvl>
  </w:abstractNum>
  <w:abstractNum w:abstractNumId="69">
    <w:multiLevelType w:val="hybridMultilevel"/>
    <w:lvl w:ilvl="0">
      <w:start w:val="1"/>
      <w:numFmt w:val="decimal"/>
      <w:lvlText w:val="（%1）"/>
      <w:lvlJc w:val="left"/>
      <w:pPr>
        <w:ind w:left="740" w:hanging="819"/>
        <w:jc w:val="left"/>
      </w:pPr>
      <w:rPr>
        <w:rFonts w:hint="default" w:ascii="宋体" w:hAnsi="宋体" w:eastAsia="宋体" w:cs="宋体"/>
        <w:spacing w:val="5"/>
        <w:w w:val="99"/>
        <w:sz w:val="30"/>
        <w:szCs w:val="30"/>
        <w:lang w:val="zh-CN" w:eastAsia="zh-CN" w:bidi="zh-CN"/>
      </w:rPr>
    </w:lvl>
    <w:lvl w:ilvl="1">
      <w:start w:val="0"/>
      <w:numFmt w:val="bullet"/>
      <w:lvlText w:val="•"/>
      <w:lvlJc w:val="left"/>
      <w:pPr>
        <w:ind w:left="1664" w:hanging="819"/>
      </w:pPr>
      <w:rPr>
        <w:rFonts w:hint="default"/>
        <w:lang w:val="zh-CN" w:eastAsia="zh-CN" w:bidi="zh-CN"/>
      </w:rPr>
    </w:lvl>
    <w:lvl w:ilvl="2">
      <w:start w:val="0"/>
      <w:numFmt w:val="bullet"/>
      <w:lvlText w:val="•"/>
      <w:lvlJc w:val="left"/>
      <w:pPr>
        <w:ind w:left="2589" w:hanging="819"/>
      </w:pPr>
      <w:rPr>
        <w:rFonts w:hint="default"/>
        <w:lang w:val="zh-CN" w:eastAsia="zh-CN" w:bidi="zh-CN"/>
      </w:rPr>
    </w:lvl>
    <w:lvl w:ilvl="3">
      <w:start w:val="0"/>
      <w:numFmt w:val="bullet"/>
      <w:lvlText w:val="•"/>
      <w:lvlJc w:val="left"/>
      <w:pPr>
        <w:ind w:left="3513" w:hanging="819"/>
      </w:pPr>
      <w:rPr>
        <w:rFonts w:hint="default"/>
        <w:lang w:val="zh-CN" w:eastAsia="zh-CN" w:bidi="zh-CN"/>
      </w:rPr>
    </w:lvl>
    <w:lvl w:ilvl="4">
      <w:start w:val="0"/>
      <w:numFmt w:val="bullet"/>
      <w:lvlText w:val="•"/>
      <w:lvlJc w:val="left"/>
      <w:pPr>
        <w:ind w:left="4438" w:hanging="819"/>
      </w:pPr>
      <w:rPr>
        <w:rFonts w:hint="default"/>
        <w:lang w:val="zh-CN" w:eastAsia="zh-CN" w:bidi="zh-CN"/>
      </w:rPr>
    </w:lvl>
    <w:lvl w:ilvl="5">
      <w:start w:val="0"/>
      <w:numFmt w:val="bullet"/>
      <w:lvlText w:val="•"/>
      <w:lvlJc w:val="left"/>
      <w:pPr>
        <w:ind w:left="5363" w:hanging="819"/>
      </w:pPr>
      <w:rPr>
        <w:rFonts w:hint="default"/>
        <w:lang w:val="zh-CN" w:eastAsia="zh-CN" w:bidi="zh-CN"/>
      </w:rPr>
    </w:lvl>
    <w:lvl w:ilvl="6">
      <w:start w:val="0"/>
      <w:numFmt w:val="bullet"/>
      <w:lvlText w:val="•"/>
      <w:lvlJc w:val="left"/>
      <w:pPr>
        <w:ind w:left="6287" w:hanging="819"/>
      </w:pPr>
      <w:rPr>
        <w:rFonts w:hint="default"/>
        <w:lang w:val="zh-CN" w:eastAsia="zh-CN" w:bidi="zh-CN"/>
      </w:rPr>
    </w:lvl>
    <w:lvl w:ilvl="7">
      <w:start w:val="0"/>
      <w:numFmt w:val="bullet"/>
      <w:lvlText w:val="•"/>
      <w:lvlJc w:val="left"/>
      <w:pPr>
        <w:ind w:left="7212" w:hanging="819"/>
      </w:pPr>
      <w:rPr>
        <w:rFonts w:hint="default"/>
        <w:lang w:val="zh-CN" w:eastAsia="zh-CN" w:bidi="zh-CN"/>
      </w:rPr>
    </w:lvl>
    <w:lvl w:ilvl="8">
      <w:start w:val="0"/>
      <w:numFmt w:val="bullet"/>
      <w:lvlText w:val="•"/>
      <w:lvlJc w:val="left"/>
      <w:pPr>
        <w:ind w:left="8136" w:hanging="819"/>
      </w:pPr>
      <w:rPr>
        <w:rFonts w:hint="default"/>
        <w:lang w:val="zh-CN" w:eastAsia="zh-CN" w:bidi="zh-CN"/>
      </w:rPr>
    </w:lvl>
  </w:abstractNum>
  <w:abstractNum w:abstractNumId="68">
    <w:multiLevelType w:val="hybridMultilevel"/>
    <w:lvl w:ilvl="0">
      <w:start w:val="8"/>
      <w:numFmt w:val="decimal"/>
      <w:lvlText w:val="%1"/>
      <w:lvlJc w:val="left"/>
      <w:pPr>
        <w:ind w:left="1383" w:hanging="644"/>
        <w:jc w:val="left"/>
      </w:pPr>
      <w:rPr>
        <w:rFonts w:hint="default"/>
        <w:lang w:val="zh-CN" w:eastAsia="zh-CN" w:bidi="zh-CN"/>
      </w:rPr>
    </w:lvl>
    <w:lvl w:ilvl="1">
      <w:start w:val="1"/>
      <w:numFmt w:val="decimal"/>
      <w:lvlText w:val="%1.%2"/>
      <w:lvlJc w:val="left"/>
      <w:pPr>
        <w:ind w:left="1383" w:hanging="644"/>
        <w:jc w:val="left"/>
      </w:pPr>
      <w:rPr>
        <w:rFonts w:hint="default" w:ascii="宋体" w:hAnsi="宋体" w:eastAsia="宋体" w:cs="宋体"/>
        <w:b/>
        <w:bCs/>
        <w:spacing w:val="0"/>
        <w:w w:val="98"/>
        <w:sz w:val="32"/>
        <w:szCs w:val="32"/>
        <w:lang w:val="zh-CN" w:eastAsia="zh-CN" w:bidi="zh-CN"/>
      </w:rPr>
    </w:lvl>
    <w:lvl w:ilvl="2">
      <w:start w:val="1"/>
      <w:numFmt w:val="decimal"/>
      <w:lvlText w:val="（%3）"/>
      <w:lvlJc w:val="left"/>
      <w:pPr>
        <w:ind w:left="740" w:hanging="819"/>
        <w:jc w:val="left"/>
      </w:pPr>
      <w:rPr>
        <w:rFonts w:hint="default" w:ascii="宋体" w:hAnsi="宋体" w:eastAsia="宋体" w:cs="宋体"/>
        <w:spacing w:val="5"/>
        <w:w w:val="99"/>
        <w:sz w:val="30"/>
        <w:szCs w:val="30"/>
        <w:lang w:val="zh-CN" w:eastAsia="zh-CN" w:bidi="zh-CN"/>
      </w:rPr>
    </w:lvl>
    <w:lvl w:ilvl="3">
      <w:start w:val="0"/>
      <w:numFmt w:val="bullet"/>
      <w:lvlText w:val="•"/>
      <w:lvlJc w:val="left"/>
      <w:pPr>
        <w:ind w:left="3292" w:hanging="819"/>
      </w:pPr>
      <w:rPr>
        <w:rFonts w:hint="default"/>
        <w:lang w:val="zh-CN" w:eastAsia="zh-CN" w:bidi="zh-CN"/>
      </w:rPr>
    </w:lvl>
    <w:lvl w:ilvl="4">
      <w:start w:val="0"/>
      <w:numFmt w:val="bullet"/>
      <w:lvlText w:val="•"/>
      <w:lvlJc w:val="left"/>
      <w:pPr>
        <w:ind w:left="4248" w:hanging="819"/>
      </w:pPr>
      <w:rPr>
        <w:rFonts w:hint="default"/>
        <w:lang w:val="zh-CN" w:eastAsia="zh-CN" w:bidi="zh-CN"/>
      </w:rPr>
    </w:lvl>
    <w:lvl w:ilvl="5">
      <w:start w:val="0"/>
      <w:numFmt w:val="bullet"/>
      <w:lvlText w:val="•"/>
      <w:lvlJc w:val="left"/>
      <w:pPr>
        <w:ind w:left="5204" w:hanging="819"/>
      </w:pPr>
      <w:rPr>
        <w:rFonts w:hint="default"/>
        <w:lang w:val="zh-CN" w:eastAsia="zh-CN" w:bidi="zh-CN"/>
      </w:rPr>
    </w:lvl>
    <w:lvl w:ilvl="6">
      <w:start w:val="0"/>
      <w:numFmt w:val="bullet"/>
      <w:lvlText w:val="•"/>
      <w:lvlJc w:val="left"/>
      <w:pPr>
        <w:ind w:left="6161" w:hanging="819"/>
      </w:pPr>
      <w:rPr>
        <w:rFonts w:hint="default"/>
        <w:lang w:val="zh-CN" w:eastAsia="zh-CN" w:bidi="zh-CN"/>
      </w:rPr>
    </w:lvl>
    <w:lvl w:ilvl="7">
      <w:start w:val="0"/>
      <w:numFmt w:val="bullet"/>
      <w:lvlText w:val="•"/>
      <w:lvlJc w:val="left"/>
      <w:pPr>
        <w:ind w:left="7117" w:hanging="819"/>
      </w:pPr>
      <w:rPr>
        <w:rFonts w:hint="default"/>
        <w:lang w:val="zh-CN" w:eastAsia="zh-CN" w:bidi="zh-CN"/>
      </w:rPr>
    </w:lvl>
    <w:lvl w:ilvl="8">
      <w:start w:val="0"/>
      <w:numFmt w:val="bullet"/>
      <w:lvlText w:val="•"/>
      <w:lvlJc w:val="left"/>
      <w:pPr>
        <w:ind w:left="8073" w:hanging="819"/>
      </w:pPr>
      <w:rPr>
        <w:rFonts w:hint="default"/>
        <w:lang w:val="zh-CN" w:eastAsia="zh-CN" w:bidi="zh-CN"/>
      </w:rPr>
    </w:lvl>
  </w:abstractNum>
  <w:abstractNum w:abstractNumId="67">
    <w:multiLevelType w:val="hybridMultilevel"/>
    <w:lvl w:ilvl="0">
      <w:start w:val="1"/>
      <w:numFmt w:val="decimal"/>
      <w:lvlText w:val="（%1）"/>
      <w:lvlJc w:val="left"/>
      <w:pPr>
        <w:ind w:left="740" w:hanging="819"/>
        <w:jc w:val="left"/>
      </w:pPr>
      <w:rPr>
        <w:rFonts w:hint="default" w:ascii="宋体" w:hAnsi="宋体" w:eastAsia="宋体" w:cs="宋体"/>
        <w:spacing w:val="5"/>
        <w:w w:val="99"/>
        <w:sz w:val="30"/>
        <w:szCs w:val="30"/>
        <w:lang w:val="zh-CN" w:eastAsia="zh-CN" w:bidi="zh-CN"/>
      </w:rPr>
    </w:lvl>
    <w:lvl w:ilvl="1">
      <w:start w:val="0"/>
      <w:numFmt w:val="bullet"/>
      <w:lvlText w:val="•"/>
      <w:lvlJc w:val="left"/>
      <w:pPr>
        <w:ind w:left="1664" w:hanging="819"/>
      </w:pPr>
      <w:rPr>
        <w:rFonts w:hint="default"/>
        <w:lang w:val="zh-CN" w:eastAsia="zh-CN" w:bidi="zh-CN"/>
      </w:rPr>
    </w:lvl>
    <w:lvl w:ilvl="2">
      <w:start w:val="0"/>
      <w:numFmt w:val="bullet"/>
      <w:lvlText w:val="•"/>
      <w:lvlJc w:val="left"/>
      <w:pPr>
        <w:ind w:left="2589" w:hanging="819"/>
      </w:pPr>
      <w:rPr>
        <w:rFonts w:hint="default"/>
        <w:lang w:val="zh-CN" w:eastAsia="zh-CN" w:bidi="zh-CN"/>
      </w:rPr>
    </w:lvl>
    <w:lvl w:ilvl="3">
      <w:start w:val="0"/>
      <w:numFmt w:val="bullet"/>
      <w:lvlText w:val="•"/>
      <w:lvlJc w:val="left"/>
      <w:pPr>
        <w:ind w:left="3513" w:hanging="819"/>
      </w:pPr>
      <w:rPr>
        <w:rFonts w:hint="default"/>
        <w:lang w:val="zh-CN" w:eastAsia="zh-CN" w:bidi="zh-CN"/>
      </w:rPr>
    </w:lvl>
    <w:lvl w:ilvl="4">
      <w:start w:val="0"/>
      <w:numFmt w:val="bullet"/>
      <w:lvlText w:val="•"/>
      <w:lvlJc w:val="left"/>
      <w:pPr>
        <w:ind w:left="4438" w:hanging="819"/>
      </w:pPr>
      <w:rPr>
        <w:rFonts w:hint="default"/>
        <w:lang w:val="zh-CN" w:eastAsia="zh-CN" w:bidi="zh-CN"/>
      </w:rPr>
    </w:lvl>
    <w:lvl w:ilvl="5">
      <w:start w:val="0"/>
      <w:numFmt w:val="bullet"/>
      <w:lvlText w:val="•"/>
      <w:lvlJc w:val="left"/>
      <w:pPr>
        <w:ind w:left="5363" w:hanging="819"/>
      </w:pPr>
      <w:rPr>
        <w:rFonts w:hint="default"/>
        <w:lang w:val="zh-CN" w:eastAsia="zh-CN" w:bidi="zh-CN"/>
      </w:rPr>
    </w:lvl>
    <w:lvl w:ilvl="6">
      <w:start w:val="0"/>
      <w:numFmt w:val="bullet"/>
      <w:lvlText w:val="•"/>
      <w:lvlJc w:val="left"/>
      <w:pPr>
        <w:ind w:left="6287" w:hanging="819"/>
      </w:pPr>
      <w:rPr>
        <w:rFonts w:hint="default"/>
        <w:lang w:val="zh-CN" w:eastAsia="zh-CN" w:bidi="zh-CN"/>
      </w:rPr>
    </w:lvl>
    <w:lvl w:ilvl="7">
      <w:start w:val="0"/>
      <w:numFmt w:val="bullet"/>
      <w:lvlText w:val="•"/>
      <w:lvlJc w:val="left"/>
      <w:pPr>
        <w:ind w:left="7212" w:hanging="819"/>
      </w:pPr>
      <w:rPr>
        <w:rFonts w:hint="default"/>
        <w:lang w:val="zh-CN" w:eastAsia="zh-CN" w:bidi="zh-CN"/>
      </w:rPr>
    </w:lvl>
    <w:lvl w:ilvl="8">
      <w:start w:val="0"/>
      <w:numFmt w:val="bullet"/>
      <w:lvlText w:val="•"/>
      <w:lvlJc w:val="left"/>
      <w:pPr>
        <w:ind w:left="8136" w:hanging="819"/>
      </w:pPr>
      <w:rPr>
        <w:rFonts w:hint="default"/>
        <w:lang w:val="zh-CN" w:eastAsia="zh-CN" w:bidi="zh-CN"/>
      </w:rPr>
    </w:lvl>
  </w:abstractNum>
  <w:abstractNum w:abstractNumId="66">
    <w:multiLevelType w:val="hybridMultilevel"/>
    <w:lvl w:ilvl="0">
      <w:start w:val="7"/>
      <w:numFmt w:val="decimal"/>
      <w:lvlText w:val="%1"/>
      <w:lvlJc w:val="left"/>
      <w:pPr>
        <w:ind w:left="1383" w:hanging="644"/>
        <w:jc w:val="left"/>
      </w:pPr>
      <w:rPr>
        <w:rFonts w:hint="default"/>
        <w:lang w:val="zh-CN" w:eastAsia="zh-CN" w:bidi="zh-CN"/>
      </w:rPr>
    </w:lvl>
    <w:lvl w:ilvl="1">
      <w:start w:val="1"/>
      <w:numFmt w:val="decimal"/>
      <w:lvlText w:val="%1.%2"/>
      <w:lvlJc w:val="left"/>
      <w:pPr>
        <w:ind w:left="1383" w:hanging="644"/>
        <w:jc w:val="left"/>
      </w:pPr>
      <w:rPr>
        <w:rFonts w:hint="default" w:ascii="宋体" w:hAnsi="宋体" w:eastAsia="宋体" w:cs="宋体"/>
        <w:b/>
        <w:bCs/>
        <w:spacing w:val="0"/>
        <w:w w:val="98"/>
        <w:sz w:val="32"/>
        <w:szCs w:val="32"/>
        <w:lang w:val="zh-CN" w:eastAsia="zh-CN" w:bidi="zh-CN"/>
      </w:rPr>
    </w:lvl>
    <w:lvl w:ilvl="2">
      <w:start w:val="1"/>
      <w:numFmt w:val="decimal"/>
      <w:lvlText w:val="（%3）"/>
      <w:lvlJc w:val="left"/>
      <w:pPr>
        <w:ind w:left="2180" w:hanging="800"/>
        <w:jc w:val="left"/>
      </w:pPr>
      <w:rPr>
        <w:rFonts w:hint="default" w:ascii="宋体" w:hAnsi="宋体" w:eastAsia="宋体" w:cs="宋体"/>
        <w:w w:val="99"/>
        <w:sz w:val="30"/>
        <w:szCs w:val="30"/>
        <w:lang w:val="zh-CN" w:eastAsia="zh-CN" w:bidi="zh-CN"/>
      </w:rPr>
    </w:lvl>
    <w:lvl w:ilvl="3">
      <w:start w:val="0"/>
      <w:numFmt w:val="bullet"/>
      <w:lvlText w:val="•"/>
      <w:lvlJc w:val="left"/>
      <w:pPr>
        <w:ind w:left="3914" w:hanging="800"/>
      </w:pPr>
      <w:rPr>
        <w:rFonts w:hint="default"/>
        <w:lang w:val="zh-CN" w:eastAsia="zh-CN" w:bidi="zh-CN"/>
      </w:rPr>
    </w:lvl>
    <w:lvl w:ilvl="4">
      <w:start w:val="0"/>
      <w:numFmt w:val="bullet"/>
      <w:lvlText w:val="•"/>
      <w:lvlJc w:val="left"/>
      <w:pPr>
        <w:ind w:left="4782" w:hanging="800"/>
      </w:pPr>
      <w:rPr>
        <w:rFonts w:hint="default"/>
        <w:lang w:val="zh-CN" w:eastAsia="zh-CN" w:bidi="zh-CN"/>
      </w:rPr>
    </w:lvl>
    <w:lvl w:ilvl="5">
      <w:start w:val="0"/>
      <w:numFmt w:val="bullet"/>
      <w:lvlText w:val="•"/>
      <w:lvlJc w:val="left"/>
      <w:pPr>
        <w:ind w:left="5649" w:hanging="800"/>
      </w:pPr>
      <w:rPr>
        <w:rFonts w:hint="default"/>
        <w:lang w:val="zh-CN" w:eastAsia="zh-CN" w:bidi="zh-CN"/>
      </w:rPr>
    </w:lvl>
    <w:lvl w:ilvl="6">
      <w:start w:val="0"/>
      <w:numFmt w:val="bullet"/>
      <w:lvlText w:val="•"/>
      <w:lvlJc w:val="left"/>
      <w:pPr>
        <w:ind w:left="6516" w:hanging="800"/>
      </w:pPr>
      <w:rPr>
        <w:rFonts w:hint="default"/>
        <w:lang w:val="zh-CN" w:eastAsia="zh-CN" w:bidi="zh-CN"/>
      </w:rPr>
    </w:lvl>
    <w:lvl w:ilvl="7">
      <w:start w:val="0"/>
      <w:numFmt w:val="bullet"/>
      <w:lvlText w:val="•"/>
      <w:lvlJc w:val="left"/>
      <w:pPr>
        <w:ind w:left="7384" w:hanging="800"/>
      </w:pPr>
      <w:rPr>
        <w:rFonts w:hint="default"/>
        <w:lang w:val="zh-CN" w:eastAsia="zh-CN" w:bidi="zh-CN"/>
      </w:rPr>
    </w:lvl>
    <w:lvl w:ilvl="8">
      <w:start w:val="0"/>
      <w:numFmt w:val="bullet"/>
      <w:lvlText w:val="•"/>
      <w:lvlJc w:val="left"/>
      <w:pPr>
        <w:ind w:left="8251" w:hanging="800"/>
      </w:pPr>
      <w:rPr>
        <w:rFonts w:hint="default"/>
        <w:lang w:val="zh-CN" w:eastAsia="zh-CN" w:bidi="zh-CN"/>
      </w:rPr>
    </w:lvl>
  </w:abstractNum>
  <w:abstractNum w:abstractNumId="65">
    <w:multiLevelType w:val="hybridMultilevel"/>
    <w:lvl w:ilvl="0">
      <w:start w:val="1"/>
      <w:numFmt w:val="decimal"/>
      <w:lvlText w:val="（%1）"/>
      <w:lvlJc w:val="left"/>
      <w:pPr>
        <w:ind w:left="740" w:hanging="819"/>
        <w:jc w:val="left"/>
      </w:pPr>
      <w:rPr>
        <w:rFonts w:hint="default" w:ascii="宋体" w:hAnsi="宋体" w:eastAsia="宋体" w:cs="宋体"/>
        <w:spacing w:val="5"/>
        <w:w w:val="99"/>
        <w:sz w:val="30"/>
        <w:szCs w:val="30"/>
        <w:lang w:val="zh-CN" w:eastAsia="zh-CN" w:bidi="zh-CN"/>
      </w:rPr>
    </w:lvl>
    <w:lvl w:ilvl="1">
      <w:start w:val="0"/>
      <w:numFmt w:val="bullet"/>
      <w:lvlText w:val="•"/>
      <w:lvlJc w:val="left"/>
      <w:pPr>
        <w:ind w:left="1664" w:hanging="819"/>
      </w:pPr>
      <w:rPr>
        <w:rFonts w:hint="default"/>
        <w:lang w:val="zh-CN" w:eastAsia="zh-CN" w:bidi="zh-CN"/>
      </w:rPr>
    </w:lvl>
    <w:lvl w:ilvl="2">
      <w:start w:val="0"/>
      <w:numFmt w:val="bullet"/>
      <w:lvlText w:val="•"/>
      <w:lvlJc w:val="left"/>
      <w:pPr>
        <w:ind w:left="2589" w:hanging="819"/>
      </w:pPr>
      <w:rPr>
        <w:rFonts w:hint="default"/>
        <w:lang w:val="zh-CN" w:eastAsia="zh-CN" w:bidi="zh-CN"/>
      </w:rPr>
    </w:lvl>
    <w:lvl w:ilvl="3">
      <w:start w:val="0"/>
      <w:numFmt w:val="bullet"/>
      <w:lvlText w:val="•"/>
      <w:lvlJc w:val="left"/>
      <w:pPr>
        <w:ind w:left="3513" w:hanging="819"/>
      </w:pPr>
      <w:rPr>
        <w:rFonts w:hint="default"/>
        <w:lang w:val="zh-CN" w:eastAsia="zh-CN" w:bidi="zh-CN"/>
      </w:rPr>
    </w:lvl>
    <w:lvl w:ilvl="4">
      <w:start w:val="0"/>
      <w:numFmt w:val="bullet"/>
      <w:lvlText w:val="•"/>
      <w:lvlJc w:val="left"/>
      <w:pPr>
        <w:ind w:left="4438" w:hanging="819"/>
      </w:pPr>
      <w:rPr>
        <w:rFonts w:hint="default"/>
        <w:lang w:val="zh-CN" w:eastAsia="zh-CN" w:bidi="zh-CN"/>
      </w:rPr>
    </w:lvl>
    <w:lvl w:ilvl="5">
      <w:start w:val="0"/>
      <w:numFmt w:val="bullet"/>
      <w:lvlText w:val="•"/>
      <w:lvlJc w:val="left"/>
      <w:pPr>
        <w:ind w:left="5363" w:hanging="819"/>
      </w:pPr>
      <w:rPr>
        <w:rFonts w:hint="default"/>
        <w:lang w:val="zh-CN" w:eastAsia="zh-CN" w:bidi="zh-CN"/>
      </w:rPr>
    </w:lvl>
    <w:lvl w:ilvl="6">
      <w:start w:val="0"/>
      <w:numFmt w:val="bullet"/>
      <w:lvlText w:val="•"/>
      <w:lvlJc w:val="left"/>
      <w:pPr>
        <w:ind w:left="6287" w:hanging="819"/>
      </w:pPr>
      <w:rPr>
        <w:rFonts w:hint="default"/>
        <w:lang w:val="zh-CN" w:eastAsia="zh-CN" w:bidi="zh-CN"/>
      </w:rPr>
    </w:lvl>
    <w:lvl w:ilvl="7">
      <w:start w:val="0"/>
      <w:numFmt w:val="bullet"/>
      <w:lvlText w:val="•"/>
      <w:lvlJc w:val="left"/>
      <w:pPr>
        <w:ind w:left="7212" w:hanging="819"/>
      </w:pPr>
      <w:rPr>
        <w:rFonts w:hint="default"/>
        <w:lang w:val="zh-CN" w:eastAsia="zh-CN" w:bidi="zh-CN"/>
      </w:rPr>
    </w:lvl>
    <w:lvl w:ilvl="8">
      <w:start w:val="0"/>
      <w:numFmt w:val="bullet"/>
      <w:lvlText w:val="•"/>
      <w:lvlJc w:val="left"/>
      <w:pPr>
        <w:ind w:left="8136" w:hanging="819"/>
      </w:pPr>
      <w:rPr>
        <w:rFonts w:hint="default"/>
        <w:lang w:val="zh-CN" w:eastAsia="zh-CN" w:bidi="zh-CN"/>
      </w:rPr>
    </w:lvl>
  </w:abstractNum>
  <w:abstractNum w:abstractNumId="64">
    <w:multiLevelType w:val="hybridMultilevel"/>
    <w:lvl w:ilvl="0">
      <w:start w:val="6"/>
      <w:numFmt w:val="decimal"/>
      <w:lvlText w:val="%1"/>
      <w:lvlJc w:val="left"/>
      <w:pPr>
        <w:ind w:left="1383" w:hanging="644"/>
        <w:jc w:val="left"/>
      </w:pPr>
      <w:rPr>
        <w:rFonts w:hint="default"/>
        <w:lang w:val="zh-CN" w:eastAsia="zh-CN" w:bidi="zh-CN"/>
      </w:rPr>
    </w:lvl>
    <w:lvl w:ilvl="1">
      <w:start w:val="1"/>
      <w:numFmt w:val="decimal"/>
      <w:lvlText w:val="%1.%2"/>
      <w:lvlJc w:val="left"/>
      <w:pPr>
        <w:ind w:left="1383" w:hanging="644"/>
        <w:jc w:val="left"/>
      </w:pPr>
      <w:rPr>
        <w:rFonts w:hint="default" w:ascii="宋体" w:hAnsi="宋体" w:eastAsia="宋体" w:cs="宋体"/>
        <w:b/>
        <w:bCs/>
        <w:spacing w:val="0"/>
        <w:w w:val="98"/>
        <w:sz w:val="32"/>
        <w:szCs w:val="32"/>
        <w:lang w:val="zh-CN" w:eastAsia="zh-CN" w:bidi="zh-CN"/>
      </w:rPr>
    </w:lvl>
    <w:lvl w:ilvl="2">
      <w:start w:val="1"/>
      <w:numFmt w:val="decimal"/>
      <w:lvlText w:val="（%3）"/>
      <w:lvlJc w:val="left"/>
      <w:pPr>
        <w:ind w:left="740" w:hanging="819"/>
        <w:jc w:val="left"/>
      </w:pPr>
      <w:rPr>
        <w:rFonts w:hint="default" w:ascii="宋体" w:hAnsi="宋体" w:eastAsia="宋体" w:cs="宋体"/>
        <w:spacing w:val="5"/>
        <w:w w:val="99"/>
        <w:sz w:val="30"/>
        <w:szCs w:val="30"/>
        <w:lang w:val="zh-CN" w:eastAsia="zh-CN" w:bidi="zh-CN"/>
      </w:rPr>
    </w:lvl>
    <w:lvl w:ilvl="3">
      <w:start w:val="0"/>
      <w:numFmt w:val="bullet"/>
      <w:lvlText w:val="•"/>
      <w:lvlJc w:val="left"/>
      <w:pPr>
        <w:ind w:left="3292" w:hanging="819"/>
      </w:pPr>
      <w:rPr>
        <w:rFonts w:hint="default"/>
        <w:lang w:val="zh-CN" w:eastAsia="zh-CN" w:bidi="zh-CN"/>
      </w:rPr>
    </w:lvl>
    <w:lvl w:ilvl="4">
      <w:start w:val="0"/>
      <w:numFmt w:val="bullet"/>
      <w:lvlText w:val="•"/>
      <w:lvlJc w:val="left"/>
      <w:pPr>
        <w:ind w:left="4248" w:hanging="819"/>
      </w:pPr>
      <w:rPr>
        <w:rFonts w:hint="default"/>
        <w:lang w:val="zh-CN" w:eastAsia="zh-CN" w:bidi="zh-CN"/>
      </w:rPr>
    </w:lvl>
    <w:lvl w:ilvl="5">
      <w:start w:val="0"/>
      <w:numFmt w:val="bullet"/>
      <w:lvlText w:val="•"/>
      <w:lvlJc w:val="left"/>
      <w:pPr>
        <w:ind w:left="5204" w:hanging="819"/>
      </w:pPr>
      <w:rPr>
        <w:rFonts w:hint="default"/>
        <w:lang w:val="zh-CN" w:eastAsia="zh-CN" w:bidi="zh-CN"/>
      </w:rPr>
    </w:lvl>
    <w:lvl w:ilvl="6">
      <w:start w:val="0"/>
      <w:numFmt w:val="bullet"/>
      <w:lvlText w:val="•"/>
      <w:lvlJc w:val="left"/>
      <w:pPr>
        <w:ind w:left="6161" w:hanging="819"/>
      </w:pPr>
      <w:rPr>
        <w:rFonts w:hint="default"/>
        <w:lang w:val="zh-CN" w:eastAsia="zh-CN" w:bidi="zh-CN"/>
      </w:rPr>
    </w:lvl>
    <w:lvl w:ilvl="7">
      <w:start w:val="0"/>
      <w:numFmt w:val="bullet"/>
      <w:lvlText w:val="•"/>
      <w:lvlJc w:val="left"/>
      <w:pPr>
        <w:ind w:left="7117" w:hanging="819"/>
      </w:pPr>
      <w:rPr>
        <w:rFonts w:hint="default"/>
        <w:lang w:val="zh-CN" w:eastAsia="zh-CN" w:bidi="zh-CN"/>
      </w:rPr>
    </w:lvl>
    <w:lvl w:ilvl="8">
      <w:start w:val="0"/>
      <w:numFmt w:val="bullet"/>
      <w:lvlText w:val="•"/>
      <w:lvlJc w:val="left"/>
      <w:pPr>
        <w:ind w:left="8073" w:hanging="819"/>
      </w:pPr>
      <w:rPr>
        <w:rFonts w:hint="default"/>
        <w:lang w:val="zh-CN" w:eastAsia="zh-CN" w:bidi="zh-CN"/>
      </w:rPr>
    </w:lvl>
  </w:abstractNum>
  <w:abstractNum w:abstractNumId="63">
    <w:multiLevelType w:val="hybridMultilevel"/>
    <w:lvl w:ilvl="0">
      <w:start w:val="5"/>
      <w:numFmt w:val="decimal"/>
      <w:lvlText w:val="%1"/>
      <w:lvlJc w:val="left"/>
      <w:pPr>
        <w:ind w:left="1383" w:hanging="644"/>
        <w:jc w:val="left"/>
      </w:pPr>
      <w:rPr>
        <w:rFonts w:hint="default"/>
        <w:lang w:val="zh-CN" w:eastAsia="zh-CN" w:bidi="zh-CN"/>
      </w:rPr>
    </w:lvl>
    <w:lvl w:ilvl="1">
      <w:start w:val="1"/>
      <w:numFmt w:val="decimal"/>
      <w:lvlText w:val="%1.%2"/>
      <w:lvlJc w:val="left"/>
      <w:pPr>
        <w:ind w:left="1383" w:hanging="644"/>
        <w:jc w:val="left"/>
      </w:pPr>
      <w:rPr>
        <w:rFonts w:hint="default" w:ascii="宋体" w:hAnsi="宋体" w:eastAsia="宋体" w:cs="宋体"/>
        <w:b/>
        <w:bCs/>
        <w:spacing w:val="0"/>
        <w:w w:val="98"/>
        <w:sz w:val="32"/>
        <w:szCs w:val="32"/>
        <w:lang w:val="zh-CN" w:eastAsia="zh-CN" w:bidi="zh-CN"/>
      </w:rPr>
    </w:lvl>
    <w:lvl w:ilvl="2">
      <w:start w:val="0"/>
      <w:numFmt w:val="bullet"/>
      <w:lvlText w:val="•"/>
      <w:lvlJc w:val="left"/>
      <w:pPr>
        <w:ind w:left="3101" w:hanging="644"/>
      </w:pPr>
      <w:rPr>
        <w:rFonts w:hint="default"/>
        <w:lang w:val="zh-CN" w:eastAsia="zh-CN" w:bidi="zh-CN"/>
      </w:rPr>
    </w:lvl>
    <w:lvl w:ilvl="3">
      <w:start w:val="0"/>
      <w:numFmt w:val="bullet"/>
      <w:lvlText w:val="•"/>
      <w:lvlJc w:val="left"/>
      <w:pPr>
        <w:ind w:left="3961" w:hanging="644"/>
      </w:pPr>
      <w:rPr>
        <w:rFonts w:hint="default"/>
        <w:lang w:val="zh-CN" w:eastAsia="zh-CN" w:bidi="zh-CN"/>
      </w:rPr>
    </w:lvl>
    <w:lvl w:ilvl="4">
      <w:start w:val="0"/>
      <w:numFmt w:val="bullet"/>
      <w:lvlText w:val="•"/>
      <w:lvlJc w:val="left"/>
      <w:pPr>
        <w:ind w:left="4822" w:hanging="644"/>
      </w:pPr>
      <w:rPr>
        <w:rFonts w:hint="default"/>
        <w:lang w:val="zh-CN" w:eastAsia="zh-CN" w:bidi="zh-CN"/>
      </w:rPr>
    </w:lvl>
    <w:lvl w:ilvl="5">
      <w:start w:val="0"/>
      <w:numFmt w:val="bullet"/>
      <w:lvlText w:val="•"/>
      <w:lvlJc w:val="left"/>
      <w:pPr>
        <w:ind w:left="5683" w:hanging="644"/>
      </w:pPr>
      <w:rPr>
        <w:rFonts w:hint="default"/>
        <w:lang w:val="zh-CN" w:eastAsia="zh-CN" w:bidi="zh-CN"/>
      </w:rPr>
    </w:lvl>
    <w:lvl w:ilvl="6">
      <w:start w:val="0"/>
      <w:numFmt w:val="bullet"/>
      <w:lvlText w:val="•"/>
      <w:lvlJc w:val="left"/>
      <w:pPr>
        <w:ind w:left="6543" w:hanging="644"/>
      </w:pPr>
      <w:rPr>
        <w:rFonts w:hint="default"/>
        <w:lang w:val="zh-CN" w:eastAsia="zh-CN" w:bidi="zh-CN"/>
      </w:rPr>
    </w:lvl>
    <w:lvl w:ilvl="7">
      <w:start w:val="0"/>
      <w:numFmt w:val="bullet"/>
      <w:lvlText w:val="•"/>
      <w:lvlJc w:val="left"/>
      <w:pPr>
        <w:ind w:left="7404" w:hanging="644"/>
      </w:pPr>
      <w:rPr>
        <w:rFonts w:hint="default"/>
        <w:lang w:val="zh-CN" w:eastAsia="zh-CN" w:bidi="zh-CN"/>
      </w:rPr>
    </w:lvl>
    <w:lvl w:ilvl="8">
      <w:start w:val="0"/>
      <w:numFmt w:val="bullet"/>
      <w:lvlText w:val="•"/>
      <w:lvlJc w:val="left"/>
      <w:pPr>
        <w:ind w:left="8264" w:hanging="644"/>
      </w:pPr>
      <w:rPr>
        <w:rFonts w:hint="default"/>
        <w:lang w:val="zh-CN" w:eastAsia="zh-CN" w:bidi="zh-CN"/>
      </w:rPr>
    </w:lvl>
  </w:abstractNum>
  <w:abstractNum w:abstractNumId="62">
    <w:multiLevelType w:val="hybridMultilevel"/>
    <w:lvl w:ilvl="0">
      <w:start w:val="1"/>
      <w:numFmt w:val="decimal"/>
      <w:lvlText w:val="%1."/>
      <w:lvlJc w:val="left"/>
      <w:pPr>
        <w:ind w:left="1061" w:hanging="322"/>
        <w:jc w:val="left"/>
      </w:pPr>
      <w:rPr>
        <w:rFonts w:hint="default" w:ascii="宋体" w:hAnsi="宋体" w:eastAsia="宋体" w:cs="宋体"/>
        <w:spacing w:val="-2"/>
        <w:w w:val="99"/>
        <w:sz w:val="30"/>
        <w:szCs w:val="30"/>
        <w:lang w:val="zh-CN" w:eastAsia="zh-CN" w:bidi="zh-CN"/>
      </w:rPr>
    </w:lvl>
    <w:lvl w:ilvl="1">
      <w:start w:val="1"/>
      <w:numFmt w:val="decimal"/>
      <w:lvlText w:val="（%2）"/>
      <w:lvlJc w:val="left"/>
      <w:pPr>
        <w:ind w:left="2180" w:hanging="800"/>
        <w:jc w:val="left"/>
      </w:pPr>
      <w:rPr>
        <w:rFonts w:hint="default" w:ascii="宋体" w:hAnsi="宋体" w:eastAsia="宋体" w:cs="宋体"/>
        <w:spacing w:val="-161"/>
        <w:w w:val="99"/>
        <w:sz w:val="30"/>
        <w:szCs w:val="30"/>
        <w:lang w:val="zh-CN" w:eastAsia="zh-CN" w:bidi="zh-CN"/>
      </w:rPr>
    </w:lvl>
    <w:lvl w:ilvl="2">
      <w:start w:val="0"/>
      <w:numFmt w:val="bullet"/>
      <w:lvlText w:val="•"/>
      <w:lvlJc w:val="left"/>
      <w:pPr>
        <w:ind w:left="3047" w:hanging="800"/>
      </w:pPr>
      <w:rPr>
        <w:rFonts w:hint="default"/>
        <w:lang w:val="zh-CN" w:eastAsia="zh-CN" w:bidi="zh-CN"/>
      </w:rPr>
    </w:lvl>
    <w:lvl w:ilvl="3">
      <w:start w:val="0"/>
      <w:numFmt w:val="bullet"/>
      <w:lvlText w:val="•"/>
      <w:lvlJc w:val="left"/>
      <w:pPr>
        <w:ind w:left="3914" w:hanging="800"/>
      </w:pPr>
      <w:rPr>
        <w:rFonts w:hint="default"/>
        <w:lang w:val="zh-CN" w:eastAsia="zh-CN" w:bidi="zh-CN"/>
      </w:rPr>
    </w:lvl>
    <w:lvl w:ilvl="4">
      <w:start w:val="0"/>
      <w:numFmt w:val="bullet"/>
      <w:lvlText w:val="•"/>
      <w:lvlJc w:val="left"/>
      <w:pPr>
        <w:ind w:left="4782" w:hanging="800"/>
      </w:pPr>
      <w:rPr>
        <w:rFonts w:hint="default"/>
        <w:lang w:val="zh-CN" w:eastAsia="zh-CN" w:bidi="zh-CN"/>
      </w:rPr>
    </w:lvl>
    <w:lvl w:ilvl="5">
      <w:start w:val="0"/>
      <w:numFmt w:val="bullet"/>
      <w:lvlText w:val="•"/>
      <w:lvlJc w:val="left"/>
      <w:pPr>
        <w:ind w:left="5649" w:hanging="800"/>
      </w:pPr>
      <w:rPr>
        <w:rFonts w:hint="default"/>
        <w:lang w:val="zh-CN" w:eastAsia="zh-CN" w:bidi="zh-CN"/>
      </w:rPr>
    </w:lvl>
    <w:lvl w:ilvl="6">
      <w:start w:val="0"/>
      <w:numFmt w:val="bullet"/>
      <w:lvlText w:val="•"/>
      <w:lvlJc w:val="left"/>
      <w:pPr>
        <w:ind w:left="6516" w:hanging="800"/>
      </w:pPr>
      <w:rPr>
        <w:rFonts w:hint="default"/>
        <w:lang w:val="zh-CN" w:eastAsia="zh-CN" w:bidi="zh-CN"/>
      </w:rPr>
    </w:lvl>
    <w:lvl w:ilvl="7">
      <w:start w:val="0"/>
      <w:numFmt w:val="bullet"/>
      <w:lvlText w:val="•"/>
      <w:lvlJc w:val="left"/>
      <w:pPr>
        <w:ind w:left="7384" w:hanging="800"/>
      </w:pPr>
      <w:rPr>
        <w:rFonts w:hint="default"/>
        <w:lang w:val="zh-CN" w:eastAsia="zh-CN" w:bidi="zh-CN"/>
      </w:rPr>
    </w:lvl>
    <w:lvl w:ilvl="8">
      <w:start w:val="0"/>
      <w:numFmt w:val="bullet"/>
      <w:lvlText w:val="•"/>
      <w:lvlJc w:val="left"/>
      <w:pPr>
        <w:ind w:left="8251" w:hanging="800"/>
      </w:pPr>
      <w:rPr>
        <w:rFonts w:hint="default"/>
        <w:lang w:val="zh-CN" w:eastAsia="zh-CN" w:bidi="zh-CN"/>
      </w:rPr>
    </w:lvl>
  </w:abstractNum>
  <w:abstractNum w:abstractNumId="61">
    <w:multiLevelType w:val="hybridMultilevel"/>
    <w:lvl w:ilvl="0">
      <w:start w:val="2"/>
      <w:numFmt w:val="lowerLetter"/>
      <w:lvlText w:val="%1)"/>
      <w:lvlJc w:val="left"/>
      <w:pPr>
        <w:ind w:left="1592" w:hanging="480"/>
        <w:jc w:val="left"/>
      </w:pPr>
      <w:rPr>
        <w:rFonts w:hint="default" w:ascii="宋体" w:hAnsi="宋体" w:eastAsia="宋体" w:cs="宋体"/>
        <w:spacing w:val="0"/>
        <w:w w:val="99"/>
        <w:sz w:val="32"/>
        <w:szCs w:val="32"/>
        <w:lang w:val="zh-CN" w:eastAsia="zh-CN" w:bidi="zh-CN"/>
      </w:rPr>
    </w:lvl>
    <w:lvl w:ilvl="1">
      <w:start w:val="0"/>
      <w:numFmt w:val="bullet"/>
      <w:lvlText w:val="•"/>
      <w:lvlJc w:val="left"/>
      <w:pPr>
        <w:ind w:left="2438" w:hanging="480"/>
      </w:pPr>
      <w:rPr>
        <w:rFonts w:hint="default"/>
        <w:lang w:val="zh-CN" w:eastAsia="zh-CN" w:bidi="zh-CN"/>
      </w:rPr>
    </w:lvl>
    <w:lvl w:ilvl="2">
      <w:start w:val="0"/>
      <w:numFmt w:val="bullet"/>
      <w:lvlText w:val="•"/>
      <w:lvlJc w:val="left"/>
      <w:pPr>
        <w:ind w:left="3277" w:hanging="480"/>
      </w:pPr>
      <w:rPr>
        <w:rFonts w:hint="default"/>
        <w:lang w:val="zh-CN" w:eastAsia="zh-CN" w:bidi="zh-CN"/>
      </w:rPr>
    </w:lvl>
    <w:lvl w:ilvl="3">
      <w:start w:val="0"/>
      <w:numFmt w:val="bullet"/>
      <w:lvlText w:val="•"/>
      <w:lvlJc w:val="left"/>
      <w:pPr>
        <w:ind w:left="4115" w:hanging="480"/>
      </w:pPr>
      <w:rPr>
        <w:rFonts w:hint="default"/>
        <w:lang w:val="zh-CN" w:eastAsia="zh-CN" w:bidi="zh-CN"/>
      </w:rPr>
    </w:lvl>
    <w:lvl w:ilvl="4">
      <w:start w:val="0"/>
      <w:numFmt w:val="bullet"/>
      <w:lvlText w:val="•"/>
      <w:lvlJc w:val="left"/>
      <w:pPr>
        <w:ind w:left="4954" w:hanging="480"/>
      </w:pPr>
      <w:rPr>
        <w:rFonts w:hint="default"/>
        <w:lang w:val="zh-CN" w:eastAsia="zh-CN" w:bidi="zh-CN"/>
      </w:rPr>
    </w:lvl>
    <w:lvl w:ilvl="5">
      <w:start w:val="0"/>
      <w:numFmt w:val="bullet"/>
      <w:lvlText w:val="•"/>
      <w:lvlJc w:val="left"/>
      <w:pPr>
        <w:ind w:left="5793" w:hanging="480"/>
      </w:pPr>
      <w:rPr>
        <w:rFonts w:hint="default"/>
        <w:lang w:val="zh-CN" w:eastAsia="zh-CN" w:bidi="zh-CN"/>
      </w:rPr>
    </w:lvl>
    <w:lvl w:ilvl="6">
      <w:start w:val="0"/>
      <w:numFmt w:val="bullet"/>
      <w:lvlText w:val="•"/>
      <w:lvlJc w:val="left"/>
      <w:pPr>
        <w:ind w:left="6631" w:hanging="480"/>
      </w:pPr>
      <w:rPr>
        <w:rFonts w:hint="default"/>
        <w:lang w:val="zh-CN" w:eastAsia="zh-CN" w:bidi="zh-CN"/>
      </w:rPr>
    </w:lvl>
    <w:lvl w:ilvl="7">
      <w:start w:val="0"/>
      <w:numFmt w:val="bullet"/>
      <w:lvlText w:val="•"/>
      <w:lvlJc w:val="left"/>
      <w:pPr>
        <w:ind w:left="7470" w:hanging="480"/>
      </w:pPr>
      <w:rPr>
        <w:rFonts w:hint="default"/>
        <w:lang w:val="zh-CN" w:eastAsia="zh-CN" w:bidi="zh-CN"/>
      </w:rPr>
    </w:lvl>
    <w:lvl w:ilvl="8">
      <w:start w:val="0"/>
      <w:numFmt w:val="bullet"/>
      <w:lvlText w:val="•"/>
      <w:lvlJc w:val="left"/>
      <w:pPr>
        <w:ind w:left="8308" w:hanging="480"/>
      </w:pPr>
      <w:rPr>
        <w:rFonts w:hint="default"/>
        <w:lang w:val="zh-CN" w:eastAsia="zh-CN" w:bidi="zh-CN"/>
      </w:rPr>
    </w:lvl>
  </w:abstractNum>
  <w:abstractNum w:abstractNumId="60">
    <w:multiLevelType w:val="hybridMultilevel"/>
    <w:lvl w:ilvl="0">
      <w:start w:val="1"/>
      <w:numFmt w:val="lowerLetter"/>
      <w:lvlText w:val="%1)"/>
      <w:lvlJc w:val="left"/>
      <w:pPr>
        <w:ind w:left="1860" w:hanging="480"/>
        <w:jc w:val="left"/>
      </w:pPr>
      <w:rPr>
        <w:rFonts w:hint="default" w:ascii="宋体" w:hAnsi="宋体" w:eastAsia="宋体" w:cs="宋体"/>
        <w:spacing w:val="0"/>
        <w:w w:val="99"/>
        <w:sz w:val="32"/>
        <w:szCs w:val="32"/>
        <w:lang w:val="zh-CN" w:eastAsia="zh-CN" w:bidi="zh-CN"/>
      </w:rPr>
    </w:lvl>
    <w:lvl w:ilvl="1">
      <w:start w:val="0"/>
      <w:numFmt w:val="bullet"/>
      <w:lvlText w:val="•"/>
      <w:lvlJc w:val="left"/>
      <w:pPr>
        <w:ind w:left="2672" w:hanging="480"/>
      </w:pPr>
      <w:rPr>
        <w:rFonts w:hint="default"/>
        <w:lang w:val="zh-CN" w:eastAsia="zh-CN" w:bidi="zh-CN"/>
      </w:rPr>
    </w:lvl>
    <w:lvl w:ilvl="2">
      <w:start w:val="0"/>
      <w:numFmt w:val="bullet"/>
      <w:lvlText w:val="•"/>
      <w:lvlJc w:val="left"/>
      <w:pPr>
        <w:ind w:left="3485" w:hanging="480"/>
      </w:pPr>
      <w:rPr>
        <w:rFonts w:hint="default"/>
        <w:lang w:val="zh-CN" w:eastAsia="zh-CN" w:bidi="zh-CN"/>
      </w:rPr>
    </w:lvl>
    <w:lvl w:ilvl="3">
      <w:start w:val="0"/>
      <w:numFmt w:val="bullet"/>
      <w:lvlText w:val="•"/>
      <w:lvlJc w:val="left"/>
      <w:pPr>
        <w:ind w:left="4297" w:hanging="480"/>
      </w:pPr>
      <w:rPr>
        <w:rFonts w:hint="default"/>
        <w:lang w:val="zh-CN" w:eastAsia="zh-CN" w:bidi="zh-CN"/>
      </w:rPr>
    </w:lvl>
    <w:lvl w:ilvl="4">
      <w:start w:val="0"/>
      <w:numFmt w:val="bullet"/>
      <w:lvlText w:val="•"/>
      <w:lvlJc w:val="left"/>
      <w:pPr>
        <w:ind w:left="5110" w:hanging="480"/>
      </w:pPr>
      <w:rPr>
        <w:rFonts w:hint="default"/>
        <w:lang w:val="zh-CN" w:eastAsia="zh-CN" w:bidi="zh-CN"/>
      </w:rPr>
    </w:lvl>
    <w:lvl w:ilvl="5">
      <w:start w:val="0"/>
      <w:numFmt w:val="bullet"/>
      <w:lvlText w:val="•"/>
      <w:lvlJc w:val="left"/>
      <w:pPr>
        <w:ind w:left="5923" w:hanging="480"/>
      </w:pPr>
      <w:rPr>
        <w:rFonts w:hint="default"/>
        <w:lang w:val="zh-CN" w:eastAsia="zh-CN" w:bidi="zh-CN"/>
      </w:rPr>
    </w:lvl>
    <w:lvl w:ilvl="6">
      <w:start w:val="0"/>
      <w:numFmt w:val="bullet"/>
      <w:lvlText w:val="•"/>
      <w:lvlJc w:val="left"/>
      <w:pPr>
        <w:ind w:left="6735" w:hanging="480"/>
      </w:pPr>
      <w:rPr>
        <w:rFonts w:hint="default"/>
        <w:lang w:val="zh-CN" w:eastAsia="zh-CN" w:bidi="zh-CN"/>
      </w:rPr>
    </w:lvl>
    <w:lvl w:ilvl="7">
      <w:start w:val="0"/>
      <w:numFmt w:val="bullet"/>
      <w:lvlText w:val="•"/>
      <w:lvlJc w:val="left"/>
      <w:pPr>
        <w:ind w:left="7548" w:hanging="480"/>
      </w:pPr>
      <w:rPr>
        <w:rFonts w:hint="default"/>
        <w:lang w:val="zh-CN" w:eastAsia="zh-CN" w:bidi="zh-CN"/>
      </w:rPr>
    </w:lvl>
    <w:lvl w:ilvl="8">
      <w:start w:val="0"/>
      <w:numFmt w:val="bullet"/>
      <w:lvlText w:val="•"/>
      <w:lvlJc w:val="left"/>
      <w:pPr>
        <w:ind w:left="8360" w:hanging="480"/>
      </w:pPr>
      <w:rPr>
        <w:rFonts w:hint="default"/>
        <w:lang w:val="zh-CN" w:eastAsia="zh-CN" w:bidi="zh-CN"/>
      </w:rPr>
    </w:lvl>
  </w:abstractNum>
  <w:abstractNum w:abstractNumId="59">
    <w:multiLevelType w:val="hybridMultilevel"/>
    <w:lvl w:ilvl="0">
      <w:start w:val="1"/>
      <w:numFmt w:val="lowerLetter"/>
      <w:lvlText w:val="%1）"/>
      <w:lvlJc w:val="left"/>
      <w:pPr>
        <w:ind w:left="1800" w:hanging="641"/>
        <w:jc w:val="left"/>
      </w:pPr>
      <w:rPr>
        <w:rFonts w:hint="default" w:ascii="宋体" w:hAnsi="宋体" w:eastAsia="宋体" w:cs="宋体"/>
        <w:spacing w:val="0"/>
        <w:w w:val="99"/>
        <w:sz w:val="32"/>
        <w:szCs w:val="32"/>
        <w:lang w:val="zh-CN" w:eastAsia="zh-CN" w:bidi="zh-CN"/>
      </w:rPr>
    </w:lvl>
    <w:lvl w:ilvl="1">
      <w:start w:val="0"/>
      <w:numFmt w:val="bullet"/>
      <w:lvlText w:val="•"/>
      <w:lvlJc w:val="left"/>
      <w:pPr>
        <w:ind w:left="2618" w:hanging="641"/>
      </w:pPr>
      <w:rPr>
        <w:rFonts w:hint="default"/>
        <w:lang w:val="zh-CN" w:eastAsia="zh-CN" w:bidi="zh-CN"/>
      </w:rPr>
    </w:lvl>
    <w:lvl w:ilvl="2">
      <w:start w:val="0"/>
      <w:numFmt w:val="bullet"/>
      <w:lvlText w:val="•"/>
      <w:lvlJc w:val="left"/>
      <w:pPr>
        <w:ind w:left="3437" w:hanging="641"/>
      </w:pPr>
      <w:rPr>
        <w:rFonts w:hint="default"/>
        <w:lang w:val="zh-CN" w:eastAsia="zh-CN" w:bidi="zh-CN"/>
      </w:rPr>
    </w:lvl>
    <w:lvl w:ilvl="3">
      <w:start w:val="0"/>
      <w:numFmt w:val="bullet"/>
      <w:lvlText w:val="•"/>
      <w:lvlJc w:val="left"/>
      <w:pPr>
        <w:ind w:left="4255" w:hanging="641"/>
      </w:pPr>
      <w:rPr>
        <w:rFonts w:hint="default"/>
        <w:lang w:val="zh-CN" w:eastAsia="zh-CN" w:bidi="zh-CN"/>
      </w:rPr>
    </w:lvl>
    <w:lvl w:ilvl="4">
      <w:start w:val="0"/>
      <w:numFmt w:val="bullet"/>
      <w:lvlText w:val="•"/>
      <w:lvlJc w:val="left"/>
      <w:pPr>
        <w:ind w:left="5074" w:hanging="641"/>
      </w:pPr>
      <w:rPr>
        <w:rFonts w:hint="default"/>
        <w:lang w:val="zh-CN" w:eastAsia="zh-CN" w:bidi="zh-CN"/>
      </w:rPr>
    </w:lvl>
    <w:lvl w:ilvl="5">
      <w:start w:val="0"/>
      <w:numFmt w:val="bullet"/>
      <w:lvlText w:val="•"/>
      <w:lvlJc w:val="left"/>
      <w:pPr>
        <w:ind w:left="5893" w:hanging="641"/>
      </w:pPr>
      <w:rPr>
        <w:rFonts w:hint="default"/>
        <w:lang w:val="zh-CN" w:eastAsia="zh-CN" w:bidi="zh-CN"/>
      </w:rPr>
    </w:lvl>
    <w:lvl w:ilvl="6">
      <w:start w:val="0"/>
      <w:numFmt w:val="bullet"/>
      <w:lvlText w:val="•"/>
      <w:lvlJc w:val="left"/>
      <w:pPr>
        <w:ind w:left="6711" w:hanging="641"/>
      </w:pPr>
      <w:rPr>
        <w:rFonts w:hint="default"/>
        <w:lang w:val="zh-CN" w:eastAsia="zh-CN" w:bidi="zh-CN"/>
      </w:rPr>
    </w:lvl>
    <w:lvl w:ilvl="7">
      <w:start w:val="0"/>
      <w:numFmt w:val="bullet"/>
      <w:lvlText w:val="•"/>
      <w:lvlJc w:val="left"/>
      <w:pPr>
        <w:ind w:left="7530" w:hanging="641"/>
      </w:pPr>
      <w:rPr>
        <w:rFonts w:hint="default"/>
        <w:lang w:val="zh-CN" w:eastAsia="zh-CN" w:bidi="zh-CN"/>
      </w:rPr>
    </w:lvl>
    <w:lvl w:ilvl="8">
      <w:start w:val="0"/>
      <w:numFmt w:val="bullet"/>
      <w:lvlText w:val="•"/>
      <w:lvlJc w:val="left"/>
      <w:pPr>
        <w:ind w:left="8348" w:hanging="641"/>
      </w:pPr>
      <w:rPr>
        <w:rFonts w:hint="default"/>
        <w:lang w:val="zh-CN" w:eastAsia="zh-CN" w:bidi="zh-CN"/>
      </w:rPr>
    </w:lvl>
  </w:abstractNum>
  <w:abstractNum w:abstractNumId="58">
    <w:multiLevelType w:val="hybridMultilevel"/>
    <w:lvl w:ilvl="0">
      <w:start w:val="1"/>
      <w:numFmt w:val="lowerLetter"/>
      <w:lvlText w:val="%1）"/>
      <w:lvlJc w:val="left"/>
      <w:pPr>
        <w:ind w:left="1800" w:hanging="584"/>
        <w:jc w:val="left"/>
      </w:pPr>
      <w:rPr>
        <w:rFonts w:hint="default" w:ascii="宋体" w:hAnsi="宋体" w:eastAsia="宋体" w:cs="宋体"/>
        <w:spacing w:val="0"/>
        <w:w w:val="99"/>
        <w:sz w:val="32"/>
        <w:szCs w:val="32"/>
        <w:lang w:val="zh-CN" w:eastAsia="zh-CN" w:bidi="zh-CN"/>
      </w:rPr>
    </w:lvl>
    <w:lvl w:ilvl="1">
      <w:start w:val="0"/>
      <w:numFmt w:val="bullet"/>
      <w:lvlText w:val="•"/>
      <w:lvlJc w:val="left"/>
      <w:pPr>
        <w:ind w:left="2618" w:hanging="584"/>
      </w:pPr>
      <w:rPr>
        <w:rFonts w:hint="default"/>
        <w:lang w:val="zh-CN" w:eastAsia="zh-CN" w:bidi="zh-CN"/>
      </w:rPr>
    </w:lvl>
    <w:lvl w:ilvl="2">
      <w:start w:val="0"/>
      <w:numFmt w:val="bullet"/>
      <w:lvlText w:val="•"/>
      <w:lvlJc w:val="left"/>
      <w:pPr>
        <w:ind w:left="3437" w:hanging="584"/>
      </w:pPr>
      <w:rPr>
        <w:rFonts w:hint="default"/>
        <w:lang w:val="zh-CN" w:eastAsia="zh-CN" w:bidi="zh-CN"/>
      </w:rPr>
    </w:lvl>
    <w:lvl w:ilvl="3">
      <w:start w:val="0"/>
      <w:numFmt w:val="bullet"/>
      <w:lvlText w:val="•"/>
      <w:lvlJc w:val="left"/>
      <w:pPr>
        <w:ind w:left="4255" w:hanging="584"/>
      </w:pPr>
      <w:rPr>
        <w:rFonts w:hint="default"/>
        <w:lang w:val="zh-CN" w:eastAsia="zh-CN" w:bidi="zh-CN"/>
      </w:rPr>
    </w:lvl>
    <w:lvl w:ilvl="4">
      <w:start w:val="0"/>
      <w:numFmt w:val="bullet"/>
      <w:lvlText w:val="•"/>
      <w:lvlJc w:val="left"/>
      <w:pPr>
        <w:ind w:left="5074" w:hanging="584"/>
      </w:pPr>
      <w:rPr>
        <w:rFonts w:hint="default"/>
        <w:lang w:val="zh-CN" w:eastAsia="zh-CN" w:bidi="zh-CN"/>
      </w:rPr>
    </w:lvl>
    <w:lvl w:ilvl="5">
      <w:start w:val="0"/>
      <w:numFmt w:val="bullet"/>
      <w:lvlText w:val="•"/>
      <w:lvlJc w:val="left"/>
      <w:pPr>
        <w:ind w:left="5893" w:hanging="584"/>
      </w:pPr>
      <w:rPr>
        <w:rFonts w:hint="default"/>
        <w:lang w:val="zh-CN" w:eastAsia="zh-CN" w:bidi="zh-CN"/>
      </w:rPr>
    </w:lvl>
    <w:lvl w:ilvl="6">
      <w:start w:val="0"/>
      <w:numFmt w:val="bullet"/>
      <w:lvlText w:val="•"/>
      <w:lvlJc w:val="left"/>
      <w:pPr>
        <w:ind w:left="6711" w:hanging="584"/>
      </w:pPr>
      <w:rPr>
        <w:rFonts w:hint="default"/>
        <w:lang w:val="zh-CN" w:eastAsia="zh-CN" w:bidi="zh-CN"/>
      </w:rPr>
    </w:lvl>
    <w:lvl w:ilvl="7">
      <w:start w:val="0"/>
      <w:numFmt w:val="bullet"/>
      <w:lvlText w:val="•"/>
      <w:lvlJc w:val="left"/>
      <w:pPr>
        <w:ind w:left="7530" w:hanging="584"/>
      </w:pPr>
      <w:rPr>
        <w:rFonts w:hint="default"/>
        <w:lang w:val="zh-CN" w:eastAsia="zh-CN" w:bidi="zh-CN"/>
      </w:rPr>
    </w:lvl>
    <w:lvl w:ilvl="8">
      <w:start w:val="0"/>
      <w:numFmt w:val="bullet"/>
      <w:lvlText w:val="•"/>
      <w:lvlJc w:val="left"/>
      <w:pPr>
        <w:ind w:left="8348" w:hanging="584"/>
      </w:pPr>
      <w:rPr>
        <w:rFonts w:hint="default"/>
        <w:lang w:val="zh-CN" w:eastAsia="zh-CN" w:bidi="zh-CN"/>
      </w:rPr>
    </w:lvl>
  </w:abstractNum>
  <w:abstractNum w:abstractNumId="57">
    <w:multiLevelType w:val="hybridMultilevel"/>
    <w:lvl w:ilvl="0">
      <w:start w:val="1"/>
      <w:numFmt w:val="lowerLetter"/>
      <w:lvlText w:val="%1）"/>
      <w:lvlJc w:val="left"/>
      <w:pPr>
        <w:ind w:left="1800" w:hanging="641"/>
        <w:jc w:val="left"/>
      </w:pPr>
      <w:rPr>
        <w:rFonts w:hint="default" w:ascii="宋体" w:hAnsi="宋体" w:eastAsia="宋体" w:cs="宋体"/>
        <w:spacing w:val="0"/>
        <w:w w:val="99"/>
        <w:sz w:val="32"/>
        <w:szCs w:val="32"/>
        <w:lang w:val="zh-CN" w:eastAsia="zh-CN" w:bidi="zh-CN"/>
      </w:rPr>
    </w:lvl>
    <w:lvl w:ilvl="1">
      <w:start w:val="0"/>
      <w:numFmt w:val="bullet"/>
      <w:lvlText w:val="•"/>
      <w:lvlJc w:val="left"/>
      <w:pPr>
        <w:ind w:left="2618" w:hanging="641"/>
      </w:pPr>
      <w:rPr>
        <w:rFonts w:hint="default"/>
        <w:lang w:val="zh-CN" w:eastAsia="zh-CN" w:bidi="zh-CN"/>
      </w:rPr>
    </w:lvl>
    <w:lvl w:ilvl="2">
      <w:start w:val="0"/>
      <w:numFmt w:val="bullet"/>
      <w:lvlText w:val="•"/>
      <w:lvlJc w:val="left"/>
      <w:pPr>
        <w:ind w:left="3437" w:hanging="641"/>
      </w:pPr>
      <w:rPr>
        <w:rFonts w:hint="default"/>
        <w:lang w:val="zh-CN" w:eastAsia="zh-CN" w:bidi="zh-CN"/>
      </w:rPr>
    </w:lvl>
    <w:lvl w:ilvl="3">
      <w:start w:val="0"/>
      <w:numFmt w:val="bullet"/>
      <w:lvlText w:val="•"/>
      <w:lvlJc w:val="left"/>
      <w:pPr>
        <w:ind w:left="4255" w:hanging="641"/>
      </w:pPr>
      <w:rPr>
        <w:rFonts w:hint="default"/>
        <w:lang w:val="zh-CN" w:eastAsia="zh-CN" w:bidi="zh-CN"/>
      </w:rPr>
    </w:lvl>
    <w:lvl w:ilvl="4">
      <w:start w:val="0"/>
      <w:numFmt w:val="bullet"/>
      <w:lvlText w:val="•"/>
      <w:lvlJc w:val="left"/>
      <w:pPr>
        <w:ind w:left="5074" w:hanging="641"/>
      </w:pPr>
      <w:rPr>
        <w:rFonts w:hint="default"/>
        <w:lang w:val="zh-CN" w:eastAsia="zh-CN" w:bidi="zh-CN"/>
      </w:rPr>
    </w:lvl>
    <w:lvl w:ilvl="5">
      <w:start w:val="0"/>
      <w:numFmt w:val="bullet"/>
      <w:lvlText w:val="•"/>
      <w:lvlJc w:val="left"/>
      <w:pPr>
        <w:ind w:left="5893" w:hanging="641"/>
      </w:pPr>
      <w:rPr>
        <w:rFonts w:hint="default"/>
        <w:lang w:val="zh-CN" w:eastAsia="zh-CN" w:bidi="zh-CN"/>
      </w:rPr>
    </w:lvl>
    <w:lvl w:ilvl="6">
      <w:start w:val="0"/>
      <w:numFmt w:val="bullet"/>
      <w:lvlText w:val="•"/>
      <w:lvlJc w:val="left"/>
      <w:pPr>
        <w:ind w:left="6711" w:hanging="641"/>
      </w:pPr>
      <w:rPr>
        <w:rFonts w:hint="default"/>
        <w:lang w:val="zh-CN" w:eastAsia="zh-CN" w:bidi="zh-CN"/>
      </w:rPr>
    </w:lvl>
    <w:lvl w:ilvl="7">
      <w:start w:val="0"/>
      <w:numFmt w:val="bullet"/>
      <w:lvlText w:val="•"/>
      <w:lvlJc w:val="left"/>
      <w:pPr>
        <w:ind w:left="7530" w:hanging="641"/>
      </w:pPr>
      <w:rPr>
        <w:rFonts w:hint="default"/>
        <w:lang w:val="zh-CN" w:eastAsia="zh-CN" w:bidi="zh-CN"/>
      </w:rPr>
    </w:lvl>
    <w:lvl w:ilvl="8">
      <w:start w:val="0"/>
      <w:numFmt w:val="bullet"/>
      <w:lvlText w:val="•"/>
      <w:lvlJc w:val="left"/>
      <w:pPr>
        <w:ind w:left="8348" w:hanging="641"/>
      </w:pPr>
      <w:rPr>
        <w:rFonts w:hint="default"/>
        <w:lang w:val="zh-CN" w:eastAsia="zh-CN" w:bidi="zh-CN"/>
      </w:rPr>
    </w:lvl>
  </w:abstractNum>
  <w:abstractNum w:abstractNumId="56">
    <w:multiLevelType w:val="hybridMultilevel"/>
    <w:lvl w:ilvl="0">
      <w:start w:val="1"/>
      <w:numFmt w:val="lowerLetter"/>
      <w:lvlText w:val="%1）"/>
      <w:lvlJc w:val="left"/>
      <w:pPr>
        <w:ind w:left="1800" w:hanging="641"/>
        <w:jc w:val="left"/>
      </w:pPr>
      <w:rPr>
        <w:rFonts w:hint="default" w:ascii="宋体" w:hAnsi="宋体" w:eastAsia="宋体" w:cs="宋体"/>
        <w:spacing w:val="0"/>
        <w:w w:val="99"/>
        <w:sz w:val="32"/>
        <w:szCs w:val="32"/>
        <w:lang w:val="zh-CN" w:eastAsia="zh-CN" w:bidi="zh-CN"/>
      </w:rPr>
    </w:lvl>
    <w:lvl w:ilvl="1">
      <w:start w:val="0"/>
      <w:numFmt w:val="bullet"/>
      <w:lvlText w:val="•"/>
      <w:lvlJc w:val="left"/>
      <w:pPr>
        <w:ind w:left="2618" w:hanging="641"/>
      </w:pPr>
      <w:rPr>
        <w:rFonts w:hint="default"/>
        <w:lang w:val="zh-CN" w:eastAsia="zh-CN" w:bidi="zh-CN"/>
      </w:rPr>
    </w:lvl>
    <w:lvl w:ilvl="2">
      <w:start w:val="0"/>
      <w:numFmt w:val="bullet"/>
      <w:lvlText w:val="•"/>
      <w:lvlJc w:val="left"/>
      <w:pPr>
        <w:ind w:left="3437" w:hanging="641"/>
      </w:pPr>
      <w:rPr>
        <w:rFonts w:hint="default"/>
        <w:lang w:val="zh-CN" w:eastAsia="zh-CN" w:bidi="zh-CN"/>
      </w:rPr>
    </w:lvl>
    <w:lvl w:ilvl="3">
      <w:start w:val="0"/>
      <w:numFmt w:val="bullet"/>
      <w:lvlText w:val="•"/>
      <w:lvlJc w:val="left"/>
      <w:pPr>
        <w:ind w:left="4255" w:hanging="641"/>
      </w:pPr>
      <w:rPr>
        <w:rFonts w:hint="default"/>
        <w:lang w:val="zh-CN" w:eastAsia="zh-CN" w:bidi="zh-CN"/>
      </w:rPr>
    </w:lvl>
    <w:lvl w:ilvl="4">
      <w:start w:val="0"/>
      <w:numFmt w:val="bullet"/>
      <w:lvlText w:val="•"/>
      <w:lvlJc w:val="left"/>
      <w:pPr>
        <w:ind w:left="5074" w:hanging="641"/>
      </w:pPr>
      <w:rPr>
        <w:rFonts w:hint="default"/>
        <w:lang w:val="zh-CN" w:eastAsia="zh-CN" w:bidi="zh-CN"/>
      </w:rPr>
    </w:lvl>
    <w:lvl w:ilvl="5">
      <w:start w:val="0"/>
      <w:numFmt w:val="bullet"/>
      <w:lvlText w:val="•"/>
      <w:lvlJc w:val="left"/>
      <w:pPr>
        <w:ind w:left="5893" w:hanging="641"/>
      </w:pPr>
      <w:rPr>
        <w:rFonts w:hint="default"/>
        <w:lang w:val="zh-CN" w:eastAsia="zh-CN" w:bidi="zh-CN"/>
      </w:rPr>
    </w:lvl>
    <w:lvl w:ilvl="6">
      <w:start w:val="0"/>
      <w:numFmt w:val="bullet"/>
      <w:lvlText w:val="•"/>
      <w:lvlJc w:val="left"/>
      <w:pPr>
        <w:ind w:left="6711" w:hanging="641"/>
      </w:pPr>
      <w:rPr>
        <w:rFonts w:hint="default"/>
        <w:lang w:val="zh-CN" w:eastAsia="zh-CN" w:bidi="zh-CN"/>
      </w:rPr>
    </w:lvl>
    <w:lvl w:ilvl="7">
      <w:start w:val="0"/>
      <w:numFmt w:val="bullet"/>
      <w:lvlText w:val="•"/>
      <w:lvlJc w:val="left"/>
      <w:pPr>
        <w:ind w:left="7530" w:hanging="641"/>
      </w:pPr>
      <w:rPr>
        <w:rFonts w:hint="default"/>
        <w:lang w:val="zh-CN" w:eastAsia="zh-CN" w:bidi="zh-CN"/>
      </w:rPr>
    </w:lvl>
    <w:lvl w:ilvl="8">
      <w:start w:val="0"/>
      <w:numFmt w:val="bullet"/>
      <w:lvlText w:val="•"/>
      <w:lvlJc w:val="left"/>
      <w:pPr>
        <w:ind w:left="8348" w:hanging="641"/>
      </w:pPr>
      <w:rPr>
        <w:rFonts w:hint="default"/>
        <w:lang w:val="zh-CN" w:eastAsia="zh-CN" w:bidi="zh-CN"/>
      </w:rPr>
    </w:lvl>
  </w:abstractNum>
  <w:abstractNum w:abstractNumId="55">
    <w:multiLevelType w:val="hybridMultilevel"/>
    <w:lvl w:ilvl="0">
      <w:start w:val="1"/>
      <w:numFmt w:val="lowerLetter"/>
      <w:lvlText w:val="%1）"/>
      <w:lvlJc w:val="left"/>
      <w:pPr>
        <w:ind w:left="1800" w:hanging="641"/>
        <w:jc w:val="left"/>
      </w:pPr>
      <w:rPr>
        <w:rFonts w:hint="default" w:ascii="宋体" w:hAnsi="宋体" w:eastAsia="宋体" w:cs="宋体"/>
        <w:spacing w:val="0"/>
        <w:w w:val="99"/>
        <w:sz w:val="32"/>
        <w:szCs w:val="32"/>
        <w:lang w:val="zh-CN" w:eastAsia="zh-CN" w:bidi="zh-CN"/>
      </w:rPr>
    </w:lvl>
    <w:lvl w:ilvl="1">
      <w:start w:val="0"/>
      <w:numFmt w:val="bullet"/>
      <w:lvlText w:val="•"/>
      <w:lvlJc w:val="left"/>
      <w:pPr>
        <w:ind w:left="2618" w:hanging="641"/>
      </w:pPr>
      <w:rPr>
        <w:rFonts w:hint="default"/>
        <w:lang w:val="zh-CN" w:eastAsia="zh-CN" w:bidi="zh-CN"/>
      </w:rPr>
    </w:lvl>
    <w:lvl w:ilvl="2">
      <w:start w:val="0"/>
      <w:numFmt w:val="bullet"/>
      <w:lvlText w:val="•"/>
      <w:lvlJc w:val="left"/>
      <w:pPr>
        <w:ind w:left="3437" w:hanging="641"/>
      </w:pPr>
      <w:rPr>
        <w:rFonts w:hint="default"/>
        <w:lang w:val="zh-CN" w:eastAsia="zh-CN" w:bidi="zh-CN"/>
      </w:rPr>
    </w:lvl>
    <w:lvl w:ilvl="3">
      <w:start w:val="0"/>
      <w:numFmt w:val="bullet"/>
      <w:lvlText w:val="•"/>
      <w:lvlJc w:val="left"/>
      <w:pPr>
        <w:ind w:left="4255" w:hanging="641"/>
      </w:pPr>
      <w:rPr>
        <w:rFonts w:hint="default"/>
        <w:lang w:val="zh-CN" w:eastAsia="zh-CN" w:bidi="zh-CN"/>
      </w:rPr>
    </w:lvl>
    <w:lvl w:ilvl="4">
      <w:start w:val="0"/>
      <w:numFmt w:val="bullet"/>
      <w:lvlText w:val="•"/>
      <w:lvlJc w:val="left"/>
      <w:pPr>
        <w:ind w:left="5074" w:hanging="641"/>
      </w:pPr>
      <w:rPr>
        <w:rFonts w:hint="default"/>
        <w:lang w:val="zh-CN" w:eastAsia="zh-CN" w:bidi="zh-CN"/>
      </w:rPr>
    </w:lvl>
    <w:lvl w:ilvl="5">
      <w:start w:val="0"/>
      <w:numFmt w:val="bullet"/>
      <w:lvlText w:val="•"/>
      <w:lvlJc w:val="left"/>
      <w:pPr>
        <w:ind w:left="5893" w:hanging="641"/>
      </w:pPr>
      <w:rPr>
        <w:rFonts w:hint="default"/>
        <w:lang w:val="zh-CN" w:eastAsia="zh-CN" w:bidi="zh-CN"/>
      </w:rPr>
    </w:lvl>
    <w:lvl w:ilvl="6">
      <w:start w:val="0"/>
      <w:numFmt w:val="bullet"/>
      <w:lvlText w:val="•"/>
      <w:lvlJc w:val="left"/>
      <w:pPr>
        <w:ind w:left="6711" w:hanging="641"/>
      </w:pPr>
      <w:rPr>
        <w:rFonts w:hint="default"/>
        <w:lang w:val="zh-CN" w:eastAsia="zh-CN" w:bidi="zh-CN"/>
      </w:rPr>
    </w:lvl>
    <w:lvl w:ilvl="7">
      <w:start w:val="0"/>
      <w:numFmt w:val="bullet"/>
      <w:lvlText w:val="•"/>
      <w:lvlJc w:val="left"/>
      <w:pPr>
        <w:ind w:left="7530" w:hanging="641"/>
      </w:pPr>
      <w:rPr>
        <w:rFonts w:hint="default"/>
        <w:lang w:val="zh-CN" w:eastAsia="zh-CN" w:bidi="zh-CN"/>
      </w:rPr>
    </w:lvl>
    <w:lvl w:ilvl="8">
      <w:start w:val="0"/>
      <w:numFmt w:val="bullet"/>
      <w:lvlText w:val="•"/>
      <w:lvlJc w:val="left"/>
      <w:pPr>
        <w:ind w:left="8348" w:hanging="641"/>
      </w:pPr>
      <w:rPr>
        <w:rFonts w:hint="default"/>
        <w:lang w:val="zh-CN" w:eastAsia="zh-CN" w:bidi="zh-CN"/>
      </w:rPr>
    </w:lvl>
  </w:abstractNum>
  <w:abstractNum w:abstractNumId="54">
    <w:multiLevelType w:val="hybridMultilevel"/>
    <w:lvl w:ilvl="0">
      <w:start w:val="1"/>
      <w:numFmt w:val="lowerLetter"/>
      <w:lvlText w:val="%1）"/>
      <w:lvlJc w:val="left"/>
      <w:pPr>
        <w:ind w:left="1800" w:hanging="641"/>
        <w:jc w:val="left"/>
      </w:pPr>
      <w:rPr>
        <w:rFonts w:hint="default" w:ascii="宋体" w:hAnsi="宋体" w:eastAsia="宋体" w:cs="宋体"/>
        <w:spacing w:val="0"/>
        <w:w w:val="99"/>
        <w:sz w:val="32"/>
        <w:szCs w:val="32"/>
        <w:lang w:val="zh-CN" w:eastAsia="zh-CN" w:bidi="zh-CN"/>
      </w:rPr>
    </w:lvl>
    <w:lvl w:ilvl="1">
      <w:start w:val="0"/>
      <w:numFmt w:val="bullet"/>
      <w:lvlText w:val="•"/>
      <w:lvlJc w:val="left"/>
      <w:pPr>
        <w:ind w:left="2618" w:hanging="641"/>
      </w:pPr>
      <w:rPr>
        <w:rFonts w:hint="default"/>
        <w:lang w:val="zh-CN" w:eastAsia="zh-CN" w:bidi="zh-CN"/>
      </w:rPr>
    </w:lvl>
    <w:lvl w:ilvl="2">
      <w:start w:val="0"/>
      <w:numFmt w:val="bullet"/>
      <w:lvlText w:val="•"/>
      <w:lvlJc w:val="left"/>
      <w:pPr>
        <w:ind w:left="3437" w:hanging="641"/>
      </w:pPr>
      <w:rPr>
        <w:rFonts w:hint="default"/>
        <w:lang w:val="zh-CN" w:eastAsia="zh-CN" w:bidi="zh-CN"/>
      </w:rPr>
    </w:lvl>
    <w:lvl w:ilvl="3">
      <w:start w:val="0"/>
      <w:numFmt w:val="bullet"/>
      <w:lvlText w:val="•"/>
      <w:lvlJc w:val="left"/>
      <w:pPr>
        <w:ind w:left="4255" w:hanging="641"/>
      </w:pPr>
      <w:rPr>
        <w:rFonts w:hint="default"/>
        <w:lang w:val="zh-CN" w:eastAsia="zh-CN" w:bidi="zh-CN"/>
      </w:rPr>
    </w:lvl>
    <w:lvl w:ilvl="4">
      <w:start w:val="0"/>
      <w:numFmt w:val="bullet"/>
      <w:lvlText w:val="•"/>
      <w:lvlJc w:val="left"/>
      <w:pPr>
        <w:ind w:left="5074" w:hanging="641"/>
      </w:pPr>
      <w:rPr>
        <w:rFonts w:hint="default"/>
        <w:lang w:val="zh-CN" w:eastAsia="zh-CN" w:bidi="zh-CN"/>
      </w:rPr>
    </w:lvl>
    <w:lvl w:ilvl="5">
      <w:start w:val="0"/>
      <w:numFmt w:val="bullet"/>
      <w:lvlText w:val="•"/>
      <w:lvlJc w:val="left"/>
      <w:pPr>
        <w:ind w:left="5893" w:hanging="641"/>
      </w:pPr>
      <w:rPr>
        <w:rFonts w:hint="default"/>
        <w:lang w:val="zh-CN" w:eastAsia="zh-CN" w:bidi="zh-CN"/>
      </w:rPr>
    </w:lvl>
    <w:lvl w:ilvl="6">
      <w:start w:val="0"/>
      <w:numFmt w:val="bullet"/>
      <w:lvlText w:val="•"/>
      <w:lvlJc w:val="left"/>
      <w:pPr>
        <w:ind w:left="6711" w:hanging="641"/>
      </w:pPr>
      <w:rPr>
        <w:rFonts w:hint="default"/>
        <w:lang w:val="zh-CN" w:eastAsia="zh-CN" w:bidi="zh-CN"/>
      </w:rPr>
    </w:lvl>
    <w:lvl w:ilvl="7">
      <w:start w:val="0"/>
      <w:numFmt w:val="bullet"/>
      <w:lvlText w:val="•"/>
      <w:lvlJc w:val="left"/>
      <w:pPr>
        <w:ind w:left="7530" w:hanging="641"/>
      </w:pPr>
      <w:rPr>
        <w:rFonts w:hint="default"/>
        <w:lang w:val="zh-CN" w:eastAsia="zh-CN" w:bidi="zh-CN"/>
      </w:rPr>
    </w:lvl>
    <w:lvl w:ilvl="8">
      <w:start w:val="0"/>
      <w:numFmt w:val="bullet"/>
      <w:lvlText w:val="•"/>
      <w:lvlJc w:val="left"/>
      <w:pPr>
        <w:ind w:left="8348" w:hanging="641"/>
      </w:pPr>
      <w:rPr>
        <w:rFonts w:hint="default"/>
        <w:lang w:val="zh-CN" w:eastAsia="zh-CN" w:bidi="zh-CN"/>
      </w:rPr>
    </w:lvl>
  </w:abstractNum>
  <w:abstractNum w:abstractNumId="53">
    <w:multiLevelType w:val="hybridMultilevel"/>
    <w:lvl w:ilvl="0">
      <w:start w:val="2"/>
      <w:numFmt w:val="lowerLetter"/>
      <w:lvlText w:val="%1）"/>
      <w:lvlJc w:val="left"/>
      <w:pPr>
        <w:ind w:left="1640" w:hanging="481"/>
        <w:jc w:val="left"/>
      </w:pPr>
      <w:rPr>
        <w:rFonts w:hint="default" w:ascii="宋体" w:hAnsi="宋体" w:eastAsia="宋体" w:cs="宋体"/>
        <w:spacing w:val="0"/>
        <w:w w:val="99"/>
        <w:sz w:val="30"/>
        <w:szCs w:val="30"/>
        <w:lang w:val="zh-CN" w:eastAsia="zh-CN" w:bidi="zh-CN"/>
      </w:rPr>
    </w:lvl>
    <w:lvl w:ilvl="1">
      <w:start w:val="0"/>
      <w:numFmt w:val="bullet"/>
      <w:lvlText w:val="•"/>
      <w:lvlJc w:val="left"/>
      <w:pPr>
        <w:ind w:left="2474" w:hanging="481"/>
      </w:pPr>
      <w:rPr>
        <w:rFonts w:hint="default"/>
        <w:lang w:val="zh-CN" w:eastAsia="zh-CN" w:bidi="zh-CN"/>
      </w:rPr>
    </w:lvl>
    <w:lvl w:ilvl="2">
      <w:start w:val="0"/>
      <w:numFmt w:val="bullet"/>
      <w:lvlText w:val="•"/>
      <w:lvlJc w:val="left"/>
      <w:pPr>
        <w:ind w:left="3309" w:hanging="481"/>
      </w:pPr>
      <w:rPr>
        <w:rFonts w:hint="default"/>
        <w:lang w:val="zh-CN" w:eastAsia="zh-CN" w:bidi="zh-CN"/>
      </w:rPr>
    </w:lvl>
    <w:lvl w:ilvl="3">
      <w:start w:val="0"/>
      <w:numFmt w:val="bullet"/>
      <w:lvlText w:val="•"/>
      <w:lvlJc w:val="left"/>
      <w:pPr>
        <w:ind w:left="4143" w:hanging="481"/>
      </w:pPr>
      <w:rPr>
        <w:rFonts w:hint="default"/>
        <w:lang w:val="zh-CN" w:eastAsia="zh-CN" w:bidi="zh-CN"/>
      </w:rPr>
    </w:lvl>
    <w:lvl w:ilvl="4">
      <w:start w:val="0"/>
      <w:numFmt w:val="bullet"/>
      <w:lvlText w:val="•"/>
      <w:lvlJc w:val="left"/>
      <w:pPr>
        <w:ind w:left="4978" w:hanging="481"/>
      </w:pPr>
      <w:rPr>
        <w:rFonts w:hint="default"/>
        <w:lang w:val="zh-CN" w:eastAsia="zh-CN" w:bidi="zh-CN"/>
      </w:rPr>
    </w:lvl>
    <w:lvl w:ilvl="5">
      <w:start w:val="0"/>
      <w:numFmt w:val="bullet"/>
      <w:lvlText w:val="•"/>
      <w:lvlJc w:val="left"/>
      <w:pPr>
        <w:ind w:left="5813" w:hanging="481"/>
      </w:pPr>
      <w:rPr>
        <w:rFonts w:hint="default"/>
        <w:lang w:val="zh-CN" w:eastAsia="zh-CN" w:bidi="zh-CN"/>
      </w:rPr>
    </w:lvl>
    <w:lvl w:ilvl="6">
      <w:start w:val="0"/>
      <w:numFmt w:val="bullet"/>
      <w:lvlText w:val="•"/>
      <w:lvlJc w:val="left"/>
      <w:pPr>
        <w:ind w:left="6647" w:hanging="481"/>
      </w:pPr>
      <w:rPr>
        <w:rFonts w:hint="default"/>
        <w:lang w:val="zh-CN" w:eastAsia="zh-CN" w:bidi="zh-CN"/>
      </w:rPr>
    </w:lvl>
    <w:lvl w:ilvl="7">
      <w:start w:val="0"/>
      <w:numFmt w:val="bullet"/>
      <w:lvlText w:val="•"/>
      <w:lvlJc w:val="left"/>
      <w:pPr>
        <w:ind w:left="7482" w:hanging="481"/>
      </w:pPr>
      <w:rPr>
        <w:rFonts w:hint="default"/>
        <w:lang w:val="zh-CN" w:eastAsia="zh-CN" w:bidi="zh-CN"/>
      </w:rPr>
    </w:lvl>
    <w:lvl w:ilvl="8">
      <w:start w:val="0"/>
      <w:numFmt w:val="bullet"/>
      <w:lvlText w:val="•"/>
      <w:lvlJc w:val="left"/>
      <w:pPr>
        <w:ind w:left="8316" w:hanging="481"/>
      </w:pPr>
      <w:rPr>
        <w:rFonts w:hint="default"/>
        <w:lang w:val="zh-CN" w:eastAsia="zh-CN" w:bidi="zh-CN"/>
      </w:rPr>
    </w:lvl>
  </w:abstractNum>
  <w:abstractNum w:abstractNumId="52">
    <w:multiLevelType w:val="hybridMultilevel"/>
    <w:lvl w:ilvl="0">
      <w:start w:val="1"/>
      <w:numFmt w:val="lowerLetter"/>
      <w:lvlText w:val="%1）"/>
      <w:lvlJc w:val="left"/>
      <w:pPr>
        <w:ind w:left="1800" w:hanging="641"/>
        <w:jc w:val="left"/>
      </w:pPr>
      <w:rPr>
        <w:rFonts w:hint="default" w:ascii="宋体" w:hAnsi="宋体" w:eastAsia="宋体" w:cs="宋体"/>
        <w:spacing w:val="0"/>
        <w:w w:val="99"/>
        <w:sz w:val="32"/>
        <w:szCs w:val="32"/>
        <w:lang w:val="zh-CN" w:eastAsia="zh-CN" w:bidi="zh-CN"/>
      </w:rPr>
    </w:lvl>
    <w:lvl w:ilvl="1">
      <w:start w:val="0"/>
      <w:numFmt w:val="bullet"/>
      <w:lvlText w:val="•"/>
      <w:lvlJc w:val="left"/>
      <w:pPr>
        <w:ind w:left="2618" w:hanging="641"/>
      </w:pPr>
      <w:rPr>
        <w:rFonts w:hint="default"/>
        <w:lang w:val="zh-CN" w:eastAsia="zh-CN" w:bidi="zh-CN"/>
      </w:rPr>
    </w:lvl>
    <w:lvl w:ilvl="2">
      <w:start w:val="0"/>
      <w:numFmt w:val="bullet"/>
      <w:lvlText w:val="•"/>
      <w:lvlJc w:val="left"/>
      <w:pPr>
        <w:ind w:left="3437" w:hanging="641"/>
      </w:pPr>
      <w:rPr>
        <w:rFonts w:hint="default"/>
        <w:lang w:val="zh-CN" w:eastAsia="zh-CN" w:bidi="zh-CN"/>
      </w:rPr>
    </w:lvl>
    <w:lvl w:ilvl="3">
      <w:start w:val="0"/>
      <w:numFmt w:val="bullet"/>
      <w:lvlText w:val="•"/>
      <w:lvlJc w:val="left"/>
      <w:pPr>
        <w:ind w:left="4255" w:hanging="641"/>
      </w:pPr>
      <w:rPr>
        <w:rFonts w:hint="default"/>
        <w:lang w:val="zh-CN" w:eastAsia="zh-CN" w:bidi="zh-CN"/>
      </w:rPr>
    </w:lvl>
    <w:lvl w:ilvl="4">
      <w:start w:val="0"/>
      <w:numFmt w:val="bullet"/>
      <w:lvlText w:val="•"/>
      <w:lvlJc w:val="left"/>
      <w:pPr>
        <w:ind w:left="5074" w:hanging="641"/>
      </w:pPr>
      <w:rPr>
        <w:rFonts w:hint="default"/>
        <w:lang w:val="zh-CN" w:eastAsia="zh-CN" w:bidi="zh-CN"/>
      </w:rPr>
    </w:lvl>
    <w:lvl w:ilvl="5">
      <w:start w:val="0"/>
      <w:numFmt w:val="bullet"/>
      <w:lvlText w:val="•"/>
      <w:lvlJc w:val="left"/>
      <w:pPr>
        <w:ind w:left="5893" w:hanging="641"/>
      </w:pPr>
      <w:rPr>
        <w:rFonts w:hint="default"/>
        <w:lang w:val="zh-CN" w:eastAsia="zh-CN" w:bidi="zh-CN"/>
      </w:rPr>
    </w:lvl>
    <w:lvl w:ilvl="6">
      <w:start w:val="0"/>
      <w:numFmt w:val="bullet"/>
      <w:lvlText w:val="•"/>
      <w:lvlJc w:val="left"/>
      <w:pPr>
        <w:ind w:left="6711" w:hanging="641"/>
      </w:pPr>
      <w:rPr>
        <w:rFonts w:hint="default"/>
        <w:lang w:val="zh-CN" w:eastAsia="zh-CN" w:bidi="zh-CN"/>
      </w:rPr>
    </w:lvl>
    <w:lvl w:ilvl="7">
      <w:start w:val="0"/>
      <w:numFmt w:val="bullet"/>
      <w:lvlText w:val="•"/>
      <w:lvlJc w:val="left"/>
      <w:pPr>
        <w:ind w:left="7530" w:hanging="641"/>
      </w:pPr>
      <w:rPr>
        <w:rFonts w:hint="default"/>
        <w:lang w:val="zh-CN" w:eastAsia="zh-CN" w:bidi="zh-CN"/>
      </w:rPr>
    </w:lvl>
    <w:lvl w:ilvl="8">
      <w:start w:val="0"/>
      <w:numFmt w:val="bullet"/>
      <w:lvlText w:val="•"/>
      <w:lvlJc w:val="left"/>
      <w:pPr>
        <w:ind w:left="8348" w:hanging="641"/>
      </w:pPr>
      <w:rPr>
        <w:rFonts w:hint="default"/>
        <w:lang w:val="zh-CN" w:eastAsia="zh-CN" w:bidi="zh-CN"/>
      </w:rPr>
    </w:lvl>
  </w:abstractNum>
  <w:abstractNum w:abstractNumId="51">
    <w:multiLevelType w:val="hybridMultilevel"/>
    <w:lvl w:ilvl="0">
      <w:start w:val="5"/>
      <w:numFmt w:val="lowerLetter"/>
      <w:lvlText w:val="%1）"/>
      <w:lvlJc w:val="left"/>
      <w:pPr>
        <w:ind w:left="740" w:hanging="624"/>
        <w:jc w:val="left"/>
      </w:pPr>
      <w:rPr>
        <w:rFonts w:hint="default" w:ascii="宋体" w:hAnsi="宋体" w:eastAsia="宋体" w:cs="宋体"/>
        <w:spacing w:val="-2"/>
        <w:w w:val="99"/>
        <w:sz w:val="32"/>
        <w:szCs w:val="32"/>
        <w:lang w:val="zh-CN" w:eastAsia="zh-CN" w:bidi="zh-CN"/>
      </w:rPr>
    </w:lvl>
    <w:lvl w:ilvl="1">
      <w:start w:val="0"/>
      <w:numFmt w:val="bullet"/>
      <w:lvlText w:val="•"/>
      <w:lvlJc w:val="left"/>
      <w:pPr>
        <w:ind w:left="1664" w:hanging="624"/>
      </w:pPr>
      <w:rPr>
        <w:rFonts w:hint="default"/>
        <w:lang w:val="zh-CN" w:eastAsia="zh-CN" w:bidi="zh-CN"/>
      </w:rPr>
    </w:lvl>
    <w:lvl w:ilvl="2">
      <w:start w:val="0"/>
      <w:numFmt w:val="bullet"/>
      <w:lvlText w:val="•"/>
      <w:lvlJc w:val="left"/>
      <w:pPr>
        <w:ind w:left="2589" w:hanging="624"/>
      </w:pPr>
      <w:rPr>
        <w:rFonts w:hint="default"/>
        <w:lang w:val="zh-CN" w:eastAsia="zh-CN" w:bidi="zh-CN"/>
      </w:rPr>
    </w:lvl>
    <w:lvl w:ilvl="3">
      <w:start w:val="0"/>
      <w:numFmt w:val="bullet"/>
      <w:lvlText w:val="•"/>
      <w:lvlJc w:val="left"/>
      <w:pPr>
        <w:ind w:left="3513" w:hanging="624"/>
      </w:pPr>
      <w:rPr>
        <w:rFonts w:hint="default"/>
        <w:lang w:val="zh-CN" w:eastAsia="zh-CN" w:bidi="zh-CN"/>
      </w:rPr>
    </w:lvl>
    <w:lvl w:ilvl="4">
      <w:start w:val="0"/>
      <w:numFmt w:val="bullet"/>
      <w:lvlText w:val="•"/>
      <w:lvlJc w:val="left"/>
      <w:pPr>
        <w:ind w:left="4438" w:hanging="624"/>
      </w:pPr>
      <w:rPr>
        <w:rFonts w:hint="default"/>
        <w:lang w:val="zh-CN" w:eastAsia="zh-CN" w:bidi="zh-CN"/>
      </w:rPr>
    </w:lvl>
    <w:lvl w:ilvl="5">
      <w:start w:val="0"/>
      <w:numFmt w:val="bullet"/>
      <w:lvlText w:val="•"/>
      <w:lvlJc w:val="left"/>
      <w:pPr>
        <w:ind w:left="5363" w:hanging="624"/>
      </w:pPr>
      <w:rPr>
        <w:rFonts w:hint="default"/>
        <w:lang w:val="zh-CN" w:eastAsia="zh-CN" w:bidi="zh-CN"/>
      </w:rPr>
    </w:lvl>
    <w:lvl w:ilvl="6">
      <w:start w:val="0"/>
      <w:numFmt w:val="bullet"/>
      <w:lvlText w:val="•"/>
      <w:lvlJc w:val="left"/>
      <w:pPr>
        <w:ind w:left="6287" w:hanging="624"/>
      </w:pPr>
      <w:rPr>
        <w:rFonts w:hint="default"/>
        <w:lang w:val="zh-CN" w:eastAsia="zh-CN" w:bidi="zh-CN"/>
      </w:rPr>
    </w:lvl>
    <w:lvl w:ilvl="7">
      <w:start w:val="0"/>
      <w:numFmt w:val="bullet"/>
      <w:lvlText w:val="•"/>
      <w:lvlJc w:val="left"/>
      <w:pPr>
        <w:ind w:left="7212" w:hanging="624"/>
      </w:pPr>
      <w:rPr>
        <w:rFonts w:hint="default"/>
        <w:lang w:val="zh-CN" w:eastAsia="zh-CN" w:bidi="zh-CN"/>
      </w:rPr>
    </w:lvl>
    <w:lvl w:ilvl="8">
      <w:start w:val="0"/>
      <w:numFmt w:val="bullet"/>
      <w:lvlText w:val="•"/>
      <w:lvlJc w:val="left"/>
      <w:pPr>
        <w:ind w:left="8136" w:hanging="624"/>
      </w:pPr>
      <w:rPr>
        <w:rFonts w:hint="default"/>
        <w:lang w:val="zh-CN" w:eastAsia="zh-CN" w:bidi="zh-CN"/>
      </w:rPr>
    </w:lvl>
  </w:abstractNum>
  <w:abstractNum w:abstractNumId="50">
    <w:multiLevelType w:val="hybridMultilevel"/>
    <w:lvl w:ilvl="0">
      <w:start w:val="4"/>
      <w:numFmt w:val="decimal"/>
      <w:lvlText w:val="%1"/>
      <w:lvlJc w:val="left"/>
      <w:pPr>
        <w:ind w:left="1059" w:hanging="320"/>
        <w:jc w:val="left"/>
      </w:pPr>
      <w:rPr>
        <w:rFonts w:hint="default" w:ascii="宋体" w:hAnsi="宋体" w:eastAsia="宋体" w:cs="宋体"/>
        <w:w w:val="99"/>
        <w:sz w:val="32"/>
        <w:szCs w:val="32"/>
        <w:lang w:val="zh-CN" w:eastAsia="zh-CN" w:bidi="zh-CN"/>
      </w:rPr>
    </w:lvl>
    <w:lvl w:ilvl="1">
      <w:start w:val="1"/>
      <w:numFmt w:val="decimal"/>
      <w:lvlText w:val="%1.%2"/>
      <w:lvlJc w:val="left"/>
      <w:pPr>
        <w:ind w:left="1383" w:hanging="644"/>
        <w:jc w:val="left"/>
      </w:pPr>
      <w:rPr>
        <w:rFonts w:hint="default" w:ascii="宋体" w:hAnsi="宋体" w:eastAsia="宋体" w:cs="宋体"/>
        <w:b/>
        <w:bCs/>
        <w:spacing w:val="0"/>
        <w:w w:val="98"/>
        <w:sz w:val="32"/>
        <w:szCs w:val="32"/>
        <w:lang w:val="zh-CN" w:eastAsia="zh-CN" w:bidi="zh-CN"/>
      </w:rPr>
    </w:lvl>
    <w:lvl w:ilvl="2">
      <w:start w:val="1"/>
      <w:numFmt w:val="decimal"/>
      <w:lvlText w:val="%1.%2.%3"/>
      <w:lvlJc w:val="left"/>
      <w:pPr>
        <w:ind w:left="740" w:hanging="960"/>
        <w:jc w:val="left"/>
      </w:pPr>
      <w:rPr>
        <w:rFonts w:hint="default" w:ascii="宋体" w:hAnsi="宋体" w:eastAsia="宋体" w:cs="宋体"/>
        <w:spacing w:val="-2"/>
        <w:w w:val="99"/>
        <w:sz w:val="32"/>
        <w:szCs w:val="32"/>
        <w:lang w:val="zh-CN" w:eastAsia="zh-CN" w:bidi="zh-CN"/>
      </w:rPr>
    </w:lvl>
    <w:lvl w:ilvl="3">
      <w:start w:val="1"/>
      <w:numFmt w:val="lowerLetter"/>
      <w:lvlText w:val="%4）"/>
      <w:lvlJc w:val="left"/>
      <w:pPr>
        <w:ind w:left="2019" w:hanging="639"/>
        <w:jc w:val="left"/>
      </w:pPr>
      <w:rPr>
        <w:rFonts w:hint="default" w:ascii="宋体" w:hAnsi="宋体" w:eastAsia="宋体" w:cs="宋体"/>
        <w:spacing w:val="-2"/>
        <w:w w:val="99"/>
        <w:sz w:val="32"/>
        <w:szCs w:val="32"/>
        <w:lang w:val="zh-CN" w:eastAsia="zh-CN" w:bidi="zh-CN"/>
      </w:rPr>
    </w:lvl>
    <w:lvl w:ilvl="4">
      <w:start w:val="0"/>
      <w:numFmt w:val="bullet"/>
      <w:lvlText w:val="•"/>
      <w:lvlJc w:val="left"/>
      <w:pPr>
        <w:ind w:left="1620" w:hanging="639"/>
      </w:pPr>
      <w:rPr>
        <w:rFonts w:hint="default"/>
        <w:lang w:val="zh-CN" w:eastAsia="zh-CN" w:bidi="zh-CN"/>
      </w:rPr>
    </w:lvl>
    <w:lvl w:ilvl="5">
      <w:start w:val="0"/>
      <w:numFmt w:val="bullet"/>
      <w:lvlText w:val="•"/>
      <w:lvlJc w:val="left"/>
      <w:pPr>
        <w:ind w:left="1700" w:hanging="639"/>
      </w:pPr>
      <w:rPr>
        <w:rFonts w:hint="default"/>
        <w:lang w:val="zh-CN" w:eastAsia="zh-CN" w:bidi="zh-CN"/>
      </w:rPr>
    </w:lvl>
    <w:lvl w:ilvl="6">
      <w:start w:val="0"/>
      <w:numFmt w:val="bullet"/>
      <w:lvlText w:val="•"/>
      <w:lvlJc w:val="left"/>
      <w:pPr>
        <w:ind w:left="2020" w:hanging="639"/>
      </w:pPr>
      <w:rPr>
        <w:rFonts w:hint="default"/>
        <w:lang w:val="zh-CN" w:eastAsia="zh-CN" w:bidi="zh-CN"/>
      </w:rPr>
    </w:lvl>
    <w:lvl w:ilvl="7">
      <w:start w:val="0"/>
      <w:numFmt w:val="bullet"/>
      <w:lvlText w:val="•"/>
      <w:lvlJc w:val="left"/>
      <w:pPr>
        <w:ind w:left="4011" w:hanging="639"/>
      </w:pPr>
      <w:rPr>
        <w:rFonts w:hint="default"/>
        <w:lang w:val="zh-CN" w:eastAsia="zh-CN" w:bidi="zh-CN"/>
      </w:rPr>
    </w:lvl>
    <w:lvl w:ilvl="8">
      <w:start w:val="0"/>
      <w:numFmt w:val="bullet"/>
      <w:lvlText w:val="•"/>
      <w:lvlJc w:val="left"/>
      <w:pPr>
        <w:ind w:left="6003" w:hanging="639"/>
      </w:pPr>
      <w:rPr>
        <w:rFonts w:hint="default"/>
        <w:lang w:val="zh-CN" w:eastAsia="zh-CN" w:bidi="zh-CN"/>
      </w:rPr>
    </w:lvl>
  </w:abstractNum>
  <w:abstractNum w:abstractNumId="49">
    <w:multiLevelType w:val="hybridMultilevel"/>
    <w:lvl w:ilvl="0">
      <w:start w:val="1"/>
      <w:numFmt w:val="decimal"/>
      <w:lvlText w:val="%1"/>
      <w:lvlJc w:val="left"/>
      <w:pPr>
        <w:ind w:left="980" w:hanging="240"/>
        <w:jc w:val="left"/>
      </w:pPr>
      <w:rPr>
        <w:rFonts w:hint="default" w:ascii="宋体" w:hAnsi="宋体" w:eastAsia="宋体" w:cs="宋体"/>
        <w:w w:val="99"/>
        <w:sz w:val="32"/>
        <w:szCs w:val="32"/>
        <w:lang w:val="zh-CN" w:eastAsia="zh-CN" w:bidi="zh-CN"/>
      </w:rPr>
    </w:lvl>
    <w:lvl w:ilvl="1">
      <w:start w:val="0"/>
      <w:numFmt w:val="bullet"/>
      <w:lvlText w:val="•"/>
      <w:lvlJc w:val="left"/>
      <w:pPr>
        <w:ind w:left="1880" w:hanging="240"/>
      </w:pPr>
      <w:rPr>
        <w:rFonts w:hint="default"/>
        <w:lang w:val="zh-CN" w:eastAsia="zh-CN" w:bidi="zh-CN"/>
      </w:rPr>
    </w:lvl>
    <w:lvl w:ilvl="2">
      <w:start w:val="0"/>
      <w:numFmt w:val="bullet"/>
      <w:lvlText w:val="•"/>
      <w:lvlJc w:val="left"/>
      <w:pPr>
        <w:ind w:left="2781" w:hanging="240"/>
      </w:pPr>
      <w:rPr>
        <w:rFonts w:hint="default"/>
        <w:lang w:val="zh-CN" w:eastAsia="zh-CN" w:bidi="zh-CN"/>
      </w:rPr>
    </w:lvl>
    <w:lvl w:ilvl="3">
      <w:start w:val="0"/>
      <w:numFmt w:val="bullet"/>
      <w:lvlText w:val="•"/>
      <w:lvlJc w:val="left"/>
      <w:pPr>
        <w:ind w:left="3681" w:hanging="240"/>
      </w:pPr>
      <w:rPr>
        <w:rFonts w:hint="default"/>
        <w:lang w:val="zh-CN" w:eastAsia="zh-CN" w:bidi="zh-CN"/>
      </w:rPr>
    </w:lvl>
    <w:lvl w:ilvl="4">
      <w:start w:val="0"/>
      <w:numFmt w:val="bullet"/>
      <w:lvlText w:val="•"/>
      <w:lvlJc w:val="left"/>
      <w:pPr>
        <w:ind w:left="4582" w:hanging="240"/>
      </w:pPr>
      <w:rPr>
        <w:rFonts w:hint="default"/>
        <w:lang w:val="zh-CN" w:eastAsia="zh-CN" w:bidi="zh-CN"/>
      </w:rPr>
    </w:lvl>
    <w:lvl w:ilvl="5">
      <w:start w:val="0"/>
      <w:numFmt w:val="bullet"/>
      <w:lvlText w:val="•"/>
      <w:lvlJc w:val="left"/>
      <w:pPr>
        <w:ind w:left="5483" w:hanging="240"/>
      </w:pPr>
      <w:rPr>
        <w:rFonts w:hint="default"/>
        <w:lang w:val="zh-CN" w:eastAsia="zh-CN" w:bidi="zh-CN"/>
      </w:rPr>
    </w:lvl>
    <w:lvl w:ilvl="6">
      <w:start w:val="0"/>
      <w:numFmt w:val="bullet"/>
      <w:lvlText w:val="•"/>
      <w:lvlJc w:val="left"/>
      <w:pPr>
        <w:ind w:left="6383" w:hanging="240"/>
      </w:pPr>
      <w:rPr>
        <w:rFonts w:hint="default"/>
        <w:lang w:val="zh-CN" w:eastAsia="zh-CN" w:bidi="zh-CN"/>
      </w:rPr>
    </w:lvl>
    <w:lvl w:ilvl="7">
      <w:start w:val="0"/>
      <w:numFmt w:val="bullet"/>
      <w:lvlText w:val="•"/>
      <w:lvlJc w:val="left"/>
      <w:pPr>
        <w:ind w:left="7284" w:hanging="240"/>
      </w:pPr>
      <w:rPr>
        <w:rFonts w:hint="default"/>
        <w:lang w:val="zh-CN" w:eastAsia="zh-CN" w:bidi="zh-CN"/>
      </w:rPr>
    </w:lvl>
    <w:lvl w:ilvl="8">
      <w:start w:val="0"/>
      <w:numFmt w:val="bullet"/>
      <w:lvlText w:val="•"/>
      <w:lvlJc w:val="left"/>
      <w:pPr>
        <w:ind w:left="8184" w:hanging="240"/>
      </w:pPr>
      <w:rPr>
        <w:rFonts w:hint="default"/>
        <w:lang w:val="zh-CN" w:eastAsia="zh-CN" w:bidi="zh-CN"/>
      </w:rPr>
    </w:lvl>
  </w:abstractNum>
  <w:abstractNum w:abstractNumId="48">
    <w:multiLevelType w:val="hybridMultilevel"/>
    <w:lvl w:ilvl="0">
      <w:start w:val="1"/>
      <w:numFmt w:val="decimal"/>
      <w:lvlText w:val="%1."/>
      <w:lvlJc w:val="left"/>
      <w:pPr>
        <w:ind w:left="946" w:hanging="360"/>
        <w:jc w:val="left"/>
      </w:pPr>
      <w:rPr>
        <w:rFonts w:hint="default" w:ascii="宋体" w:hAnsi="宋体" w:eastAsia="宋体" w:cs="宋体"/>
        <w:w w:val="100"/>
        <w:sz w:val="24"/>
        <w:szCs w:val="24"/>
        <w:lang w:val="zh-CN" w:eastAsia="zh-CN" w:bidi="zh-CN"/>
      </w:rPr>
    </w:lvl>
    <w:lvl w:ilvl="1">
      <w:start w:val="0"/>
      <w:numFmt w:val="bullet"/>
      <w:lvlText w:val="•"/>
      <w:lvlJc w:val="left"/>
      <w:pPr>
        <w:ind w:left="1779" w:hanging="360"/>
      </w:pPr>
      <w:rPr>
        <w:rFonts w:hint="default"/>
        <w:lang w:val="zh-CN" w:eastAsia="zh-CN" w:bidi="zh-CN"/>
      </w:rPr>
    </w:lvl>
    <w:lvl w:ilvl="2">
      <w:start w:val="0"/>
      <w:numFmt w:val="bullet"/>
      <w:lvlText w:val="•"/>
      <w:lvlJc w:val="left"/>
      <w:pPr>
        <w:ind w:left="2619" w:hanging="360"/>
      </w:pPr>
      <w:rPr>
        <w:rFonts w:hint="default"/>
        <w:lang w:val="zh-CN" w:eastAsia="zh-CN" w:bidi="zh-CN"/>
      </w:rPr>
    </w:lvl>
    <w:lvl w:ilvl="3">
      <w:start w:val="0"/>
      <w:numFmt w:val="bullet"/>
      <w:lvlText w:val="•"/>
      <w:lvlJc w:val="left"/>
      <w:pPr>
        <w:ind w:left="3458" w:hanging="360"/>
      </w:pPr>
      <w:rPr>
        <w:rFonts w:hint="default"/>
        <w:lang w:val="zh-CN" w:eastAsia="zh-CN" w:bidi="zh-CN"/>
      </w:rPr>
    </w:lvl>
    <w:lvl w:ilvl="4">
      <w:start w:val="0"/>
      <w:numFmt w:val="bullet"/>
      <w:lvlText w:val="•"/>
      <w:lvlJc w:val="left"/>
      <w:pPr>
        <w:ind w:left="4298" w:hanging="360"/>
      </w:pPr>
      <w:rPr>
        <w:rFonts w:hint="default"/>
        <w:lang w:val="zh-CN" w:eastAsia="zh-CN" w:bidi="zh-CN"/>
      </w:rPr>
    </w:lvl>
    <w:lvl w:ilvl="5">
      <w:start w:val="0"/>
      <w:numFmt w:val="bullet"/>
      <w:lvlText w:val="•"/>
      <w:lvlJc w:val="left"/>
      <w:pPr>
        <w:ind w:left="5138" w:hanging="360"/>
      </w:pPr>
      <w:rPr>
        <w:rFonts w:hint="default"/>
        <w:lang w:val="zh-CN" w:eastAsia="zh-CN" w:bidi="zh-CN"/>
      </w:rPr>
    </w:lvl>
    <w:lvl w:ilvl="6">
      <w:start w:val="0"/>
      <w:numFmt w:val="bullet"/>
      <w:lvlText w:val="•"/>
      <w:lvlJc w:val="left"/>
      <w:pPr>
        <w:ind w:left="5977" w:hanging="360"/>
      </w:pPr>
      <w:rPr>
        <w:rFonts w:hint="default"/>
        <w:lang w:val="zh-CN" w:eastAsia="zh-CN" w:bidi="zh-CN"/>
      </w:rPr>
    </w:lvl>
    <w:lvl w:ilvl="7">
      <w:start w:val="0"/>
      <w:numFmt w:val="bullet"/>
      <w:lvlText w:val="•"/>
      <w:lvlJc w:val="left"/>
      <w:pPr>
        <w:ind w:left="6817" w:hanging="360"/>
      </w:pPr>
      <w:rPr>
        <w:rFonts w:hint="default"/>
        <w:lang w:val="zh-CN" w:eastAsia="zh-CN" w:bidi="zh-CN"/>
      </w:rPr>
    </w:lvl>
    <w:lvl w:ilvl="8">
      <w:start w:val="0"/>
      <w:numFmt w:val="bullet"/>
      <w:lvlText w:val="•"/>
      <w:lvlJc w:val="left"/>
      <w:pPr>
        <w:ind w:left="7656" w:hanging="360"/>
      </w:pPr>
      <w:rPr>
        <w:rFonts w:hint="default"/>
        <w:lang w:val="zh-CN" w:eastAsia="zh-CN" w:bidi="zh-CN"/>
      </w:rPr>
    </w:lvl>
  </w:abstractNum>
  <w:abstractNum w:abstractNumId="47">
    <w:multiLevelType w:val="hybridMultilevel"/>
    <w:lvl w:ilvl="0">
      <w:start w:val="1"/>
      <w:numFmt w:val="decimal"/>
      <w:lvlText w:val="%1."/>
      <w:lvlJc w:val="left"/>
      <w:pPr>
        <w:ind w:left="946" w:hanging="360"/>
        <w:jc w:val="left"/>
      </w:pPr>
      <w:rPr>
        <w:rFonts w:hint="default" w:ascii="宋体" w:hAnsi="宋体" w:eastAsia="宋体" w:cs="宋体"/>
        <w:w w:val="100"/>
        <w:sz w:val="24"/>
        <w:szCs w:val="24"/>
        <w:lang w:val="zh-CN" w:eastAsia="zh-CN" w:bidi="zh-CN"/>
      </w:rPr>
    </w:lvl>
    <w:lvl w:ilvl="1">
      <w:start w:val="0"/>
      <w:numFmt w:val="bullet"/>
      <w:lvlText w:val="•"/>
      <w:lvlJc w:val="left"/>
      <w:pPr>
        <w:ind w:left="1779" w:hanging="360"/>
      </w:pPr>
      <w:rPr>
        <w:rFonts w:hint="default"/>
        <w:lang w:val="zh-CN" w:eastAsia="zh-CN" w:bidi="zh-CN"/>
      </w:rPr>
    </w:lvl>
    <w:lvl w:ilvl="2">
      <w:start w:val="0"/>
      <w:numFmt w:val="bullet"/>
      <w:lvlText w:val="•"/>
      <w:lvlJc w:val="left"/>
      <w:pPr>
        <w:ind w:left="2619" w:hanging="360"/>
      </w:pPr>
      <w:rPr>
        <w:rFonts w:hint="default"/>
        <w:lang w:val="zh-CN" w:eastAsia="zh-CN" w:bidi="zh-CN"/>
      </w:rPr>
    </w:lvl>
    <w:lvl w:ilvl="3">
      <w:start w:val="0"/>
      <w:numFmt w:val="bullet"/>
      <w:lvlText w:val="•"/>
      <w:lvlJc w:val="left"/>
      <w:pPr>
        <w:ind w:left="3458" w:hanging="360"/>
      </w:pPr>
      <w:rPr>
        <w:rFonts w:hint="default"/>
        <w:lang w:val="zh-CN" w:eastAsia="zh-CN" w:bidi="zh-CN"/>
      </w:rPr>
    </w:lvl>
    <w:lvl w:ilvl="4">
      <w:start w:val="0"/>
      <w:numFmt w:val="bullet"/>
      <w:lvlText w:val="•"/>
      <w:lvlJc w:val="left"/>
      <w:pPr>
        <w:ind w:left="4298" w:hanging="360"/>
      </w:pPr>
      <w:rPr>
        <w:rFonts w:hint="default"/>
        <w:lang w:val="zh-CN" w:eastAsia="zh-CN" w:bidi="zh-CN"/>
      </w:rPr>
    </w:lvl>
    <w:lvl w:ilvl="5">
      <w:start w:val="0"/>
      <w:numFmt w:val="bullet"/>
      <w:lvlText w:val="•"/>
      <w:lvlJc w:val="left"/>
      <w:pPr>
        <w:ind w:left="5138" w:hanging="360"/>
      </w:pPr>
      <w:rPr>
        <w:rFonts w:hint="default"/>
        <w:lang w:val="zh-CN" w:eastAsia="zh-CN" w:bidi="zh-CN"/>
      </w:rPr>
    </w:lvl>
    <w:lvl w:ilvl="6">
      <w:start w:val="0"/>
      <w:numFmt w:val="bullet"/>
      <w:lvlText w:val="•"/>
      <w:lvlJc w:val="left"/>
      <w:pPr>
        <w:ind w:left="5977" w:hanging="360"/>
      </w:pPr>
      <w:rPr>
        <w:rFonts w:hint="default"/>
        <w:lang w:val="zh-CN" w:eastAsia="zh-CN" w:bidi="zh-CN"/>
      </w:rPr>
    </w:lvl>
    <w:lvl w:ilvl="7">
      <w:start w:val="0"/>
      <w:numFmt w:val="bullet"/>
      <w:lvlText w:val="•"/>
      <w:lvlJc w:val="left"/>
      <w:pPr>
        <w:ind w:left="6817" w:hanging="360"/>
      </w:pPr>
      <w:rPr>
        <w:rFonts w:hint="default"/>
        <w:lang w:val="zh-CN" w:eastAsia="zh-CN" w:bidi="zh-CN"/>
      </w:rPr>
    </w:lvl>
    <w:lvl w:ilvl="8">
      <w:start w:val="0"/>
      <w:numFmt w:val="bullet"/>
      <w:lvlText w:val="•"/>
      <w:lvlJc w:val="left"/>
      <w:pPr>
        <w:ind w:left="7656" w:hanging="360"/>
      </w:pPr>
      <w:rPr>
        <w:rFonts w:hint="default"/>
        <w:lang w:val="zh-CN" w:eastAsia="zh-CN" w:bidi="zh-CN"/>
      </w:rPr>
    </w:lvl>
  </w:abstractNum>
  <w:abstractNum w:abstractNumId="46">
    <w:multiLevelType w:val="hybridMultilevel"/>
    <w:lvl w:ilvl="0">
      <w:start w:val="4"/>
      <w:numFmt w:val="decimal"/>
      <w:lvlText w:val="%1"/>
      <w:lvlJc w:val="left"/>
      <w:pPr>
        <w:ind w:left="677" w:hanging="320"/>
        <w:jc w:val="left"/>
      </w:pPr>
      <w:rPr>
        <w:rFonts w:hint="default" w:ascii="宋体" w:hAnsi="宋体" w:eastAsia="宋体" w:cs="宋体"/>
        <w:w w:val="99"/>
        <w:sz w:val="32"/>
        <w:szCs w:val="32"/>
        <w:lang w:val="zh-CN" w:eastAsia="zh-CN" w:bidi="zh-CN"/>
      </w:rPr>
    </w:lvl>
    <w:lvl w:ilvl="1">
      <w:start w:val="1"/>
      <w:numFmt w:val="decimal"/>
      <w:lvlText w:val="%1.%2"/>
      <w:lvlJc w:val="left"/>
      <w:pPr>
        <w:ind w:left="1020" w:hanging="663"/>
        <w:jc w:val="left"/>
      </w:pPr>
      <w:rPr>
        <w:rFonts w:hint="default" w:ascii="宋体" w:hAnsi="宋体" w:eastAsia="宋体" w:cs="宋体"/>
        <w:b/>
        <w:bCs/>
        <w:spacing w:val="0"/>
        <w:w w:val="98"/>
        <w:sz w:val="32"/>
        <w:szCs w:val="32"/>
        <w:lang w:val="zh-CN" w:eastAsia="zh-CN" w:bidi="zh-CN"/>
      </w:rPr>
    </w:lvl>
    <w:lvl w:ilvl="2">
      <w:start w:val="1"/>
      <w:numFmt w:val="decimal"/>
      <w:lvlText w:val="%1.%2.%3"/>
      <w:lvlJc w:val="left"/>
      <w:pPr>
        <w:ind w:left="358" w:hanging="987"/>
        <w:jc w:val="left"/>
      </w:pPr>
      <w:rPr>
        <w:rFonts w:hint="default" w:ascii="宋体" w:hAnsi="宋体" w:eastAsia="宋体" w:cs="宋体"/>
        <w:spacing w:val="0"/>
        <w:w w:val="99"/>
        <w:sz w:val="32"/>
        <w:szCs w:val="32"/>
        <w:lang w:val="zh-CN" w:eastAsia="zh-CN" w:bidi="zh-CN"/>
      </w:rPr>
    </w:lvl>
    <w:lvl w:ilvl="3">
      <w:start w:val="1"/>
      <w:numFmt w:val="decimal"/>
      <w:lvlText w:val="%1.%2.%3.%4"/>
      <w:lvlJc w:val="left"/>
      <w:pPr>
        <w:ind w:left="358" w:hanging="1316"/>
        <w:jc w:val="left"/>
      </w:pPr>
      <w:rPr>
        <w:rFonts w:hint="default" w:ascii="宋体" w:hAnsi="宋体" w:eastAsia="宋体" w:cs="宋体"/>
        <w:spacing w:val="0"/>
        <w:w w:val="99"/>
        <w:sz w:val="32"/>
        <w:szCs w:val="32"/>
        <w:lang w:val="zh-CN" w:eastAsia="zh-CN" w:bidi="zh-CN"/>
      </w:rPr>
    </w:lvl>
    <w:lvl w:ilvl="4">
      <w:start w:val="0"/>
      <w:numFmt w:val="bullet"/>
      <w:lvlText w:val="•"/>
      <w:lvlJc w:val="left"/>
      <w:pPr>
        <w:ind w:left="2866" w:hanging="1316"/>
      </w:pPr>
      <w:rPr>
        <w:rFonts w:hint="default"/>
        <w:lang w:val="zh-CN" w:eastAsia="zh-CN" w:bidi="zh-CN"/>
      </w:rPr>
    </w:lvl>
    <w:lvl w:ilvl="5">
      <w:start w:val="0"/>
      <w:numFmt w:val="bullet"/>
      <w:lvlText w:val="•"/>
      <w:lvlJc w:val="left"/>
      <w:pPr>
        <w:ind w:left="4053" w:hanging="1316"/>
      </w:pPr>
      <w:rPr>
        <w:rFonts w:hint="default"/>
        <w:lang w:val="zh-CN" w:eastAsia="zh-CN" w:bidi="zh-CN"/>
      </w:rPr>
    </w:lvl>
    <w:lvl w:ilvl="6">
      <w:start w:val="0"/>
      <w:numFmt w:val="bullet"/>
      <w:lvlText w:val="•"/>
      <w:lvlJc w:val="left"/>
      <w:pPr>
        <w:ind w:left="5239" w:hanging="1316"/>
      </w:pPr>
      <w:rPr>
        <w:rFonts w:hint="default"/>
        <w:lang w:val="zh-CN" w:eastAsia="zh-CN" w:bidi="zh-CN"/>
      </w:rPr>
    </w:lvl>
    <w:lvl w:ilvl="7">
      <w:start w:val="0"/>
      <w:numFmt w:val="bullet"/>
      <w:lvlText w:val="•"/>
      <w:lvlJc w:val="left"/>
      <w:pPr>
        <w:ind w:left="6426" w:hanging="1316"/>
      </w:pPr>
      <w:rPr>
        <w:rFonts w:hint="default"/>
        <w:lang w:val="zh-CN" w:eastAsia="zh-CN" w:bidi="zh-CN"/>
      </w:rPr>
    </w:lvl>
    <w:lvl w:ilvl="8">
      <w:start w:val="0"/>
      <w:numFmt w:val="bullet"/>
      <w:lvlText w:val="•"/>
      <w:lvlJc w:val="left"/>
      <w:pPr>
        <w:ind w:left="7612" w:hanging="1316"/>
      </w:pPr>
      <w:rPr>
        <w:rFonts w:hint="default"/>
        <w:lang w:val="zh-CN" w:eastAsia="zh-CN" w:bidi="zh-CN"/>
      </w:rPr>
    </w:lvl>
  </w:abstractNum>
  <w:abstractNum w:abstractNumId="45">
    <w:multiLevelType w:val="hybridMultilevel"/>
    <w:lvl w:ilvl="0">
      <w:start w:val="1"/>
      <w:numFmt w:val="decimal"/>
      <w:lvlText w:val="%1"/>
      <w:lvlJc w:val="left"/>
      <w:pPr>
        <w:ind w:left="677" w:hanging="320"/>
        <w:jc w:val="left"/>
      </w:pPr>
      <w:rPr>
        <w:rFonts w:hint="default" w:ascii="宋体" w:hAnsi="宋体" w:eastAsia="宋体" w:cs="宋体"/>
        <w:w w:val="99"/>
        <w:sz w:val="32"/>
        <w:szCs w:val="32"/>
        <w:lang w:val="zh-CN" w:eastAsia="zh-CN" w:bidi="zh-CN"/>
      </w:rPr>
    </w:lvl>
    <w:lvl w:ilvl="1">
      <w:start w:val="0"/>
      <w:numFmt w:val="bullet"/>
      <w:lvlText w:val="•"/>
      <w:lvlJc w:val="left"/>
      <w:pPr>
        <w:ind w:left="1610" w:hanging="320"/>
      </w:pPr>
      <w:rPr>
        <w:rFonts w:hint="default"/>
        <w:lang w:val="zh-CN" w:eastAsia="zh-CN" w:bidi="zh-CN"/>
      </w:rPr>
    </w:lvl>
    <w:lvl w:ilvl="2">
      <w:start w:val="0"/>
      <w:numFmt w:val="bullet"/>
      <w:lvlText w:val="•"/>
      <w:lvlJc w:val="left"/>
      <w:pPr>
        <w:ind w:left="2541" w:hanging="320"/>
      </w:pPr>
      <w:rPr>
        <w:rFonts w:hint="default"/>
        <w:lang w:val="zh-CN" w:eastAsia="zh-CN" w:bidi="zh-CN"/>
      </w:rPr>
    </w:lvl>
    <w:lvl w:ilvl="3">
      <w:start w:val="0"/>
      <w:numFmt w:val="bullet"/>
      <w:lvlText w:val="•"/>
      <w:lvlJc w:val="left"/>
      <w:pPr>
        <w:ind w:left="3471" w:hanging="320"/>
      </w:pPr>
      <w:rPr>
        <w:rFonts w:hint="default"/>
        <w:lang w:val="zh-CN" w:eastAsia="zh-CN" w:bidi="zh-CN"/>
      </w:rPr>
    </w:lvl>
    <w:lvl w:ilvl="4">
      <w:start w:val="0"/>
      <w:numFmt w:val="bullet"/>
      <w:lvlText w:val="•"/>
      <w:lvlJc w:val="left"/>
      <w:pPr>
        <w:ind w:left="4402" w:hanging="320"/>
      </w:pPr>
      <w:rPr>
        <w:rFonts w:hint="default"/>
        <w:lang w:val="zh-CN" w:eastAsia="zh-CN" w:bidi="zh-CN"/>
      </w:rPr>
    </w:lvl>
    <w:lvl w:ilvl="5">
      <w:start w:val="0"/>
      <w:numFmt w:val="bullet"/>
      <w:lvlText w:val="•"/>
      <w:lvlJc w:val="left"/>
      <w:pPr>
        <w:ind w:left="5333" w:hanging="320"/>
      </w:pPr>
      <w:rPr>
        <w:rFonts w:hint="default"/>
        <w:lang w:val="zh-CN" w:eastAsia="zh-CN" w:bidi="zh-CN"/>
      </w:rPr>
    </w:lvl>
    <w:lvl w:ilvl="6">
      <w:start w:val="0"/>
      <w:numFmt w:val="bullet"/>
      <w:lvlText w:val="•"/>
      <w:lvlJc w:val="left"/>
      <w:pPr>
        <w:ind w:left="6263" w:hanging="320"/>
      </w:pPr>
      <w:rPr>
        <w:rFonts w:hint="default"/>
        <w:lang w:val="zh-CN" w:eastAsia="zh-CN" w:bidi="zh-CN"/>
      </w:rPr>
    </w:lvl>
    <w:lvl w:ilvl="7">
      <w:start w:val="0"/>
      <w:numFmt w:val="bullet"/>
      <w:lvlText w:val="•"/>
      <w:lvlJc w:val="left"/>
      <w:pPr>
        <w:ind w:left="7194" w:hanging="320"/>
      </w:pPr>
      <w:rPr>
        <w:rFonts w:hint="default"/>
        <w:lang w:val="zh-CN" w:eastAsia="zh-CN" w:bidi="zh-CN"/>
      </w:rPr>
    </w:lvl>
    <w:lvl w:ilvl="8">
      <w:start w:val="0"/>
      <w:numFmt w:val="bullet"/>
      <w:lvlText w:val="•"/>
      <w:lvlJc w:val="left"/>
      <w:pPr>
        <w:ind w:left="8124" w:hanging="320"/>
      </w:pPr>
      <w:rPr>
        <w:rFonts w:hint="default"/>
        <w:lang w:val="zh-CN" w:eastAsia="zh-CN" w:bidi="zh-CN"/>
      </w:rPr>
    </w:lvl>
  </w:abstractNum>
  <w:abstractNum w:abstractNumId="44">
    <w:multiLevelType w:val="hybridMultilevel"/>
    <w:lvl w:ilvl="0">
      <w:start w:val="1"/>
      <w:numFmt w:val="decimal"/>
      <w:lvlText w:val="%1"/>
      <w:lvlJc w:val="left"/>
      <w:pPr>
        <w:ind w:left="107" w:hanging="250"/>
        <w:jc w:val="left"/>
      </w:pPr>
      <w:rPr>
        <w:rFonts w:hint="default" w:ascii="宋体" w:hAnsi="宋体" w:eastAsia="宋体" w:cs="宋体"/>
        <w:w w:val="100"/>
        <w:sz w:val="24"/>
        <w:szCs w:val="24"/>
        <w:lang w:val="zh-CN" w:eastAsia="zh-CN" w:bidi="zh-CN"/>
      </w:rPr>
    </w:lvl>
    <w:lvl w:ilvl="1">
      <w:start w:val="0"/>
      <w:numFmt w:val="bullet"/>
      <w:lvlText w:val="•"/>
      <w:lvlJc w:val="left"/>
      <w:pPr>
        <w:ind w:left="283" w:hanging="250"/>
      </w:pPr>
      <w:rPr>
        <w:rFonts w:hint="default"/>
        <w:lang w:val="zh-CN" w:eastAsia="zh-CN" w:bidi="zh-CN"/>
      </w:rPr>
    </w:lvl>
    <w:lvl w:ilvl="2">
      <w:start w:val="0"/>
      <w:numFmt w:val="bullet"/>
      <w:lvlText w:val="•"/>
      <w:lvlJc w:val="left"/>
      <w:pPr>
        <w:ind w:left="467" w:hanging="250"/>
      </w:pPr>
      <w:rPr>
        <w:rFonts w:hint="default"/>
        <w:lang w:val="zh-CN" w:eastAsia="zh-CN" w:bidi="zh-CN"/>
      </w:rPr>
    </w:lvl>
    <w:lvl w:ilvl="3">
      <w:start w:val="0"/>
      <w:numFmt w:val="bullet"/>
      <w:lvlText w:val="•"/>
      <w:lvlJc w:val="left"/>
      <w:pPr>
        <w:ind w:left="651" w:hanging="250"/>
      </w:pPr>
      <w:rPr>
        <w:rFonts w:hint="default"/>
        <w:lang w:val="zh-CN" w:eastAsia="zh-CN" w:bidi="zh-CN"/>
      </w:rPr>
    </w:lvl>
    <w:lvl w:ilvl="4">
      <w:start w:val="0"/>
      <w:numFmt w:val="bullet"/>
      <w:lvlText w:val="•"/>
      <w:lvlJc w:val="left"/>
      <w:pPr>
        <w:ind w:left="835" w:hanging="250"/>
      </w:pPr>
      <w:rPr>
        <w:rFonts w:hint="default"/>
        <w:lang w:val="zh-CN" w:eastAsia="zh-CN" w:bidi="zh-CN"/>
      </w:rPr>
    </w:lvl>
    <w:lvl w:ilvl="5">
      <w:start w:val="0"/>
      <w:numFmt w:val="bullet"/>
      <w:lvlText w:val="•"/>
      <w:lvlJc w:val="left"/>
      <w:pPr>
        <w:ind w:left="1019" w:hanging="250"/>
      </w:pPr>
      <w:rPr>
        <w:rFonts w:hint="default"/>
        <w:lang w:val="zh-CN" w:eastAsia="zh-CN" w:bidi="zh-CN"/>
      </w:rPr>
    </w:lvl>
    <w:lvl w:ilvl="6">
      <w:start w:val="0"/>
      <w:numFmt w:val="bullet"/>
      <w:lvlText w:val="•"/>
      <w:lvlJc w:val="left"/>
      <w:pPr>
        <w:ind w:left="1203" w:hanging="250"/>
      </w:pPr>
      <w:rPr>
        <w:rFonts w:hint="default"/>
        <w:lang w:val="zh-CN" w:eastAsia="zh-CN" w:bidi="zh-CN"/>
      </w:rPr>
    </w:lvl>
    <w:lvl w:ilvl="7">
      <w:start w:val="0"/>
      <w:numFmt w:val="bullet"/>
      <w:lvlText w:val="•"/>
      <w:lvlJc w:val="left"/>
      <w:pPr>
        <w:ind w:left="1387" w:hanging="250"/>
      </w:pPr>
      <w:rPr>
        <w:rFonts w:hint="default"/>
        <w:lang w:val="zh-CN" w:eastAsia="zh-CN" w:bidi="zh-CN"/>
      </w:rPr>
    </w:lvl>
    <w:lvl w:ilvl="8">
      <w:start w:val="0"/>
      <w:numFmt w:val="bullet"/>
      <w:lvlText w:val="•"/>
      <w:lvlJc w:val="left"/>
      <w:pPr>
        <w:ind w:left="1571" w:hanging="250"/>
      </w:pPr>
      <w:rPr>
        <w:rFonts w:hint="default"/>
        <w:lang w:val="zh-CN" w:eastAsia="zh-CN" w:bidi="zh-CN"/>
      </w:rPr>
    </w:lvl>
  </w:abstractNum>
  <w:abstractNum w:abstractNumId="43">
    <w:multiLevelType w:val="hybridMultilevel"/>
    <w:lvl w:ilvl="0">
      <w:start w:val="1"/>
      <w:numFmt w:val="decimal"/>
      <w:lvlText w:val="%1"/>
      <w:lvlJc w:val="left"/>
      <w:pPr>
        <w:ind w:left="107" w:hanging="250"/>
        <w:jc w:val="left"/>
      </w:pPr>
      <w:rPr>
        <w:rFonts w:hint="default" w:ascii="宋体" w:hAnsi="宋体" w:eastAsia="宋体" w:cs="宋体"/>
        <w:w w:val="100"/>
        <w:sz w:val="24"/>
        <w:szCs w:val="24"/>
        <w:lang w:val="zh-CN" w:eastAsia="zh-CN" w:bidi="zh-CN"/>
      </w:rPr>
    </w:lvl>
    <w:lvl w:ilvl="1">
      <w:start w:val="0"/>
      <w:numFmt w:val="bullet"/>
      <w:lvlText w:val="•"/>
      <w:lvlJc w:val="left"/>
      <w:pPr>
        <w:ind w:left="283" w:hanging="250"/>
      </w:pPr>
      <w:rPr>
        <w:rFonts w:hint="default"/>
        <w:lang w:val="zh-CN" w:eastAsia="zh-CN" w:bidi="zh-CN"/>
      </w:rPr>
    </w:lvl>
    <w:lvl w:ilvl="2">
      <w:start w:val="0"/>
      <w:numFmt w:val="bullet"/>
      <w:lvlText w:val="•"/>
      <w:lvlJc w:val="left"/>
      <w:pPr>
        <w:ind w:left="467" w:hanging="250"/>
      </w:pPr>
      <w:rPr>
        <w:rFonts w:hint="default"/>
        <w:lang w:val="zh-CN" w:eastAsia="zh-CN" w:bidi="zh-CN"/>
      </w:rPr>
    </w:lvl>
    <w:lvl w:ilvl="3">
      <w:start w:val="0"/>
      <w:numFmt w:val="bullet"/>
      <w:lvlText w:val="•"/>
      <w:lvlJc w:val="left"/>
      <w:pPr>
        <w:ind w:left="651" w:hanging="250"/>
      </w:pPr>
      <w:rPr>
        <w:rFonts w:hint="default"/>
        <w:lang w:val="zh-CN" w:eastAsia="zh-CN" w:bidi="zh-CN"/>
      </w:rPr>
    </w:lvl>
    <w:lvl w:ilvl="4">
      <w:start w:val="0"/>
      <w:numFmt w:val="bullet"/>
      <w:lvlText w:val="•"/>
      <w:lvlJc w:val="left"/>
      <w:pPr>
        <w:ind w:left="835" w:hanging="250"/>
      </w:pPr>
      <w:rPr>
        <w:rFonts w:hint="default"/>
        <w:lang w:val="zh-CN" w:eastAsia="zh-CN" w:bidi="zh-CN"/>
      </w:rPr>
    </w:lvl>
    <w:lvl w:ilvl="5">
      <w:start w:val="0"/>
      <w:numFmt w:val="bullet"/>
      <w:lvlText w:val="•"/>
      <w:lvlJc w:val="left"/>
      <w:pPr>
        <w:ind w:left="1019" w:hanging="250"/>
      </w:pPr>
      <w:rPr>
        <w:rFonts w:hint="default"/>
        <w:lang w:val="zh-CN" w:eastAsia="zh-CN" w:bidi="zh-CN"/>
      </w:rPr>
    </w:lvl>
    <w:lvl w:ilvl="6">
      <w:start w:val="0"/>
      <w:numFmt w:val="bullet"/>
      <w:lvlText w:val="•"/>
      <w:lvlJc w:val="left"/>
      <w:pPr>
        <w:ind w:left="1203" w:hanging="250"/>
      </w:pPr>
      <w:rPr>
        <w:rFonts w:hint="default"/>
        <w:lang w:val="zh-CN" w:eastAsia="zh-CN" w:bidi="zh-CN"/>
      </w:rPr>
    </w:lvl>
    <w:lvl w:ilvl="7">
      <w:start w:val="0"/>
      <w:numFmt w:val="bullet"/>
      <w:lvlText w:val="•"/>
      <w:lvlJc w:val="left"/>
      <w:pPr>
        <w:ind w:left="1387" w:hanging="250"/>
      </w:pPr>
      <w:rPr>
        <w:rFonts w:hint="default"/>
        <w:lang w:val="zh-CN" w:eastAsia="zh-CN" w:bidi="zh-CN"/>
      </w:rPr>
    </w:lvl>
    <w:lvl w:ilvl="8">
      <w:start w:val="0"/>
      <w:numFmt w:val="bullet"/>
      <w:lvlText w:val="•"/>
      <w:lvlJc w:val="left"/>
      <w:pPr>
        <w:ind w:left="1571" w:hanging="250"/>
      </w:pPr>
      <w:rPr>
        <w:rFonts w:hint="default"/>
        <w:lang w:val="zh-CN" w:eastAsia="zh-CN" w:bidi="zh-CN"/>
      </w:rPr>
    </w:lvl>
  </w:abstractNum>
  <w:abstractNum w:abstractNumId="42">
    <w:multiLevelType w:val="hybridMultilevel"/>
    <w:lvl w:ilvl="0">
      <w:start w:val="1"/>
      <w:numFmt w:val="decimal"/>
      <w:lvlText w:val="%1"/>
      <w:lvlJc w:val="left"/>
      <w:pPr>
        <w:ind w:left="107" w:hanging="250"/>
        <w:jc w:val="left"/>
      </w:pPr>
      <w:rPr>
        <w:rFonts w:hint="default" w:ascii="宋体" w:hAnsi="宋体" w:eastAsia="宋体" w:cs="宋体"/>
        <w:w w:val="100"/>
        <w:sz w:val="24"/>
        <w:szCs w:val="24"/>
        <w:lang w:val="zh-CN" w:eastAsia="zh-CN" w:bidi="zh-CN"/>
      </w:rPr>
    </w:lvl>
    <w:lvl w:ilvl="1">
      <w:start w:val="0"/>
      <w:numFmt w:val="bullet"/>
      <w:lvlText w:val="•"/>
      <w:lvlJc w:val="left"/>
      <w:pPr>
        <w:ind w:left="283" w:hanging="250"/>
      </w:pPr>
      <w:rPr>
        <w:rFonts w:hint="default"/>
        <w:lang w:val="zh-CN" w:eastAsia="zh-CN" w:bidi="zh-CN"/>
      </w:rPr>
    </w:lvl>
    <w:lvl w:ilvl="2">
      <w:start w:val="0"/>
      <w:numFmt w:val="bullet"/>
      <w:lvlText w:val="•"/>
      <w:lvlJc w:val="left"/>
      <w:pPr>
        <w:ind w:left="467" w:hanging="250"/>
      </w:pPr>
      <w:rPr>
        <w:rFonts w:hint="default"/>
        <w:lang w:val="zh-CN" w:eastAsia="zh-CN" w:bidi="zh-CN"/>
      </w:rPr>
    </w:lvl>
    <w:lvl w:ilvl="3">
      <w:start w:val="0"/>
      <w:numFmt w:val="bullet"/>
      <w:lvlText w:val="•"/>
      <w:lvlJc w:val="left"/>
      <w:pPr>
        <w:ind w:left="651" w:hanging="250"/>
      </w:pPr>
      <w:rPr>
        <w:rFonts w:hint="default"/>
        <w:lang w:val="zh-CN" w:eastAsia="zh-CN" w:bidi="zh-CN"/>
      </w:rPr>
    </w:lvl>
    <w:lvl w:ilvl="4">
      <w:start w:val="0"/>
      <w:numFmt w:val="bullet"/>
      <w:lvlText w:val="•"/>
      <w:lvlJc w:val="left"/>
      <w:pPr>
        <w:ind w:left="835" w:hanging="250"/>
      </w:pPr>
      <w:rPr>
        <w:rFonts w:hint="default"/>
        <w:lang w:val="zh-CN" w:eastAsia="zh-CN" w:bidi="zh-CN"/>
      </w:rPr>
    </w:lvl>
    <w:lvl w:ilvl="5">
      <w:start w:val="0"/>
      <w:numFmt w:val="bullet"/>
      <w:lvlText w:val="•"/>
      <w:lvlJc w:val="left"/>
      <w:pPr>
        <w:ind w:left="1019" w:hanging="250"/>
      </w:pPr>
      <w:rPr>
        <w:rFonts w:hint="default"/>
        <w:lang w:val="zh-CN" w:eastAsia="zh-CN" w:bidi="zh-CN"/>
      </w:rPr>
    </w:lvl>
    <w:lvl w:ilvl="6">
      <w:start w:val="0"/>
      <w:numFmt w:val="bullet"/>
      <w:lvlText w:val="•"/>
      <w:lvlJc w:val="left"/>
      <w:pPr>
        <w:ind w:left="1203" w:hanging="250"/>
      </w:pPr>
      <w:rPr>
        <w:rFonts w:hint="default"/>
        <w:lang w:val="zh-CN" w:eastAsia="zh-CN" w:bidi="zh-CN"/>
      </w:rPr>
    </w:lvl>
    <w:lvl w:ilvl="7">
      <w:start w:val="0"/>
      <w:numFmt w:val="bullet"/>
      <w:lvlText w:val="•"/>
      <w:lvlJc w:val="left"/>
      <w:pPr>
        <w:ind w:left="1387" w:hanging="250"/>
      </w:pPr>
      <w:rPr>
        <w:rFonts w:hint="default"/>
        <w:lang w:val="zh-CN" w:eastAsia="zh-CN" w:bidi="zh-CN"/>
      </w:rPr>
    </w:lvl>
    <w:lvl w:ilvl="8">
      <w:start w:val="0"/>
      <w:numFmt w:val="bullet"/>
      <w:lvlText w:val="•"/>
      <w:lvlJc w:val="left"/>
      <w:pPr>
        <w:ind w:left="1571" w:hanging="250"/>
      </w:pPr>
      <w:rPr>
        <w:rFonts w:hint="default"/>
        <w:lang w:val="zh-CN" w:eastAsia="zh-CN" w:bidi="zh-CN"/>
      </w:rPr>
    </w:lvl>
  </w:abstractNum>
  <w:abstractNum w:abstractNumId="41">
    <w:multiLevelType w:val="hybridMultilevel"/>
    <w:lvl w:ilvl="0">
      <w:start w:val="1"/>
      <w:numFmt w:val="decimal"/>
      <w:lvlText w:val="%1"/>
      <w:lvlJc w:val="left"/>
      <w:pPr>
        <w:ind w:left="348" w:hanging="240"/>
        <w:jc w:val="left"/>
      </w:pPr>
      <w:rPr>
        <w:rFonts w:hint="default" w:ascii="宋体" w:hAnsi="宋体" w:eastAsia="宋体" w:cs="宋体"/>
        <w:w w:val="100"/>
        <w:sz w:val="24"/>
        <w:szCs w:val="24"/>
        <w:lang w:val="zh-CN" w:eastAsia="zh-CN" w:bidi="zh-CN"/>
      </w:rPr>
    </w:lvl>
    <w:lvl w:ilvl="1">
      <w:start w:val="0"/>
      <w:numFmt w:val="bullet"/>
      <w:lvlText w:val="•"/>
      <w:lvlJc w:val="left"/>
      <w:pPr>
        <w:ind w:left="418" w:hanging="240"/>
      </w:pPr>
      <w:rPr>
        <w:rFonts w:hint="default"/>
        <w:lang w:val="zh-CN" w:eastAsia="zh-CN" w:bidi="zh-CN"/>
      </w:rPr>
    </w:lvl>
    <w:lvl w:ilvl="2">
      <w:start w:val="0"/>
      <w:numFmt w:val="bullet"/>
      <w:lvlText w:val="•"/>
      <w:lvlJc w:val="left"/>
      <w:pPr>
        <w:ind w:left="496" w:hanging="240"/>
      </w:pPr>
      <w:rPr>
        <w:rFonts w:hint="default"/>
        <w:lang w:val="zh-CN" w:eastAsia="zh-CN" w:bidi="zh-CN"/>
      </w:rPr>
    </w:lvl>
    <w:lvl w:ilvl="3">
      <w:start w:val="0"/>
      <w:numFmt w:val="bullet"/>
      <w:lvlText w:val="•"/>
      <w:lvlJc w:val="left"/>
      <w:pPr>
        <w:ind w:left="575" w:hanging="240"/>
      </w:pPr>
      <w:rPr>
        <w:rFonts w:hint="default"/>
        <w:lang w:val="zh-CN" w:eastAsia="zh-CN" w:bidi="zh-CN"/>
      </w:rPr>
    </w:lvl>
    <w:lvl w:ilvl="4">
      <w:start w:val="0"/>
      <w:numFmt w:val="bullet"/>
      <w:lvlText w:val="•"/>
      <w:lvlJc w:val="left"/>
      <w:pPr>
        <w:ind w:left="653" w:hanging="240"/>
      </w:pPr>
      <w:rPr>
        <w:rFonts w:hint="default"/>
        <w:lang w:val="zh-CN" w:eastAsia="zh-CN" w:bidi="zh-CN"/>
      </w:rPr>
    </w:lvl>
    <w:lvl w:ilvl="5">
      <w:start w:val="0"/>
      <w:numFmt w:val="bullet"/>
      <w:lvlText w:val="•"/>
      <w:lvlJc w:val="left"/>
      <w:pPr>
        <w:ind w:left="732" w:hanging="240"/>
      </w:pPr>
      <w:rPr>
        <w:rFonts w:hint="default"/>
        <w:lang w:val="zh-CN" w:eastAsia="zh-CN" w:bidi="zh-CN"/>
      </w:rPr>
    </w:lvl>
    <w:lvl w:ilvl="6">
      <w:start w:val="0"/>
      <w:numFmt w:val="bullet"/>
      <w:lvlText w:val="•"/>
      <w:lvlJc w:val="left"/>
      <w:pPr>
        <w:ind w:left="810" w:hanging="240"/>
      </w:pPr>
      <w:rPr>
        <w:rFonts w:hint="default"/>
        <w:lang w:val="zh-CN" w:eastAsia="zh-CN" w:bidi="zh-CN"/>
      </w:rPr>
    </w:lvl>
    <w:lvl w:ilvl="7">
      <w:start w:val="0"/>
      <w:numFmt w:val="bullet"/>
      <w:lvlText w:val="•"/>
      <w:lvlJc w:val="left"/>
      <w:pPr>
        <w:ind w:left="888" w:hanging="240"/>
      </w:pPr>
      <w:rPr>
        <w:rFonts w:hint="default"/>
        <w:lang w:val="zh-CN" w:eastAsia="zh-CN" w:bidi="zh-CN"/>
      </w:rPr>
    </w:lvl>
    <w:lvl w:ilvl="8">
      <w:start w:val="0"/>
      <w:numFmt w:val="bullet"/>
      <w:lvlText w:val="•"/>
      <w:lvlJc w:val="left"/>
      <w:pPr>
        <w:ind w:left="967" w:hanging="240"/>
      </w:pPr>
      <w:rPr>
        <w:rFonts w:hint="default"/>
        <w:lang w:val="zh-CN" w:eastAsia="zh-CN" w:bidi="zh-CN"/>
      </w:rPr>
    </w:lvl>
  </w:abstractNum>
  <w:abstractNum w:abstractNumId="40">
    <w:multiLevelType w:val="hybridMultilevel"/>
    <w:lvl w:ilvl="0">
      <w:start w:val="1"/>
      <w:numFmt w:val="decimal"/>
      <w:lvlText w:val="%1"/>
      <w:lvlJc w:val="left"/>
      <w:pPr>
        <w:ind w:left="107" w:hanging="257"/>
        <w:jc w:val="left"/>
      </w:pPr>
      <w:rPr>
        <w:rFonts w:hint="default" w:ascii="宋体" w:hAnsi="宋体" w:eastAsia="宋体" w:cs="宋体"/>
        <w:w w:val="100"/>
        <w:sz w:val="24"/>
        <w:szCs w:val="24"/>
        <w:lang w:val="zh-CN" w:eastAsia="zh-CN" w:bidi="zh-CN"/>
      </w:rPr>
    </w:lvl>
    <w:lvl w:ilvl="1">
      <w:start w:val="0"/>
      <w:numFmt w:val="bullet"/>
      <w:lvlText w:val="•"/>
      <w:lvlJc w:val="left"/>
      <w:pPr>
        <w:ind w:left="340" w:hanging="257"/>
      </w:pPr>
      <w:rPr>
        <w:rFonts w:hint="default"/>
        <w:lang w:val="zh-CN" w:eastAsia="zh-CN" w:bidi="zh-CN"/>
      </w:rPr>
    </w:lvl>
    <w:lvl w:ilvl="2">
      <w:start w:val="0"/>
      <w:numFmt w:val="bullet"/>
      <w:lvlText w:val="•"/>
      <w:lvlJc w:val="left"/>
      <w:pPr>
        <w:ind w:left="581" w:hanging="257"/>
      </w:pPr>
      <w:rPr>
        <w:rFonts w:hint="default"/>
        <w:lang w:val="zh-CN" w:eastAsia="zh-CN" w:bidi="zh-CN"/>
      </w:rPr>
    </w:lvl>
    <w:lvl w:ilvl="3">
      <w:start w:val="0"/>
      <w:numFmt w:val="bullet"/>
      <w:lvlText w:val="•"/>
      <w:lvlJc w:val="left"/>
      <w:pPr>
        <w:ind w:left="822" w:hanging="257"/>
      </w:pPr>
      <w:rPr>
        <w:rFonts w:hint="default"/>
        <w:lang w:val="zh-CN" w:eastAsia="zh-CN" w:bidi="zh-CN"/>
      </w:rPr>
    </w:lvl>
    <w:lvl w:ilvl="4">
      <w:start w:val="0"/>
      <w:numFmt w:val="bullet"/>
      <w:lvlText w:val="•"/>
      <w:lvlJc w:val="left"/>
      <w:pPr>
        <w:ind w:left="1062" w:hanging="257"/>
      </w:pPr>
      <w:rPr>
        <w:rFonts w:hint="default"/>
        <w:lang w:val="zh-CN" w:eastAsia="zh-CN" w:bidi="zh-CN"/>
      </w:rPr>
    </w:lvl>
    <w:lvl w:ilvl="5">
      <w:start w:val="0"/>
      <w:numFmt w:val="bullet"/>
      <w:lvlText w:val="•"/>
      <w:lvlJc w:val="left"/>
      <w:pPr>
        <w:ind w:left="1303" w:hanging="257"/>
      </w:pPr>
      <w:rPr>
        <w:rFonts w:hint="default"/>
        <w:lang w:val="zh-CN" w:eastAsia="zh-CN" w:bidi="zh-CN"/>
      </w:rPr>
    </w:lvl>
    <w:lvl w:ilvl="6">
      <w:start w:val="0"/>
      <w:numFmt w:val="bullet"/>
      <w:lvlText w:val="•"/>
      <w:lvlJc w:val="left"/>
      <w:pPr>
        <w:ind w:left="1544" w:hanging="257"/>
      </w:pPr>
      <w:rPr>
        <w:rFonts w:hint="default"/>
        <w:lang w:val="zh-CN" w:eastAsia="zh-CN" w:bidi="zh-CN"/>
      </w:rPr>
    </w:lvl>
    <w:lvl w:ilvl="7">
      <w:start w:val="0"/>
      <w:numFmt w:val="bullet"/>
      <w:lvlText w:val="•"/>
      <w:lvlJc w:val="left"/>
      <w:pPr>
        <w:ind w:left="1784" w:hanging="257"/>
      </w:pPr>
      <w:rPr>
        <w:rFonts w:hint="default"/>
        <w:lang w:val="zh-CN" w:eastAsia="zh-CN" w:bidi="zh-CN"/>
      </w:rPr>
    </w:lvl>
    <w:lvl w:ilvl="8">
      <w:start w:val="0"/>
      <w:numFmt w:val="bullet"/>
      <w:lvlText w:val="•"/>
      <w:lvlJc w:val="left"/>
      <w:pPr>
        <w:ind w:left="2025" w:hanging="257"/>
      </w:pPr>
      <w:rPr>
        <w:rFonts w:hint="default"/>
        <w:lang w:val="zh-CN" w:eastAsia="zh-CN" w:bidi="zh-CN"/>
      </w:rPr>
    </w:lvl>
  </w:abstractNum>
  <w:abstractNum w:abstractNumId="39">
    <w:multiLevelType w:val="hybridMultilevel"/>
    <w:lvl w:ilvl="0">
      <w:start w:val="1"/>
      <w:numFmt w:val="decimal"/>
      <w:lvlText w:val="%1"/>
      <w:lvlJc w:val="left"/>
      <w:pPr>
        <w:ind w:left="107" w:hanging="272"/>
        <w:jc w:val="left"/>
      </w:pPr>
      <w:rPr>
        <w:rFonts w:hint="default" w:ascii="宋体" w:hAnsi="宋体" w:eastAsia="宋体" w:cs="宋体"/>
        <w:w w:val="100"/>
        <w:sz w:val="24"/>
        <w:szCs w:val="24"/>
        <w:lang w:val="zh-CN" w:eastAsia="zh-CN" w:bidi="zh-CN"/>
      </w:rPr>
    </w:lvl>
    <w:lvl w:ilvl="1">
      <w:start w:val="0"/>
      <w:numFmt w:val="bullet"/>
      <w:lvlText w:val="•"/>
      <w:lvlJc w:val="left"/>
      <w:pPr>
        <w:ind w:left="298" w:hanging="272"/>
      </w:pPr>
      <w:rPr>
        <w:rFonts w:hint="default"/>
        <w:lang w:val="zh-CN" w:eastAsia="zh-CN" w:bidi="zh-CN"/>
      </w:rPr>
    </w:lvl>
    <w:lvl w:ilvl="2">
      <w:start w:val="0"/>
      <w:numFmt w:val="bullet"/>
      <w:lvlText w:val="•"/>
      <w:lvlJc w:val="left"/>
      <w:pPr>
        <w:ind w:left="496" w:hanging="272"/>
      </w:pPr>
      <w:rPr>
        <w:rFonts w:hint="default"/>
        <w:lang w:val="zh-CN" w:eastAsia="zh-CN" w:bidi="zh-CN"/>
      </w:rPr>
    </w:lvl>
    <w:lvl w:ilvl="3">
      <w:start w:val="0"/>
      <w:numFmt w:val="bullet"/>
      <w:lvlText w:val="•"/>
      <w:lvlJc w:val="left"/>
      <w:pPr>
        <w:ind w:left="694" w:hanging="272"/>
      </w:pPr>
      <w:rPr>
        <w:rFonts w:hint="default"/>
        <w:lang w:val="zh-CN" w:eastAsia="zh-CN" w:bidi="zh-CN"/>
      </w:rPr>
    </w:lvl>
    <w:lvl w:ilvl="4">
      <w:start w:val="0"/>
      <w:numFmt w:val="bullet"/>
      <w:lvlText w:val="•"/>
      <w:lvlJc w:val="left"/>
      <w:pPr>
        <w:ind w:left="892" w:hanging="272"/>
      </w:pPr>
      <w:rPr>
        <w:rFonts w:hint="default"/>
        <w:lang w:val="zh-CN" w:eastAsia="zh-CN" w:bidi="zh-CN"/>
      </w:rPr>
    </w:lvl>
    <w:lvl w:ilvl="5">
      <w:start w:val="0"/>
      <w:numFmt w:val="bullet"/>
      <w:lvlText w:val="•"/>
      <w:lvlJc w:val="left"/>
      <w:pPr>
        <w:ind w:left="1090" w:hanging="272"/>
      </w:pPr>
      <w:rPr>
        <w:rFonts w:hint="default"/>
        <w:lang w:val="zh-CN" w:eastAsia="zh-CN" w:bidi="zh-CN"/>
      </w:rPr>
    </w:lvl>
    <w:lvl w:ilvl="6">
      <w:start w:val="0"/>
      <w:numFmt w:val="bullet"/>
      <w:lvlText w:val="•"/>
      <w:lvlJc w:val="left"/>
      <w:pPr>
        <w:ind w:left="1288" w:hanging="272"/>
      </w:pPr>
      <w:rPr>
        <w:rFonts w:hint="default"/>
        <w:lang w:val="zh-CN" w:eastAsia="zh-CN" w:bidi="zh-CN"/>
      </w:rPr>
    </w:lvl>
    <w:lvl w:ilvl="7">
      <w:start w:val="0"/>
      <w:numFmt w:val="bullet"/>
      <w:lvlText w:val="•"/>
      <w:lvlJc w:val="left"/>
      <w:pPr>
        <w:ind w:left="1486" w:hanging="272"/>
      </w:pPr>
      <w:rPr>
        <w:rFonts w:hint="default"/>
        <w:lang w:val="zh-CN" w:eastAsia="zh-CN" w:bidi="zh-CN"/>
      </w:rPr>
    </w:lvl>
    <w:lvl w:ilvl="8">
      <w:start w:val="0"/>
      <w:numFmt w:val="bullet"/>
      <w:lvlText w:val="•"/>
      <w:lvlJc w:val="left"/>
      <w:pPr>
        <w:ind w:left="1684" w:hanging="272"/>
      </w:pPr>
      <w:rPr>
        <w:rFonts w:hint="default"/>
        <w:lang w:val="zh-CN" w:eastAsia="zh-CN" w:bidi="zh-CN"/>
      </w:rPr>
    </w:lvl>
  </w:abstractNum>
  <w:abstractNum w:abstractNumId="38">
    <w:multiLevelType w:val="hybridMultilevel"/>
    <w:lvl w:ilvl="0">
      <w:start w:val="1"/>
      <w:numFmt w:val="decimal"/>
      <w:lvlText w:val="%1"/>
      <w:lvlJc w:val="left"/>
      <w:pPr>
        <w:ind w:left="107" w:hanging="272"/>
        <w:jc w:val="left"/>
      </w:pPr>
      <w:rPr>
        <w:rFonts w:hint="default" w:ascii="宋体" w:hAnsi="宋体" w:eastAsia="宋体" w:cs="宋体"/>
        <w:w w:val="100"/>
        <w:sz w:val="24"/>
        <w:szCs w:val="24"/>
        <w:lang w:val="zh-CN" w:eastAsia="zh-CN" w:bidi="zh-CN"/>
      </w:rPr>
    </w:lvl>
    <w:lvl w:ilvl="1">
      <w:start w:val="0"/>
      <w:numFmt w:val="bullet"/>
      <w:lvlText w:val="•"/>
      <w:lvlJc w:val="left"/>
      <w:pPr>
        <w:ind w:left="298" w:hanging="272"/>
      </w:pPr>
      <w:rPr>
        <w:rFonts w:hint="default"/>
        <w:lang w:val="zh-CN" w:eastAsia="zh-CN" w:bidi="zh-CN"/>
      </w:rPr>
    </w:lvl>
    <w:lvl w:ilvl="2">
      <w:start w:val="0"/>
      <w:numFmt w:val="bullet"/>
      <w:lvlText w:val="•"/>
      <w:lvlJc w:val="left"/>
      <w:pPr>
        <w:ind w:left="496" w:hanging="272"/>
      </w:pPr>
      <w:rPr>
        <w:rFonts w:hint="default"/>
        <w:lang w:val="zh-CN" w:eastAsia="zh-CN" w:bidi="zh-CN"/>
      </w:rPr>
    </w:lvl>
    <w:lvl w:ilvl="3">
      <w:start w:val="0"/>
      <w:numFmt w:val="bullet"/>
      <w:lvlText w:val="•"/>
      <w:lvlJc w:val="left"/>
      <w:pPr>
        <w:ind w:left="694" w:hanging="272"/>
      </w:pPr>
      <w:rPr>
        <w:rFonts w:hint="default"/>
        <w:lang w:val="zh-CN" w:eastAsia="zh-CN" w:bidi="zh-CN"/>
      </w:rPr>
    </w:lvl>
    <w:lvl w:ilvl="4">
      <w:start w:val="0"/>
      <w:numFmt w:val="bullet"/>
      <w:lvlText w:val="•"/>
      <w:lvlJc w:val="left"/>
      <w:pPr>
        <w:ind w:left="892" w:hanging="272"/>
      </w:pPr>
      <w:rPr>
        <w:rFonts w:hint="default"/>
        <w:lang w:val="zh-CN" w:eastAsia="zh-CN" w:bidi="zh-CN"/>
      </w:rPr>
    </w:lvl>
    <w:lvl w:ilvl="5">
      <w:start w:val="0"/>
      <w:numFmt w:val="bullet"/>
      <w:lvlText w:val="•"/>
      <w:lvlJc w:val="left"/>
      <w:pPr>
        <w:ind w:left="1090" w:hanging="272"/>
      </w:pPr>
      <w:rPr>
        <w:rFonts w:hint="default"/>
        <w:lang w:val="zh-CN" w:eastAsia="zh-CN" w:bidi="zh-CN"/>
      </w:rPr>
    </w:lvl>
    <w:lvl w:ilvl="6">
      <w:start w:val="0"/>
      <w:numFmt w:val="bullet"/>
      <w:lvlText w:val="•"/>
      <w:lvlJc w:val="left"/>
      <w:pPr>
        <w:ind w:left="1288" w:hanging="272"/>
      </w:pPr>
      <w:rPr>
        <w:rFonts w:hint="default"/>
        <w:lang w:val="zh-CN" w:eastAsia="zh-CN" w:bidi="zh-CN"/>
      </w:rPr>
    </w:lvl>
    <w:lvl w:ilvl="7">
      <w:start w:val="0"/>
      <w:numFmt w:val="bullet"/>
      <w:lvlText w:val="•"/>
      <w:lvlJc w:val="left"/>
      <w:pPr>
        <w:ind w:left="1486" w:hanging="272"/>
      </w:pPr>
      <w:rPr>
        <w:rFonts w:hint="default"/>
        <w:lang w:val="zh-CN" w:eastAsia="zh-CN" w:bidi="zh-CN"/>
      </w:rPr>
    </w:lvl>
    <w:lvl w:ilvl="8">
      <w:start w:val="0"/>
      <w:numFmt w:val="bullet"/>
      <w:lvlText w:val="•"/>
      <w:lvlJc w:val="left"/>
      <w:pPr>
        <w:ind w:left="1684" w:hanging="272"/>
      </w:pPr>
      <w:rPr>
        <w:rFonts w:hint="default"/>
        <w:lang w:val="zh-CN" w:eastAsia="zh-CN" w:bidi="zh-CN"/>
      </w:rPr>
    </w:lvl>
  </w:abstractNum>
  <w:abstractNum w:abstractNumId="37">
    <w:multiLevelType w:val="hybridMultilevel"/>
    <w:lvl w:ilvl="0">
      <w:start w:val="4"/>
      <w:numFmt w:val="decimal"/>
      <w:lvlText w:val="%1"/>
      <w:lvlJc w:val="left"/>
      <w:pPr>
        <w:ind w:left="1159" w:hanging="802"/>
        <w:jc w:val="left"/>
      </w:pPr>
      <w:rPr>
        <w:rFonts w:hint="default"/>
        <w:lang w:val="zh-CN" w:eastAsia="zh-CN" w:bidi="zh-CN"/>
      </w:rPr>
    </w:lvl>
    <w:lvl w:ilvl="1">
      <w:start w:val="3"/>
      <w:numFmt w:val="decimal"/>
      <w:lvlText w:val="%1.%2"/>
      <w:lvlJc w:val="left"/>
      <w:pPr>
        <w:ind w:left="1159" w:hanging="802"/>
        <w:jc w:val="left"/>
      </w:pPr>
      <w:rPr>
        <w:rFonts w:hint="default"/>
        <w:lang w:val="zh-CN" w:eastAsia="zh-CN" w:bidi="zh-CN"/>
      </w:rPr>
    </w:lvl>
    <w:lvl w:ilvl="2">
      <w:start w:val="1"/>
      <w:numFmt w:val="decimal"/>
      <w:lvlText w:val="%1.%2.%3"/>
      <w:lvlJc w:val="left"/>
      <w:pPr>
        <w:ind w:left="1159" w:hanging="802"/>
        <w:jc w:val="left"/>
      </w:pPr>
      <w:rPr>
        <w:rFonts w:hint="default" w:ascii="宋体" w:hAnsi="宋体" w:eastAsia="宋体" w:cs="宋体"/>
        <w:spacing w:val="-2"/>
        <w:w w:val="99"/>
        <w:sz w:val="30"/>
        <w:szCs w:val="30"/>
        <w:lang w:val="zh-CN" w:eastAsia="zh-CN" w:bidi="zh-CN"/>
      </w:rPr>
    </w:lvl>
    <w:lvl w:ilvl="3">
      <w:start w:val="1"/>
      <w:numFmt w:val="lowerLetter"/>
      <w:lvlText w:val="%4）"/>
      <w:lvlJc w:val="left"/>
      <w:pPr>
        <w:ind w:left="1477" w:hanging="481"/>
        <w:jc w:val="left"/>
      </w:pPr>
      <w:rPr>
        <w:rFonts w:hint="default" w:ascii="宋体" w:hAnsi="宋体" w:eastAsia="宋体" w:cs="宋体"/>
        <w:spacing w:val="0"/>
        <w:w w:val="99"/>
        <w:sz w:val="30"/>
        <w:szCs w:val="30"/>
        <w:lang w:val="zh-CN" w:eastAsia="zh-CN" w:bidi="zh-CN"/>
      </w:rPr>
    </w:lvl>
    <w:lvl w:ilvl="4">
      <w:start w:val="0"/>
      <w:numFmt w:val="bullet"/>
      <w:lvlText w:val="•"/>
      <w:lvlJc w:val="left"/>
      <w:pPr>
        <w:ind w:left="4315" w:hanging="481"/>
      </w:pPr>
      <w:rPr>
        <w:rFonts w:hint="default"/>
        <w:lang w:val="zh-CN" w:eastAsia="zh-CN" w:bidi="zh-CN"/>
      </w:rPr>
    </w:lvl>
    <w:lvl w:ilvl="5">
      <w:start w:val="0"/>
      <w:numFmt w:val="bullet"/>
      <w:lvlText w:val="•"/>
      <w:lvlJc w:val="left"/>
      <w:pPr>
        <w:ind w:left="5260" w:hanging="481"/>
      </w:pPr>
      <w:rPr>
        <w:rFonts w:hint="default"/>
        <w:lang w:val="zh-CN" w:eastAsia="zh-CN" w:bidi="zh-CN"/>
      </w:rPr>
    </w:lvl>
    <w:lvl w:ilvl="6">
      <w:start w:val="0"/>
      <w:numFmt w:val="bullet"/>
      <w:lvlText w:val="•"/>
      <w:lvlJc w:val="left"/>
      <w:pPr>
        <w:ind w:left="6205" w:hanging="481"/>
      </w:pPr>
      <w:rPr>
        <w:rFonts w:hint="default"/>
        <w:lang w:val="zh-CN" w:eastAsia="zh-CN" w:bidi="zh-CN"/>
      </w:rPr>
    </w:lvl>
    <w:lvl w:ilvl="7">
      <w:start w:val="0"/>
      <w:numFmt w:val="bullet"/>
      <w:lvlText w:val="•"/>
      <w:lvlJc w:val="left"/>
      <w:pPr>
        <w:ind w:left="7150" w:hanging="481"/>
      </w:pPr>
      <w:rPr>
        <w:rFonts w:hint="default"/>
        <w:lang w:val="zh-CN" w:eastAsia="zh-CN" w:bidi="zh-CN"/>
      </w:rPr>
    </w:lvl>
    <w:lvl w:ilvl="8">
      <w:start w:val="0"/>
      <w:numFmt w:val="bullet"/>
      <w:lvlText w:val="•"/>
      <w:lvlJc w:val="left"/>
      <w:pPr>
        <w:ind w:left="8095" w:hanging="481"/>
      </w:pPr>
      <w:rPr>
        <w:rFonts w:hint="default"/>
        <w:lang w:val="zh-CN" w:eastAsia="zh-CN" w:bidi="zh-CN"/>
      </w:rPr>
    </w:lvl>
  </w:abstractNum>
  <w:abstractNum w:abstractNumId="36">
    <w:multiLevelType w:val="hybridMultilevel"/>
    <w:lvl w:ilvl="0">
      <w:start w:val="4"/>
      <w:numFmt w:val="decimal"/>
      <w:lvlText w:val="%1"/>
      <w:lvlJc w:val="left"/>
      <w:pPr>
        <w:ind w:left="358" w:hanging="802"/>
        <w:jc w:val="left"/>
      </w:pPr>
      <w:rPr>
        <w:rFonts w:hint="default"/>
        <w:lang w:val="zh-CN" w:eastAsia="zh-CN" w:bidi="zh-CN"/>
      </w:rPr>
    </w:lvl>
    <w:lvl w:ilvl="1">
      <w:start w:val="2"/>
      <w:numFmt w:val="decimal"/>
      <w:lvlText w:val="%1.%2"/>
      <w:lvlJc w:val="left"/>
      <w:pPr>
        <w:ind w:left="358" w:hanging="802"/>
        <w:jc w:val="left"/>
      </w:pPr>
      <w:rPr>
        <w:rFonts w:hint="default"/>
        <w:lang w:val="zh-CN" w:eastAsia="zh-CN" w:bidi="zh-CN"/>
      </w:rPr>
    </w:lvl>
    <w:lvl w:ilvl="2">
      <w:start w:val="1"/>
      <w:numFmt w:val="decimal"/>
      <w:lvlText w:val="%1.%2.%3"/>
      <w:lvlJc w:val="left"/>
      <w:pPr>
        <w:ind w:left="358" w:hanging="802"/>
        <w:jc w:val="left"/>
      </w:pPr>
      <w:rPr>
        <w:rFonts w:hint="default" w:ascii="宋体" w:hAnsi="宋体" w:eastAsia="宋体" w:cs="宋体"/>
        <w:spacing w:val="-2"/>
        <w:w w:val="99"/>
        <w:sz w:val="30"/>
        <w:szCs w:val="30"/>
        <w:lang w:val="zh-CN" w:eastAsia="zh-CN" w:bidi="zh-CN"/>
      </w:rPr>
    </w:lvl>
    <w:lvl w:ilvl="3">
      <w:start w:val="0"/>
      <w:numFmt w:val="bullet"/>
      <w:lvlText w:val="•"/>
      <w:lvlJc w:val="left"/>
      <w:pPr>
        <w:ind w:left="3247" w:hanging="802"/>
      </w:pPr>
      <w:rPr>
        <w:rFonts w:hint="default"/>
        <w:lang w:val="zh-CN" w:eastAsia="zh-CN" w:bidi="zh-CN"/>
      </w:rPr>
    </w:lvl>
    <w:lvl w:ilvl="4">
      <w:start w:val="0"/>
      <w:numFmt w:val="bullet"/>
      <w:lvlText w:val="•"/>
      <w:lvlJc w:val="left"/>
      <w:pPr>
        <w:ind w:left="4210" w:hanging="802"/>
      </w:pPr>
      <w:rPr>
        <w:rFonts w:hint="default"/>
        <w:lang w:val="zh-CN" w:eastAsia="zh-CN" w:bidi="zh-CN"/>
      </w:rPr>
    </w:lvl>
    <w:lvl w:ilvl="5">
      <w:start w:val="0"/>
      <w:numFmt w:val="bullet"/>
      <w:lvlText w:val="•"/>
      <w:lvlJc w:val="left"/>
      <w:pPr>
        <w:ind w:left="5173" w:hanging="802"/>
      </w:pPr>
      <w:rPr>
        <w:rFonts w:hint="default"/>
        <w:lang w:val="zh-CN" w:eastAsia="zh-CN" w:bidi="zh-CN"/>
      </w:rPr>
    </w:lvl>
    <w:lvl w:ilvl="6">
      <w:start w:val="0"/>
      <w:numFmt w:val="bullet"/>
      <w:lvlText w:val="•"/>
      <w:lvlJc w:val="left"/>
      <w:pPr>
        <w:ind w:left="6135" w:hanging="802"/>
      </w:pPr>
      <w:rPr>
        <w:rFonts w:hint="default"/>
        <w:lang w:val="zh-CN" w:eastAsia="zh-CN" w:bidi="zh-CN"/>
      </w:rPr>
    </w:lvl>
    <w:lvl w:ilvl="7">
      <w:start w:val="0"/>
      <w:numFmt w:val="bullet"/>
      <w:lvlText w:val="•"/>
      <w:lvlJc w:val="left"/>
      <w:pPr>
        <w:ind w:left="7098" w:hanging="802"/>
      </w:pPr>
      <w:rPr>
        <w:rFonts w:hint="default"/>
        <w:lang w:val="zh-CN" w:eastAsia="zh-CN" w:bidi="zh-CN"/>
      </w:rPr>
    </w:lvl>
    <w:lvl w:ilvl="8">
      <w:start w:val="0"/>
      <w:numFmt w:val="bullet"/>
      <w:lvlText w:val="•"/>
      <w:lvlJc w:val="left"/>
      <w:pPr>
        <w:ind w:left="8060" w:hanging="802"/>
      </w:pPr>
      <w:rPr>
        <w:rFonts w:hint="default"/>
        <w:lang w:val="zh-CN" w:eastAsia="zh-CN" w:bidi="zh-CN"/>
      </w:rPr>
    </w:lvl>
  </w:abstractNum>
  <w:abstractNum w:abstractNumId="35">
    <w:multiLevelType w:val="hybridMultilevel"/>
    <w:lvl w:ilvl="0">
      <w:start w:val="7"/>
      <w:numFmt w:val="lowerLetter"/>
      <w:lvlText w:val="%1）"/>
      <w:lvlJc w:val="left"/>
      <w:pPr>
        <w:ind w:left="1477" w:hanging="481"/>
        <w:jc w:val="left"/>
      </w:pPr>
      <w:rPr>
        <w:rFonts w:hint="default" w:ascii="宋体" w:hAnsi="宋体" w:eastAsia="宋体" w:cs="宋体"/>
        <w:spacing w:val="0"/>
        <w:w w:val="99"/>
        <w:sz w:val="30"/>
        <w:szCs w:val="30"/>
        <w:lang w:val="zh-CN" w:eastAsia="zh-CN" w:bidi="zh-CN"/>
      </w:rPr>
    </w:lvl>
    <w:lvl w:ilvl="1">
      <w:start w:val="0"/>
      <w:numFmt w:val="bullet"/>
      <w:lvlText w:val="•"/>
      <w:lvlJc w:val="left"/>
      <w:pPr>
        <w:ind w:left="2330" w:hanging="481"/>
      </w:pPr>
      <w:rPr>
        <w:rFonts w:hint="default"/>
        <w:lang w:val="zh-CN" w:eastAsia="zh-CN" w:bidi="zh-CN"/>
      </w:rPr>
    </w:lvl>
    <w:lvl w:ilvl="2">
      <w:start w:val="0"/>
      <w:numFmt w:val="bullet"/>
      <w:lvlText w:val="•"/>
      <w:lvlJc w:val="left"/>
      <w:pPr>
        <w:ind w:left="3181" w:hanging="481"/>
      </w:pPr>
      <w:rPr>
        <w:rFonts w:hint="default"/>
        <w:lang w:val="zh-CN" w:eastAsia="zh-CN" w:bidi="zh-CN"/>
      </w:rPr>
    </w:lvl>
    <w:lvl w:ilvl="3">
      <w:start w:val="0"/>
      <w:numFmt w:val="bullet"/>
      <w:lvlText w:val="•"/>
      <w:lvlJc w:val="left"/>
      <w:pPr>
        <w:ind w:left="4031" w:hanging="481"/>
      </w:pPr>
      <w:rPr>
        <w:rFonts w:hint="default"/>
        <w:lang w:val="zh-CN" w:eastAsia="zh-CN" w:bidi="zh-CN"/>
      </w:rPr>
    </w:lvl>
    <w:lvl w:ilvl="4">
      <w:start w:val="0"/>
      <w:numFmt w:val="bullet"/>
      <w:lvlText w:val="•"/>
      <w:lvlJc w:val="left"/>
      <w:pPr>
        <w:ind w:left="4882" w:hanging="481"/>
      </w:pPr>
      <w:rPr>
        <w:rFonts w:hint="default"/>
        <w:lang w:val="zh-CN" w:eastAsia="zh-CN" w:bidi="zh-CN"/>
      </w:rPr>
    </w:lvl>
    <w:lvl w:ilvl="5">
      <w:start w:val="0"/>
      <w:numFmt w:val="bullet"/>
      <w:lvlText w:val="•"/>
      <w:lvlJc w:val="left"/>
      <w:pPr>
        <w:ind w:left="5733" w:hanging="481"/>
      </w:pPr>
      <w:rPr>
        <w:rFonts w:hint="default"/>
        <w:lang w:val="zh-CN" w:eastAsia="zh-CN" w:bidi="zh-CN"/>
      </w:rPr>
    </w:lvl>
    <w:lvl w:ilvl="6">
      <w:start w:val="0"/>
      <w:numFmt w:val="bullet"/>
      <w:lvlText w:val="•"/>
      <w:lvlJc w:val="left"/>
      <w:pPr>
        <w:ind w:left="6583" w:hanging="481"/>
      </w:pPr>
      <w:rPr>
        <w:rFonts w:hint="default"/>
        <w:lang w:val="zh-CN" w:eastAsia="zh-CN" w:bidi="zh-CN"/>
      </w:rPr>
    </w:lvl>
    <w:lvl w:ilvl="7">
      <w:start w:val="0"/>
      <w:numFmt w:val="bullet"/>
      <w:lvlText w:val="•"/>
      <w:lvlJc w:val="left"/>
      <w:pPr>
        <w:ind w:left="7434" w:hanging="481"/>
      </w:pPr>
      <w:rPr>
        <w:rFonts w:hint="default"/>
        <w:lang w:val="zh-CN" w:eastAsia="zh-CN" w:bidi="zh-CN"/>
      </w:rPr>
    </w:lvl>
    <w:lvl w:ilvl="8">
      <w:start w:val="0"/>
      <w:numFmt w:val="bullet"/>
      <w:lvlText w:val="•"/>
      <w:lvlJc w:val="left"/>
      <w:pPr>
        <w:ind w:left="8284" w:hanging="481"/>
      </w:pPr>
      <w:rPr>
        <w:rFonts w:hint="default"/>
        <w:lang w:val="zh-CN" w:eastAsia="zh-CN" w:bidi="zh-CN"/>
      </w:rPr>
    </w:lvl>
  </w:abstractNum>
  <w:abstractNum w:abstractNumId="34">
    <w:multiLevelType w:val="hybridMultilevel"/>
    <w:lvl w:ilvl="0">
      <w:start w:val="4"/>
      <w:numFmt w:val="lowerLetter"/>
      <w:lvlText w:val="%1）"/>
      <w:lvlJc w:val="left"/>
      <w:pPr>
        <w:ind w:left="1477" w:hanging="481"/>
        <w:jc w:val="left"/>
      </w:pPr>
      <w:rPr>
        <w:rFonts w:hint="default" w:ascii="宋体" w:hAnsi="宋体" w:eastAsia="宋体" w:cs="宋体"/>
        <w:spacing w:val="0"/>
        <w:w w:val="99"/>
        <w:sz w:val="30"/>
        <w:szCs w:val="30"/>
        <w:lang w:val="zh-CN" w:eastAsia="zh-CN" w:bidi="zh-CN"/>
      </w:rPr>
    </w:lvl>
    <w:lvl w:ilvl="1">
      <w:start w:val="0"/>
      <w:numFmt w:val="bullet"/>
      <w:lvlText w:val="•"/>
      <w:lvlJc w:val="left"/>
      <w:pPr>
        <w:ind w:left="2330" w:hanging="481"/>
      </w:pPr>
      <w:rPr>
        <w:rFonts w:hint="default"/>
        <w:lang w:val="zh-CN" w:eastAsia="zh-CN" w:bidi="zh-CN"/>
      </w:rPr>
    </w:lvl>
    <w:lvl w:ilvl="2">
      <w:start w:val="0"/>
      <w:numFmt w:val="bullet"/>
      <w:lvlText w:val="•"/>
      <w:lvlJc w:val="left"/>
      <w:pPr>
        <w:ind w:left="3181" w:hanging="481"/>
      </w:pPr>
      <w:rPr>
        <w:rFonts w:hint="default"/>
        <w:lang w:val="zh-CN" w:eastAsia="zh-CN" w:bidi="zh-CN"/>
      </w:rPr>
    </w:lvl>
    <w:lvl w:ilvl="3">
      <w:start w:val="0"/>
      <w:numFmt w:val="bullet"/>
      <w:lvlText w:val="•"/>
      <w:lvlJc w:val="left"/>
      <w:pPr>
        <w:ind w:left="4031" w:hanging="481"/>
      </w:pPr>
      <w:rPr>
        <w:rFonts w:hint="default"/>
        <w:lang w:val="zh-CN" w:eastAsia="zh-CN" w:bidi="zh-CN"/>
      </w:rPr>
    </w:lvl>
    <w:lvl w:ilvl="4">
      <w:start w:val="0"/>
      <w:numFmt w:val="bullet"/>
      <w:lvlText w:val="•"/>
      <w:lvlJc w:val="left"/>
      <w:pPr>
        <w:ind w:left="4882" w:hanging="481"/>
      </w:pPr>
      <w:rPr>
        <w:rFonts w:hint="default"/>
        <w:lang w:val="zh-CN" w:eastAsia="zh-CN" w:bidi="zh-CN"/>
      </w:rPr>
    </w:lvl>
    <w:lvl w:ilvl="5">
      <w:start w:val="0"/>
      <w:numFmt w:val="bullet"/>
      <w:lvlText w:val="•"/>
      <w:lvlJc w:val="left"/>
      <w:pPr>
        <w:ind w:left="5733" w:hanging="481"/>
      </w:pPr>
      <w:rPr>
        <w:rFonts w:hint="default"/>
        <w:lang w:val="zh-CN" w:eastAsia="zh-CN" w:bidi="zh-CN"/>
      </w:rPr>
    </w:lvl>
    <w:lvl w:ilvl="6">
      <w:start w:val="0"/>
      <w:numFmt w:val="bullet"/>
      <w:lvlText w:val="•"/>
      <w:lvlJc w:val="left"/>
      <w:pPr>
        <w:ind w:left="6583" w:hanging="481"/>
      </w:pPr>
      <w:rPr>
        <w:rFonts w:hint="default"/>
        <w:lang w:val="zh-CN" w:eastAsia="zh-CN" w:bidi="zh-CN"/>
      </w:rPr>
    </w:lvl>
    <w:lvl w:ilvl="7">
      <w:start w:val="0"/>
      <w:numFmt w:val="bullet"/>
      <w:lvlText w:val="•"/>
      <w:lvlJc w:val="left"/>
      <w:pPr>
        <w:ind w:left="7434" w:hanging="481"/>
      </w:pPr>
      <w:rPr>
        <w:rFonts w:hint="default"/>
        <w:lang w:val="zh-CN" w:eastAsia="zh-CN" w:bidi="zh-CN"/>
      </w:rPr>
    </w:lvl>
    <w:lvl w:ilvl="8">
      <w:start w:val="0"/>
      <w:numFmt w:val="bullet"/>
      <w:lvlText w:val="•"/>
      <w:lvlJc w:val="left"/>
      <w:pPr>
        <w:ind w:left="8284" w:hanging="481"/>
      </w:pPr>
      <w:rPr>
        <w:rFonts w:hint="default"/>
        <w:lang w:val="zh-CN" w:eastAsia="zh-CN" w:bidi="zh-CN"/>
      </w:rPr>
    </w:lvl>
  </w:abstractNum>
  <w:abstractNum w:abstractNumId="33">
    <w:multiLevelType w:val="hybridMultilevel"/>
    <w:lvl w:ilvl="0">
      <w:start w:val="1"/>
      <w:numFmt w:val="decimal"/>
      <w:lvlText w:val="%1"/>
      <w:lvlJc w:val="left"/>
      <w:pPr>
        <w:ind w:left="677" w:hanging="320"/>
        <w:jc w:val="left"/>
      </w:pPr>
      <w:rPr>
        <w:rFonts w:hint="default" w:ascii="宋体" w:hAnsi="宋体" w:eastAsia="宋体" w:cs="宋体"/>
        <w:w w:val="99"/>
        <w:sz w:val="32"/>
        <w:szCs w:val="32"/>
        <w:lang w:val="zh-CN" w:eastAsia="zh-CN" w:bidi="zh-CN"/>
      </w:rPr>
    </w:lvl>
    <w:lvl w:ilvl="1">
      <w:start w:val="1"/>
      <w:numFmt w:val="decimal"/>
      <w:lvlText w:val="%1.%2"/>
      <w:lvlJc w:val="left"/>
      <w:pPr>
        <w:ind w:left="1001" w:hanging="644"/>
        <w:jc w:val="left"/>
      </w:pPr>
      <w:rPr>
        <w:rFonts w:hint="default" w:ascii="宋体" w:hAnsi="宋体" w:eastAsia="宋体" w:cs="宋体"/>
        <w:b/>
        <w:bCs/>
        <w:spacing w:val="0"/>
        <w:w w:val="98"/>
        <w:sz w:val="32"/>
        <w:szCs w:val="32"/>
        <w:lang w:val="zh-CN" w:eastAsia="zh-CN" w:bidi="zh-CN"/>
      </w:rPr>
    </w:lvl>
    <w:lvl w:ilvl="2">
      <w:start w:val="1"/>
      <w:numFmt w:val="lowerLetter"/>
      <w:lvlText w:val="%3）"/>
      <w:lvlJc w:val="left"/>
      <w:pPr>
        <w:ind w:left="1477" w:hanging="481"/>
        <w:jc w:val="left"/>
      </w:pPr>
      <w:rPr>
        <w:rFonts w:hint="default" w:ascii="宋体" w:hAnsi="宋体" w:eastAsia="宋体" w:cs="宋体"/>
        <w:spacing w:val="0"/>
        <w:w w:val="99"/>
        <w:sz w:val="30"/>
        <w:szCs w:val="30"/>
        <w:lang w:val="zh-CN" w:eastAsia="zh-CN" w:bidi="zh-CN"/>
      </w:rPr>
    </w:lvl>
    <w:lvl w:ilvl="3">
      <w:start w:val="0"/>
      <w:numFmt w:val="bullet"/>
      <w:lvlText w:val="•"/>
      <w:lvlJc w:val="left"/>
      <w:pPr>
        <w:ind w:left="2543" w:hanging="481"/>
      </w:pPr>
      <w:rPr>
        <w:rFonts w:hint="default"/>
        <w:lang w:val="zh-CN" w:eastAsia="zh-CN" w:bidi="zh-CN"/>
      </w:rPr>
    </w:lvl>
    <w:lvl w:ilvl="4">
      <w:start w:val="0"/>
      <w:numFmt w:val="bullet"/>
      <w:lvlText w:val="•"/>
      <w:lvlJc w:val="left"/>
      <w:pPr>
        <w:ind w:left="3606" w:hanging="481"/>
      </w:pPr>
      <w:rPr>
        <w:rFonts w:hint="default"/>
        <w:lang w:val="zh-CN" w:eastAsia="zh-CN" w:bidi="zh-CN"/>
      </w:rPr>
    </w:lvl>
    <w:lvl w:ilvl="5">
      <w:start w:val="0"/>
      <w:numFmt w:val="bullet"/>
      <w:lvlText w:val="•"/>
      <w:lvlJc w:val="left"/>
      <w:pPr>
        <w:ind w:left="4669" w:hanging="481"/>
      </w:pPr>
      <w:rPr>
        <w:rFonts w:hint="default"/>
        <w:lang w:val="zh-CN" w:eastAsia="zh-CN" w:bidi="zh-CN"/>
      </w:rPr>
    </w:lvl>
    <w:lvl w:ilvl="6">
      <w:start w:val="0"/>
      <w:numFmt w:val="bullet"/>
      <w:lvlText w:val="•"/>
      <w:lvlJc w:val="left"/>
      <w:pPr>
        <w:ind w:left="5733" w:hanging="481"/>
      </w:pPr>
      <w:rPr>
        <w:rFonts w:hint="default"/>
        <w:lang w:val="zh-CN" w:eastAsia="zh-CN" w:bidi="zh-CN"/>
      </w:rPr>
    </w:lvl>
    <w:lvl w:ilvl="7">
      <w:start w:val="0"/>
      <w:numFmt w:val="bullet"/>
      <w:lvlText w:val="•"/>
      <w:lvlJc w:val="left"/>
      <w:pPr>
        <w:ind w:left="6796" w:hanging="481"/>
      </w:pPr>
      <w:rPr>
        <w:rFonts w:hint="default"/>
        <w:lang w:val="zh-CN" w:eastAsia="zh-CN" w:bidi="zh-CN"/>
      </w:rPr>
    </w:lvl>
    <w:lvl w:ilvl="8">
      <w:start w:val="0"/>
      <w:numFmt w:val="bullet"/>
      <w:lvlText w:val="•"/>
      <w:lvlJc w:val="left"/>
      <w:pPr>
        <w:ind w:left="7859" w:hanging="481"/>
      </w:pPr>
      <w:rPr>
        <w:rFonts w:hint="default"/>
        <w:lang w:val="zh-CN" w:eastAsia="zh-CN" w:bidi="zh-CN"/>
      </w:rPr>
    </w:lvl>
  </w:abstractNum>
  <w:abstractNum w:abstractNumId="32">
    <w:multiLevelType w:val="hybridMultilevel"/>
    <w:lvl w:ilvl="0">
      <w:start w:val="1"/>
      <w:numFmt w:val="decimal"/>
      <w:lvlText w:val="（%1）"/>
      <w:lvlJc w:val="left"/>
      <w:pPr>
        <w:ind w:left="526" w:hanging="800"/>
        <w:jc w:val="left"/>
      </w:pPr>
      <w:rPr>
        <w:rFonts w:hint="default" w:ascii="宋体" w:hAnsi="宋体" w:eastAsia="宋体" w:cs="宋体"/>
        <w:spacing w:val="-22"/>
        <w:w w:val="99"/>
        <w:sz w:val="30"/>
        <w:szCs w:val="30"/>
        <w:lang w:val="zh-CN" w:eastAsia="zh-CN" w:bidi="zh-CN"/>
      </w:rPr>
    </w:lvl>
    <w:lvl w:ilvl="1">
      <w:start w:val="0"/>
      <w:numFmt w:val="bullet"/>
      <w:lvlText w:val="•"/>
      <w:lvlJc w:val="left"/>
      <w:pPr>
        <w:ind w:left="1466" w:hanging="800"/>
      </w:pPr>
      <w:rPr>
        <w:rFonts w:hint="default"/>
        <w:lang w:val="zh-CN" w:eastAsia="zh-CN" w:bidi="zh-CN"/>
      </w:rPr>
    </w:lvl>
    <w:lvl w:ilvl="2">
      <w:start w:val="0"/>
      <w:numFmt w:val="bullet"/>
      <w:lvlText w:val="•"/>
      <w:lvlJc w:val="left"/>
      <w:pPr>
        <w:ind w:left="2413" w:hanging="800"/>
      </w:pPr>
      <w:rPr>
        <w:rFonts w:hint="default"/>
        <w:lang w:val="zh-CN" w:eastAsia="zh-CN" w:bidi="zh-CN"/>
      </w:rPr>
    </w:lvl>
    <w:lvl w:ilvl="3">
      <w:start w:val="0"/>
      <w:numFmt w:val="bullet"/>
      <w:lvlText w:val="•"/>
      <w:lvlJc w:val="left"/>
      <w:pPr>
        <w:ind w:left="3359" w:hanging="800"/>
      </w:pPr>
      <w:rPr>
        <w:rFonts w:hint="default"/>
        <w:lang w:val="zh-CN" w:eastAsia="zh-CN" w:bidi="zh-CN"/>
      </w:rPr>
    </w:lvl>
    <w:lvl w:ilvl="4">
      <w:start w:val="0"/>
      <w:numFmt w:val="bullet"/>
      <w:lvlText w:val="•"/>
      <w:lvlJc w:val="left"/>
      <w:pPr>
        <w:ind w:left="4306" w:hanging="800"/>
      </w:pPr>
      <w:rPr>
        <w:rFonts w:hint="default"/>
        <w:lang w:val="zh-CN" w:eastAsia="zh-CN" w:bidi="zh-CN"/>
      </w:rPr>
    </w:lvl>
    <w:lvl w:ilvl="5">
      <w:start w:val="0"/>
      <w:numFmt w:val="bullet"/>
      <w:lvlText w:val="•"/>
      <w:lvlJc w:val="left"/>
      <w:pPr>
        <w:ind w:left="5253" w:hanging="800"/>
      </w:pPr>
      <w:rPr>
        <w:rFonts w:hint="default"/>
        <w:lang w:val="zh-CN" w:eastAsia="zh-CN" w:bidi="zh-CN"/>
      </w:rPr>
    </w:lvl>
    <w:lvl w:ilvl="6">
      <w:start w:val="0"/>
      <w:numFmt w:val="bullet"/>
      <w:lvlText w:val="•"/>
      <w:lvlJc w:val="left"/>
      <w:pPr>
        <w:ind w:left="6199" w:hanging="800"/>
      </w:pPr>
      <w:rPr>
        <w:rFonts w:hint="default"/>
        <w:lang w:val="zh-CN" w:eastAsia="zh-CN" w:bidi="zh-CN"/>
      </w:rPr>
    </w:lvl>
    <w:lvl w:ilvl="7">
      <w:start w:val="0"/>
      <w:numFmt w:val="bullet"/>
      <w:lvlText w:val="•"/>
      <w:lvlJc w:val="left"/>
      <w:pPr>
        <w:ind w:left="7146" w:hanging="800"/>
      </w:pPr>
      <w:rPr>
        <w:rFonts w:hint="default"/>
        <w:lang w:val="zh-CN" w:eastAsia="zh-CN" w:bidi="zh-CN"/>
      </w:rPr>
    </w:lvl>
    <w:lvl w:ilvl="8">
      <w:start w:val="0"/>
      <w:numFmt w:val="bullet"/>
      <w:lvlText w:val="•"/>
      <w:lvlJc w:val="left"/>
      <w:pPr>
        <w:ind w:left="8092" w:hanging="800"/>
      </w:pPr>
      <w:rPr>
        <w:rFonts w:hint="default"/>
        <w:lang w:val="zh-CN" w:eastAsia="zh-CN" w:bidi="zh-CN"/>
      </w:rPr>
    </w:lvl>
  </w:abstractNum>
  <w:abstractNum w:abstractNumId="31">
    <w:multiLevelType w:val="hybridMultilevel"/>
    <w:lvl w:ilvl="0">
      <w:start w:val="1"/>
      <w:numFmt w:val="decimal"/>
      <w:lvlText w:val="（%1）"/>
      <w:lvlJc w:val="left"/>
      <w:pPr>
        <w:ind w:left="526" w:hanging="800"/>
        <w:jc w:val="left"/>
      </w:pPr>
      <w:rPr>
        <w:rFonts w:hint="default" w:ascii="宋体" w:hAnsi="宋体" w:eastAsia="宋体" w:cs="宋体"/>
        <w:spacing w:val="-82"/>
        <w:w w:val="99"/>
        <w:sz w:val="30"/>
        <w:szCs w:val="30"/>
        <w:lang w:val="zh-CN" w:eastAsia="zh-CN" w:bidi="zh-CN"/>
      </w:rPr>
    </w:lvl>
    <w:lvl w:ilvl="1">
      <w:start w:val="0"/>
      <w:numFmt w:val="bullet"/>
      <w:lvlText w:val="•"/>
      <w:lvlJc w:val="left"/>
      <w:pPr>
        <w:ind w:left="1466" w:hanging="800"/>
      </w:pPr>
      <w:rPr>
        <w:rFonts w:hint="default"/>
        <w:lang w:val="zh-CN" w:eastAsia="zh-CN" w:bidi="zh-CN"/>
      </w:rPr>
    </w:lvl>
    <w:lvl w:ilvl="2">
      <w:start w:val="0"/>
      <w:numFmt w:val="bullet"/>
      <w:lvlText w:val="•"/>
      <w:lvlJc w:val="left"/>
      <w:pPr>
        <w:ind w:left="2413" w:hanging="800"/>
      </w:pPr>
      <w:rPr>
        <w:rFonts w:hint="default"/>
        <w:lang w:val="zh-CN" w:eastAsia="zh-CN" w:bidi="zh-CN"/>
      </w:rPr>
    </w:lvl>
    <w:lvl w:ilvl="3">
      <w:start w:val="0"/>
      <w:numFmt w:val="bullet"/>
      <w:lvlText w:val="•"/>
      <w:lvlJc w:val="left"/>
      <w:pPr>
        <w:ind w:left="3359" w:hanging="800"/>
      </w:pPr>
      <w:rPr>
        <w:rFonts w:hint="default"/>
        <w:lang w:val="zh-CN" w:eastAsia="zh-CN" w:bidi="zh-CN"/>
      </w:rPr>
    </w:lvl>
    <w:lvl w:ilvl="4">
      <w:start w:val="0"/>
      <w:numFmt w:val="bullet"/>
      <w:lvlText w:val="•"/>
      <w:lvlJc w:val="left"/>
      <w:pPr>
        <w:ind w:left="4306" w:hanging="800"/>
      </w:pPr>
      <w:rPr>
        <w:rFonts w:hint="default"/>
        <w:lang w:val="zh-CN" w:eastAsia="zh-CN" w:bidi="zh-CN"/>
      </w:rPr>
    </w:lvl>
    <w:lvl w:ilvl="5">
      <w:start w:val="0"/>
      <w:numFmt w:val="bullet"/>
      <w:lvlText w:val="•"/>
      <w:lvlJc w:val="left"/>
      <w:pPr>
        <w:ind w:left="5253" w:hanging="800"/>
      </w:pPr>
      <w:rPr>
        <w:rFonts w:hint="default"/>
        <w:lang w:val="zh-CN" w:eastAsia="zh-CN" w:bidi="zh-CN"/>
      </w:rPr>
    </w:lvl>
    <w:lvl w:ilvl="6">
      <w:start w:val="0"/>
      <w:numFmt w:val="bullet"/>
      <w:lvlText w:val="•"/>
      <w:lvlJc w:val="left"/>
      <w:pPr>
        <w:ind w:left="6199" w:hanging="800"/>
      </w:pPr>
      <w:rPr>
        <w:rFonts w:hint="default"/>
        <w:lang w:val="zh-CN" w:eastAsia="zh-CN" w:bidi="zh-CN"/>
      </w:rPr>
    </w:lvl>
    <w:lvl w:ilvl="7">
      <w:start w:val="0"/>
      <w:numFmt w:val="bullet"/>
      <w:lvlText w:val="•"/>
      <w:lvlJc w:val="left"/>
      <w:pPr>
        <w:ind w:left="7146" w:hanging="800"/>
      </w:pPr>
      <w:rPr>
        <w:rFonts w:hint="default"/>
        <w:lang w:val="zh-CN" w:eastAsia="zh-CN" w:bidi="zh-CN"/>
      </w:rPr>
    </w:lvl>
    <w:lvl w:ilvl="8">
      <w:start w:val="0"/>
      <w:numFmt w:val="bullet"/>
      <w:lvlText w:val="•"/>
      <w:lvlJc w:val="left"/>
      <w:pPr>
        <w:ind w:left="8092" w:hanging="800"/>
      </w:pPr>
      <w:rPr>
        <w:rFonts w:hint="default"/>
        <w:lang w:val="zh-CN" w:eastAsia="zh-CN" w:bidi="zh-CN"/>
      </w:rPr>
    </w:lvl>
  </w:abstractNum>
  <w:abstractNum w:abstractNumId="30">
    <w:multiLevelType w:val="hybridMultilevel"/>
    <w:lvl w:ilvl="0">
      <w:start w:val="1"/>
      <w:numFmt w:val="decimal"/>
      <w:lvlText w:val="（%1）"/>
      <w:lvlJc w:val="left"/>
      <w:pPr>
        <w:ind w:left="526" w:hanging="800"/>
        <w:jc w:val="left"/>
      </w:pPr>
      <w:rPr>
        <w:rFonts w:hint="default" w:ascii="宋体" w:hAnsi="宋体" w:eastAsia="宋体" w:cs="宋体"/>
        <w:spacing w:val="-17"/>
        <w:w w:val="99"/>
        <w:sz w:val="30"/>
        <w:szCs w:val="30"/>
        <w:lang w:val="zh-CN" w:eastAsia="zh-CN" w:bidi="zh-CN"/>
      </w:rPr>
    </w:lvl>
    <w:lvl w:ilvl="1">
      <w:start w:val="0"/>
      <w:numFmt w:val="bullet"/>
      <w:lvlText w:val="•"/>
      <w:lvlJc w:val="left"/>
      <w:pPr>
        <w:ind w:left="1466" w:hanging="800"/>
      </w:pPr>
      <w:rPr>
        <w:rFonts w:hint="default"/>
        <w:lang w:val="zh-CN" w:eastAsia="zh-CN" w:bidi="zh-CN"/>
      </w:rPr>
    </w:lvl>
    <w:lvl w:ilvl="2">
      <w:start w:val="0"/>
      <w:numFmt w:val="bullet"/>
      <w:lvlText w:val="•"/>
      <w:lvlJc w:val="left"/>
      <w:pPr>
        <w:ind w:left="2413" w:hanging="800"/>
      </w:pPr>
      <w:rPr>
        <w:rFonts w:hint="default"/>
        <w:lang w:val="zh-CN" w:eastAsia="zh-CN" w:bidi="zh-CN"/>
      </w:rPr>
    </w:lvl>
    <w:lvl w:ilvl="3">
      <w:start w:val="0"/>
      <w:numFmt w:val="bullet"/>
      <w:lvlText w:val="•"/>
      <w:lvlJc w:val="left"/>
      <w:pPr>
        <w:ind w:left="3359" w:hanging="800"/>
      </w:pPr>
      <w:rPr>
        <w:rFonts w:hint="default"/>
        <w:lang w:val="zh-CN" w:eastAsia="zh-CN" w:bidi="zh-CN"/>
      </w:rPr>
    </w:lvl>
    <w:lvl w:ilvl="4">
      <w:start w:val="0"/>
      <w:numFmt w:val="bullet"/>
      <w:lvlText w:val="•"/>
      <w:lvlJc w:val="left"/>
      <w:pPr>
        <w:ind w:left="4306" w:hanging="800"/>
      </w:pPr>
      <w:rPr>
        <w:rFonts w:hint="default"/>
        <w:lang w:val="zh-CN" w:eastAsia="zh-CN" w:bidi="zh-CN"/>
      </w:rPr>
    </w:lvl>
    <w:lvl w:ilvl="5">
      <w:start w:val="0"/>
      <w:numFmt w:val="bullet"/>
      <w:lvlText w:val="•"/>
      <w:lvlJc w:val="left"/>
      <w:pPr>
        <w:ind w:left="5253" w:hanging="800"/>
      </w:pPr>
      <w:rPr>
        <w:rFonts w:hint="default"/>
        <w:lang w:val="zh-CN" w:eastAsia="zh-CN" w:bidi="zh-CN"/>
      </w:rPr>
    </w:lvl>
    <w:lvl w:ilvl="6">
      <w:start w:val="0"/>
      <w:numFmt w:val="bullet"/>
      <w:lvlText w:val="•"/>
      <w:lvlJc w:val="left"/>
      <w:pPr>
        <w:ind w:left="6199" w:hanging="800"/>
      </w:pPr>
      <w:rPr>
        <w:rFonts w:hint="default"/>
        <w:lang w:val="zh-CN" w:eastAsia="zh-CN" w:bidi="zh-CN"/>
      </w:rPr>
    </w:lvl>
    <w:lvl w:ilvl="7">
      <w:start w:val="0"/>
      <w:numFmt w:val="bullet"/>
      <w:lvlText w:val="•"/>
      <w:lvlJc w:val="left"/>
      <w:pPr>
        <w:ind w:left="7146" w:hanging="800"/>
      </w:pPr>
      <w:rPr>
        <w:rFonts w:hint="default"/>
        <w:lang w:val="zh-CN" w:eastAsia="zh-CN" w:bidi="zh-CN"/>
      </w:rPr>
    </w:lvl>
    <w:lvl w:ilvl="8">
      <w:start w:val="0"/>
      <w:numFmt w:val="bullet"/>
      <w:lvlText w:val="•"/>
      <w:lvlJc w:val="left"/>
      <w:pPr>
        <w:ind w:left="8092" w:hanging="800"/>
      </w:pPr>
      <w:rPr>
        <w:rFonts w:hint="default"/>
        <w:lang w:val="zh-CN" w:eastAsia="zh-CN" w:bidi="zh-CN"/>
      </w:rPr>
    </w:lvl>
  </w:abstractNum>
  <w:abstractNum w:abstractNumId="29">
    <w:multiLevelType w:val="hybridMultilevel"/>
    <w:lvl w:ilvl="0">
      <w:start w:val="3"/>
      <w:numFmt w:val="decimal"/>
      <w:lvlText w:val="%1."/>
      <w:lvlJc w:val="left"/>
      <w:pPr>
        <w:ind w:left="1322" w:hanging="241"/>
        <w:jc w:val="left"/>
      </w:pPr>
      <w:rPr>
        <w:rFonts w:hint="default" w:ascii="宋体" w:hAnsi="宋体" w:eastAsia="宋体" w:cs="宋体"/>
        <w:w w:val="100"/>
        <w:sz w:val="22"/>
        <w:szCs w:val="22"/>
        <w:lang w:val="zh-CN" w:eastAsia="zh-CN" w:bidi="zh-CN"/>
      </w:rPr>
    </w:lvl>
    <w:lvl w:ilvl="1">
      <w:start w:val="3"/>
      <w:numFmt w:val="decimal"/>
      <w:lvlText w:val="%2."/>
      <w:lvlJc w:val="left"/>
      <w:pPr>
        <w:ind w:left="1661" w:hanging="241"/>
        <w:jc w:val="left"/>
      </w:pPr>
      <w:rPr>
        <w:rFonts w:hint="default" w:ascii="宋体" w:hAnsi="宋体" w:eastAsia="宋体" w:cs="宋体"/>
        <w:w w:val="100"/>
        <w:sz w:val="22"/>
        <w:szCs w:val="22"/>
        <w:lang w:val="zh-CN" w:eastAsia="zh-CN" w:bidi="zh-CN"/>
      </w:rPr>
    </w:lvl>
    <w:lvl w:ilvl="2">
      <w:start w:val="0"/>
      <w:numFmt w:val="bullet"/>
      <w:lvlText w:val="•"/>
      <w:lvlJc w:val="left"/>
      <w:pPr>
        <w:ind w:left="3193" w:hanging="241"/>
      </w:pPr>
      <w:rPr>
        <w:rFonts w:hint="default"/>
        <w:lang w:val="zh-CN" w:eastAsia="zh-CN" w:bidi="zh-CN"/>
      </w:rPr>
    </w:lvl>
    <w:lvl w:ilvl="3">
      <w:start w:val="0"/>
      <w:numFmt w:val="bullet"/>
      <w:lvlText w:val="•"/>
      <w:lvlJc w:val="left"/>
      <w:pPr>
        <w:ind w:left="4726" w:hanging="241"/>
      </w:pPr>
      <w:rPr>
        <w:rFonts w:hint="default"/>
        <w:lang w:val="zh-CN" w:eastAsia="zh-CN" w:bidi="zh-CN"/>
      </w:rPr>
    </w:lvl>
    <w:lvl w:ilvl="4">
      <w:start w:val="0"/>
      <w:numFmt w:val="bullet"/>
      <w:lvlText w:val="•"/>
      <w:lvlJc w:val="left"/>
      <w:pPr>
        <w:ind w:left="6259" w:hanging="241"/>
      </w:pPr>
      <w:rPr>
        <w:rFonts w:hint="default"/>
        <w:lang w:val="zh-CN" w:eastAsia="zh-CN" w:bidi="zh-CN"/>
      </w:rPr>
    </w:lvl>
    <w:lvl w:ilvl="5">
      <w:start w:val="0"/>
      <w:numFmt w:val="bullet"/>
      <w:lvlText w:val="•"/>
      <w:lvlJc w:val="left"/>
      <w:pPr>
        <w:ind w:left="7792" w:hanging="241"/>
      </w:pPr>
      <w:rPr>
        <w:rFonts w:hint="default"/>
        <w:lang w:val="zh-CN" w:eastAsia="zh-CN" w:bidi="zh-CN"/>
      </w:rPr>
    </w:lvl>
    <w:lvl w:ilvl="6">
      <w:start w:val="0"/>
      <w:numFmt w:val="bullet"/>
      <w:lvlText w:val="•"/>
      <w:lvlJc w:val="left"/>
      <w:pPr>
        <w:ind w:left="9325" w:hanging="241"/>
      </w:pPr>
      <w:rPr>
        <w:rFonts w:hint="default"/>
        <w:lang w:val="zh-CN" w:eastAsia="zh-CN" w:bidi="zh-CN"/>
      </w:rPr>
    </w:lvl>
    <w:lvl w:ilvl="7">
      <w:start w:val="0"/>
      <w:numFmt w:val="bullet"/>
      <w:lvlText w:val="•"/>
      <w:lvlJc w:val="left"/>
      <w:pPr>
        <w:ind w:left="10858" w:hanging="241"/>
      </w:pPr>
      <w:rPr>
        <w:rFonts w:hint="default"/>
        <w:lang w:val="zh-CN" w:eastAsia="zh-CN" w:bidi="zh-CN"/>
      </w:rPr>
    </w:lvl>
    <w:lvl w:ilvl="8">
      <w:start w:val="0"/>
      <w:numFmt w:val="bullet"/>
      <w:lvlText w:val="•"/>
      <w:lvlJc w:val="left"/>
      <w:pPr>
        <w:ind w:left="12391" w:hanging="241"/>
      </w:pPr>
      <w:rPr>
        <w:rFonts w:hint="default"/>
        <w:lang w:val="zh-CN" w:eastAsia="zh-CN" w:bidi="zh-CN"/>
      </w:rPr>
    </w:lvl>
  </w:abstractNum>
  <w:abstractNum w:abstractNumId="28">
    <w:multiLevelType w:val="hybridMultilevel"/>
    <w:lvl w:ilvl="0">
      <w:start w:val="3"/>
      <w:numFmt w:val="lowerLetter"/>
      <w:lvlText w:val="%1）"/>
      <w:lvlJc w:val="left"/>
      <w:pPr>
        <w:ind w:left="980" w:hanging="481"/>
        <w:jc w:val="left"/>
      </w:pPr>
      <w:rPr>
        <w:rFonts w:hint="default" w:ascii="宋体" w:hAnsi="宋体" w:eastAsia="宋体" w:cs="宋体"/>
        <w:spacing w:val="-31"/>
        <w:w w:val="99"/>
        <w:sz w:val="30"/>
        <w:szCs w:val="30"/>
        <w:lang w:val="zh-CN" w:eastAsia="zh-CN" w:bidi="zh-CN"/>
      </w:rPr>
    </w:lvl>
    <w:lvl w:ilvl="1">
      <w:start w:val="0"/>
      <w:numFmt w:val="bullet"/>
      <w:lvlText w:val="•"/>
      <w:lvlJc w:val="left"/>
      <w:pPr>
        <w:ind w:left="1804" w:hanging="481"/>
      </w:pPr>
      <w:rPr>
        <w:rFonts w:hint="default"/>
        <w:lang w:val="zh-CN" w:eastAsia="zh-CN" w:bidi="zh-CN"/>
      </w:rPr>
    </w:lvl>
    <w:lvl w:ilvl="2">
      <w:start w:val="0"/>
      <w:numFmt w:val="bullet"/>
      <w:lvlText w:val="•"/>
      <w:lvlJc w:val="left"/>
      <w:pPr>
        <w:ind w:left="2629" w:hanging="481"/>
      </w:pPr>
      <w:rPr>
        <w:rFonts w:hint="default"/>
        <w:lang w:val="zh-CN" w:eastAsia="zh-CN" w:bidi="zh-CN"/>
      </w:rPr>
    </w:lvl>
    <w:lvl w:ilvl="3">
      <w:start w:val="0"/>
      <w:numFmt w:val="bullet"/>
      <w:lvlText w:val="•"/>
      <w:lvlJc w:val="left"/>
      <w:pPr>
        <w:ind w:left="3453" w:hanging="481"/>
      </w:pPr>
      <w:rPr>
        <w:rFonts w:hint="default"/>
        <w:lang w:val="zh-CN" w:eastAsia="zh-CN" w:bidi="zh-CN"/>
      </w:rPr>
    </w:lvl>
    <w:lvl w:ilvl="4">
      <w:start w:val="0"/>
      <w:numFmt w:val="bullet"/>
      <w:lvlText w:val="•"/>
      <w:lvlJc w:val="left"/>
      <w:pPr>
        <w:ind w:left="4278" w:hanging="481"/>
      </w:pPr>
      <w:rPr>
        <w:rFonts w:hint="default"/>
        <w:lang w:val="zh-CN" w:eastAsia="zh-CN" w:bidi="zh-CN"/>
      </w:rPr>
    </w:lvl>
    <w:lvl w:ilvl="5">
      <w:start w:val="0"/>
      <w:numFmt w:val="bullet"/>
      <w:lvlText w:val="•"/>
      <w:lvlJc w:val="left"/>
      <w:pPr>
        <w:ind w:left="5103" w:hanging="481"/>
      </w:pPr>
      <w:rPr>
        <w:rFonts w:hint="default"/>
        <w:lang w:val="zh-CN" w:eastAsia="zh-CN" w:bidi="zh-CN"/>
      </w:rPr>
    </w:lvl>
    <w:lvl w:ilvl="6">
      <w:start w:val="0"/>
      <w:numFmt w:val="bullet"/>
      <w:lvlText w:val="•"/>
      <w:lvlJc w:val="left"/>
      <w:pPr>
        <w:ind w:left="5927" w:hanging="481"/>
      </w:pPr>
      <w:rPr>
        <w:rFonts w:hint="default"/>
        <w:lang w:val="zh-CN" w:eastAsia="zh-CN" w:bidi="zh-CN"/>
      </w:rPr>
    </w:lvl>
    <w:lvl w:ilvl="7">
      <w:start w:val="0"/>
      <w:numFmt w:val="bullet"/>
      <w:lvlText w:val="•"/>
      <w:lvlJc w:val="left"/>
      <w:pPr>
        <w:ind w:left="6752" w:hanging="481"/>
      </w:pPr>
      <w:rPr>
        <w:rFonts w:hint="default"/>
        <w:lang w:val="zh-CN" w:eastAsia="zh-CN" w:bidi="zh-CN"/>
      </w:rPr>
    </w:lvl>
    <w:lvl w:ilvl="8">
      <w:start w:val="0"/>
      <w:numFmt w:val="bullet"/>
      <w:lvlText w:val="•"/>
      <w:lvlJc w:val="left"/>
      <w:pPr>
        <w:ind w:left="7576" w:hanging="481"/>
      </w:pPr>
      <w:rPr>
        <w:rFonts w:hint="default"/>
        <w:lang w:val="zh-CN" w:eastAsia="zh-CN" w:bidi="zh-CN"/>
      </w:rPr>
    </w:lvl>
  </w:abstractNum>
  <w:abstractNum w:abstractNumId="27">
    <w:multiLevelType w:val="hybridMultilevel"/>
    <w:lvl w:ilvl="0">
      <w:start w:val="1"/>
      <w:numFmt w:val="lowerLetter"/>
      <w:lvlText w:val="%1）"/>
      <w:lvlJc w:val="left"/>
      <w:pPr>
        <w:ind w:left="980" w:hanging="481"/>
        <w:jc w:val="left"/>
      </w:pPr>
      <w:rPr>
        <w:rFonts w:hint="default" w:ascii="宋体" w:hAnsi="宋体" w:eastAsia="宋体" w:cs="宋体"/>
        <w:spacing w:val="0"/>
        <w:w w:val="99"/>
        <w:sz w:val="30"/>
        <w:szCs w:val="30"/>
        <w:lang w:val="zh-CN" w:eastAsia="zh-CN" w:bidi="zh-CN"/>
      </w:rPr>
    </w:lvl>
    <w:lvl w:ilvl="1">
      <w:start w:val="0"/>
      <w:numFmt w:val="bullet"/>
      <w:lvlText w:val="•"/>
      <w:lvlJc w:val="left"/>
      <w:pPr>
        <w:ind w:left="1804" w:hanging="481"/>
      </w:pPr>
      <w:rPr>
        <w:rFonts w:hint="default"/>
        <w:lang w:val="zh-CN" w:eastAsia="zh-CN" w:bidi="zh-CN"/>
      </w:rPr>
    </w:lvl>
    <w:lvl w:ilvl="2">
      <w:start w:val="0"/>
      <w:numFmt w:val="bullet"/>
      <w:lvlText w:val="•"/>
      <w:lvlJc w:val="left"/>
      <w:pPr>
        <w:ind w:left="2629" w:hanging="481"/>
      </w:pPr>
      <w:rPr>
        <w:rFonts w:hint="default"/>
        <w:lang w:val="zh-CN" w:eastAsia="zh-CN" w:bidi="zh-CN"/>
      </w:rPr>
    </w:lvl>
    <w:lvl w:ilvl="3">
      <w:start w:val="0"/>
      <w:numFmt w:val="bullet"/>
      <w:lvlText w:val="•"/>
      <w:lvlJc w:val="left"/>
      <w:pPr>
        <w:ind w:left="3453" w:hanging="481"/>
      </w:pPr>
      <w:rPr>
        <w:rFonts w:hint="default"/>
        <w:lang w:val="zh-CN" w:eastAsia="zh-CN" w:bidi="zh-CN"/>
      </w:rPr>
    </w:lvl>
    <w:lvl w:ilvl="4">
      <w:start w:val="0"/>
      <w:numFmt w:val="bullet"/>
      <w:lvlText w:val="•"/>
      <w:lvlJc w:val="left"/>
      <w:pPr>
        <w:ind w:left="4278" w:hanging="481"/>
      </w:pPr>
      <w:rPr>
        <w:rFonts w:hint="default"/>
        <w:lang w:val="zh-CN" w:eastAsia="zh-CN" w:bidi="zh-CN"/>
      </w:rPr>
    </w:lvl>
    <w:lvl w:ilvl="5">
      <w:start w:val="0"/>
      <w:numFmt w:val="bullet"/>
      <w:lvlText w:val="•"/>
      <w:lvlJc w:val="left"/>
      <w:pPr>
        <w:ind w:left="5103" w:hanging="481"/>
      </w:pPr>
      <w:rPr>
        <w:rFonts w:hint="default"/>
        <w:lang w:val="zh-CN" w:eastAsia="zh-CN" w:bidi="zh-CN"/>
      </w:rPr>
    </w:lvl>
    <w:lvl w:ilvl="6">
      <w:start w:val="0"/>
      <w:numFmt w:val="bullet"/>
      <w:lvlText w:val="•"/>
      <w:lvlJc w:val="left"/>
      <w:pPr>
        <w:ind w:left="5927" w:hanging="481"/>
      </w:pPr>
      <w:rPr>
        <w:rFonts w:hint="default"/>
        <w:lang w:val="zh-CN" w:eastAsia="zh-CN" w:bidi="zh-CN"/>
      </w:rPr>
    </w:lvl>
    <w:lvl w:ilvl="7">
      <w:start w:val="0"/>
      <w:numFmt w:val="bullet"/>
      <w:lvlText w:val="•"/>
      <w:lvlJc w:val="left"/>
      <w:pPr>
        <w:ind w:left="6752" w:hanging="481"/>
      </w:pPr>
      <w:rPr>
        <w:rFonts w:hint="default"/>
        <w:lang w:val="zh-CN" w:eastAsia="zh-CN" w:bidi="zh-CN"/>
      </w:rPr>
    </w:lvl>
    <w:lvl w:ilvl="8">
      <w:start w:val="0"/>
      <w:numFmt w:val="bullet"/>
      <w:lvlText w:val="•"/>
      <w:lvlJc w:val="left"/>
      <w:pPr>
        <w:ind w:left="7576" w:hanging="481"/>
      </w:pPr>
      <w:rPr>
        <w:rFonts w:hint="default"/>
        <w:lang w:val="zh-CN" w:eastAsia="zh-CN" w:bidi="zh-CN"/>
      </w:rPr>
    </w:lvl>
  </w:abstractNum>
  <w:abstractNum w:abstractNumId="26">
    <w:multiLevelType w:val="hybridMultilevel"/>
    <w:lvl w:ilvl="0">
      <w:start w:val="1"/>
      <w:numFmt w:val="lowerLetter"/>
      <w:lvlText w:val="%1）"/>
      <w:lvlJc w:val="left"/>
      <w:pPr>
        <w:ind w:left="500" w:hanging="492"/>
        <w:jc w:val="left"/>
      </w:pPr>
      <w:rPr>
        <w:rFonts w:hint="default" w:ascii="宋体" w:hAnsi="宋体" w:eastAsia="宋体" w:cs="宋体"/>
        <w:spacing w:val="6"/>
        <w:w w:val="99"/>
        <w:sz w:val="30"/>
        <w:szCs w:val="30"/>
        <w:lang w:val="zh-CN" w:eastAsia="zh-CN" w:bidi="zh-CN"/>
      </w:rPr>
    </w:lvl>
    <w:lvl w:ilvl="1">
      <w:start w:val="0"/>
      <w:numFmt w:val="bullet"/>
      <w:lvlText w:val="•"/>
      <w:lvlJc w:val="left"/>
      <w:pPr>
        <w:ind w:left="1372" w:hanging="492"/>
      </w:pPr>
      <w:rPr>
        <w:rFonts w:hint="default"/>
        <w:lang w:val="zh-CN" w:eastAsia="zh-CN" w:bidi="zh-CN"/>
      </w:rPr>
    </w:lvl>
    <w:lvl w:ilvl="2">
      <w:start w:val="0"/>
      <w:numFmt w:val="bullet"/>
      <w:lvlText w:val="•"/>
      <w:lvlJc w:val="left"/>
      <w:pPr>
        <w:ind w:left="2245" w:hanging="492"/>
      </w:pPr>
      <w:rPr>
        <w:rFonts w:hint="default"/>
        <w:lang w:val="zh-CN" w:eastAsia="zh-CN" w:bidi="zh-CN"/>
      </w:rPr>
    </w:lvl>
    <w:lvl w:ilvl="3">
      <w:start w:val="0"/>
      <w:numFmt w:val="bullet"/>
      <w:lvlText w:val="•"/>
      <w:lvlJc w:val="left"/>
      <w:pPr>
        <w:ind w:left="3117" w:hanging="492"/>
      </w:pPr>
      <w:rPr>
        <w:rFonts w:hint="default"/>
        <w:lang w:val="zh-CN" w:eastAsia="zh-CN" w:bidi="zh-CN"/>
      </w:rPr>
    </w:lvl>
    <w:lvl w:ilvl="4">
      <w:start w:val="0"/>
      <w:numFmt w:val="bullet"/>
      <w:lvlText w:val="•"/>
      <w:lvlJc w:val="left"/>
      <w:pPr>
        <w:ind w:left="3990" w:hanging="492"/>
      </w:pPr>
      <w:rPr>
        <w:rFonts w:hint="default"/>
        <w:lang w:val="zh-CN" w:eastAsia="zh-CN" w:bidi="zh-CN"/>
      </w:rPr>
    </w:lvl>
    <w:lvl w:ilvl="5">
      <w:start w:val="0"/>
      <w:numFmt w:val="bullet"/>
      <w:lvlText w:val="•"/>
      <w:lvlJc w:val="left"/>
      <w:pPr>
        <w:ind w:left="4863" w:hanging="492"/>
      </w:pPr>
      <w:rPr>
        <w:rFonts w:hint="default"/>
        <w:lang w:val="zh-CN" w:eastAsia="zh-CN" w:bidi="zh-CN"/>
      </w:rPr>
    </w:lvl>
    <w:lvl w:ilvl="6">
      <w:start w:val="0"/>
      <w:numFmt w:val="bullet"/>
      <w:lvlText w:val="•"/>
      <w:lvlJc w:val="left"/>
      <w:pPr>
        <w:ind w:left="5735" w:hanging="492"/>
      </w:pPr>
      <w:rPr>
        <w:rFonts w:hint="default"/>
        <w:lang w:val="zh-CN" w:eastAsia="zh-CN" w:bidi="zh-CN"/>
      </w:rPr>
    </w:lvl>
    <w:lvl w:ilvl="7">
      <w:start w:val="0"/>
      <w:numFmt w:val="bullet"/>
      <w:lvlText w:val="•"/>
      <w:lvlJc w:val="left"/>
      <w:pPr>
        <w:ind w:left="6608" w:hanging="492"/>
      </w:pPr>
      <w:rPr>
        <w:rFonts w:hint="default"/>
        <w:lang w:val="zh-CN" w:eastAsia="zh-CN" w:bidi="zh-CN"/>
      </w:rPr>
    </w:lvl>
    <w:lvl w:ilvl="8">
      <w:start w:val="0"/>
      <w:numFmt w:val="bullet"/>
      <w:lvlText w:val="•"/>
      <w:lvlJc w:val="left"/>
      <w:pPr>
        <w:ind w:left="7480" w:hanging="492"/>
      </w:pPr>
      <w:rPr>
        <w:rFonts w:hint="default"/>
        <w:lang w:val="zh-CN" w:eastAsia="zh-CN" w:bidi="zh-CN"/>
      </w:rPr>
    </w:lvl>
  </w:abstractNum>
  <w:abstractNum w:abstractNumId="25">
    <w:multiLevelType w:val="hybridMultilevel"/>
    <w:lvl w:ilvl="0">
      <w:start w:val="1"/>
      <w:numFmt w:val="lowerLetter"/>
      <w:lvlText w:val="%1）"/>
      <w:lvlJc w:val="left"/>
      <w:pPr>
        <w:ind w:left="500" w:hanging="492"/>
        <w:jc w:val="left"/>
      </w:pPr>
      <w:rPr>
        <w:rFonts w:hint="default" w:ascii="宋体" w:hAnsi="宋体" w:eastAsia="宋体" w:cs="宋体"/>
        <w:spacing w:val="6"/>
        <w:w w:val="99"/>
        <w:sz w:val="30"/>
        <w:szCs w:val="30"/>
        <w:lang w:val="zh-CN" w:eastAsia="zh-CN" w:bidi="zh-CN"/>
      </w:rPr>
    </w:lvl>
    <w:lvl w:ilvl="1">
      <w:start w:val="0"/>
      <w:numFmt w:val="bullet"/>
      <w:lvlText w:val="•"/>
      <w:lvlJc w:val="left"/>
      <w:pPr>
        <w:ind w:left="1372" w:hanging="492"/>
      </w:pPr>
      <w:rPr>
        <w:rFonts w:hint="default"/>
        <w:lang w:val="zh-CN" w:eastAsia="zh-CN" w:bidi="zh-CN"/>
      </w:rPr>
    </w:lvl>
    <w:lvl w:ilvl="2">
      <w:start w:val="0"/>
      <w:numFmt w:val="bullet"/>
      <w:lvlText w:val="•"/>
      <w:lvlJc w:val="left"/>
      <w:pPr>
        <w:ind w:left="2245" w:hanging="492"/>
      </w:pPr>
      <w:rPr>
        <w:rFonts w:hint="default"/>
        <w:lang w:val="zh-CN" w:eastAsia="zh-CN" w:bidi="zh-CN"/>
      </w:rPr>
    </w:lvl>
    <w:lvl w:ilvl="3">
      <w:start w:val="0"/>
      <w:numFmt w:val="bullet"/>
      <w:lvlText w:val="•"/>
      <w:lvlJc w:val="left"/>
      <w:pPr>
        <w:ind w:left="3117" w:hanging="492"/>
      </w:pPr>
      <w:rPr>
        <w:rFonts w:hint="default"/>
        <w:lang w:val="zh-CN" w:eastAsia="zh-CN" w:bidi="zh-CN"/>
      </w:rPr>
    </w:lvl>
    <w:lvl w:ilvl="4">
      <w:start w:val="0"/>
      <w:numFmt w:val="bullet"/>
      <w:lvlText w:val="•"/>
      <w:lvlJc w:val="left"/>
      <w:pPr>
        <w:ind w:left="3990" w:hanging="492"/>
      </w:pPr>
      <w:rPr>
        <w:rFonts w:hint="default"/>
        <w:lang w:val="zh-CN" w:eastAsia="zh-CN" w:bidi="zh-CN"/>
      </w:rPr>
    </w:lvl>
    <w:lvl w:ilvl="5">
      <w:start w:val="0"/>
      <w:numFmt w:val="bullet"/>
      <w:lvlText w:val="•"/>
      <w:lvlJc w:val="left"/>
      <w:pPr>
        <w:ind w:left="4863" w:hanging="492"/>
      </w:pPr>
      <w:rPr>
        <w:rFonts w:hint="default"/>
        <w:lang w:val="zh-CN" w:eastAsia="zh-CN" w:bidi="zh-CN"/>
      </w:rPr>
    </w:lvl>
    <w:lvl w:ilvl="6">
      <w:start w:val="0"/>
      <w:numFmt w:val="bullet"/>
      <w:lvlText w:val="•"/>
      <w:lvlJc w:val="left"/>
      <w:pPr>
        <w:ind w:left="5735" w:hanging="492"/>
      </w:pPr>
      <w:rPr>
        <w:rFonts w:hint="default"/>
        <w:lang w:val="zh-CN" w:eastAsia="zh-CN" w:bidi="zh-CN"/>
      </w:rPr>
    </w:lvl>
    <w:lvl w:ilvl="7">
      <w:start w:val="0"/>
      <w:numFmt w:val="bullet"/>
      <w:lvlText w:val="•"/>
      <w:lvlJc w:val="left"/>
      <w:pPr>
        <w:ind w:left="6608" w:hanging="492"/>
      </w:pPr>
      <w:rPr>
        <w:rFonts w:hint="default"/>
        <w:lang w:val="zh-CN" w:eastAsia="zh-CN" w:bidi="zh-CN"/>
      </w:rPr>
    </w:lvl>
    <w:lvl w:ilvl="8">
      <w:start w:val="0"/>
      <w:numFmt w:val="bullet"/>
      <w:lvlText w:val="•"/>
      <w:lvlJc w:val="left"/>
      <w:pPr>
        <w:ind w:left="7480" w:hanging="492"/>
      </w:pPr>
      <w:rPr>
        <w:rFonts w:hint="default"/>
        <w:lang w:val="zh-CN" w:eastAsia="zh-CN" w:bidi="zh-CN"/>
      </w:rPr>
    </w:lvl>
  </w:abstractNum>
  <w:abstractNum w:abstractNumId="24">
    <w:multiLevelType w:val="hybridMultilevel"/>
    <w:lvl w:ilvl="0">
      <w:start w:val="1"/>
      <w:numFmt w:val="decimal"/>
      <w:lvlText w:val="%1"/>
      <w:lvlJc w:val="left"/>
      <w:pPr>
        <w:ind w:left="819" w:hanging="320"/>
        <w:jc w:val="left"/>
      </w:pPr>
      <w:rPr>
        <w:rFonts w:hint="default" w:ascii="宋体" w:hAnsi="宋体" w:eastAsia="宋体" w:cs="宋体"/>
        <w:w w:val="99"/>
        <w:sz w:val="32"/>
        <w:szCs w:val="32"/>
        <w:lang w:val="zh-CN" w:eastAsia="zh-CN" w:bidi="zh-CN"/>
      </w:rPr>
    </w:lvl>
    <w:lvl w:ilvl="1">
      <w:start w:val="1"/>
      <w:numFmt w:val="decimal"/>
      <w:lvlText w:val="%1.%2"/>
      <w:lvlJc w:val="left"/>
      <w:pPr>
        <w:ind w:left="1143" w:hanging="644"/>
        <w:jc w:val="left"/>
      </w:pPr>
      <w:rPr>
        <w:rFonts w:hint="default" w:ascii="宋体" w:hAnsi="宋体" w:eastAsia="宋体" w:cs="宋体"/>
        <w:b/>
        <w:bCs/>
        <w:spacing w:val="0"/>
        <w:w w:val="98"/>
        <w:sz w:val="32"/>
        <w:szCs w:val="32"/>
        <w:lang w:val="zh-CN" w:eastAsia="zh-CN" w:bidi="zh-CN"/>
      </w:rPr>
    </w:lvl>
    <w:lvl w:ilvl="2">
      <w:start w:val="1"/>
      <w:numFmt w:val="decimal"/>
      <w:lvlText w:val="%1.%2.%3"/>
      <w:lvlJc w:val="left"/>
      <w:pPr>
        <w:ind w:left="500" w:hanging="881"/>
        <w:jc w:val="left"/>
      </w:pPr>
      <w:rPr>
        <w:rFonts w:hint="default" w:ascii="宋体" w:hAnsi="宋体" w:eastAsia="宋体" w:cs="宋体"/>
        <w:spacing w:val="-2"/>
        <w:w w:val="99"/>
        <w:sz w:val="32"/>
        <w:szCs w:val="32"/>
        <w:lang w:val="zh-CN" w:eastAsia="zh-CN" w:bidi="zh-CN"/>
      </w:rPr>
    </w:lvl>
    <w:lvl w:ilvl="3">
      <w:start w:val="1"/>
      <w:numFmt w:val="decimal"/>
      <w:lvlText w:val="%4."/>
      <w:lvlJc w:val="left"/>
      <w:pPr>
        <w:ind w:left="1462" w:hanging="322"/>
        <w:jc w:val="left"/>
      </w:pPr>
      <w:rPr>
        <w:rFonts w:hint="default" w:ascii="宋体" w:hAnsi="宋体" w:eastAsia="宋体" w:cs="宋体"/>
        <w:spacing w:val="-2"/>
        <w:w w:val="99"/>
        <w:sz w:val="30"/>
        <w:szCs w:val="30"/>
        <w:lang w:val="zh-CN" w:eastAsia="zh-CN" w:bidi="zh-CN"/>
      </w:rPr>
    </w:lvl>
    <w:lvl w:ilvl="4">
      <w:start w:val="0"/>
      <w:numFmt w:val="bullet"/>
      <w:lvlText w:val="•"/>
      <w:lvlJc w:val="left"/>
      <w:pPr>
        <w:ind w:left="1460" w:hanging="322"/>
      </w:pPr>
      <w:rPr>
        <w:rFonts w:hint="default"/>
        <w:lang w:val="zh-CN" w:eastAsia="zh-CN" w:bidi="zh-CN"/>
      </w:rPr>
    </w:lvl>
    <w:lvl w:ilvl="5">
      <w:start w:val="0"/>
      <w:numFmt w:val="bullet"/>
      <w:lvlText w:val="•"/>
      <w:lvlJc w:val="left"/>
      <w:pPr>
        <w:ind w:left="2754" w:hanging="322"/>
      </w:pPr>
      <w:rPr>
        <w:rFonts w:hint="default"/>
        <w:lang w:val="zh-CN" w:eastAsia="zh-CN" w:bidi="zh-CN"/>
      </w:rPr>
    </w:lvl>
    <w:lvl w:ilvl="6">
      <w:start w:val="0"/>
      <w:numFmt w:val="bullet"/>
      <w:lvlText w:val="•"/>
      <w:lvlJc w:val="left"/>
      <w:pPr>
        <w:ind w:left="4048" w:hanging="322"/>
      </w:pPr>
      <w:rPr>
        <w:rFonts w:hint="default"/>
        <w:lang w:val="zh-CN" w:eastAsia="zh-CN" w:bidi="zh-CN"/>
      </w:rPr>
    </w:lvl>
    <w:lvl w:ilvl="7">
      <w:start w:val="0"/>
      <w:numFmt w:val="bullet"/>
      <w:lvlText w:val="•"/>
      <w:lvlJc w:val="left"/>
      <w:pPr>
        <w:ind w:left="5343" w:hanging="322"/>
      </w:pPr>
      <w:rPr>
        <w:rFonts w:hint="default"/>
        <w:lang w:val="zh-CN" w:eastAsia="zh-CN" w:bidi="zh-CN"/>
      </w:rPr>
    </w:lvl>
    <w:lvl w:ilvl="8">
      <w:start w:val="0"/>
      <w:numFmt w:val="bullet"/>
      <w:lvlText w:val="•"/>
      <w:lvlJc w:val="left"/>
      <w:pPr>
        <w:ind w:left="6637" w:hanging="322"/>
      </w:pPr>
      <w:rPr>
        <w:rFonts w:hint="default"/>
        <w:lang w:val="zh-CN" w:eastAsia="zh-CN" w:bidi="zh-CN"/>
      </w:rPr>
    </w:lvl>
  </w:abstractNum>
  <w:abstractNum w:abstractNumId="23">
    <w:multiLevelType w:val="hybridMultilevel"/>
    <w:lvl w:ilvl="0">
      <w:start w:val="1"/>
      <w:numFmt w:val="decimal"/>
      <w:lvlText w:val="%1."/>
      <w:lvlJc w:val="left"/>
      <w:pPr>
        <w:ind w:left="1462" w:hanging="322"/>
        <w:jc w:val="left"/>
      </w:pPr>
      <w:rPr>
        <w:rFonts w:hint="default" w:ascii="宋体" w:hAnsi="宋体" w:eastAsia="宋体" w:cs="宋体"/>
        <w:spacing w:val="-2"/>
        <w:w w:val="99"/>
        <w:sz w:val="30"/>
        <w:szCs w:val="30"/>
        <w:lang w:val="zh-CN" w:eastAsia="zh-CN" w:bidi="zh-CN"/>
      </w:rPr>
    </w:lvl>
    <w:lvl w:ilvl="1">
      <w:start w:val="0"/>
      <w:numFmt w:val="bullet"/>
      <w:lvlText w:val="•"/>
      <w:lvlJc w:val="left"/>
      <w:pPr>
        <w:ind w:left="2236" w:hanging="322"/>
      </w:pPr>
      <w:rPr>
        <w:rFonts w:hint="default"/>
        <w:lang w:val="zh-CN" w:eastAsia="zh-CN" w:bidi="zh-CN"/>
      </w:rPr>
    </w:lvl>
    <w:lvl w:ilvl="2">
      <w:start w:val="0"/>
      <w:numFmt w:val="bullet"/>
      <w:lvlText w:val="•"/>
      <w:lvlJc w:val="left"/>
      <w:pPr>
        <w:ind w:left="3013" w:hanging="322"/>
      </w:pPr>
      <w:rPr>
        <w:rFonts w:hint="default"/>
        <w:lang w:val="zh-CN" w:eastAsia="zh-CN" w:bidi="zh-CN"/>
      </w:rPr>
    </w:lvl>
    <w:lvl w:ilvl="3">
      <w:start w:val="0"/>
      <w:numFmt w:val="bullet"/>
      <w:lvlText w:val="•"/>
      <w:lvlJc w:val="left"/>
      <w:pPr>
        <w:ind w:left="3789" w:hanging="322"/>
      </w:pPr>
      <w:rPr>
        <w:rFonts w:hint="default"/>
        <w:lang w:val="zh-CN" w:eastAsia="zh-CN" w:bidi="zh-CN"/>
      </w:rPr>
    </w:lvl>
    <w:lvl w:ilvl="4">
      <w:start w:val="0"/>
      <w:numFmt w:val="bullet"/>
      <w:lvlText w:val="•"/>
      <w:lvlJc w:val="left"/>
      <w:pPr>
        <w:ind w:left="4566" w:hanging="322"/>
      </w:pPr>
      <w:rPr>
        <w:rFonts w:hint="default"/>
        <w:lang w:val="zh-CN" w:eastAsia="zh-CN" w:bidi="zh-CN"/>
      </w:rPr>
    </w:lvl>
    <w:lvl w:ilvl="5">
      <w:start w:val="0"/>
      <w:numFmt w:val="bullet"/>
      <w:lvlText w:val="•"/>
      <w:lvlJc w:val="left"/>
      <w:pPr>
        <w:ind w:left="5343" w:hanging="322"/>
      </w:pPr>
      <w:rPr>
        <w:rFonts w:hint="default"/>
        <w:lang w:val="zh-CN" w:eastAsia="zh-CN" w:bidi="zh-CN"/>
      </w:rPr>
    </w:lvl>
    <w:lvl w:ilvl="6">
      <w:start w:val="0"/>
      <w:numFmt w:val="bullet"/>
      <w:lvlText w:val="•"/>
      <w:lvlJc w:val="left"/>
      <w:pPr>
        <w:ind w:left="6119" w:hanging="322"/>
      </w:pPr>
      <w:rPr>
        <w:rFonts w:hint="default"/>
        <w:lang w:val="zh-CN" w:eastAsia="zh-CN" w:bidi="zh-CN"/>
      </w:rPr>
    </w:lvl>
    <w:lvl w:ilvl="7">
      <w:start w:val="0"/>
      <w:numFmt w:val="bullet"/>
      <w:lvlText w:val="•"/>
      <w:lvlJc w:val="left"/>
      <w:pPr>
        <w:ind w:left="6896" w:hanging="322"/>
      </w:pPr>
      <w:rPr>
        <w:rFonts w:hint="default"/>
        <w:lang w:val="zh-CN" w:eastAsia="zh-CN" w:bidi="zh-CN"/>
      </w:rPr>
    </w:lvl>
    <w:lvl w:ilvl="8">
      <w:start w:val="0"/>
      <w:numFmt w:val="bullet"/>
      <w:lvlText w:val="•"/>
      <w:lvlJc w:val="left"/>
      <w:pPr>
        <w:ind w:left="7672" w:hanging="322"/>
      </w:pPr>
      <w:rPr>
        <w:rFonts w:hint="default"/>
        <w:lang w:val="zh-CN" w:eastAsia="zh-CN" w:bidi="zh-CN"/>
      </w:rPr>
    </w:lvl>
  </w:abstractNum>
  <w:abstractNum w:abstractNumId="22">
    <w:multiLevelType w:val="hybridMultilevel"/>
    <w:lvl w:ilvl="0">
      <w:start w:val="1"/>
      <w:numFmt w:val="decimal"/>
      <w:lvlText w:val="%1."/>
      <w:lvlJc w:val="left"/>
      <w:pPr>
        <w:ind w:left="500" w:hanging="322"/>
        <w:jc w:val="left"/>
      </w:pPr>
      <w:rPr>
        <w:rFonts w:hint="default" w:ascii="宋体" w:hAnsi="宋体" w:eastAsia="宋体" w:cs="宋体"/>
        <w:spacing w:val="-2"/>
        <w:w w:val="99"/>
        <w:sz w:val="30"/>
        <w:szCs w:val="30"/>
        <w:lang w:val="zh-CN" w:eastAsia="zh-CN" w:bidi="zh-CN"/>
      </w:rPr>
    </w:lvl>
    <w:lvl w:ilvl="1">
      <w:start w:val="0"/>
      <w:numFmt w:val="bullet"/>
      <w:lvlText w:val="•"/>
      <w:lvlJc w:val="left"/>
      <w:pPr>
        <w:ind w:left="1372" w:hanging="322"/>
      </w:pPr>
      <w:rPr>
        <w:rFonts w:hint="default"/>
        <w:lang w:val="zh-CN" w:eastAsia="zh-CN" w:bidi="zh-CN"/>
      </w:rPr>
    </w:lvl>
    <w:lvl w:ilvl="2">
      <w:start w:val="0"/>
      <w:numFmt w:val="bullet"/>
      <w:lvlText w:val="•"/>
      <w:lvlJc w:val="left"/>
      <w:pPr>
        <w:ind w:left="2245" w:hanging="322"/>
      </w:pPr>
      <w:rPr>
        <w:rFonts w:hint="default"/>
        <w:lang w:val="zh-CN" w:eastAsia="zh-CN" w:bidi="zh-CN"/>
      </w:rPr>
    </w:lvl>
    <w:lvl w:ilvl="3">
      <w:start w:val="0"/>
      <w:numFmt w:val="bullet"/>
      <w:lvlText w:val="•"/>
      <w:lvlJc w:val="left"/>
      <w:pPr>
        <w:ind w:left="3117" w:hanging="322"/>
      </w:pPr>
      <w:rPr>
        <w:rFonts w:hint="default"/>
        <w:lang w:val="zh-CN" w:eastAsia="zh-CN" w:bidi="zh-CN"/>
      </w:rPr>
    </w:lvl>
    <w:lvl w:ilvl="4">
      <w:start w:val="0"/>
      <w:numFmt w:val="bullet"/>
      <w:lvlText w:val="•"/>
      <w:lvlJc w:val="left"/>
      <w:pPr>
        <w:ind w:left="3990" w:hanging="322"/>
      </w:pPr>
      <w:rPr>
        <w:rFonts w:hint="default"/>
        <w:lang w:val="zh-CN" w:eastAsia="zh-CN" w:bidi="zh-CN"/>
      </w:rPr>
    </w:lvl>
    <w:lvl w:ilvl="5">
      <w:start w:val="0"/>
      <w:numFmt w:val="bullet"/>
      <w:lvlText w:val="•"/>
      <w:lvlJc w:val="left"/>
      <w:pPr>
        <w:ind w:left="4863" w:hanging="322"/>
      </w:pPr>
      <w:rPr>
        <w:rFonts w:hint="default"/>
        <w:lang w:val="zh-CN" w:eastAsia="zh-CN" w:bidi="zh-CN"/>
      </w:rPr>
    </w:lvl>
    <w:lvl w:ilvl="6">
      <w:start w:val="0"/>
      <w:numFmt w:val="bullet"/>
      <w:lvlText w:val="•"/>
      <w:lvlJc w:val="left"/>
      <w:pPr>
        <w:ind w:left="5735" w:hanging="322"/>
      </w:pPr>
      <w:rPr>
        <w:rFonts w:hint="default"/>
        <w:lang w:val="zh-CN" w:eastAsia="zh-CN" w:bidi="zh-CN"/>
      </w:rPr>
    </w:lvl>
    <w:lvl w:ilvl="7">
      <w:start w:val="0"/>
      <w:numFmt w:val="bullet"/>
      <w:lvlText w:val="•"/>
      <w:lvlJc w:val="left"/>
      <w:pPr>
        <w:ind w:left="6608" w:hanging="322"/>
      </w:pPr>
      <w:rPr>
        <w:rFonts w:hint="default"/>
        <w:lang w:val="zh-CN" w:eastAsia="zh-CN" w:bidi="zh-CN"/>
      </w:rPr>
    </w:lvl>
    <w:lvl w:ilvl="8">
      <w:start w:val="0"/>
      <w:numFmt w:val="bullet"/>
      <w:lvlText w:val="•"/>
      <w:lvlJc w:val="left"/>
      <w:pPr>
        <w:ind w:left="7480" w:hanging="322"/>
      </w:pPr>
      <w:rPr>
        <w:rFonts w:hint="default"/>
        <w:lang w:val="zh-CN" w:eastAsia="zh-CN" w:bidi="zh-CN"/>
      </w:rPr>
    </w:lvl>
  </w:abstractNum>
  <w:abstractNum w:abstractNumId="21">
    <w:multiLevelType w:val="hybridMultilevel"/>
    <w:lvl w:ilvl="0">
      <w:start w:val="1"/>
      <w:numFmt w:val="decimal"/>
      <w:lvlText w:val="%1."/>
      <w:lvlJc w:val="left"/>
      <w:pPr>
        <w:ind w:left="1462" w:hanging="322"/>
        <w:jc w:val="left"/>
      </w:pPr>
      <w:rPr>
        <w:rFonts w:hint="default" w:ascii="宋体" w:hAnsi="宋体" w:eastAsia="宋体" w:cs="宋体"/>
        <w:spacing w:val="-2"/>
        <w:w w:val="99"/>
        <w:sz w:val="30"/>
        <w:szCs w:val="30"/>
        <w:lang w:val="zh-CN" w:eastAsia="zh-CN" w:bidi="zh-CN"/>
      </w:rPr>
    </w:lvl>
    <w:lvl w:ilvl="1">
      <w:start w:val="0"/>
      <w:numFmt w:val="bullet"/>
      <w:lvlText w:val="•"/>
      <w:lvlJc w:val="left"/>
      <w:pPr>
        <w:ind w:left="2236" w:hanging="322"/>
      </w:pPr>
      <w:rPr>
        <w:rFonts w:hint="default"/>
        <w:lang w:val="zh-CN" w:eastAsia="zh-CN" w:bidi="zh-CN"/>
      </w:rPr>
    </w:lvl>
    <w:lvl w:ilvl="2">
      <w:start w:val="0"/>
      <w:numFmt w:val="bullet"/>
      <w:lvlText w:val="•"/>
      <w:lvlJc w:val="left"/>
      <w:pPr>
        <w:ind w:left="3013" w:hanging="322"/>
      </w:pPr>
      <w:rPr>
        <w:rFonts w:hint="default"/>
        <w:lang w:val="zh-CN" w:eastAsia="zh-CN" w:bidi="zh-CN"/>
      </w:rPr>
    </w:lvl>
    <w:lvl w:ilvl="3">
      <w:start w:val="0"/>
      <w:numFmt w:val="bullet"/>
      <w:lvlText w:val="•"/>
      <w:lvlJc w:val="left"/>
      <w:pPr>
        <w:ind w:left="3789" w:hanging="322"/>
      </w:pPr>
      <w:rPr>
        <w:rFonts w:hint="default"/>
        <w:lang w:val="zh-CN" w:eastAsia="zh-CN" w:bidi="zh-CN"/>
      </w:rPr>
    </w:lvl>
    <w:lvl w:ilvl="4">
      <w:start w:val="0"/>
      <w:numFmt w:val="bullet"/>
      <w:lvlText w:val="•"/>
      <w:lvlJc w:val="left"/>
      <w:pPr>
        <w:ind w:left="4566" w:hanging="322"/>
      </w:pPr>
      <w:rPr>
        <w:rFonts w:hint="default"/>
        <w:lang w:val="zh-CN" w:eastAsia="zh-CN" w:bidi="zh-CN"/>
      </w:rPr>
    </w:lvl>
    <w:lvl w:ilvl="5">
      <w:start w:val="0"/>
      <w:numFmt w:val="bullet"/>
      <w:lvlText w:val="•"/>
      <w:lvlJc w:val="left"/>
      <w:pPr>
        <w:ind w:left="5343" w:hanging="322"/>
      </w:pPr>
      <w:rPr>
        <w:rFonts w:hint="default"/>
        <w:lang w:val="zh-CN" w:eastAsia="zh-CN" w:bidi="zh-CN"/>
      </w:rPr>
    </w:lvl>
    <w:lvl w:ilvl="6">
      <w:start w:val="0"/>
      <w:numFmt w:val="bullet"/>
      <w:lvlText w:val="•"/>
      <w:lvlJc w:val="left"/>
      <w:pPr>
        <w:ind w:left="6119" w:hanging="322"/>
      </w:pPr>
      <w:rPr>
        <w:rFonts w:hint="default"/>
        <w:lang w:val="zh-CN" w:eastAsia="zh-CN" w:bidi="zh-CN"/>
      </w:rPr>
    </w:lvl>
    <w:lvl w:ilvl="7">
      <w:start w:val="0"/>
      <w:numFmt w:val="bullet"/>
      <w:lvlText w:val="•"/>
      <w:lvlJc w:val="left"/>
      <w:pPr>
        <w:ind w:left="6896" w:hanging="322"/>
      </w:pPr>
      <w:rPr>
        <w:rFonts w:hint="default"/>
        <w:lang w:val="zh-CN" w:eastAsia="zh-CN" w:bidi="zh-CN"/>
      </w:rPr>
    </w:lvl>
    <w:lvl w:ilvl="8">
      <w:start w:val="0"/>
      <w:numFmt w:val="bullet"/>
      <w:lvlText w:val="•"/>
      <w:lvlJc w:val="left"/>
      <w:pPr>
        <w:ind w:left="7672" w:hanging="322"/>
      </w:pPr>
      <w:rPr>
        <w:rFonts w:hint="default"/>
        <w:lang w:val="zh-CN" w:eastAsia="zh-CN" w:bidi="zh-CN"/>
      </w:rPr>
    </w:lvl>
  </w:abstractNum>
  <w:abstractNum w:abstractNumId="20">
    <w:multiLevelType w:val="hybridMultilevel"/>
    <w:lvl w:ilvl="0">
      <w:start w:val="1"/>
      <w:numFmt w:val="decimal"/>
      <w:lvlText w:val="%1."/>
      <w:lvlJc w:val="left"/>
      <w:pPr>
        <w:ind w:left="1462" w:hanging="322"/>
        <w:jc w:val="left"/>
      </w:pPr>
      <w:rPr>
        <w:rFonts w:hint="default" w:ascii="宋体" w:hAnsi="宋体" w:eastAsia="宋体" w:cs="宋体"/>
        <w:spacing w:val="-2"/>
        <w:w w:val="99"/>
        <w:sz w:val="30"/>
        <w:szCs w:val="30"/>
        <w:lang w:val="zh-CN" w:eastAsia="zh-CN" w:bidi="zh-CN"/>
      </w:rPr>
    </w:lvl>
    <w:lvl w:ilvl="1">
      <w:start w:val="0"/>
      <w:numFmt w:val="bullet"/>
      <w:lvlText w:val="•"/>
      <w:lvlJc w:val="left"/>
      <w:pPr>
        <w:ind w:left="2236" w:hanging="322"/>
      </w:pPr>
      <w:rPr>
        <w:rFonts w:hint="default"/>
        <w:lang w:val="zh-CN" w:eastAsia="zh-CN" w:bidi="zh-CN"/>
      </w:rPr>
    </w:lvl>
    <w:lvl w:ilvl="2">
      <w:start w:val="0"/>
      <w:numFmt w:val="bullet"/>
      <w:lvlText w:val="•"/>
      <w:lvlJc w:val="left"/>
      <w:pPr>
        <w:ind w:left="3013" w:hanging="322"/>
      </w:pPr>
      <w:rPr>
        <w:rFonts w:hint="default"/>
        <w:lang w:val="zh-CN" w:eastAsia="zh-CN" w:bidi="zh-CN"/>
      </w:rPr>
    </w:lvl>
    <w:lvl w:ilvl="3">
      <w:start w:val="0"/>
      <w:numFmt w:val="bullet"/>
      <w:lvlText w:val="•"/>
      <w:lvlJc w:val="left"/>
      <w:pPr>
        <w:ind w:left="3789" w:hanging="322"/>
      </w:pPr>
      <w:rPr>
        <w:rFonts w:hint="default"/>
        <w:lang w:val="zh-CN" w:eastAsia="zh-CN" w:bidi="zh-CN"/>
      </w:rPr>
    </w:lvl>
    <w:lvl w:ilvl="4">
      <w:start w:val="0"/>
      <w:numFmt w:val="bullet"/>
      <w:lvlText w:val="•"/>
      <w:lvlJc w:val="left"/>
      <w:pPr>
        <w:ind w:left="4566" w:hanging="322"/>
      </w:pPr>
      <w:rPr>
        <w:rFonts w:hint="default"/>
        <w:lang w:val="zh-CN" w:eastAsia="zh-CN" w:bidi="zh-CN"/>
      </w:rPr>
    </w:lvl>
    <w:lvl w:ilvl="5">
      <w:start w:val="0"/>
      <w:numFmt w:val="bullet"/>
      <w:lvlText w:val="•"/>
      <w:lvlJc w:val="left"/>
      <w:pPr>
        <w:ind w:left="5343" w:hanging="322"/>
      </w:pPr>
      <w:rPr>
        <w:rFonts w:hint="default"/>
        <w:lang w:val="zh-CN" w:eastAsia="zh-CN" w:bidi="zh-CN"/>
      </w:rPr>
    </w:lvl>
    <w:lvl w:ilvl="6">
      <w:start w:val="0"/>
      <w:numFmt w:val="bullet"/>
      <w:lvlText w:val="•"/>
      <w:lvlJc w:val="left"/>
      <w:pPr>
        <w:ind w:left="6119" w:hanging="322"/>
      </w:pPr>
      <w:rPr>
        <w:rFonts w:hint="default"/>
        <w:lang w:val="zh-CN" w:eastAsia="zh-CN" w:bidi="zh-CN"/>
      </w:rPr>
    </w:lvl>
    <w:lvl w:ilvl="7">
      <w:start w:val="0"/>
      <w:numFmt w:val="bullet"/>
      <w:lvlText w:val="•"/>
      <w:lvlJc w:val="left"/>
      <w:pPr>
        <w:ind w:left="6896" w:hanging="322"/>
      </w:pPr>
      <w:rPr>
        <w:rFonts w:hint="default"/>
        <w:lang w:val="zh-CN" w:eastAsia="zh-CN" w:bidi="zh-CN"/>
      </w:rPr>
    </w:lvl>
    <w:lvl w:ilvl="8">
      <w:start w:val="0"/>
      <w:numFmt w:val="bullet"/>
      <w:lvlText w:val="•"/>
      <w:lvlJc w:val="left"/>
      <w:pPr>
        <w:ind w:left="7672" w:hanging="322"/>
      </w:pPr>
      <w:rPr>
        <w:rFonts w:hint="default"/>
        <w:lang w:val="zh-CN" w:eastAsia="zh-CN" w:bidi="zh-CN"/>
      </w:rPr>
    </w:lvl>
  </w:abstractNum>
  <w:abstractNum w:abstractNumId="19">
    <w:multiLevelType w:val="hybridMultilevel"/>
    <w:lvl w:ilvl="0">
      <w:start w:val="1"/>
      <w:numFmt w:val="decimal"/>
      <w:lvlText w:val="%1."/>
      <w:lvlJc w:val="left"/>
      <w:pPr>
        <w:ind w:left="1462" w:hanging="322"/>
        <w:jc w:val="left"/>
      </w:pPr>
      <w:rPr>
        <w:rFonts w:hint="default" w:ascii="宋体" w:hAnsi="宋体" w:eastAsia="宋体" w:cs="宋体"/>
        <w:spacing w:val="-2"/>
        <w:w w:val="99"/>
        <w:sz w:val="30"/>
        <w:szCs w:val="30"/>
        <w:lang w:val="zh-CN" w:eastAsia="zh-CN" w:bidi="zh-CN"/>
      </w:rPr>
    </w:lvl>
    <w:lvl w:ilvl="1">
      <w:start w:val="0"/>
      <w:numFmt w:val="bullet"/>
      <w:lvlText w:val="•"/>
      <w:lvlJc w:val="left"/>
      <w:pPr>
        <w:ind w:left="2236" w:hanging="322"/>
      </w:pPr>
      <w:rPr>
        <w:rFonts w:hint="default"/>
        <w:lang w:val="zh-CN" w:eastAsia="zh-CN" w:bidi="zh-CN"/>
      </w:rPr>
    </w:lvl>
    <w:lvl w:ilvl="2">
      <w:start w:val="0"/>
      <w:numFmt w:val="bullet"/>
      <w:lvlText w:val="•"/>
      <w:lvlJc w:val="left"/>
      <w:pPr>
        <w:ind w:left="3013" w:hanging="322"/>
      </w:pPr>
      <w:rPr>
        <w:rFonts w:hint="default"/>
        <w:lang w:val="zh-CN" w:eastAsia="zh-CN" w:bidi="zh-CN"/>
      </w:rPr>
    </w:lvl>
    <w:lvl w:ilvl="3">
      <w:start w:val="0"/>
      <w:numFmt w:val="bullet"/>
      <w:lvlText w:val="•"/>
      <w:lvlJc w:val="left"/>
      <w:pPr>
        <w:ind w:left="3789" w:hanging="322"/>
      </w:pPr>
      <w:rPr>
        <w:rFonts w:hint="default"/>
        <w:lang w:val="zh-CN" w:eastAsia="zh-CN" w:bidi="zh-CN"/>
      </w:rPr>
    </w:lvl>
    <w:lvl w:ilvl="4">
      <w:start w:val="0"/>
      <w:numFmt w:val="bullet"/>
      <w:lvlText w:val="•"/>
      <w:lvlJc w:val="left"/>
      <w:pPr>
        <w:ind w:left="4566" w:hanging="322"/>
      </w:pPr>
      <w:rPr>
        <w:rFonts w:hint="default"/>
        <w:lang w:val="zh-CN" w:eastAsia="zh-CN" w:bidi="zh-CN"/>
      </w:rPr>
    </w:lvl>
    <w:lvl w:ilvl="5">
      <w:start w:val="0"/>
      <w:numFmt w:val="bullet"/>
      <w:lvlText w:val="•"/>
      <w:lvlJc w:val="left"/>
      <w:pPr>
        <w:ind w:left="5343" w:hanging="322"/>
      </w:pPr>
      <w:rPr>
        <w:rFonts w:hint="default"/>
        <w:lang w:val="zh-CN" w:eastAsia="zh-CN" w:bidi="zh-CN"/>
      </w:rPr>
    </w:lvl>
    <w:lvl w:ilvl="6">
      <w:start w:val="0"/>
      <w:numFmt w:val="bullet"/>
      <w:lvlText w:val="•"/>
      <w:lvlJc w:val="left"/>
      <w:pPr>
        <w:ind w:left="6119" w:hanging="322"/>
      </w:pPr>
      <w:rPr>
        <w:rFonts w:hint="default"/>
        <w:lang w:val="zh-CN" w:eastAsia="zh-CN" w:bidi="zh-CN"/>
      </w:rPr>
    </w:lvl>
    <w:lvl w:ilvl="7">
      <w:start w:val="0"/>
      <w:numFmt w:val="bullet"/>
      <w:lvlText w:val="•"/>
      <w:lvlJc w:val="left"/>
      <w:pPr>
        <w:ind w:left="6896" w:hanging="322"/>
      </w:pPr>
      <w:rPr>
        <w:rFonts w:hint="default"/>
        <w:lang w:val="zh-CN" w:eastAsia="zh-CN" w:bidi="zh-CN"/>
      </w:rPr>
    </w:lvl>
    <w:lvl w:ilvl="8">
      <w:start w:val="0"/>
      <w:numFmt w:val="bullet"/>
      <w:lvlText w:val="•"/>
      <w:lvlJc w:val="left"/>
      <w:pPr>
        <w:ind w:left="7672" w:hanging="322"/>
      </w:pPr>
      <w:rPr>
        <w:rFonts w:hint="default"/>
        <w:lang w:val="zh-CN" w:eastAsia="zh-CN" w:bidi="zh-CN"/>
      </w:rPr>
    </w:lvl>
  </w:abstractNum>
  <w:abstractNum w:abstractNumId="18">
    <w:multiLevelType w:val="hybridMultilevel"/>
    <w:lvl w:ilvl="0">
      <w:start w:val="1"/>
      <w:numFmt w:val="decimal"/>
      <w:lvlText w:val="%1."/>
      <w:lvlJc w:val="left"/>
      <w:pPr>
        <w:ind w:left="500" w:hanging="322"/>
        <w:jc w:val="left"/>
      </w:pPr>
      <w:rPr>
        <w:rFonts w:hint="default" w:ascii="宋体" w:hAnsi="宋体" w:eastAsia="宋体" w:cs="宋体"/>
        <w:spacing w:val="-2"/>
        <w:w w:val="99"/>
        <w:sz w:val="30"/>
        <w:szCs w:val="30"/>
        <w:lang w:val="zh-CN" w:eastAsia="zh-CN" w:bidi="zh-CN"/>
      </w:rPr>
    </w:lvl>
    <w:lvl w:ilvl="1">
      <w:start w:val="0"/>
      <w:numFmt w:val="bullet"/>
      <w:lvlText w:val="•"/>
      <w:lvlJc w:val="left"/>
      <w:pPr>
        <w:ind w:left="1372" w:hanging="322"/>
      </w:pPr>
      <w:rPr>
        <w:rFonts w:hint="default"/>
        <w:lang w:val="zh-CN" w:eastAsia="zh-CN" w:bidi="zh-CN"/>
      </w:rPr>
    </w:lvl>
    <w:lvl w:ilvl="2">
      <w:start w:val="0"/>
      <w:numFmt w:val="bullet"/>
      <w:lvlText w:val="•"/>
      <w:lvlJc w:val="left"/>
      <w:pPr>
        <w:ind w:left="2245" w:hanging="322"/>
      </w:pPr>
      <w:rPr>
        <w:rFonts w:hint="default"/>
        <w:lang w:val="zh-CN" w:eastAsia="zh-CN" w:bidi="zh-CN"/>
      </w:rPr>
    </w:lvl>
    <w:lvl w:ilvl="3">
      <w:start w:val="0"/>
      <w:numFmt w:val="bullet"/>
      <w:lvlText w:val="•"/>
      <w:lvlJc w:val="left"/>
      <w:pPr>
        <w:ind w:left="3117" w:hanging="322"/>
      </w:pPr>
      <w:rPr>
        <w:rFonts w:hint="default"/>
        <w:lang w:val="zh-CN" w:eastAsia="zh-CN" w:bidi="zh-CN"/>
      </w:rPr>
    </w:lvl>
    <w:lvl w:ilvl="4">
      <w:start w:val="0"/>
      <w:numFmt w:val="bullet"/>
      <w:lvlText w:val="•"/>
      <w:lvlJc w:val="left"/>
      <w:pPr>
        <w:ind w:left="3990" w:hanging="322"/>
      </w:pPr>
      <w:rPr>
        <w:rFonts w:hint="default"/>
        <w:lang w:val="zh-CN" w:eastAsia="zh-CN" w:bidi="zh-CN"/>
      </w:rPr>
    </w:lvl>
    <w:lvl w:ilvl="5">
      <w:start w:val="0"/>
      <w:numFmt w:val="bullet"/>
      <w:lvlText w:val="•"/>
      <w:lvlJc w:val="left"/>
      <w:pPr>
        <w:ind w:left="4863" w:hanging="322"/>
      </w:pPr>
      <w:rPr>
        <w:rFonts w:hint="default"/>
        <w:lang w:val="zh-CN" w:eastAsia="zh-CN" w:bidi="zh-CN"/>
      </w:rPr>
    </w:lvl>
    <w:lvl w:ilvl="6">
      <w:start w:val="0"/>
      <w:numFmt w:val="bullet"/>
      <w:lvlText w:val="•"/>
      <w:lvlJc w:val="left"/>
      <w:pPr>
        <w:ind w:left="5735" w:hanging="322"/>
      </w:pPr>
      <w:rPr>
        <w:rFonts w:hint="default"/>
        <w:lang w:val="zh-CN" w:eastAsia="zh-CN" w:bidi="zh-CN"/>
      </w:rPr>
    </w:lvl>
    <w:lvl w:ilvl="7">
      <w:start w:val="0"/>
      <w:numFmt w:val="bullet"/>
      <w:lvlText w:val="•"/>
      <w:lvlJc w:val="left"/>
      <w:pPr>
        <w:ind w:left="6608" w:hanging="322"/>
      </w:pPr>
      <w:rPr>
        <w:rFonts w:hint="default"/>
        <w:lang w:val="zh-CN" w:eastAsia="zh-CN" w:bidi="zh-CN"/>
      </w:rPr>
    </w:lvl>
    <w:lvl w:ilvl="8">
      <w:start w:val="0"/>
      <w:numFmt w:val="bullet"/>
      <w:lvlText w:val="•"/>
      <w:lvlJc w:val="left"/>
      <w:pPr>
        <w:ind w:left="7480" w:hanging="322"/>
      </w:pPr>
      <w:rPr>
        <w:rFonts w:hint="default"/>
        <w:lang w:val="zh-CN" w:eastAsia="zh-CN" w:bidi="zh-CN"/>
      </w:rPr>
    </w:lvl>
  </w:abstractNum>
  <w:abstractNum w:abstractNumId="17">
    <w:multiLevelType w:val="hybridMultilevel"/>
    <w:lvl w:ilvl="0">
      <w:start w:val="1"/>
      <w:numFmt w:val="decimal"/>
      <w:lvlText w:val="%1."/>
      <w:lvlJc w:val="left"/>
      <w:pPr>
        <w:ind w:left="1462" w:hanging="322"/>
        <w:jc w:val="left"/>
      </w:pPr>
      <w:rPr>
        <w:rFonts w:hint="default" w:ascii="宋体" w:hAnsi="宋体" w:eastAsia="宋体" w:cs="宋体"/>
        <w:spacing w:val="-2"/>
        <w:w w:val="99"/>
        <w:sz w:val="30"/>
        <w:szCs w:val="30"/>
        <w:lang w:val="zh-CN" w:eastAsia="zh-CN" w:bidi="zh-CN"/>
      </w:rPr>
    </w:lvl>
    <w:lvl w:ilvl="1">
      <w:start w:val="0"/>
      <w:numFmt w:val="bullet"/>
      <w:lvlText w:val="•"/>
      <w:lvlJc w:val="left"/>
      <w:pPr>
        <w:ind w:left="2236" w:hanging="322"/>
      </w:pPr>
      <w:rPr>
        <w:rFonts w:hint="default"/>
        <w:lang w:val="zh-CN" w:eastAsia="zh-CN" w:bidi="zh-CN"/>
      </w:rPr>
    </w:lvl>
    <w:lvl w:ilvl="2">
      <w:start w:val="0"/>
      <w:numFmt w:val="bullet"/>
      <w:lvlText w:val="•"/>
      <w:lvlJc w:val="left"/>
      <w:pPr>
        <w:ind w:left="3013" w:hanging="322"/>
      </w:pPr>
      <w:rPr>
        <w:rFonts w:hint="default"/>
        <w:lang w:val="zh-CN" w:eastAsia="zh-CN" w:bidi="zh-CN"/>
      </w:rPr>
    </w:lvl>
    <w:lvl w:ilvl="3">
      <w:start w:val="0"/>
      <w:numFmt w:val="bullet"/>
      <w:lvlText w:val="•"/>
      <w:lvlJc w:val="left"/>
      <w:pPr>
        <w:ind w:left="3789" w:hanging="322"/>
      </w:pPr>
      <w:rPr>
        <w:rFonts w:hint="default"/>
        <w:lang w:val="zh-CN" w:eastAsia="zh-CN" w:bidi="zh-CN"/>
      </w:rPr>
    </w:lvl>
    <w:lvl w:ilvl="4">
      <w:start w:val="0"/>
      <w:numFmt w:val="bullet"/>
      <w:lvlText w:val="•"/>
      <w:lvlJc w:val="left"/>
      <w:pPr>
        <w:ind w:left="4566" w:hanging="322"/>
      </w:pPr>
      <w:rPr>
        <w:rFonts w:hint="default"/>
        <w:lang w:val="zh-CN" w:eastAsia="zh-CN" w:bidi="zh-CN"/>
      </w:rPr>
    </w:lvl>
    <w:lvl w:ilvl="5">
      <w:start w:val="0"/>
      <w:numFmt w:val="bullet"/>
      <w:lvlText w:val="•"/>
      <w:lvlJc w:val="left"/>
      <w:pPr>
        <w:ind w:left="5343" w:hanging="322"/>
      </w:pPr>
      <w:rPr>
        <w:rFonts w:hint="default"/>
        <w:lang w:val="zh-CN" w:eastAsia="zh-CN" w:bidi="zh-CN"/>
      </w:rPr>
    </w:lvl>
    <w:lvl w:ilvl="6">
      <w:start w:val="0"/>
      <w:numFmt w:val="bullet"/>
      <w:lvlText w:val="•"/>
      <w:lvlJc w:val="left"/>
      <w:pPr>
        <w:ind w:left="6119" w:hanging="322"/>
      </w:pPr>
      <w:rPr>
        <w:rFonts w:hint="default"/>
        <w:lang w:val="zh-CN" w:eastAsia="zh-CN" w:bidi="zh-CN"/>
      </w:rPr>
    </w:lvl>
    <w:lvl w:ilvl="7">
      <w:start w:val="0"/>
      <w:numFmt w:val="bullet"/>
      <w:lvlText w:val="•"/>
      <w:lvlJc w:val="left"/>
      <w:pPr>
        <w:ind w:left="6896" w:hanging="322"/>
      </w:pPr>
      <w:rPr>
        <w:rFonts w:hint="default"/>
        <w:lang w:val="zh-CN" w:eastAsia="zh-CN" w:bidi="zh-CN"/>
      </w:rPr>
    </w:lvl>
    <w:lvl w:ilvl="8">
      <w:start w:val="0"/>
      <w:numFmt w:val="bullet"/>
      <w:lvlText w:val="•"/>
      <w:lvlJc w:val="left"/>
      <w:pPr>
        <w:ind w:left="7672" w:hanging="322"/>
      </w:pPr>
      <w:rPr>
        <w:rFonts w:hint="default"/>
        <w:lang w:val="zh-CN" w:eastAsia="zh-CN" w:bidi="zh-CN"/>
      </w:rPr>
    </w:lvl>
  </w:abstractNum>
  <w:abstractNum w:abstractNumId="16">
    <w:multiLevelType w:val="hybridMultilevel"/>
    <w:lvl w:ilvl="0">
      <w:start w:val="1"/>
      <w:numFmt w:val="decimal"/>
      <w:lvlText w:val="%1."/>
      <w:lvlJc w:val="left"/>
      <w:pPr>
        <w:ind w:left="1462" w:hanging="322"/>
        <w:jc w:val="left"/>
      </w:pPr>
      <w:rPr>
        <w:rFonts w:hint="default" w:ascii="宋体" w:hAnsi="宋体" w:eastAsia="宋体" w:cs="宋体"/>
        <w:spacing w:val="-2"/>
        <w:w w:val="99"/>
        <w:sz w:val="30"/>
        <w:szCs w:val="30"/>
        <w:lang w:val="zh-CN" w:eastAsia="zh-CN" w:bidi="zh-CN"/>
      </w:rPr>
    </w:lvl>
    <w:lvl w:ilvl="1">
      <w:start w:val="0"/>
      <w:numFmt w:val="bullet"/>
      <w:lvlText w:val="•"/>
      <w:lvlJc w:val="left"/>
      <w:pPr>
        <w:ind w:left="2236" w:hanging="322"/>
      </w:pPr>
      <w:rPr>
        <w:rFonts w:hint="default"/>
        <w:lang w:val="zh-CN" w:eastAsia="zh-CN" w:bidi="zh-CN"/>
      </w:rPr>
    </w:lvl>
    <w:lvl w:ilvl="2">
      <w:start w:val="0"/>
      <w:numFmt w:val="bullet"/>
      <w:lvlText w:val="•"/>
      <w:lvlJc w:val="left"/>
      <w:pPr>
        <w:ind w:left="3013" w:hanging="322"/>
      </w:pPr>
      <w:rPr>
        <w:rFonts w:hint="default"/>
        <w:lang w:val="zh-CN" w:eastAsia="zh-CN" w:bidi="zh-CN"/>
      </w:rPr>
    </w:lvl>
    <w:lvl w:ilvl="3">
      <w:start w:val="0"/>
      <w:numFmt w:val="bullet"/>
      <w:lvlText w:val="•"/>
      <w:lvlJc w:val="left"/>
      <w:pPr>
        <w:ind w:left="3789" w:hanging="322"/>
      </w:pPr>
      <w:rPr>
        <w:rFonts w:hint="default"/>
        <w:lang w:val="zh-CN" w:eastAsia="zh-CN" w:bidi="zh-CN"/>
      </w:rPr>
    </w:lvl>
    <w:lvl w:ilvl="4">
      <w:start w:val="0"/>
      <w:numFmt w:val="bullet"/>
      <w:lvlText w:val="•"/>
      <w:lvlJc w:val="left"/>
      <w:pPr>
        <w:ind w:left="4566" w:hanging="322"/>
      </w:pPr>
      <w:rPr>
        <w:rFonts w:hint="default"/>
        <w:lang w:val="zh-CN" w:eastAsia="zh-CN" w:bidi="zh-CN"/>
      </w:rPr>
    </w:lvl>
    <w:lvl w:ilvl="5">
      <w:start w:val="0"/>
      <w:numFmt w:val="bullet"/>
      <w:lvlText w:val="•"/>
      <w:lvlJc w:val="left"/>
      <w:pPr>
        <w:ind w:left="5343" w:hanging="322"/>
      </w:pPr>
      <w:rPr>
        <w:rFonts w:hint="default"/>
        <w:lang w:val="zh-CN" w:eastAsia="zh-CN" w:bidi="zh-CN"/>
      </w:rPr>
    </w:lvl>
    <w:lvl w:ilvl="6">
      <w:start w:val="0"/>
      <w:numFmt w:val="bullet"/>
      <w:lvlText w:val="•"/>
      <w:lvlJc w:val="left"/>
      <w:pPr>
        <w:ind w:left="6119" w:hanging="322"/>
      </w:pPr>
      <w:rPr>
        <w:rFonts w:hint="default"/>
        <w:lang w:val="zh-CN" w:eastAsia="zh-CN" w:bidi="zh-CN"/>
      </w:rPr>
    </w:lvl>
    <w:lvl w:ilvl="7">
      <w:start w:val="0"/>
      <w:numFmt w:val="bullet"/>
      <w:lvlText w:val="•"/>
      <w:lvlJc w:val="left"/>
      <w:pPr>
        <w:ind w:left="6896" w:hanging="322"/>
      </w:pPr>
      <w:rPr>
        <w:rFonts w:hint="default"/>
        <w:lang w:val="zh-CN" w:eastAsia="zh-CN" w:bidi="zh-CN"/>
      </w:rPr>
    </w:lvl>
    <w:lvl w:ilvl="8">
      <w:start w:val="0"/>
      <w:numFmt w:val="bullet"/>
      <w:lvlText w:val="•"/>
      <w:lvlJc w:val="left"/>
      <w:pPr>
        <w:ind w:left="7672" w:hanging="322"/>
      </w:pPr>
      <w:rPr>
        <w:rFonts w:hint="default"/>
        <w:lang w:val="zh-CN" w:eastAsia="zh-CN" w:bidi="zh-CN"/>
      </w:rPr>
    </w:lvl>
  </w:abstractNum>
  <w:abstractNum w:abstractNumId="15">
    <w:multiLevelType w:val="hybridMultilevel"/>
    <w:lvl w:ilvl="0">
      <w:start w:val="1"/>
      <w:numFmt w:val="decimal"/>
      <w:lvlText w:val="%1."/>
      <w:lvlJc w:val="left"/>
      <w:pPr>
        <w:ind w:left="1462" w:hanging="322"/>
        <w:jc w:val="left"/>
      </w:pPr>
      <w:rPr>
        <w:rFonts w:hint="default" w:ascii="宋体" w:hAnsi="宋体" w:eastAsia="宋体" w:cs="宋体"/>
        <w:spacing w:val="-2"/>
        <w:w w:val="99"/>
        <w:sz w:val="30"/>
        <w:szCs w:val="30"/>
        <w:lang w:val="zh-CN" w:eastAsia="zh-CN" w:bidi="zh-CN"/>
      </w:rPr>
    </w:lvl>
    <w:lvl w:ilvl="1">
      <w:start w:val="0"/>
      <w:numFmt w:val="bullet"/>
      <w:lvlText w:val="•"/>
      <w:lvlJc w:val="left"/>
      <w:pPr>
        <w:ind w:left="2236" w:hanging="322"/>
      </w:pPr>
      <w:rPr>
        <w:rFonts w:hint="default"/>
        <w:lang w:val="zh-CN" w:eastAsia="zh-CN" w:bidi="zh-CN"/>
      </w:rPr>
    </w:lvl>
    <w:lvl w:ilvl="2">
      <w:start w:val="0"/>
      <w:numFmt w:val="bullet"/>
      <w:lvlText w:val="•"/>
      <w:lvlJc w:val="left"/>
      <w:pPr>
        <w:ind w:left="3013" w:hanging="322"/>
      </w:pPr>
      <w:rPr>
        <w:rFonts w:hint="default"/>
        <w:lang w:val="zh-CN" w:eastAsia="zh-CN" w:bidi="zh-CN"/>
      </w:rPr>
    </w:lvl>
    <w:lvl w:ilvl="3">
      <w:start w:val="0"/>
      <w:numFmt w:val="bullet"/>
      <w:lvlText w:val="•"/>
      <w:lvlJc w:val="left"/>
      <w:pPr>
        <w:ind w:left="3789" w:hanging="322"/>
      </w:pPr>
      <w:rPr>
        <w:rFonts w:hint="default"/>
        <w:lang w:val="zh-CN" w:eastAsia="zh-CN" w:bidi="zh-CN"/>
      </w:rPr>
    </w:lvl>
    <w:lvl w:ilvl="4">
      <w:start w:val="0"/>
      <w:numFmt w:val="bullet"/>
      <w:lvlText w:val="•"/>
      <w:lvlJc w:val="left"/>
      <w:pPr>
        <w:ind w:left="4566" w:hanging="322"/>
      </w:pPr>
      <w:rPr>
        <w:rFonts w:hint="default"/>
        <w:lang w:val="zh-CN" w:eastAsia="zh-CN" w:bidi="zh-CN"/>
      </w:rPr>
    </w:lvl>
    <w:lvl w:ilvl="5">
      <w:start w:val="0"/>
      <w:numFmt w:val="bullet"/>
      <w:lvlText w:val="•"/>
      <w:lvlJc w:val="left"/>
      <w:pPr>
        <w:ind w:left="5343" w:hanging="322"/>
      </w:pPr>
      <w:rPr>
        <w:rFonts w:hint="default"/>
        <w:lang w:val="zh-CN" w:eastAsia="zh-CN" w:bidi="zh-CN"/>
      </w:rPr>
    </w:lvl>
    <w:lvl w:ilvl="6">
      <w:start w:val="0"/>
      <w:numFmt w:val="bullet"/>
      <w:lvlText w:val="•"/>
      <w:lvlJc w:val="left"/>
      <w:pPr>
        <w:ind w:left="6119" w:hanging="322"/>
      </w:pPr>
      <w:rPr>
        <w:rFonts w:hint="default"/>
        <w:lang w:val="zh-CN" w:eastAsia="zh-CN" w:bidi="zh-CN"/>
      </w:rPr>
    </w:lvl>
    <w:lvl w:ilvl="7">
      <w:start w:val="0"/>
      <w:numFmt w:val="bullet"/>
      <w:lvlText w:val="•"/>
      <w:lvlJc w:val="left"/>
      <w:pPr>
        <w:ind w:left="6896" w:hanging="322"/>
      </w:pPr>
      <w:rPr>
        <w:rFonts w:hint="default"/>
        <w:lang w:val="zh-CN" w:eastAsia="zh-CN" w:bidi="zh-CN"/>
      </w:rPr>
    </w:lvl>
    <w:lvl w:ilvl="8">
      <w:start w:val="0"/>
      <w:numFmt w:val="bullet"/>
      <w:lvlText w:val="•"/>
      <w:lvlJc w:val="left"/>
      <w:pPr>
        <w:ind w:left="7672" w:hanging="322"/>
      </w:pPr>
      <w:rPr>
        <w:rFonts w:hint="default"/>
        <w:lang w:val="zh-CN" w:eastAsia="zh-CN" w:bidi="zh-CN"/>
      </w:rPr>
    </w:lvl>
  </w:abstractNum>
  <w:abstractNum w:abstractNumId="14">
    <w:multiLevelType w:val="hybridMultilevel"/>
    <w:lvl w:ilvl="0">
      <w:start w:val="1"/>
      <w:numFmt w:val="decimal"/>
      <w:lvlText w:val="%1."/>
      <w:lvlJc w:val="left"/>
      <w:pPr>
        <w:ind w:left="1462" w:hanging="322"/>
        <w:jc w:val="left"/>
      </w:pPr>
      <w:rPr>
        <w:rFonts w:hint="default" w:ascii="宋体" w:hAnsi="宋体" w:eastAsia="宋体" w:cs="宋体"/>
        <w:spacing w:val="-2"/>
        <w:w w:val="99"/>
        <w:sz w:val="30"/>
        <w:szCs w:val="30"/>
        <w:lang w:val="zh-CN" w:eastAsia="zh-CN" w:bidi="zh-CN"/>
      </w:rPr>
    </w:lvl>
    <w:lvl w:ilvl="1">
      <w:start w:val="0"/>
      <w:numFmt w:val="bullet"/>
      <w:lvlText w:val="•"/>
      <w:lvlJc w:val="left"/>
      <w:pPr>
        <w:ind w:left="2236" w:hanging="322"/>
      </w:pPr>
      <w:rPr>
        <w:rFonts w:hint="default"/>
        <w:lang w:val="zh-CN" w:eastAsia="zh-CN" w:bidi="zh-CN"/>
      </w:rPr>
    </w:lvl>
    <w:lvl w:ilvl="2">
      <w:start w:val="0"/>
      <w:numFmt w:val="bullet"/>
      <w:lvlText w:val="•"/>
      <w:lvlJc w:val="left"/>
      <w:pPr>
        <w:ind w:left="3013" w:hanging="322"/>
      </w:pPr>
      <w:rPr>
        <w:rFonts w:hint="default"/>
        <w:lang w:val="zh-CN" w:eastAsia="zh-CN" w:bidi="zh-CN"/>
      </w:rPr>
    </w:lvl>
    <w:lvl w:ilvl="3">
      <w:start w:val="0"/>
      <w:numFmt w:val="bullet"/>
      <w:lvlText w:val="•"/>
      <w:lvlJc w:val="left"/>
      <w:pPr>
        <w:ind w:left="3789" w:hanging="322"/>
      </w:pPr>
      <w:rPr>
        <w:rFonts w:hint="default"/>
        <w:lang w:val="zh-CN" w:eastAsia="zh-CN" w:bidi="zh-CN"/>
      </w:rPr>
    </w:lvl>
    <w:lvl w:ilvl="4">
      <w:start w:val="0"/>
      <w:numFmt w:val="bullet"/>
      <w:lvlText w:val="•"/>
      <w:lvlJc w:val="left"/>
      <w:pPr>
        <w:ind w:left="4566" w:hanging="322"/>
      </w:pPr>
      <w:rPr>
        <w:rFonts w:hint="default"/>
        <w:lang w:val="zh-CN" w:eastAsia="zh-CN" w:bidi="zh-CN"/>
      </w:rPr>
    </w:lvl>
    <w:lvl w:ilvl="5">
      <w:start w:val="0"/>
      <w:numFmt w:val="bullet"/>
      <w:lvlText w:val="•"/>
      <w:lvlJc w:val="left"/>
      <w:pPr>
        <w:ind w:left="5343" w:hanging="322"/>
      </w:pPr>
      <w:rPr>
        <w:rFonts w:hint="default"/>
        <w:lang w:val="zh-CN" w:eastAsia="zh-CN" w:bidi="zh-CN"/>
      </w:rPr>
    </w:lvl>
    <w:lvl w:ilvl="6">
      <w:start w:val="0"/>
      <w:numFmt w:val="bullet"/>
      <w:lvlText w:val="•"/>
      <w:lvlJc w:val="left"/>
      <w:pPr>
        <w:ind w:left="6119" w:hanging="322"/>
      </w:pPr>
      <w:rPr>
        <w:rFonts w:hint="default"/>
        <w:lang w:val="zh-CN" w:eastAsia="zh-CN" w:bidi="zh-CN"/>
      </w:rPr>
    </w:lvl>
    <w:lvl w:ilvl="7">
      <w:start w:val="0"/>
      <w:numFmt w:val="bullet"/>
      <w:lvlText w:val="•"/>
      <w:lvlJc w:val="left"/>
      <w:pPr>
        <w:ind w:left="6896" w:hanging="322"/>
      </w:pPr>
      <w:rPr>
        <w:rFonts w:hint="default"/>
        <w:lang w:val="zh-CN" w:eastAsia="zh-CN" w:bidi="zh-CN"/>
      </w:rPr>
    </w:lvl>
    <w:lvl w:ilvl="8">
      <w:start w:val="0"/>
      <w:numFmt w:val="bullet"/>
      <w:lvlText w:val="•"/>
      <w:lvlJc w:val="left"/>
      <w:pPr>
        <w:ind w:left="7672" w:hanging="322"/>
      </w:pPr>
      <w:rPr>
        <w:rFonts w:hint="default"/>
        <w:lang w:val="zh-CN" w:eastAsia="zh-CN" w:bidi="zh-CN"/>
      </w:rPr>
    </w:lvl>
  </w:abstractNum>
  <w:abstractNum w:abstractNumId="13">
    <w:multiLevelType w:val="hybridMultilevel"/>
    <w:lvl w:ilvl="0">
      <w:start w:val="1"/>
      <w:numFmt w:val="decimal"/>
      <w:lvlText w:val="%1."/>
      <w:lvlJc w:val="left"/>
      <w:pPr>
        <w:ind w:left="1462" w:hanging="322"/>
        <w:jc w:val="left"/>
      </w:pPr>
      <w:rPr>
        <w:rFonts w:hint="default" w:ascii="宋体" w:hAnsi="宋体" w:eastAsia="宋体" w:cs="宋体"/>
        <w:spacing w:val="-2"/>
        <w:w w:val="99"/>
        <w:sz w:val="30"/>
        <w:szCs w:val="30"/>
        <w:lang w:val="zh-CN" w:eastAsia="zh-CN" w:bidi="zh-CN"/>
      </w:rPr>
    </w:lvl>
    <w:lvl w:ilvl="1">
      <w:start w:val="0"/>
      <w:numFmt w:val="bullet"/>
      <w:lvlText w:val="•"/>
      <w:lvlJc w:val="left"/>
      <w:pPr>
        <w:ind w:left="2236" w:hanging="322"/>
      </w:pPr>
      <w:rPr>
        <w:rFonts w:hint="default"/>
        <w:lang w:val="zh-CN" w:eastAsia="zh-CN" w:bidi="zh-CN"/>
      </w:rPr>
    </w:lvl>
    <w:lvl w:ilvl="2">
      <w:start w:val="0"/>
      <w:numFmt w:val="bullet"/>
      <w:lvlText w:val="•"/>
      <w:lvlJc w:val="left"/>
      <w:pPr>
        <w:ind w:left="3013" w:hanging="322"/>
      </w:pPr>
      <w:rPr>
        <w:rFonts w:hint="default"/>
        <w:lang w:val="zh-CN" w:eastAsia="zh-CN" w:bidi="zh-CN"/>
      </w:rPr>
    </w:lvl>
    <w:lvl w:ilvl="3">
      <w:start w:val="0"/>
      <w:numFmt w:val="bullet"/>
      <w:lvlText w:val="•"/>
      <w:lvlJc w:val="left"/>
      <w:pPr>
        <w:ind w:left="3789" w:hanging="322"/>
      </w:pPr>
      <w:rPr>
        <w:rFonts w:hint="default"/>
        <w:lang w:val="zh-CN" w:eastAsia="zh-CN" w:bidi="zh-CN"/>
      </w:rPr>
    </w:lvl>
    <w:lvl w:ilvl="4">
      <w:start w:val="0"/>
      <w:numFmt w:val="bullet"/>
      <w:lvlText w:val="•"/>
      <w:lvlJc w:val="left"/>
      <w:pPr>
        <w:ind w:left="4566" w:hanging="322"/>
      </w:pPr>
      <w:rPr>
        <w:rFonts w:hint="default"/>
        <w:lang w:val="zh-CN" w:eastAsia="zh-CN" w:bidi="zh-CN"/>
      </w:rPr>
    </w:lvl>
    <w:lvl w:ilvl="5">
      <w:start w:val="0"/>
      <w:numFmt w:val="bullet"/>
      <w:lvlText w:val="•"/>
      <w:lvlJc w:val="left"/>
      <w:pPr>
        <w:ind w:left="5343" w:hanging="322"/>
      </w:pPr>
      <w:rPr>
        <w:rFonts w:hint="default"/>
        <w:lang w:val="zh-CN" w:eastAsia="zh-CN" w:bidi="zh-CN"/>
      </w:rPr>
    </w:lvl>
    <w:lvl w:ilvl="6">
      <w:start w:val="0"/>
      <w:numFmt w:val="bullet"/>
      <w:lvlText w:val="•"/>
      <w:lvlJc w:val="left"/>
      <w:pPr>
        <w:ind w:left="6119" w:hanging="322"/>
      </w:pPr>
      <w:rPr>
        <w:rFonts w:hint="default"/>
        <w:lang w:val="zh-CN" w:eastAsia="zh-CN" w:bidi="zh-CN"/>
      </w:rPr>
    </w:lvl>
    <w:lvl w:ilvl="7">
      <w:start w:val="0"/>
      <w:numFmt w:val="bullet"/>
      <w:lvlText w:val="•"/>
      <w:lvlJc w:val="left"/>
      <w:pPr>
        <w:ind w:left="6896" w:hanging="322"/>
      </w:pPr>
      <w:rPr>
        <w:rFonts w:hint="default"/>
        <w:lang w:val="zh-CN" w:eastAsia="zh-CN" w:bidi="zh-CN"/>
      </w:rPr>
    </w:lvl>
    <w:lvl w:ilvl="8">
      <w:start w:val="0"/>
      <w:numFmt w:val="bullet"/>
      <w:lvlText w:val="•"/>
      <w:lvlJc w:val="left"/>
      <w:pPr>
        <w:ind w:left="7672" w:hanging="322"/>
      </w:pPr>
      <w:rPr>
        <w:rFonts w:hint="default"/>
        <w:lang w:val="zh-CN" w:eastAsia="zh-CN" w:bidi="zh-CN"/>
      </w:rPr>
    </w:lvl>
  </w:abstractNum>
  <w:abstractNum w:abstractNumId="12">
    <w:multiLevelType w:val="hybridMultilevel"/>
    <w:lvl w:ilvl="0">
      <w:start w:val="1"/>
      <w:numFmt w:val="decimal"/>
      <w:lvlText w:val="%1."/>
      <w:lvlJc w:val="left"/>
      <w:pPr>
        <w:ind w:left="500" w:hanging="322"/>
        <w:jc w:val="left"/>
      </w:pPr>
      <w:rPr>
        <w:rFonts w:hint="default" w:ascii="宋体" w:hAnsi="宋体" w:eastAsia="宋体" w:cs="宋体"/>
        <w:spacing w:val="-2"/>
        <w:w w:val="99"/>
        <w:sz w:val="30"/>
        <w:szCs w:val="30"/>
        <w:lang w:val="zh-CN" w:eastAsia="zh-CN" w:bidi="zh-CN"/>
      </w:rPr>
    </w:lvl>
    <w:lvl w:ilvl="1">
      <w:start w:val="0"/>
      <w:numFmt w:val="bullet"/>
      <w:lvlText w:val="•"/>
      <w:lvlJc w:val="left"/>
      <w:pPr>
        <w:ind w:left="1372" w:hanging="322"/>
      </w:pPr>
      <w:rPr>
        <w:rFonts w:hint="default"/>
        <w:lang w:val="zh-CN" w:eastAsia="zh-CN" w:bidi="zh-CN"/>
      </w:rPr>
    </w:lvl>
    <w:lvl w:ilvl="2">
      <w:start w:val="0"/>
      <w:numFmt w:val="bullet"/>
      <w:lvlText w:val="•"/>
      <w:lvlJc w:val="left"/>
      <w:pPr>
        <w:ind w:left="2245" w:hanging="322"/>
      </w:pPr>
      <w:rPr>
        <w:rFonts w:hint="default"/>
        <w:lang w:val="zh-CN" w:eastAsia="zh-CN" w:bidi="zh-CN"/>
      </w:rPr>
    </w:lvl>
    <w:lvl w:ilvl="3">
      <w:start w:val="0"/>
      <w:numFmt w:val="bullet"/>
      <w:lvlText w:val="•"/>
      <w:lvlJc w:val="left"/>
      <w:pPr>
        <w:ind w:left="3117" w:hanging="322"/>
      </w:pPr>
      <w:rPr>
        <w:rFonts w:hint="default"/>
        <w:lang w:val="zh-CN" w:eastAsia="zh-CN" w:bidi="zh-CN"/>
      </w:rPr>
    </w:lvl>
    <w:lvl w:ilvl="4">
      <w:start w:val="0"/>
      <w:numFmt w:val="bullet"/>
      <w:lvlText w:val="•"/>
      <w:lvlJc w:val="left"/>
      <w:pPr>
        <w:ind w:left="3990" w:hanging="322"/>
      </w:pPr>
      <w:rPr>
        <w:rFonts w:hint="default"/>
        <w:lang w:val="zh-CN" w:eastAsia="zh-CN" w:bidi="zh-CN"/>
      </w:rPr>
    </w:lvl>
    <w:lvl w:ilvl="5">
      <w:start w:val="0"/>
      <w:numFmt w:val="bullet"/>
      <w:lvlText w:val="•"/>
      <w:lvlJc w:val="left"/>
      <w:pPr>
        <w:ind w:left="4863" w:hanging="322"/>
      </w:pPr>
      <w:rPr>
        <w:rFonts w:hint="default"/>
        <w:lang w:val="zh-CN" w:eastAsia="zh-CN" w:bidi="zh-CN"/>
      </w:rPr>
    </w:lvl>
    <w:lvl w:ilvl="6">
      <w:start w:val="0"/>
      <w:numFmt w:val="bullet"/>
      <w:lvlText w:val="•"/>
      <w:lvlJc w:val="left"/>
      <w:pPr>
        <w:ind w:left="5735" w:hanging="322"/>
      </w:pPr>
      <w:rPr>
        <w:rFonts w:hint="default"/>
        <w:lang w:val="zh-CN" w:eastAsia="zh-CN" w:bidi="zh-CN"/>
      </w:rPr>
    </w:lvl>
    <w:lvl w:ilvl="7">
      <w:start w:val="0"/>
      <w:numFmt w:val="bullet"/>
      <w:lvlText w:val="•"/>
      <w:lvlJc w:val="left"/>
      <w:pPr>
        <w:ind w:left="6608" w:hanging="322"/>
      </w:pPr>
      <w:rPr>
        <w:rFonts w:hint="default"/>
        <w:lang w:val="zh-CN" w:eastAsia="zh-CN" w:bidi="zh-CN"/>
      </w:rPr>
    </w:lvl>
    <w:lvl w:ilvl="8">
      <w:start w:val="0"/>
      <w:numFmt w:val="bullet"/>
      <w:lvlText w:val="•"/>
      <w:lvlJc w:val="left"/>
      <w:pPr>
        <w:ind w:left="7480" w:hanging="322"/>
      </w:pPr>
      <w:rPr>
        <w:rFonts w:hint="default"/>
        <w:lang w:val="zh-CN" w:eastAsia="zh-CN" w:bidi="zh-CN"/>
      </w:rPr>
    </w:lvl>
  </w:abstractNum>
  <w:abstractNum w:abstractNumId="11">
    <w:multiLevelType w:val="hybridMultilevel"/>
    <w:lvl w:ilvl="0">
      <w:start w:val="1"/>
      <w:numFmt w:val="decimal"/>
      <w:lvlText w:val="%1."/>
      <w:lvlJc w:val="left"/>
      <w:pPr>
        <w:ind w:left="1462" w:hanging="322"/>
        <w:jc w:val="left"/>
      </w:pPr>
      <w:rPr>
        <w:rFonts w:hint="default" w:ascii="宋体" w:hAnsi="宋体" w:eastAsia="宋体" w:cs="宋体"/>
        <w:spacing w:val="-2"/>
        <w:w w:val="99"/>
        <w:sz w:val="30"/>
        <w:szCs w:val="30"/>
        <w:lang w:val="zh-CN" w:eastAsia="zh-CN" w:bidi="zh-CN"/>
      </w:rPr>
    </w:lvl>
    <w:lvl w:ilvl="1">
      <w:start w:val="0"/>
      <w:numFmt w:val="bullet"/>
      <w:lvlText w:val="•"/>
      <w:lvlJc w:val="left"/>
      <w:pPr>
        <w:ind w:left="2236" w:hanging="322"/>
      </w:pPr>
      <w:rPr>
        <w:rFonts w:hint="default"/>
        <w:lang w:val="zh-CN" w:eastAsia="zh-CN" w:bidi="zh-CN"/>
      </w:rPr>
    </w:lvl>
    <w:lvl w:ilvl="2">
      <w:start w:val="0"/>
      <w:numFmt w:val="bullet"/>
      <w:lvlText w:val="•"/>
      <w:lvlJc w:val="left"/>
      <w:pPr>
        <w:ind w:left="3013" w:hanging="322"/>
      </w:pPr>
      <w:rPr>
        <w:rFonts w:hint="default"/>
        <w:lang w:val="zh-CN" w:eastAsia="zh-CN" w:bidi="zh-CN"/>
      </w:rPr>
    </w:lvl>
    <w:lvl w:ilvl="3">
      <w:start w:val="0"/>
      <w:numFmt w:val="bullet"/>
      <w:lvlText w:val="•"/>
      <w:lvlJc w:val="left"/>
      <w:pPr>
        <w:ind w:left="3789" w:hanging="322"/>
      </w:pPr>
      <w:rPr>
        <w:rFonts w:hint="default"/>
        <w:lang w:val="zh-CN" w:eastAsia="zh-CN" w:bidi="zh-CN"/>
      </w:rPr>
    </w:lvl>
    <w:lvl w:ilvl="4">
      <w:start w:val="0"/>
      <w:numFmt w:val="bullet"/>
      <w:lvlText w:val="•"/>
      <w:lvlJc w:val="left"/>
      <w:pPr>
        <w:ind w:left="4566" w:hanging="322"/>
      </w:pPr>
      <w:rPr>
        <w:rFonts w:hint="default"/>
        <w:lang w:val="zh-CN" w:eastAsia="zh-CN" w:bidi="zh-CN"/>
      </w:rPr>
    </w:lvl>
    <w:lvl w:ilvl="5">
      <w:start w:val="0"/>
      <w:numFmt w:val="bullet"/>
      <w:lvlText w:val="•"/>
      <w:lvlJc w:val="left"/>
      <w:pPr>
        <w:ind w:left="5343" w:hanging="322"/>
      </w:pPr>
      <w:rPr>
        <w:rFonts w:hint="default"/>
        <w:lang w:val="zh-CN" w:eastAsia="zh-CN" w:bidi="zh-CN"/>
      </w:rPr>
    </w:lvl>
    <w:lvl w:ilvl="6">
      <w:start w:val="0"/>
      <w:numFmt w:val="bullet"/>
      <w:lvlText w:val="•"/>
      <w:lvlJc w:val="left"/>
      <w:pPr>
        <w:ind w:left="6119" w:hanging="322"/>
      </w:pPr>
      <w:rPr>
        <w:rFonts w:hint="default"/>
        <w:lang w:val="zh-CN" w:eastAsia="zh-CN" w:bidi="zh-CN"/>
      </w:rPr>
    </w:lvl>
    <w:lvl w:ilvl="7">
      <w:start w:val="0"/>
      <w:numFmt w:val="bullet"/>
      <w:lvlText w:val="•"/>
      <w:lvlJc w:val="left"/>
      <w:pPr>
        <w:ind w:left="6896" w:hanging="322"/>
      </w:pPr>
      <w:rPr>
        <w:rFonts w:hint="default"/>
        <w:lang w:val="zh-CN" w:eastAsia="zh-CN" w:bidi="zh-CN"/>
      </w:rPr>
    </w:lvl>
    <w:lvl w:ilvl="8">
      <w:start w:val="0"/>
      <w:numFmt w:val="bullet"/>
      <w:lvlText w:val="•"/>
      <w:lvlJc w:val="left"/>
      <w:pPr>
        <w:ind w:left="7672" w:hanging="322"/>
      </w:pPr>
      <w:rPr>
        <w:rFonts w:hint="default"/>
        <w:lang w:val="zh-CN" w:eastAsia="zh-CN" w:bidi="zh-CN"/>
      </w:rPr>
    </w:lvl>
  </w:abstractNum>
  <w:abstractNum w:abstractNumId="10">
    <w:multiLevelType w:val="hybridMultilevel"/>
    <w:lvl w:ilvl="0">
      <w:start w:val="1"/>
      <w:numFmt w:val="decimal"/>
      <w:lvlText w:val="%1."/>
      <w:lvlJc w:val="left"/>
      <w:pPr>
        <w:ind w:left="1462" w:hanging="322"/>
        <w:jc w:val="left"/>
      </w:pPr>
      <w:rPr>
        <w:rFonts w:hint="default" w:ascii="宋体" w:hAnsi="宋体" w:eastAsia="宋体" w:cs="宋体"/>
        <w:spacing w:val="-2"/>
        <w:w w:val="99"/>
        <w:sz w:val="30"/>
        <w:szCs w:val="30"/>
        <w:lang w:val="zh-CN" w:eastAsia="zh-CN" w:bidi="zh-CN"/>
      </w:rPr>
    </w:lvl>
    <w:lvl w:ilvl="1">
      <w:start w:val="0"/>
      <w:numFmt w:val="bullet"/>
      <w:lvlText w:val="•"/>
      <w:lvlJc w:val="left"/>
      <w:pPr>
        <w:ind w:left="2236" w:hanging="322"/>
      </w:pPr>
      <w:rPr>
        <w:rFonts w:hint="default"/>
        <w:lang w:val="zh-CN" w:eastAsia="zh-CN" w:bidi="zh-CN"/>
      </w:rPr>
    </w:lvl>
    <w:lvl w:ilvl="2">
      <w:start w:val="0"/>
      <w:numFmt w:val="bullet"/>
      <w:lvlText w:val="•"/>
      <w:lvlJc w:val="left"/>
      <w:pPr>
        <w:ind w:left="3013" w:hanging="322"/>
      </w:pPr>
      <w:rPr>
        <w:rFonts w:hint="default"/>
        <w:lang w:val="zh-CN" w:eastAsia="zh-CN" w:bidi="zh-CN"/>
      </w:rPr>
    </w:lvl>
    <w:lvl w:ilvl="3">
      <w:start w:val="0"/>
      <w:numFmt w:val="bullet"/>
      <w:lvlText w:val="•"/>
      <w:lvlJc w:val="left"/>
      <w:pPr>
        <w:ind w:left="3789" w:hanging="322"/>
      </w:pPr>
      <w:rPr>
        <w:rFonts w:hint="default"/>
        <w:lang w:val="zh-CN" w:eastAsia="zh-CN" w:bidi="zh-CN"/>
      </w:rPr>
    </w:lvl>
    <w:lvl w:ilvl="4">
      <w:start w:val="0"/>
      <w:numFmt w:val="bullet"/>
      <w:lvlText w:val="•"/>
      <w:lvlJc w:val="left"/>
      <w:pPr>
        <w:ind w:left="4566" w:hanging="322"/>
      </w:pPr>
      <w:rPr>
        <w:rFonts w:hint="default"/>
        <w:lang w:val="zh-CN" w:eastAsia="zh-CN" w:bidi="zh-CN"/>
      </w:rPr>
    </w:lvl>
    <w:lvl w:ilvl="5">
      <w:start w:val="0"/>
      <w:numFmt w:val="bullet"/>
      <w:lvlText w:val="•"/>
      <w:lvlJc w:val="left"/>
      <w:pPr>
        <w:ind w:left="5343" w:hanging="322"/>
      </w:pPr>
      <w:rPr>
        <w:rFonts w:hint="default"/>
        <w:lang w:val="zh-CN" w:eastAsia="zh-CN" w:bidi="zh-CN"/>
      </w:rPr>
    </w:lvl>
    <w:lvl w:ilvl="6">
      <w:start w:val="0"/>
      <w:numFmt w:val="bullet"/>
      <w:lvlText w:val="•"/>
      <w:lvlJc w:val="left"/>
      <w:pPr>
        <w:ind w:left="6119" w:hanging="322"/>
      </w:pPr>
      <w:rPr>
        <w:rFonts w:hint="default"/>
        <w:lang w:val="zh-CN" w:eastAsia="zh-CN" w:bidi="zh-CN"/>
      </w:rPr>
    </w:lvl>
    <w:lvl w:ilvl="7">
      <w:start w:val="0"/>
      <w:numFmt w:val="bullet"/>
      <w:lvlText w:val="•"/>
      <w:lvlJc w:val="left"/>
      <w:pPr>
        <w:ind w:left="6896" w:hanging="322"/>
      </w:pPr>
      <w:rPr>
        <w:rFonts w:hint="default"/>
        <w:lang w:val="zh-CN" w:eastAsia="zh-CN" w:bidi="zh-CN"/>
      </w:rPr>
    </w:lvl>
    <w:lvl w:ilvl="8">
      <w:start w:val="0"/>
      <w:numFmt w:val="bullet"/>
      <w:lvlText w:val="•"/>
      <w:lvlJc w:val="left"/>
      <w:pPr>
        <w:ind w:left="7672" w:hanging="322"/>
      </w:pPr>
      <w:rPr>
        <w:rFonts w:hint="default"/>
        <w:lang w:val="zh-CN" w:eastAsia="zh-CN" w:bidi="zh-CN"/>
      </w:rPr>
    </w:lvl>
  </w:abstractNum>
  <w:abstractNum w:abstractNumId="9">
    <w:multiLevelType w:val="hybridMultilevel"/>
    <w:lvl w:ilvl="0">
      <w:start w:val="1"/>
      <w:numFmt w:val="decimal"/>
      <w:lvlText w:val="%1."/>
      <w:lvlJc w:val="left"/>
      <w:pPr>
        <w:ind w:left="1462" w:hanging="322"/>
        <w:jc w:val="left"/>
      </w:pPr>
      <w:rPr>
        <w:rFonts w:hint="default" w:ascii="宋体" w:hAnsi="宋体" w:eastAsia="宋体" w:cs="宋体"/>
        <w:spacing w:val="-2"/>
        <w:w w:val="99"/>
        <w:sz w:val="30"/>
        <w:szCs w:val="30"/>
        <w:lang w:val="zh-CN" w:eastAsia="zh-CN" w:bidi="zh-CN"/>
      </w:rPr>
    </w:lvl>
    <w:lvl w:ilvl="1">
      <w:start w:val="0"/>
      <w:numFmt w:val="bullet"/>
      <w:lvlText w:val="•"/>
      <w:lvlJc w:val="left"/>
      <w:pPr>
        <w:ind w:left="2236" w:hanging="322"/>
      </w:pPr>
      <w:rPr>
        <w:rFonts w:hint="default"/>
        <w:lang w:val="zh-CN" w:eastAsia="zh-CN" w:bidi="zh-CN"/>
      </w:rPr>
    </w:lvl>
    <w:lvl w:ilvl="2">
      <w:start w:val="0"/>
      <w:numFmt w:val="bullet"/>
      <w:lvlText w:val="•"/>
      <w:lvlJc w:val="left"/>
      <w:pPr>
        <w:ind w:left="3013" w:hanging="322"/>
      </w:pPr>
      <w:rPr>
        <w:rFonts w:hint="default"/>
        <w:lang w:val="zh-CN" w:eastAsia="zh-CN" w:bidi="zh-CN"/>
      </w:rPr>
    </w:lvl>
    <w:lvl w:ilvl="3">
      <w:start w:val="0"/>
      <w:numFmt w:val="bullet"/>
      <w:lvlText w:val="•"/>
      <w:lvlJc w:val="left"/>
      <w:pPr>
        <w:ind w:left="3789" w:hanging="322"/>
      </w:pPr>
      <w:rPr>
        <w:rFonts w:hint="default"/>
        <w:lang w:val="zh-CN" w:eastAsia="zh-CN" w:bidi="zh-CN"/>
      </w:rPr>
    </w:lvl>
    <w:lvl w:ilvl="4">
      <w:start w:val="0"/>
      <w:numFmt w:val="bullet"/>
      <w:lvlText w:val="•"/>
      <w:lvlJc w:val="left"/>
      <w:pPr>
        <w:ind w:left="4566" w:hanging="322"/>
      </w:pPr>
      <w:rPr>
        <w:rFonts w:hint="default"/>
        <w:lang w:val="zh-CN" w:eastAsia="zh-CN" w:bidi="zh-CN"/>
      </w:rPr>
    </w:lvl>
    <w:lvl w:ilvl="5">
      <w:start w:val="0"/>
      <w:numFmt w:val="bullet"/>
      <w:lvlText w:val="•"/>
      <w:lvlJc w:val="left"/>
      <w:pPr>
        <w:ind w:left="5343" w:hanging="322"/>
      </w:pPr>
      <w:rPr>
        <w:rFonts w:hint="default"/>
        <w:lang w:val="zh-CN" w:eastAsia="zh-CN" w:bidi="zh-CN"/>
      </w:rPr>
    </w:lvl>
    <w:lvl w:ilvl="6">
      <w:start w:val="0"/>
      <w:numFmt w:val="bullet"/>
      <w:lvlText w:val="•"/>
      <w:lvlJc w:val="left"/>
      <w:pPr>
        <w:ind w:left="6119" w:hanging="322"/>
      </w:pPr>
      <w:rPr>
        <w:rFonts w:hint="default"/>
        <w:lang w:val="zh-CN" w:eastAsia="zh-CN" w:bidi="zh-CN"/>
      </w:rPr>
    </w:lvl>
    <w:lvl w:ilvl="7">
      <w:start w:val="0"/>
      <w:numFmt w:val="bullet"/>
      <w:lvlText w:val="•"/>
      <w:lvlJc w:val="left"/>
      <w:pPr>
        <w:ind w:left="6896" w:hanging="322"/>
      </w:pPr>
      <w:rPr>
        <w:rFonts w:hint="default"/>
        <w:lang w:val="zh-CN" w:eastAsia="zh-CN" w:bidi="zh-CN"/>
      </w:rPr>
    </w:lvl>
    <w:lvl w:ilvl="8">
      <w:start w:val="0"/>
      <w:numFmt w:val="bullet"/>
      <w:lvlText w:val="•"/>
      <w:lvlJc w:val="left"/>
      <w:pPr>
        <w:ind w:left="7672" w:hanging="322"/>
      </w:pPr>
      <w:rPr>
        <w:rFonts w:hint="default"/>
        <w:lang w:val="zh-CN" w:eastAsia="zh-CN" w:bidi="zh-CN"/>
      </w:rPr>
    </w:lvl>
  </w:abstractNum>
  <w:abstractNum w:abstractNumId="8">
    <w:multiLevelType w:val="hybridMultilevel"/>
    <w:lvl w:ilvl="0">
      <w:start w:val="1"/>
      <w:numFmt w:val="decimal"/>
      <w:lvlText w:val="%1."/>
      <w:lvlJc w:val="left"/>
      <w:pPr>
        <w:ind w:left="1462" w:hanging="322"/>
        <w:jc w:val="left"/>
      </w:pPr>
      <w:rPr>
        <w:rFonts w:hint="default" w:ascii="宋体" w:hAnsi="宋体" w:eastAsia="宋体" w:cs="宋体"/>
        <w:spacing w:val="-2"/>
        <w:w w:val="99"/>
        <w:sz w:val="30"/>
        <w:szCs w:val="30"/>
        <w:lang w:val="zh-CN" w:eastAsia="zh-CN" w:bidi="zh-CN"/>
      </w:rPr>
    </w:lvl>
    <w:lvl w:ilvl="1">
      <w:start w:val="0"/>
      <w:numFmt w:val="bullet"/>
      <w:lvlText w:val="•"/>
      <w:lvlJc w:val="left"/>
      <w:pPr>
        <w:ind w:left="2236" w:hanging="322"/>
      </w:pPr>
      <w:rPr>
        <w:rFonts w:hint="default"/>
        <w:lang w:val="zh-CN" w:eastAsia="zh-CN" w:bidi="zh-CN"/>
      </w:rPr>
    </w:lvl>
    <w:lvl w:ilvl="2">
      <w:start w:val="0"/>
      <w:numFmt w:val="bullet"/>
      <w:lvlText w:val="•"/>
      <w:lvlJc w:val="left"/>
      <w:pPr>
        <w:ind w:left="3013" w:hanging="322"/>
      </w:pPr>
      <w:rPr>
        <w:rFonts w:hint="default"/>
        <w:lang w:val="zh-CN" w:eastAsia="zh-CN" w:bidi="zh-CN"/>
      </w:rPr>
    </w:lvl>
    <w:lvl w:ilvl="3">
      <w:start w:val="0"/>
      <w:numFmt w:val="bullet"/>
      <w:lvlText w:val="•"/>
      <w:lvlJc w:val="left"/>
      <w:pPr>
        <w:ind w:left="3789" w:hanging="322"/>
      </w:pPr>
      <w:rPr>
        <w:rFonts w:hint="default"/>
        <w:lang w:val="zh-CN" w:eastAsia="zh-CN" w:bidi="zh-CN"/>
      </w:rPr>
    </w:lvl>
    <w:lvl w:ilvl="4">
      <w:start w:val="0"/>
      <w:numFmt w:val="bullet"/>
      <w:lvlText w:val="•"/>
      <w:lvlJc w:val="left"/>
      <w:pPr>
        <w:ind w:left="4566" w:hanging="322"/>
      </w:pPr>
      <w:rPr>
        <w:rFonts w:hint="default"/>
        <w:lang w:val="zh-CN" w:eastAsia="zh-CN" w:bidi="zh-CN"/>
      </w:rPr>
    </w:lvl>
    <w:lvl w:ilvl="5">
      <w:start w:val="0"/>
      <w:numFmt w:val="bullet"/>
      <w:lvlText w:val="•"/>
      <w:lvlJc w:val="left"/>
      <w:pPr>
        <w:ind w:left="5343" w:hanging="322"/>
      </w:pPr>
      <w:rPr>
        <w:rFonts w:hint="default"/>
        <w:lang w:val="zh-CN" w:eastAsia="zh-CN" w:bidi="zh-CN"/>
      </w:rPr>
    </w:lvl>
    <w:lvl w:ilvl="6">
      <w:start w:val="0"/>
      <w:numFmt w:val="bullet"/>
      <w:lvlText w:val="•"/>
      <w:lvlJc w:val="left"/>
      <w:pPr>
        <w:ind w:left="6119" w:hanging="322"/>
      </w:pPr>
      <w:rPr>
        <w:rFonts w:hint="default"/>
        <w:lang w:val="zh-CN" w:eastAsia="zh-CN" w:bidi="zh-CN"/>
      </w:rPr>
    </w:lvl>
    <w:lvl w:ilvl="7">
      <w:start w:val="0"/>
      <w:numFmt w:val="bullet"/>
      <w:lvlText w:val="•"/>
      <w:lvlJc w:val="left"/>
      <w:pPr>
        <w:ind w:left="6896" w:hanging="322"/>
      </w:pPr>
      <w:rPr>
        <w:rFonts w:hint="default"/>
        <w:lang w:val="zh-CN" w:eastAsia="zh-CN" w:bidi="zh-CN"/>
      </w:rPr>
    </w:lvl>
    <w:lvl w:ilvl="8">
      <w:start w:val="0"/>
      <w:numFmt w:val="bullet"/>
      <w:lvlText w:val="•"/>
      <w:lvlJc w:val="left"/>
      <w:pPr>
        <w:ind w:left="7672" w:hanging="322"/>
      </w:pPr>
      <w:rPr>
        <w:rFonts w:hint="default"/>
        <w:lang w:val="zh-CN" w:eastAsia="zh-CN" w:bidi="zh-CN"/>
      </w:rPr>
    </w:lvl>
  </w:abstractNum>
  <w:abstractNum w:abstractNumId="7">
    <w:multiLevelType w:val="hybridMultilevel"/>
    <w:lvl w:ilvl="0">
      <w:start w:val="1"/>
      <w:numFmt w:val="decimal"/>
      <w:lvlText w:val="%1."/>
      <w:lvlJc w:val="left"/>
      <w:pPr>
        <w:ind w:left="1462" w:hanging="322"/>
        <w:jc w:val="left"/>
      </w:pPr>
      <w:rPr>
        <w:rFonts w:hint="default" w:ascii="宋体" w:hAnsi="宋体" w:eastAsia="宋体" w:cs="宋体"/>
        <w:spacing w:val="-2"/>
        <w:w w:val="99"/>
        <w:sz w:val="30"/>
        <w:szCs w:val="30"/>
        <w:lang w:val="zh-CN" w:eastAsia="zh-CN" w:bidi="zh-CN"/>
      </w:rPr>
    </w:lvl>
    <w:lvl w:ilvl="1">
      <w:start w:val="0"/>
      <w:numFmt w:val="bullet"/>
      <w:lvlText w:val="•"/>
      <w:lvlJc w:val="left"/>
      <w:pPr>
        <w:ind w:left="2236" w:hanging="322"/>
      </w:pPr>
      <w:rPr>
        <w:rFonts w:hint="default"/>
        <w:lang w:val="zh-CN" w:eastAsia="zh-CN" w:bidi="zh-CN"/>
      </w:rPr>
    </w:lvl>
    <w:lvl w:ilvl="2">
      <w:start w:val="0"/>
      <w:numFmt w:val="bullet"/>
      <w:lvlText w:val="•"/>
      <w:lvlJc w:val="left"/>
      <w:pPr>
        <w:ind w:left="3013" w:hanging="322"/>
      </w:pPr>
      <w:rPr>
        <w:rFonts w:hint="default"/>
        <w:lang w:val="zh-CN" w:eastAsia="zh-CN" w:bidi="zh-CN"/>
      </w:rPr>
    </w:lvl>
    <w:lvl w:ilvl="3">
      <w:start w:val="0"/>
      <w:numFmt w:val="bullet"/>
      <w:lvlText w:val="•"/>
      <w:lvlJc w:val="left"/>
      <w:pPr>
        <w:ind w:left="3789" w:hanging="322"/>
      </w:pPr>
      <w:rPr>
        <w:rFonts w:hint="default"/>
        <w:lang w:val="zh-CN" w:eastAsia="zh-CN" w:bidi="zh-CN"/>
      </w:rPr>
    </w:lvl>
    <w:lvl w:ilvl="4">
      <w:start w:val="0"/>
      <w:numFmt w:val="bullet"/>
      <w:lvlText w:val="•"/>
      <w:lvlJc w:val="left"/>
      <w:pPr>
        <w:ind w:left="4566" w:hanging="322"/>
      </w:pPr>
      <w:rPr>
        <w:rFonts w:hint="default"/>
        <w:lang w:val="zh-CN" w:eastAsia="zh-CN" w:bidi="zh-CN"/>
      </w:rPr>
    </w:lvl>
    <w:lvl w:ilvl="5">
      <w:start w:val="0"/>
      <w:numFmt w:val="bullet"/>
      <w:lvlText w:val="•"/>
      <w:lvlJc w:val="left"/>
      <w:pPr>
        <w:ind w:left="5343" w:hanging="322"/>
      </w:pPr>
      <w:rPr>
        <w:rFonts w:hint="default"/>
        <w:lang w:val="zh-CN" w:eastAsia="zh-CN" w:bidi="zh-CN"/>
      </w:rPr>
    </w:lvl>
    <w:lvl w:ilvl="6">
      <w:start w:val="0"/>
      <w:numFmt w:val="bullet"/>
      <w:lvlText w:val="•"/>
      <w:lvlJc w:val="left"/>
      <w:pPr>
        <w:ind w:left="6119" w:hanging="322"/>
      </w:pPr>
      <w:rPr>
        <w:rFonts w:hint="default"/>
        <w:lang w:val="zh-CN" w:eastAsia="zh-CN" w:bidi="zh-CN"/>
      </w:rPr>
    </w:lvl>
    <w:lvl w:ilvl="7">
      <w:start w:val="0"/>
      <w:numFmt w:val="bullet"/>
      <w:lvlText w:val="•"/>
      <w:lvlJc w:val="left"/>
      <w:pPr>
        <w:ind w:left="6896" w:hanging="322"/>
      </w:pPr>
      <w:rPr>
        <w:rFonts w:hint="default"/>
        <w:lang w:val="zh-CN" w:eastAsia="zh-CN" w:bidi="zh-CN"/>
      </w:rPr>
    </w:lvl>
    <w:lvl w:ilvl="8">
      <w:start w:val="0"/>
      <w:numFmt w:val="bullet"/>
      <w:lvlText w:val="•"/>
      <w:lvlJc w:val="left"/>
      <w:pPr>
        <w:ind w:left="7672" w:hanging="322"/>
      </w:pPr>
      <w:rPr>
        <w:rFonts w:hint="default"/>
        <w:lang w:val="zh-CN" w:eastAsia="zh-CN" w:bidi="zh-CN"/>
      </w:rPr>
    </w:lvl>
  </w:abstractNum>
  <w:abstractNum w:abstractNumId="6">
    <w:multiLevelType w:val="hybridMultilevel"/>
    <w:lvl w:ilvl="0">
      <w:start w:val="1"/>
      <w:numFmt w:val="decimal"/>
      <w:lvlText w:val="%1."/>
      <w:lvlJc w:val="left"/>
      <w:pPr>
        <w:ind w:left="500" w:hanging="322"/>
        <w:jc w:val="left"/>
      </w:pPr>
      <w:rPr>
        <w:rFonts w:hint="default" w:ascii="宋体" w:hAnsi="宋体" w:eastAsia="宋体" w:cs="宋体"/>
        <w:spacing w:val="-2"/>
        <w:w w:val="99"/>
        <w:sz w:val="30"/>
        <w:szCs w:val="30"/>
        <w:lang w:val="zh-CN" w:eastAsia="zh-CN" w:bidi="zh-CN"/>
      </w:rPr>
    </w:lvl>
    <w:lvl w:ilvl="1">
      <w:start w:val="0"/>
      <w:numFmt w:val="bullet"/>
      <w:lvlText w:val="•"/>
      <w:lvlJc w:val="left"/>
      <w:pPr>
        <w:ind w:left="1372" w:hanging="322"/>
      </w:pPr>
      <w:rPr>
        <w:rFonts w:hint="default"/>
        <w:lang w:val="zh-CN" w:eastAsia="zh-CN" w:bidi="zh-CN"/>
      </w:rPr>
    </w:lvl>
    <w:lvl w:ilvl="2">
      <w:start w:val="0"/>
      <w:numFmt w:val="bullet"/>
      <w:lvlText w:val="•"/>
      <w:lvlJc w:val="left"/>
      <w:pPr>
        <w:ind w:left="2245" w:hanging="322"/>
      </w:pPr>
      <w:rPr>
        <w:rFonts w:hint="default"/>
        <w:lang w:val="zh-CN" w:eastAsia="zh-CN" w:bidi="zh-CN"/>
      </w:rPr>
    </w:lvl>
    <w:lvl w:ilvl="3">
      <w:start w:val="0"/>
      <w:numFmt w:val="bullet"/>
      <w:lvlText w:val="•"/>
      <w:lvlJc w:val="left"/>
      <w:pPr>
        <w:ind w:left="3117" w:hanging="322"/>
      </w:pPr>
      <w:rPr>
        <w:rFonts w:hint="default"/>
        <w:lang w:val="zh-CN" w:eastAsia="zh-CN" w:bidi="zh-CN"/>
      </w:rPr>
    </w:lvl>
    <w:lvl w:ilvl="4">
      <w:start w:val="0"/>
      <w:numFmt w:val="bullet"/>
      <w:lvlText w:val="•"/>
      <w:lvlJc w:val="left"/>
      <w:pPr>
        <w:ind w:left="3990" w:hanging="322"/>
      </w:pPr>
      <w:rPr>
        <w:rFonts w:hint="default"/>
        <w:lang w:val="zh-CN" w:eastAsia="zh-CN" w:bidi="zh-CN"/>
      </w:rPr>
    </w:lvl>
    <w:lvl w:ilvl="5">
      <w:start w:val="0"/>
      <w:numFmt w:val="bullet"/>
      <w:lvlText w:val="•"/>
      <w:lvlJc w:val="left"/>
      <w:pPr>
        <w:ind w:left="4863" w:hanging="322"/>
      </w:pPr>
      <w:rPr>
        <w:rFonts w:hint="default"/>
        <w:lang w:val="zh-CN" w:eastAsia="zh-CN" w:bidi="zh-CN"/>
      </w:rPr>
    </w:lvl>
    <w:lvl w:ilvl="6">
      <w:start w:val="0"/>
      <w:numFmt w:val="bullet"/>
      <w:lvlText w:val="•"/>
      <w:lvlJc w:val="left"/>
      <w:pPr>
        <w:ind w:left="5735" w:hanging="322"/>
      </w:pPr>
      <w:rPr>
        <w:rFonts w:hint="default"/>
        <w:lang w:val="zh-CN" w:eastAsia="zh-CN" w:bidi="zh-CN"/>
      </w:rPr>
    </w:lvl>
    <w:lvl w:ilvl="7">
      <w:start w:val="0"/>
      <w:numFmt w:val="bullet"/>
      <w:lvlText w:val="•"/>
      <w:lvlJc w:val="left"/>
      <w:pPr>
        <w:ind w:left="6608" w:hanging="322"/>
      </w:pPr>
      <w:rPr>
        <w:rFonts w:hint="default"/>
        <w:lang w:val="zh-CN" w:eastAsia="zh-CN" w:bidi="zh-CN"/>
      </w:rPr>
    </w:lvl>
    <w:lvl w:ilvl="8">
      <w:start w:val="0"/>
      <w:numFmt w:val="bullet"/>
      <w:lvlText w:val="•"/>
      <w:lvlJc w:val="left"/>
      <w:pPr>
        <w:ind w:left="7480" w:hanging="322"/>
      </w:pPr>
      <w:rPr>
        <w:rFonts w:hint="default"/>
        <w:lang w:val="zh-CN" w:eastAsia="zh-CN" w:bidi="zh-CN"/>
      </w:rPr>
    </w:lvl>
  </w:abstractNum>
  <w:abstractNum w:abstractNumId="5">
    <w:multiLevelType w:val="hybridMultilevel"/>
    <w:lvl w:ilvl="0">
      <w:start w:val="1"/>
      <w:numFmt w:val="decimal"/>
      <w:lvlText w:val="%1."/>
      <w:lvlJc w:val="left"/>
      <w:pPr>
        <w:ind w:left="1462" w:hanging="322"/>
        <w:jc w:val="left"/>
      </w:pPr>
      <w:rPr>
        <w:rFonts w:hint="default" w:ascii="宋体" w:hAnsi="宋体" w:eastAsia="宋体" w:cs="宋体"/>
        <w:spacing w:val="-2"/>
        <w:w w:val="99"/>
        <w:sz w:val="30"/>
        <w:szCs w:val="30"/>
        <w:lang w:val="zh-CN" w:eastAsia="zh-CN" w:bidi="zh-CN"/>
      </w:rPr>
    </w:lvl>
    <w:lvl w:ilvl="1">
      <w:start w:val="0"/>
      <w:numFmt w:val="bullet"/>
      <w:lvlText w:val="•"/>
      <w:lvlJc w:val="left"/>
      <w:pPr>
        <w:ind w:left="2236" w:hanging="322"/>
      </w:pPr>
      <w:rPr>
        <w:rFonts w:hint="default"/>
        <w:lang w:val="zh-CN" w:eastAsia="zh-CN" w:bidi="zh-CN"/>
      </w:rPr>
    </w:lvl>
    <w:lvl w:ilvl="2">
      <w:start w:val="0"/>
      <w:numFmt w:val="bullet"/>
      <w:lvlText w:val="•"/>
      <w:lvlJc w:val="left"/>
      <w:pPr>
        <w:ind w:left="3013" w:hanging="322"/>
      </w:pPr>
      <w:rPr>
        <w:rFonts w:hint="default"/>
        <w:lang w:val="zh-CN" w:eastAsia="zh-CN" w:bidi="zh-CN"/>
      </w:rPr>
    </w:lvl>
    <w:lvl w:ilvl="3">
      <w:start w:val="0"/>
      <w:numFmt w:val="bullet"/>
      <w:lvlText w:val="•"/>
      <w:lvlJc w:val="left"/>
      <w:pPr>
        <w:ind w:left="3789" w:hanging="322"/>
      </w:pPr>
      <w:rPr>
        <w:rFonts w:hint="default"/>
        <w:lang w:val="zh-CN" w:eastAsia="zh-CN" w:bidi="zh-CN"/>
      </w:rPr>
    </w:lvl>
    <w:lvl w:ilvl="4">
      <w:start w:val="0"/>
      <w:numFmt w:val="bullet"/>
      <w:lvlText w:val="•"/>
      <w:lvlJc w:val="left"/>
      <w:pPr>
        <w:ind w:left="4566" w:hanging="322"/>
      </w:pPr>
      <w:rPr>
        <w:rFonts w:hint="default"/>
        <w:lang w:val="zh-CN" w:eastAsia="zh-CN" w:bidi="zh-CN"/>
      </w:rPr>
    </w:lvl>
    <w:lvl w:ilvl="5">
      <w:start w:val="0"/>
      <w:numFmt w:val="bullet"/>
      <w:lvlText w:val="•"/>
      <w:lvlJc w:val="left"/>
      <w:pPr>
        <w:ind w:left="5343" w:hanging="322"/>
      </w:pPr>
      <w:rPr>
        <w:rFonts w:hint="default"/>
        <w:lang w:val="zh-CN" w:eastAsia="zh-CN" w:bidi="zh-CN"/>
      </w:rPr>
    </w:lvl>
    <w:lvl w:ilvl="6">
      <w:start w:val="0"/>
      <w:numFmt w:val="bullet"/>
      <w:lvlText w:val="•"/>
      <w:lvlJc w:val="left"/>
      <w:pPr>
        <w:ind w:left="6119" w:hanging="322"/>
      </w:pPr>
      <w:rPr>
        <w:rFonts w:hint="default"/>
        <w:lang w:val="zh-CN" w:eastAsia="zh-CN" w:bidi="zh-CN"/>
      </w:rPr>
    </w:lvl>
    <w:lvl w:ilvl="7">
      <w:start w:val="0"/>
      <w:numFmt w:val="bullet"/>
      <w:lvlText w:val="•"/>
      <w:lvlJc w:val="left"/>
      <w:pPr>
        <w:ind w:left="6896" w:hanging="322"/>
      </w:pPr>
      <w:rPr>
        <w:rFonts w:hint="default"/>
        <w:lang w:val="zh-CN" w:eastAsia="zh-CN" w:bidi="zh-CN"/>
      </w:rPr>
    </w:lvl>
    <w:lvl w:ilvl="8">
      <w:start w:val="0"/>
      <w:numFmt w:val="bullet"/>
      <w:lvlText w:val="•"/>
      <w:lvlJc w:val="left"/>
      <w:pPr>
        <w:ind w:left="7672" w:hanging="322"/>
      </w:pPr>
      <w:rPr>
        <w:rFonts w:hint="default"/>
        <w:lang w:val="zh-CN" w:eastAsia="zh-CN" w:bidi="zh-CN"/>
      </w:rPr>
    </w:lvl>
  </w:abstractNum>
  <w:abstractNum w:abstractNumId="4">
    <w:multiLevelType w:val="hybridMultilevel"/>
    <w:lvl w:ilvl="0">
      <w:start w:val="1"/>
      <w:numFmt w:val="decimal"/>
      <w:lvlText w:val="%1."/>
      <w:lvlJc w:val="left"/>
      <w:pPr>
        <w:ind w:left="1462" w:hanging="322"/>
        <w:jc w:val="left"/>
      </w:pPr>
      <w:rPr>
        <w:rFonts w:hint="default" w:ascii="宋体" w:hAnsi="宋体" w:eastAsia="宋体" w:cs="宋体"/>
        <w:spacing w:val="-2"/>
        <w:w w:val="99"/>
        <w:sz w:val="30"/>
        <w:szCs w:val="30"/>
        <w:lang w:val="zh-CN" w:eastAsia="zh-CN" w:bidi="zh-CN"/>
      </w:rPr>
    </w:lvl>
    <w:lvl w:ilvl="1">
      <w:start w:val="0"/>
      <w:numFmt w:val="bullet"/>
      <w:lvlText w:val="•"/>
      <w:lvlJc w:val="left"/>
      <w:pPr>
        <w:ind w:left="2236" w:hanging="322"/>
      </w:pPr>
      <w:rPr>
        <w:rFonts w:hint="default"/>
        <w:lang w:val="zh-CN" w:eastAsia="zh-CN" w:bidi="zh-CN"/>
      </w:rPr>
    </w:lvl>
    <w:lvl w:ilvl="2">
      <w:start w:val="0"/>
      <w:numFmt w:val="bullet"/>
      <w:lvlText w:val="•"/>
      <w:lvlJc w:val="left"/>
      <w:pPr>
        <w:ind w:left="3013" w:hanging="322"/>
      </w:pPr>
      <w:rPr>
        <w:rFonts w:hint="default"/>
        <w:lang w:val="zh-CN" w:eastAsia="zh-CN" w:bidi="zh-CN"/>
      </w:rPr>
    </w:lvl>
    <w:lvl w:ilvl="3">
      <w:start w:val="0"/>
      <w:numFmt w:val="bullet"/>
      <w:lvlText w:val="•"/>
      <w:lvlJc w:val="left"/>
      <w:pPr>
        <w:ind w:left="3789" w:hanging="322"/>
      </w:pPr>
      <w:rPr>
        <w:rFonts w:hint="default"/>
        <w:lang w:val="zh-CN" w:eastAsia="zh-CN" w:bidi="zh-CN"/>
      </w:rPr>
    </w:lvl>
    <w:lvl w:ilvl="4">
      <w:start w:val="0"/>
      <w:numFmt w:val="bullet"/>
      <w:lvlText w:val="•"/>
      <w:lvlJc w:val="left"/>
      <w:pPr>
        <w:ind w:left="4566" w:hanging="322"/>
      </w:pPr>
      <w:rPr>
        <w:rFonts w:hint="default"/>
        <w:lang w:val="zh-CN" w:eastAsia="zh-CN" w:bidi="zh-CN"/>
      </w:rPr>
    </w:lvl>
    <w:lvl w:ilvl="5">
      <w:start w:val="0"/>
      <w:numFmt w:val="bullet"/>
      <w:lvlText w:val="•"/>
      <w:lvlJc w:val="left"/>
      <w:pPr>
        <w:ind w:left="5343" w:hanging="322"/>
      </w:pPr>
      <w:rPr>
        <w:rFonts w:hint="default"/>
        <w:lang w:val="zh-CN" w:eastAsia="zh-CN" w:bidi="zh-CN"/>
      </w:rPr>
    </w:lvl>
    <w:lvl w:ilvl="6">
      <w:start w:val="0"/>
      <w:numFmt w:val="bullet"/>
      <w:lvlText w:val="•"/>
      <w:lvlJc w:val="left"/>
      <w:pPr>
        <w:ind w:left="6119" w:hanging="322"/>
      </w:pPr>
      <w:rPr>
        <w:rFonts w:hint="default"/>
        <w:lang w:val="zh-CN" w:eastAsia="zh-CN" w:bidi="zh-CN"/>
      </w:rPr>
    </w:lvl>
    <w:lvl w:ilvl="7">
      <w:start w:val="0"/>
      <w:numFmt w:val="bullet"/>
      <w:lvlText w:val="•"/>
      <w:lvlJc w:val="left"/>
      <w:pPr>
        <w:ind w:left="6896" w:hanging="322"/>
      </w:pPr>
      <w:rPr>
        <w:rFonts w:hint="default"/>
        <w:lang w:val="zh-CN" w:eastAsia="zh-CN" w:bidi="zh-CN"/>
      </w:rPr>
    </w:lvl>
    <w:lvl w:ilvl="8">
      <w:start w:val="0"/>
      <w:numFmt w:val="bullet"/>
      <w:lvlText w:val="•"/>
      <w:lvlJc w:val="left"/>
      <w:pPr>
        <w:ind w:left="7672" w:hanging="322"/>
      </w:pPr>
      <w:rPr>
        <w:rFonts w:hint="default"/>
        <w:lang w:val="zh-CN" w:eastAsia="zh-CN" w:bidi="zh-CN"/>
      </w:rPr>
    </w:lvl>
  </w:abstractNum>
  <w:abstractNum w:abstractNumId="3">
    <w:multiLevelType w:val="hybridMultilevel"/>
    <w:lvl w:ilvl="0">
      <w:start w:val="1"/>
      <w:numFmt w:val="decimal"/>
      <w:lvlText w:val="%1."/>
      <w:lvlJc w:val="left"/>
      <w:pPr>
        <w:ind w:left="500" w:hanging="322"/>
        <w:jc w:val="left"/>
      </w:pPr>
      <w:rPr>
        <w:rFonts w:hint="default" w:ascii="宋体" w:hAnsi="宋体" w:eastAsia="宋体" w:cs="宋体"/>
        <w:spacing w:val="-2"/>
        <w:w w:val="99"/>
        <w:sz w:val="30"/>
        <w:szCs w:val="30"/>
        <w:lang w:val="zh-CN" w:eastAsia="zh-CN" w:bidi="zh-CN"/>
      </w:rPr>
    </w:lvl>
    <w:lvl w:ilvl="1">
      <w:start w:val="0"/>
      <w:numFmt w:val="bullet"/>
      <w:lvlText w:val="•"/>
      <w:lvlJc w:val="left"/>
      <w:pPr>
        <w:ind w:left="1372" w:hanging="322"/>
      </w:pPr>
      <w:rPr>
        <w:rFonts w:hint="default"/>
        <w:lang w:val="zh-CN" w:eastAsia="zh-CN" w:bidi="zh-CN"/>
      </w:rPr>
    </w:lvl>
    <w:lvl w:ilvl="2">
      <w:start w:val="0"/>
      <w:numFmt w:val="bullet"/>
      <w:lvlText w:val="•"/>
      <w:lvlJc w:val="left"/>
      <w:pPr>
        <w:ind w:left="2245" w:hanging="322"/>
      </w:pPr>
      <w:rPr>
        <w:rFonts w:hint="default"/>
        <w:lang w:val="zh-CN" w:eastAsia="zh-CN" w:bidi="zh-CN"/>
      </w:rPr>
    </w:lvl>
    <w:lvl w:ilvl="3">
      <w:start w:val="0"/>
      <w:numFmt w:val="bullet"/>
      <w:lvlText w:val="•"/>
      <w:lvlJc w:val="left"/>
      <w:pPr>
        <w:ind w:left="3117" w:hanging="322"/>
      </w:pPr>
      <w:rPr>
        <w:rFonts w:hint="default"/>
        <w:lang w:val="zh-CN" w:eastAsia="zh-CN" w:bidi="zh-CN"/>
      </w:rPr>
    </w:lvl>
    <w:lvl w:ilvl="4">
      <w:start w:val="0"/>
      <w:numFmt w:val="bullet"/>
      <w:lvlText w:val="•"/>
      <w:lvlJc w:val="left"/>
      <w:pPr>
        <w:ind w:left="3990" w:hanging="322"/>
      </w:pPr>
      <w:rPr>
        <w:rFonts w:hint="default"/>
        <w:lang w:val="zh-CN" w:eastAsia="zh-CN" w:bidi="zh-CN"/>
      </w:rPr>
    </w:lvl>
    <w:lvl w:ilvl="5">
      <w:start w:val="0"/>
      <w:numFmt w:val="bullet"/>
      <w:lvlText w:val="•"/>
      <w:lvlJc w:val="left"/>
      <w:pPr>
        <w:ind w:left="4863" w:hanging="322"/>
      </w:pPr>
      <w:rPr>
        <w:rFonts w:hint="default"/>
        <w:lang w:val="zh-CN" w:eastAsia="zh-CN" w:bidi="zh-CN"/>
      </w:rPr>
    </w:lvl>
    <w:lvl w:ilvl="6">
      <w:start w:val="0"/>
      <w:numFmt w:val="bullet"/>
      <w:lvlText w:val="•"/>
      <w:lvlJc w:val="left"/>
      <w:pPr>
        <w:ind w:left="5735" w:hanging="322"/>
      </w:pPr>
      <w:rPr>
        <w:rFonts w:hint="default"/>
        <w:lang w:val="zh-CN" w:eastAsia="zh-CN" w:bidi="zh-CN"/>
      </w:rPr>
    </w:lvl>
    <w:lvl w:ilvl="7">
      <w:start w:val="0"/>
      <w:numFmt w:val="bullet"/>
      <w:lvlText w:val="•"/>
      <w:lvlJc w:val="left"/>
      <w:pPr>
        <w:ind w:left="6608" w:hanging="322"/>
      </w:pPr>
      <w:rPr>
        <w:rFonts w:hint="default"/>
        <w:lang w:val="zh-CN" w:eastAsia="zh-CN" w:bidi="zh-CN"/>
      </w:rPr>
    </w:lvl>
    <w:lvl w:ilvl="8">
      <w:start w:val="0"/>
      <w:numFmt w:val="bullet"/>
      <w:lvlText w:val="•"/>
      <w:lvlJc w:val="left"/>
      <w:pPr>
        <w:ind w:left="7480" w:hanging="322"/>
      </w:pPr>
      <w:rPr>
        <w:rFonts w:hint="default"/>
        <w:lang w:val="zh-CN" w:eastAsia="zh-CN" w:bidi="zh-CN"/>
      </w:rPr>
    </w:lvl>
  </w:abstractNum>
  <w:abstractNum w:abstractNumId="2">
    <w:multiLevelType w:val="hybridMultilevel"/>
    <w:lvl w:ilvl="0">
      <w:start w:val="1"/>
      <w:numFmt w:val="decimal"/>
      <w:lvlText w:val="%1."/>
      <w:lvlJc w:val="left"/>
      <w:pPr>
        <w:ind w:left="1462" w:hanging="322"/>
        <w:jc w:val="left"/>
      </w:pPr>
      <w:rPr>
        <w:rFonts w:hint="default" w:ascii="宋体" w:hAnsi="宋体" w:eastAsia="宋体" w:cs="宋体"/>
        <w:spacing w:val="-2"/>
        <w:w w:val="99"/>
        <w:sz w:val="30"/>
        <w:szCs w:val="30"/>
        <w:lang w:val="zh-CN" w:eastAsia="zh-CN" w:bidi="zh-CN"/>
      </w:rPr>
    </w:lvl>
    <w:lvl w:ilvl="1">
      <w:start w:val="0"/>
      <w:numFmt w:val="bullet"/>
      <w:lvlText w:val="•"/>
      <w:lvlJc w:val="left"/>
      <w:pPr>
        <w:ind w:left="2236" w:hanging="322"/>
      </w:pPr>
      <w:rPr>
        <w:rFonts w:hint="default"/>
        <w:lang w:val="zh-CN" w:eastAsia="zh-CN" w:bidi="zh-CN"/>
      </w:rPr>
    </w:lvl>
    <w:lvl w:ilvl="2">
      <w:start w:val="0"/>
      <w:numFmt w:val="bullet"/>
      <w:lvlText w:val="•"/>
      <w:lvlJc w:val="left"/>
      <w:pPr>
        <w:ind w:left="3013" w:hanging="322"/>
      </w:pPr>
      <w:rPr>
        <w:rFonts w:hint="default"/>
        <w:lang w:val="zh-CN" w:eastAsia="zh-CN" w:bidi="zh-CN"/>
      </w:rPr>
    </w:lvl>
    <w:lvl w:ilvl="3">
      <w:start w:val="0"/>
      <w:numFmt w:val="bullet"/>
      <w:lvlText w:val="•"/>
      <w:lvlJc w:val="left"/>
      <w:pPr>
        <w:ind w:left="3789" w:hanging="322"/>
      </w:pPr>
      <w:rPr>
        <w:rFonts w:hint="default"/>
        <w:lang w:val="zh-CN" w:eastAsia="zh-CN" w:bidi="zh-CN"/>
      </w:rPr>
    </w:lvl>
    <w:lvl w:ilvl="4">
      <w:start w:val="0"/>
      <w:numFmt w:val="bullet"/>
      <w:lvlText w:val="•"/>
      <w:lvlJc w:val="left"/>
      <w:pPr>
        <w:ind w:left="4566" w:hanging="322"/>
      </w:pPr>
      <w:rPr>
        <w:rFonts w:hint="default"/>
        <w:lang w:val="zh-CN" w:eastAsia="zh-CN" w:bidi="zh-CN"/>
      </w:rPr>
    </w:lvl>
    <w:lvl w:ilvl="5">
      <w:start w:val="0"/>
      <w:numFmt w:val="bullet"/>
      <w:lvlText w:val="•"/>
      <w:lvlJc w:val="left"/>
      <w:pPr>
        <w:ind w:left="5343" w:hanging="322"/>
      </w:pPr>
      <w:rPr>
        <w:rFonts w:hint="default"/>
        <w:lang w:val="zh-CN" w:eastAsia="zh-CN" w:bidi="zh-CN"/>
      </w:rPr>
    </w:lvl>
    <w:lvl w:ilvl="6">
      <w:start w:val="0"/>
      <w:numFmt w:val="bullet"/>
      <w:lvlText w:val="•"/>
      <w:lvlJc w:val="left"/>
      <w:pPr>
        <w:ind w:left="6119" w:hanging="322"/>
      </w:pPr>
      <w:rPr>
        <w:rFonts w:hint="default"/>
        <w:lang w:val="zh-CN" w:eastAsia="zh-CN" w:bidi="zh-CN"/>
      </w:rPr>
    </w:lvl>
    <w:lvl w:ilvl="7">
      <w:start w:val="0"/>
      <w:numFmt w:val="bullet"/>
      <w:lvlText w:val="•"/>
      <w:lvlJc w:val="left"/>
      <w:pPr>
        <w:ind w:left="6896" w:hanging="322"/>
      </w:pPr>
      <w:rPr>
        <w:rFonts w:hint="default"/>
        <w:lang w:val="zh-CN" w:eastAsia="zh-CN" w:bidi="zh-CN"/>
      </w:rPr>
    </w:lvl>
    <w:lvl w:ilvl="8">
      <w:start w:val="0"/>
      <w:numFmt w:val="bullet"/>
      <w:lvlText w:val="•"/>
      <w:lvlJc w:val="left"/>
      <w:pPr>
        <w:ind w:left="7672" w:hanging="322"/>
      </w:pPr>
      <w:rPr>
        <w:rFonts w:hint="default"/>
        <w:lang w:val="zh-CN" w:eastAsia="zh-CN" w:bidi="zh-CN"/>
      </w:rPr>
    </w:lvl>
  </w:abstractNum>
  <w:abstractNum w:abstractNumId="1">
    <w:multiLevelType w:val="hybridMultilevel"/>
    <w:lvl w:ilvl="0">
      <w:start w:val="1"/>
      <w:numFmt w:val="decimal"/>
      <w:lvlText w:val="%1."/>
      <w:lvlJc w:val="left"/>
      <w:pPr>
        <w:ind w:left="500" w:hanging="322"/>
        <w:jc w:val="left"/>
      </w:pPr>
      <w:rPr>
        <w:rFonts w:hint="default" w:ascii="宋体" w:hAnsi="宋体" w:eastAsia="宋体" w:cs="宋体"/>
        <w:spacing w:val="-2"/>
        <w:w w:val="99"/>
        <w:sz w:val="30"/>
        <w:szCs w:val="30"/>
        <w:lang w:val="zh-CN" w:eastAsia="zh-CN" w:bidi="zh-CN"/>
      </w:rPr>
    </w:lvl>
    <w:lvl w:ilvl="1">
      <w:start w:val="0"/>
      <w:numFmt w:val="bullet"/>
      <w:lvlText w:val="•"/>
      <w:lvlJc w:val="left"/>
      <w:pPr>
        <w:ind w:left="1372" w:hanging="322"/>
      </w:pPr>
      <w:rPr>
        <w:rFonts w:hint="default"/>
        <w:lang w:val="zh-CN" w:eastAsia="zh-CN" w:bidi="zh-CN"/>
      </w:rPr>
    </w:lvl>
    <w:lvl w:ilvl="2">
      <w:start w:val="0"/>
      <w:numFmt w:val="bullet"/>
      <w:lvlText w:val="•"/>
      <w:lvlJc w:val="left"/>
      <w:pPr>
        <w:ind w:left="2245" w:hanging="322"/>
      </w:pPr>
      <w:rPr>
        <w:rFonts w:hint="default"/>
        <w:lang w:val="zh-CN" w:eastAsia="zh-CN" w:bidi="zh-CN"/>
      </w:rPr>
    </w:lvl>
    <w:lvl w:ilvl="3">
      <w:start w:val="0"/>
      <w:numFmt w:val="bullet"/>
      <w:lvlText w:val="•"/>
      <w:lvlJc w:val="left"/>
      <w:pPr>
        <w:ind w:left="3117" w:hanging="322"/>
      </w:pPr>
      <w:rPr>
        <w:rFonts w:hint="default"/>
        <w:lang w:val="zh-CN" w:eastAsia="zh-CN" w:bidi="zh-CN"/>
      </w:rPr>
    </w:lvl>
    <w:lvl w:ilvl="4">
      <w:start w:val="0"/>
      <w:numFmt w:val="bullet"/>
      <w:lvlText w:val="•"/>
      <w:lvlJc w:val="left"/>
      <w:pPr>
        <w:ind w:left="3990" w:hanging="322"/>
      </w:pPr>
      <w:rPr>
        <w:rFonts w:hint="default"/>
        <w:lang w:val="zh-CN" w:eastAsia="zh-CN" w:bidi="zh-CN"/>
      </w:rPr>
    </w:lvl>
    <w:lvl w:ilvl="5">
      <w:start w:val="0"/>
      <w:numFmt w:val="bullet"/>
      <w:lvlText w:val="•"/>
      <w:lvlJc w:val="left"/>
      <w:pPr>
        <w:ind w:left="4863" w:hanging="322"/>
      </w:pPr>
      <w:rPr>
        <w:rFonts w:hint="default"/>
        <w:lang w:val="zh-CN" w:eastAsia="zh-CN" w:bidi="zh-CN"/>
      </w:rPr>
    </w:lvl>
    <w:lvl w:ilvl="6">
      <w:start w:val="0"/>
      <w:numFmt w:val="bullet"/>
      <w:lvlText w:val="•"/>
      <w:lvlJc w:val="left"/>
      <w:pPr>
        <w:ind w:left="5735" w:hanging="322"/>
      </w:pPr>
      <w:rPr>
        <w:rFonts w:hint="default"/>
        <w:lang w:val="zh-CN" w:eastAsia="zh-CN" w:bidi="zh-CN"/>
      </w:rPr>
    </w:lvl>
    <w:lvl w:ilvl="7">
      <w:start w:val="0"/>
      <w:numFmt w:val="bullet"/>
      <w:lvlText w:val="•"/>
      <w:lvlJc w:val="left"/>
      <w:pPr>
        <w:ind w:left="6608" w:hanging="322"/>
      </w:pPr>
      <w:rPr>
        <w:rFonts w:hint="default"/>
        <w:lang w:val="zh-CN" w:eastAsia="zh-CN" w:bidi="zh-CN"/>
      </w:rPr>
    </w:lvl>
    <w:lvl w:ilvl="8">
      <w:start w:val="0"/>
      <w:numFmt w:val="bullet"/>
      <w:lvlText w:val="•"/>
      <w:lvlJc w:val="left"/>
      <w:pPr>
        <w:ind w:left="7480" w:hanging="322"/>
      </w:pPr>
      <w:rPr>
        <w:rFonts w:hint="default"/>
        <w:lang w:val="zh-CN" w:eastAsia="zh-CN" w:bidi="zh-CN"/>
      </w:rPr>
    </w:lvl>
  </w:abstractNum>
  <w:abstractNum w:abstractNumId="0">
    <w:multiLevelType w:val="hybridMultilevel"/>
    <w:lvl w:ilvl="0">
      <w:start w:val="1"/>
      <w:numFmt w:val="decimal"/>
      <w:lvlText w:val="%1."/>
      <w:lvlJc w:val="left"/>
      <w:pPr>
        <w:ind w:left="439" w:hanging="322"/>
        <w:jc w:val="left"/>
      </w:pPr>
      <w:rPr>
        <w:rFonts w:hint="default" w:ascii="宋体" w:hAnsi="宋体" w:eastAsia="宋体" w:cs="宋体"/>
        <w:spacing w:val="-2"/>
        <w:w w:val="99"/>
        <w:sz w:val="30"/>
        <w:szCs w:val="30"/>
        <w:lang w:val="zh-CN" w:eastAsia="zh-CN" w:bidi="zh-CN"/>
      </w:rPr>
    </w:lvl>
    <w:lvl w:ilvl="1">
      <w:start w:val="1"/>
      <w:numFmt w:val="decimal"/>
      <w:lvlText w:val="%2."/>
      <w:lvlJc w:val="left"/>
      <w:pPr>
        <w:ind w:left="500" w:hanging="322"/>
        <w:jc w:val="left"/>
      </w:pPr>
      <w:rPr>
        <w:rFonts w:hint="default" w:ascii="宋体" w:hAnsi="宋体" w:eastAsia="宋体" w:cs="宋体"/>
        <w:spacing w:val="-2"/>
        <w:w w:val="99"/>
        <w:sz w:val="30"/>
        <w:szCs w:val="30"/>
        <w:lang w:val="zh-CN" w:eastAsia="zh-CN" w:bidi="zh-CN"/>
      </w:rPr>
    </w:lvl>
    <w:lvl w:ilvl="2">
      <w:start w:val="0"/>
      <w:numFmt w:val="bullet"/>
      <w:lvlText w:val="•"/>
      <w:lvlJc w:val="left"/>
      <w:pPr>
        <w:ind w:left="1469" w:hanging="322"/>
      </w:pPr>
      <w:rPr>
        <w:rFonts w:hint="default"/>
        <w:lang w:val="zh-CN" w:eastAsia="zh-CN" w:bidi="zh-CN"/>
      </w:rPr>
    </w:lvl>
    <w:lvl w:ilvl="3">
      <w:start w:val="0"/>
      <w:numFmt w:val="bullet"/>
      <w:lvlText w:val="•"/>
      <w:lvlJc w:val="left"/>
      <w:pPr>
        <w:ind w:left="2439" w:hanging="322"/>
      </w:pPr>
      <w:rPr>
        <w:rFonts w:hint="default"/>
        <w:lang w:val="zh-CN" w:eastAsia="zh-CN" w:bidi="zh-CN"/>
      </w:rPr>
    </w:lvl>
    <w:lvl w:ilvl="4">
      <w:start w:val="0"/>
      <w:numFmt w:val="bullet"/>
      <w:lvlText w:val="•"/>
      <w:lvlJc w:val="left"/>
      <w:pPr>
        <w:ind w:left="3408" w:hanging="322"/>
      </w:pPr>
      <w:rPr>
        <w:rFonts w:hint="default"/>
        <w:lang w:val="zh-CN" w:eastAsia="zh-CN" w:bidi="zh-CN"/>
      </w:rPr>
    </w:lvl>
    <w:lvl w:ilvl="5">
      <w:start w:val="0"/>
      <w:numFmt w:val="bullet"/>
      <w:lvlText w:val="•"/>
      <w:lvlJc w:val="left"/>
      <w:pPr>
        <w:ind w:left="4378" w:hanging="322"/>
      </w:pPr>
      <w:rPr>
        <w:rFonts w:hint="default"/>
        <w:lang w:val="zh-CN" w:eastAsia="zh-CN" w:bidi="zh-CN"/>
      </w:rPr>
    </w:lvl>
    <w:lvl w:ilvl="6">
      <w:start w:val="0"/>
      <w:numFmt w:val="bullet"/>
      <w:lvlText w:val="•"/>
      <w:lvlJc w:val="left"/>
      <w:pPr>
        <w:ind w:left="5347" w:hanging="322"/>
      </w:pPr>
      <w:rPr>
        <w:rFonts w:hint="default"/>
        <w:lang w:val="zh-CN" w:eastAsia="zh-CN" w:bidi="zh-CN"/>
      </w:rPr>
    </w:lvl>
    <w:lvl w:ilvl="7">
      <w:start w:val="0"/>
      <w:numFmt w:val="bullet"/>
      <w:lvlText w:val="•"/>
      <w:lvlJc w:val="left"/>
      <w:pPr>
        <w:ind w:left="6317" w:hanging="322"/>
      </w:pPr>
      <w:rPr>
        <w:rFonts w:hint="default"/>
        <w:lang w:val="zh-CN" w:eastAsia="zh-CN" w:bidi="zh-CN"/>
      </w:rPr>
    </w:lvl>
    <w:lvl w:ilvl="8">
      <w:start w:val="0"/>
      <w:numFmt w:val="bullet"/>
      <w:lvlText w:val="•"/>
      <w:lvlJc w:val="left"/>
      <w:pPr>
        <w:ind w:left="7286" w:hanging="322"/>
      </w:pPr>
      <w:rPr>
        <w:rFonts w:hint="default"/>
        <w:lang w:val="zh-CN" w:eastAsia="zh-CN" w:bidi="zh-CN"/>
      </w:rPr>
    </w:lvl>
  </w:abstract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zh-CN" w:eastAsia="zh-CN" w:bidi="zh-CN"/>
    </w:rPr>
  </w:style>
  <w:style w:styleId="BodyText" w:type="paragraph">
    <w:name w:val="Body Text"/>
    <w:basedOn w:val="Normal"/>
    <w:uiPriority w:val="1"/>
    <w:qFormat/>
    <w:pPr>
      <w:ind w:left="500"/>
    </w:pPr>
    <w:rPr>
      <w:rFonts w:ascii="宋体" w:hAnsi="宋体" w:eastAsia="宋体" w:cs="宋体"/>
      <w:sz w:val="32"/>
      <w:szCs w:val="32"/>
      <w:lang w:val="zh-CN" w:eastAsia="zh-CN" w:bidi="zh-CN"/>
    </w:rPr>
  </w:style>
  <w:style w:styleId="Heading1" w:type="paragraph">
    <w:name w:val="Heading 1"/>
    <w:basedOn w:val="Normal"/>
    <w:uiPriority w:val="1"/>
    <w:qFormat/>
    <w:pPr>
      <w:spacing w:before="77"/>
      <w:ind w:left="2242" w:right="876" w:hanging="1503"/>
      <w:outlineLvl w:val="1"/>
    </w:pPr>
    <w:rPr>
      <w:rFonts w:ascii="Microsoft JhengHei" w:hAnsi="Microsoft JhengHei" w:eastAsia="Microsoft JhengHei" w:cs="Microsoft JhengHei"/>
      <w:b/>
      <w:bCs/>
      <w:sz w:val="44"/>
      <w:szCs w:val="44"/>
      <w:lang w:val="zh-CN" w:eastAsia="zh-CN" w:bidi="zh-CN"/>
    </w:rPr>
  </w:style>
  <w:style w:styleId="Heading2" w:type="paragraph">
    <w:name w:val="Heading 2"/>
    <w:basedOn w:val="Normal"/>
    <w:uiPriority w:val="1"/>
    <w:qFormat/>
    <w:pPr>
      <w:spacing w:before="41"/>
      <w:ind w:left="77"/>
      <w:jc w:val="center"/>
      <w:outlineLvl w:val="2"/>
    </w:pPr>
    <w:rPr>
      <w:rFonts w:ascii="宋体" w:hAnsi="宋体" w:eastAsia="宋体" w:cs="宋体"/>
      <w:sz w:val="44"/>
      <w:szCs w:val="44"/>
      <w:lang w:val="zh-CN" w:eastAsia="zh-CN" w:bidi="zh-CN"/>
    </w:rPr>
  </w:style>
  <w:style w:styleId="Heading3" w:type="paragraph">
    <w:name w:val="Heading 3"/>
    <w:basedOn w:val="Normal"/>
    <w:uiPriority w:val="1"/>
    <w:qFormat/>
    <w:pPr>
      <w:ind w:left="1383" w:hanging="644"/>
      <w:outlineLvl w:val="3"/>
    </w:pPr>
    <w:rPr>
      <w:rFonts w:ascii="Microsoft JhengHei" w:hAnsi="Microsoft JhengHei" w:eastAsia="Microsoft JhengHei" w:cs="Microsoft JhengHei"/>
      <w:b/>
      <w:bCs/>
      <w:sz w:val="32"/>
      <w:szCs w:val="32"/>
      <w:lang w:val="zh-CN" w:eastAsia="zh-CN" w:bidi="zh-CN"/>
    </w:rPr>
  </w:style>
  <w:style w:styleId="ListParagraph" w:type="paragraph">
    <w:name w:val="List Paragraph"/>
    <w:basedOn w:val="Normal"/>
    <w:uiPriority w:val="1"/>
    <w:qFormat/>
    <w:pPr>
      <w:ind w:left="500" w:firstLine="640"/>
    </w:pPr>
    <w:rPr>
      <w:rFonts w:ascii="宋体" w:hAnsi="宋体" w:eastAsia="宋体" w:cs="宋体"/>
      <w:lang w:val="zh-CN" w:eastAsia="zh-CN" w:bidi="zh-CN"/>
    </w:rPr>
  </w:style>
  <w:style w:styleId="TableParagraph" w:type="paragraph">
    <w:name w:val="Table Paragraph"/>
    <w:basedOn w:val="Normal"/>
    <w:uiPriority w:val="1"/>
    <w:qFormat/>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footer" Target="footer10.xml"/><Relationship Id="rId15" Type="http://schemas.openxmlformats.org/officeDocument/2006/relationships/footer" Target="footer11.xml"/><Relationship Id="rId16" Type="http://schemas.openxmlformats.org/officeDocument/2006/relationships/footer" Target="footer12.xml"/><Relationship Id="rId17" Type="http://schemas.openxmlformats.org/officeDocument/2006/relationships/footer" Target="footer13.xml"/><Relationship Id="rId18" Type="http://schemas.openxmlformats.org/officeDocument/2006/relationships/footer" Target="footer14.xml"/><Relationship Id="rId19" Type="http://schemas.openxmlformats.org/officeDocument/2006/relationships/image" Target="media/image1.jpeg"/><Relationship Id="rId20" Type="http://schemas.openxmlformats.org/officeDocument/2006/relationships/footer" Target="footer15.xml"/><Relationship Id="rId21" Type="http://schemas.openxmlformats.org/officeDocument/2006/relationships/footer" Target="footer16.xml"/><Relationship Id="rId22" Type="http://schemas.openxmlformats.org/officeDocument/2006/relationships/footer" Target="footer17.xml"/><Relationship Id="rId23" Type="http://schemas.openxmlformats.org/officeDocument/2006/relationships/footer" Target="footer18.xml"/><Relationship Id="rId24" Type="http://schemas.openxmlformats.org/officeDocument/2006/relationships/footer" Target="footer19.xml"/><Relationship Id="rId25" Type="http://schemas.openxmlformats.org/officeDocument/2006/relationships/footer" Target="footer20.xml"/><Relationship Id="rId26" Type="http://schemas.openxmlformats.org/officeDocument/2006/relationships/footer" Target="footer21.xml"/><Relationship Id="rId27" Type="http://schemas.openxmlformats.org/officeDocument/2006/relationships/image" Target="media/image2.jpeg"/><Relationship Id="rId28" Type="http://schemas.openxmlformats.org/officeDocument/2006/relationships/image" Target="media/image3.jpeg"/><Relationship Id="rId29" Type="http://schemas.openxmlformats.org/officeDocument/2006/relationships/footer" Target="footer22.xml"/><Relationship Id="rId30" Type="http://schemas.openxmlformats.org/officeDocument/2006/relationships/footer" Target="footer23.xml"/><Relationship Id="rId31" Type="http://schemas.openxmlformats.org/officeDocument/2006/relationships/footer" Target="footer24.xml"/><Relationship Id="rId32" Type="http://schemas.openxmlformats.org/officeDocument/2006/relationships/footer" Target="footer25.xml"/><Relationship Id="rId33" Type="http://schemas.openxmlformats.org/officeDocument/2006/relationships/footer" Target="footer26.xml"/><Relationship Id="rId3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LZT</dc:creator>
  <dc:title>房屋市政工程生产安全重大事故隐患判定标准</dc:title>
  <dcterms:created xsi:type="dcterms:W3CDTF">2024-01-10T00:53:01Z</dcterms:created>
  <dcterms:modified xsi:type="dcterms:W3CDTF">2024-01-10T00:53:01Z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2023-05-05T00:00:00Z</vt:filetime>
  </property>
  <property fmtid="{D5CDD505-2E9C-101B-9397-08002B2CF9AE}" pid="3" name="Creator">
    <vt:lpwstr>WPS 文字</vt:lpwstr>
  </property>
  <property fmtid="{D5CDD505-2E9C-101B-9397-08002B2CF9AE}" pid="4" name="LastSaved">
    <vt:filetime>2024-01-10T00:00:00Z</vt:filetime>
  </property>
</Properties>
</file>