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560" w:firstLineChars="200"/>
        <w:jc w:val="both"/>
        <w:rPr>
          <w:rFonts w:hint="default" w:ascii="宋体" w:hAnsi="宋体" w:eastAsia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91729662"/>
      <w:bookmarkStart w:id="1" w:name="_Toc194389877"/>
      <w:bookmarkStart w:id="2" w:name="_Toc217444155"/>
      <w:bookmarkStart w:id="3" w:name="_Toc191728102"/>
      <w:bookmarkStart w:id="4" w:name="_Toc24108"/>
      <w:bookmarkStart w:id="5" w:name="_Toc191729980"/>
      <w:r>
        <w:rPr>
          <w:rFonts w:hint="eastAsia" w:ascii="宋体" w:hAnsi="宋体" w:cs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昭通市龙丽商贸有限公司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占地为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860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㎡，总建筑面积为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㎡（其中加注区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及储罐区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占地面积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㎡，其他利用区域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㎡（含配电、值班室及办公室等）。</w:t>
      </w:r>
      <w:r>
        <w:rPr>
          <w:rFonts w:ascii="宋体" w:hAnsi="宋体"/>
          <w:color w:val="000000"/>
          <w:sz w:val="28"/>
          <w:szCs w:val="28"/>
        </w:rPr>
        <w:t>储罐区</w:t>
      </w:r>
      <w:r>
        <w:rPr>
          <w:rFonts w:hint="eastAsia" w:ascii="宋体" w:hAnsi="宋体"/>
          <w:color w:val="000000"/>
          <w:sz w:val="28"/>
          <w:szCs w:val="28"/>
        </w:rPr>
        <w:t>四周</w:t>
      </w:r>
      <w:r>
        <w:rPr>
          <w:rFonts w:ascii="宋体" w:hAnsi="宋体"/>
          <w:color w:val="000000"/>
          <w:sz w:val="28"/>
          <w:szCs w:val="28"/>
        </w:rPr>
        <w:t>设置有2.0m高的围墙，</w:t>
      </w:r>
      <w:r>
        <w:rPr>
          <w:rFonts w:hint="eastAsia" w:ascii="宋体" w:hAnsi="宋体"/>
          <w:color w:val="000000"/>
          <w:sz w:val="28"/>
          <w:szCs w:val="28"/>
        </w:rPr>
        <w:t>东</w:t>
      </w:r>
      <w:r>
        <w:rPr>
          <w:rFonts w:ascii="宋体" w:hAnsi="宋体"/>
          <w:color w:val="000000"/>
          <w:sz w:val="28"/>
          <w:szCs w:val="28"/>
        </w:rPr>
        <w:t>面</w:t>
      </w:r>
      <w:r>
        <w:rPr>
          <w:rFonts w:hint="eastAsia" w:ascii="宋体" w:hAnsi="宋体"/>
          <w:color w:val="000000"/>
          <w:sz w:val="28"/>
          <w:szCs w:val="28"/>
        </w:rPr>
        <w:t>设</w:t>
      </w:r>
      <w:r>
        <w:rPr>
          <w:rFonts w:ascii="宋体" w:hAnsi="宋体"/>
          <w:color w:val="000000"/>
          <w:sz w:val="28"/>
          <w:szCs w:val="28"/>
        </w:rPr>
        <w:t>有一进出储罐区2.0m高大门。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储罐区现有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m³甲醇埋地储罐1个</w:t>
      </w:r>
      <w:r>
        <w:rPr>
          <w:rFonts w:hint="eastAsia" w:ascii="宋体" w:hAnsi="宋体" w:cs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罐体周围填充细土，罐顶的覆土厚度为0.5m，并在埋地储罐人口处设置操作井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，储罐按要求设置通气管，通气管高出罐顶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3.5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m，其管口安装有阻火器</w:t>
      </w:r>
      <w:r>
        <w:rPr>
          <w:rFonts w:hint="eastAsia" w:ascii="宋体" w:hAnsi="宋体" w:cs="仿宋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/>
          <w:sz w:val="28"/>
          <w:szCs w:val="28"/>
        </w:rPr>
        <w:t>在储罐区一侧设置有1个2m</w:t>
      </w:r>
      <w:r>
        <w:rPr>
          <w:rFonts w:ascii="宋体" w:hAnsi="宋体"/>
          <w:color w:val="000000"/>
          <w:sz w:val="28"/>
          <w:szCs w:val="28"/>
          <w:vertAlign w:val="superscript"/>
        </w:rPr>
        <w:t>3</w:t>
      </w:r>
      <w:r>
        <w:rPr>
          <w:rFonts w:ascii="宋体" w:hAnsi="宋体"/>
          <w:color w:val="000000"/>
          <w:sz w:val="28"/>
          <w:szCs w:val="28"/>
        </w:rPr>
        <w:t>的消防沙池及</w:t>
      </w:r>
      <w:r>
        <w:rPr>
          <w:rFonts w:hint="eastAsia" w:ascii="宋体" w:hAnsi="宋体"/>
          <w:color w:val="000000"/>
          <w:sz w:val="28"/>
          <w:szCs w:val="28"/>
        </w:rPr>
        <w:t>消防器材</w:t>
      </w:r>
      <w:r>
        <w:rPr>
          <w:rFonts w:hint="eastAsia" w:ascii="宋体" w:hAnsi="宋体" w:cs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罐区一侧设置单枪加注机。</w:t>
      </w:r>
    </w:p>
    <w:p>
      <w:pPr>
        <w:pStyle w:val="3"/>
        <w:spacing w:afterLines="100" w:line="500" w:lineRule="exact"/>
        <w:rPr>
          <w:rFonts w:ascii="黑体" w:hAnsi="宋体" w:eastAsia="黑体"/>
          <w:color w:val="000000" w:themeColor="text1"/>
          <w:kern w:val="3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536"/>
      <w:bookmarkStart w:id="7" w:name="_Toc7910"/>
      <w:bookmarkStart w:id="8" w:name="_Toc11862"/>
      <w:bookmarkStart w:id="9" w:name="_Toc23616"/>
      <w:bookmarkStart w:id="10" w:name="_Toc2400"/>
      <w:bookmarkStart w:id="11" w:name="_Toc11470"/>
      <w:bookmarkStart w:id="12" w:name="_Toc19458"/>
      <w:bookmarkStart w:id="13" w:name="_Toc13262"/>
      <w:bookmarkStart w:id="14" w:name="_Toc26173"/>
      <w:bookmarkStart w:id="15" w:name="_Toc27513"/>
      <w:r>
        <w:rPr>
          <w:rFonts w:hint="eastAsia" w:ascii="黑体" w:hAnsi="宋体" w:eastAsia="黑体"/>
          <w:color w:val="000000" w:themeColor="text1"/>
          <w:kern w:val="3"/>
          <w:sz w:val="28"/>
          <w:szCs w:val="28"/>
          <w14:textFill>
            <w14:solidFill>
              <w14:schemeClr w14:val="tx1"/>
            </w14:solidFill>
          </w14:textFill>
        </w:rPr>
        <w:t>2.2.2地理位置、交通条件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黑体" w:hAnsi="宋体" w:eastAsia="黑体"/>
          <w:color w:val="000000" w:themeColor="text1"/>
          <w:kern w:val="3"/>
          <w:sz w:val="28"/>
          <w:szCs w:val="28"/>
          <w14:textFill>
            <w14:solidFill>
              <w14:schemeClr w14:val="tx1"/>
            </w14:solidFill>
          </w14:textFill>
        </w:rPr>
        <w:t>及周边环境情况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1.地理位置、交通条件</w:t>
      </w:r>
    </w:p>
    <w:p>
      <w:pPr>
        <w:spacing w:line="500" w:lineRule="exact"/>
        <w:ind w:firstLine="560" w:firstLineChars="200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昭通市龙丽商贸有限公司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位于</w:t>
      </w:r>
      <w:r>
        <w:rPr>
          <w:rFonts w:hint="eastAsia" w:ascii="宋体" w:hAnsi="宋体" w:cs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云南省昭通市昭阳区永丰镇海边村一社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，交通较为方便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560" w:firstLineChars="200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该项目所在地地理位置及交通图如下图所示。</w:t>
      </w:r>
    </w:p>
    <w:p>
      <w:pPr>
        <w:pStyle w:val="10"/>
        <w:jc w:val="center"/>
        <w:rPr>
          <w:rFonts w:hint="eastAsia" w:eastAsia="宋体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1774190</wp:posOffset>
                </wp:positionV>
                <wp:extent cx="75565" cy="114935"/>
                <wp:effectExtent l="10160" t="24130" r="28575" b="3238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1493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4pt;margin-top:139.7pt;height:9.05pt;width:5.95pt;z-index:251659264;mso-width-relative:page;mso-height-relative:page;" fillcolor="#FF0000" filled="t" stroked="t" coordsize="21600,21600" o:gfxdata="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uBkD2gAAAAsBAAAPAAAAAAAAAAEAIAAAACIAAABkcnMvZG93bnJldi54bWxQSwECFAAUAAAACACH&#10;TuJA9/8SjekBAADSAwAADgAAAAAAAAABACAAAAApAQAAZHJzL2Uyb0RvYy54bWxQSwUGAAAAAAYA&#10;BgBZAQAAhAUAAAAA&#10;">
                <v:path/>
                <v:fill on="t" color2="#FFFFFF" focussize="0,0"/>
                <v:stroke color="#000000"/>
                <v:imagedata o:title=""/>
                <o:lock v:ext="edit" aspectratio="f"/>
              </v:shape>
            </w:pict>
          </mc:Fallback>
        </mc:AlternateContent>
      </w:r>
      <w:bookmarkStart w:id="16" w:name="_GoBack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1482090</wp:posOffset>
                </wp:positionV>
                <wp:extent cx="1275080" cy="276860"/>
                <wp:effectExtent l="5080" t="4445" r="15240" b="80645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27686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龙丽商贸有限公司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66.9pt;margin-top:116.7pt;height:21.8pt;width:100.4pt;z-index:251660288;mso-width-relative:page;mso-height-relative:page;" fillcolor="#FFFFFF" filled="t" stroked="t" coordsize="21600,21600" o:gfxdata="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dI9vLXAAAACwEA&#10;AA8AAAAAAAAAAQAgAAAAIgAAAGRycy9kb3ducmV2LnhtbFBLAQIUABQAAAAIAIdO4kASKMGZGwIA&#10;AD8EAAAOAAAAAAAAAAEAIAAAACYBAABkcnMvZTJvRG9jLnhtbFBLBQYAAAAABgAGAFkBAACzBQAA&#10;AAA=&#10;" adj="1350,25920">
                <v:path/>
                <v:fill on="t" color2="#FFFFFF" focussize="0,0"/>
                <v:stroke color="#000000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龙丽商贸有限公司</w:t>
                      </w:r>
                    </w:p>
                  </w:txbxContent>
                </v:textbox>
              </v:shape>
            </w:pict>
          </mc:Fallback>
        </mc:AlternateContent>
      </w:r>
      <w:bookmarkEnd w:id="16"/>
      <w:r>
        <w:rPr>
          <w:rFonts w:hint="eastAsia" w:eastAsia="宋体"/>
          <w:lang w:eastAsia="zh-CN"/>
        </w:rPr>
        <w:drawing>
          <wp:inline distT="0" distB="0" distL="114300" distR="114300">
            <wp:extent cx="5104765" cy="3484880"/>
            <wp:effectExtent l="0" t="0" r="635" b="1270"/>
            <wp:docPr id="1" name="图片 1" descr="1683164728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3164728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N w:val="0"/>
        <w:spacing w:beforeLines="50"/>
        <w:jc w:val="center"/>
        <w:rPr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图2-1 </w:t>
      </w:r>
      <w:r>
        <w:rPr>
          <w:rFonts w:hint="eastAsia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昭通市龙丽商贸有限公司</w:t>
      </w:r>
      <w:r>
        <w:rPr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交通、地理位置图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2.项目周边环境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lang w:eastAsia="zh-CN"/>
        </w:rPr>
        <w:t>昭通市龙丽商贸有限公司</w:t>
      </w:r>
      <w:r>
        <w:rPr>
          <w:rFonts w:hint="eastAsia" w:ascii="宋体" w:hAnsi="宋体" w:cs="宋体"/>
          <w:sz w:val="28"/>
          <w:lang w:val="en-US" w:eastAsia="zh-CN"/>
        </w:rPr>
        <w:t>东面、东南面为公路，公司内甲醇储罐、通气管口、加注机与公路相距20.5</w:t>
      </w:r>
      <w:r>
        <w:rPr>
          <w:rFonts w:hint="eastAsia" w:ascii="宋体" w:hAnsi="宋体" w:cs="宋体"/>
          <w:sz w:val="28"/>
        </w:rPr>
        <w:t>m</w:t>
      </w:r>
      <w:r>
        <w:rPr>
          <w:rFonts w:hint="eastAsia" w:ascii="宋体" w:hAnsi="宋体" w:cs="宋体"/>
          <w:sz w:val="28"/>
          <w:lang w:eastAsia="zh-CN"/>
        </w:rPr>
        <w:t>、</w:t>
      </w:r>
      <w:r>
        <w:rPr>
          <w:rFonts w:hint="eastAsia" w:ascii="宋体" w:hAnsi="宋体" w:cs="宋体"/>
          <w:sz w:val="28"/>
          <w:lang w:val="en-US" w:eastAsia="zh-CN"/>
        </w:rPr>
        <w:t>21.5m、20</w:t>
      </w:r>
      <w:r>
        <w:rPr>
          <w:rFonts w:hint="eastAsia" w:ascii="宋体" w:hAnsi="宋体" w:cs="宋体"/>
          <w:sz w:val="28"/>
        </w:rPr>
        <w:t>m</w:t>
      </w:r>
      <w:r>
        <w:rPr>
          <w:rFonts w:hint="eastAsia" w:ascii="宋体" w:hAnsi="宋体" w:cs="宋体"/>
          <w:sz w:val="28"/>
          <w:lang w:eastAsia="zh-CN"/>
        </w:rPr>
        <w:t>，</w:t>
      </w:r>
      <w:r>
        <w:rPr>
          <w:rFonts w:hint="eastAsia" w:ascii="宋体" w:hAnsi="宋体" w:cs="宋体"/>
          <w:sz w:val="28"/>
        </w:rPr>
        <w:t>公路一侧有一户民房，与站内加注机及储罐相距均大于20m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560" w:firstLine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lang w:eastAsia="zh-CN"/>
        </w:rPr>
        <w:t>昭通市龙丽商贸有限公司</w:t>
      </w:r>
      <w:r>
        <w:rPr>
          <w:rFonts w:hint="eastAsia" w:ascii="宋体" w:hAnsi="宋体" w:cs="宋体"/>
          <w:sz w:val="28"/>
          <w:lang w:val="en-US" w:eastAsia="zh-CN"/>
        </w:rPr>
        <w:t>西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分布有一户民房，公司内</w:t>
      </w:r>
      <w:r>
        <w:rPr>
          <w:rFonts w:hint="eastAsia" w:ascii="宋体" w:hAnsi="宋体" w:cs="宋体"/>
          <w:sz w:val="28"/>
          <w:lang w:val="en-US" w:eastAsia="zh-CN"/>
        </w:rPr>
        <w:t>甲醇储罐、通气管口、加注机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与民房相距17m、17m、24m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lang w:eastAsia="zh-CN"/>
        </w:rPr>
        <w:t>昭通市龙丽商贸有限公司</w:t>
      </w:r>
      <w:r>
        <w:rPr>
          <w:rFonts w:hint="eastAsia" w:ascii="宋体" w:hAnsi="宋体" w:cs="宋体"/>
          <w:sz w:val="28"/>
          <w:lang w:val="en-US" w:eastAsia="zh-CN"/>
        </w:rPr>
        <w:t>西面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分布有一户民房，公司内</w:t>
      </w:r>
      <w:r>
        <w:rPr>
          <w:rFonts w:hint="eastAsia" w:ascii="宋体" w:hAnsi="宋体" w:cs="宋体"/>
          <w:sz w:val="28"/>
          <w:lang w:val="en-US" w:eastAsia="zh-CN"/>
        </w:rPr>
        <w:t>甲醇储罐、通气管口、加注机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与民房相距41m、41m、48m。</w:t>
      </w:r>
    </w:p>
    <w:p>
      <w:pPr>
        <w:pStyle w:val="10"/>
        <w:ind w:firstLine="560" w:firstLineChars="20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lang w:eastAsia="zh-CN"/>
        </w:rPr>
        <w:t>昭通市龙丽商贸有限公司</w:t>
      </w:r>
      <w:r>
        <w:rPr>
          <w:rFonts w:hint="eastAsia" w:cs="宋体"/>
          <w:sz w:val="28"/>
          <w:lang w:val="en-US" w:eastAsia="zh-CN"/>
        </w:rPr>
        <w:t>北面为空地。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公司周边无特殊名胜、风景、旅游，动植物及水生物保护区等环境保护敏感点。从现场踏勘情况看，公司周边无特殊名胜、风景、旅游，动植物及水生物保护区等环境保护敏感点。</w:t>
      </w:r>
    </w:p>
    <w:p>
      <w:pPr>
        <w:autoSpaceDN w:val="0"/>
        <w:spacing w:beforeLines="50"/>
        <w:jc w:val="center"/>
        <w:rPr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1228090</wp:posOffset>
                </wp:positionV>
                <wp:extent cx="1075690" cy="1036955"/>
                <wp:effectExtent l="3175" t="3175" r="698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1036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5pt;margin-top:96.7pt;height:81.65pt;width:84.7pt;z-index:251664384;mso-width-relative:page;mso-height-relative:page;" fillcolor="#FFFFFF" filled="t" stroked="t" coordsize="21600,21600" o:gfxdata="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AIziLZAAAA&#10;CwEAAA8AAAAAAAAAAQAgAAAAIgAAAGRycy9kb3ducmV2LnhtbFBLAQIUABQAAAAIAIdO4kAtl5gE&#10;4wEAAJwDAAAOAAAAAAAAAAEAIAAAACgBAABkcnMvZTJvRG9jLnhtbFBLBQYAAAAABgAGAFkBAAB9&#10;BQAAAAA=&#10;">
                <v:path arrowok="t"/>
                <v:fill on="t" color2="#FFFFF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1813560</wp:posOffset>
                </wp:positionV>
                <wp:extent cx="1075690" cy="1036955"/>
                <wp:effectExtent l="3175" t="3175" r="698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1036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3.5pt;margin-top:142.8pt;height:81.65pt;width:84.7pt;z-index:251663360;mso-width-relative:page;mso-height-relative:page;" fillcolor="#FFFFFF" filled="t" stroked="t" coordsize="21600,21600" o:gfxdata="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Gjg9sAAAAL&#10;AQAADwAAAAAAAAABACAAAAAiAAAAZHJzL2Rvd25yZXYueG1sUEsBAhQAFAAAAAgAh07iQObPrnvg&#10;AQAAnAMAAA4AAAAAAAAAAQAgAAAAKgEAAGRycy9lMm9Eb2MueG1sUEsFBgAAAAAGAAYAWQEAAHwF&#10;AAAAAA==&#10;">
                <v:path arrowok="t"/>
                <v:fill on="t" color2="#FFFFF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2235200</wp:posOffset>
                </wp:positionV>
                <wp:extent cx="437515" cy="606425"/>
                <wp:effectExtent l="3810" t="2540" r="15875" b="196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7515" cy="606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8.05pt;margin-top:176pt;height:47.75pt;width:34.45pt;z-index:251662336;mso-width-relative:page;mso-height-relative:page;" fillcolor="#FFFFFF" filled="t" stroked="t" coordsize="21600,21600" o:gfxdata="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C3t6Ha&#10;AAAACwEAAA8AAAAAAAAAAQAgAAAAIgAAAGRycy9kb3ducmV2LnhtbFBLAQIUABQAAAAIAIdO4kAf&#10;4wT35QEAAKQDAAAOAAAAAAAAAAEAIAAAACkBAABkcnMvZTJvRG9jLnhtbFBLBQYAAAAABgAGAFkB&#10;AACABQAAAAA=&#10;">
                <v:path arrowok="t"/>
                <v:fill on="t" color2="#FFFFF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1222375</wp:posOffset>
                </wp:positionV>
                <wp:extent cx="437515" cy="606425"/>
                <wp:effectExtent l="3810" t="2540" r="15875" b="196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7515" cy="606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2.9pt;margin-top:96.25pt;height:47.75pt;width:34.45pt;z-index:251661312;mso-width-relative:page;mso-height-relative:page;" fillcolor="#FFFFFF" filled="t" stroked="t" coordsize="21600,21600" o:gfxdata="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LC0f&#10;2wAAAAsBAAAPAAAAAAAAAAEAIAAAACIAAABkcnMvZG93bnJldi54bWxQSwECFAAUAAAACACHTuJA&#10;YDvbEOUBAACkAwAADgAAAAAAAAABACAAAAAqAQAAZHJzL2Uyb0RvYy54bWxQSwUGAAAAAAYABgBZ&#10;AQAAgQUAAAAA&#10;">
                <v:path arrowok="t"/>
                <v:fill on="t" color2="#FFFFFF" focussize="0,0"/>
                <v:stroke color="#FF0000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829935" cy="4526280"/>
            <wp:effectExtent l="0" t="0" r="18415" b="7620"/>
            <wp:docPr id="15" name="图片 15" descr="龙丽卫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龙丽卫星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图2-</w:t>
      </w:r>
      <w:r>
        <w:rPr>
          <w:rFonts w:hint="eastAsia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0"/>
          <w:lang w:eastAsia="zh-CN"/>
          <w14:textFill>
            <w14:solidFill>
              <w14:schemeClr w14:val="tx1"/>
            </w14:solidFill>
          </w14:textFill>
        </w:rPr>
        <w:t>昭通市龙丽商贸有限公司</w:t>
      </w:r>
      <w:r>
        <w:rPr>
          <w:rFonts w:hint="eastAsia"/>
          <w:color w:val="000000" w:themeColor="text1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区域位置、</w:t>
      </w:r>
      <w:r>
        <w:rPr>
          <w:rFonts w:hint="eastAsia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周边卫星图</w:t>
      </w:r>
    </w:p>
    <w:p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于甲醇储存没有标准规范，甲醇属于甲类液体，且与汽油理化性质相近，故本次甲醇储罐与厂外建（构）筑物的防火间距采用《建筑设计防火规范（2018年版）》（GB50016-2014）及《汽车加油加气加氢站技术标准》（GB50156-2021）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汽油罐、汽油加油机标准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进行识别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F8B"/>
    <w:multiLevelType w:val="multilevel"/>
    <w:tmpl w:val="0DEE1F8B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0"/>
      <w:suff w:val="nothing"/>
      <w:lvlText w:val="%1第%2章　"/>
      <w:lvlJc w:val="left"/>
      <w:pPr>
        <w:ind w:left="3100" w:firstLine="680"/>
      </w:pPr>
      <w:rPr>
        <w:rFonts w:hint="eastAsia" w:ascii="黑体" w:hAnsi="Times New Roman" w:eastAsia="黑体"/>
        <w:b w:val="0"/>
        <w:i w:val="0"/>
        <w:sz w:val="32"/>
        <w:szCs w:val="28"/>
      </w:rPr>
    </w:lvl>
    <w:lvl w:ilvl="2" w:tentative="0">
      <w:start w:val="1"/>
      <w:numFmt w:val="decimal"/>
      <w:pStyle w:val="1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3" w:tentative="0">
      <w:start w:val="1"/>
      <w:numFmt w:val="decimal"/>
      <w:pStyle w:val="1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4" w:tentative="0">
      <w:start w:val="1"/>
      <w:numFmt w:val="decimal"/>
      <w:pStyle w:val="1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30"/>
        <w:szCs w:val="30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2DFC"/>
    <w:rsid w:val="2EA7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spacing w:line="500" w:lineRule="exact"/>
      <w:ind w:firstLine="200" w:firstLineChars="200"/>
      <w:jc w:val="left"/>
    </w:pPr>
    <w:rPr>
      <w:rFonts w:ascii="Times New Roman" w:hAnsi="Times New Roman" w:eastAsia="仿宋_GB2312"/>
      <w:sz w:val="28"/>
      <w:szCs w:val="24"/>
    </w:rPr>
  </w:style>
  <w:style w:type="paragraph" w:styleId="6">
    <w:name w:val="Document Map"/>
    <w:basedOn w:val="1"/>
    <w:qFormat/>
    <w:uiPriority w:val="0"/>
    <w:rPr>
      <w:rFonts w:ascii="宋体" w:hAnsi="Calibri"/>
      <w:sz w:val="32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customStyle="1" w:styleId="10">
    <w:name w:val="Default"/>
    <w:next w:val="11"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标题4"/>
    <w:basedOn w:val="5"/>
    <w:next w:val="12"/>
    <w:qFormat/>
    <w:uiPriority w:val="0"/>
    <w:pPr>
      <w:spacing w:line="600" w:lineRule="exact"/>
      <w:ind w:firstLine="18"/>
    </w:pPr>
  </w:style>
  <w:style w:type="paragraph" w:customStyle="1" w:styleId="12">
    <w:name w:val="Char1"/>
    <w:basedOn w:val="1"/>
    <w:next w:val="13"/>
    <w:qFormat/>
    <w:uiPriority w:val="0"/>
    <w:pPr>
      <w:widowControl/>
      <w:spacing w:after="160" w:line="240" w:lineRule="exact"/>
      <w:jc w:val="left"/>
    </w:pPr>
    <w:rPr>
      <w:rFonts w:ascii="Calibri" w:hAnsi="Calibri" w:eastAsia="Arial"/>
      <w:sz w:val="24"/>
      <w:szCs w:val="20"/>
      <w:lang w:eastAsia="en-US"/>
    </w:rPr>
  </w:style>
  <w:style w:type="paragraph" w:customStyle="1" w:styleId="13">
    <w:name w:val="Char"/>
    <w:basedOn w:val="6"/>
    <w:next w:val="14"/>
    <w:qFormat/>
    <w:uiPriority w:val="0"/>
    <w:pPr>
      <w:widowControl/>
      <w:spacing w:line="357" w:lineRule="atLeast"/>
      <w:ind w:left="-48"/>
      <w:textAlignment w:val="baseline"/>
    </w:pPr>
  </w:style>
  <w:style w:type="paragraph" w:customStyle="1" w:styleId="14">
    <w:name w:val="首行缩进加粗"/>
    <w:basedOn w:val="15"/>
    <w:next w:val="16"/>
    <w:qFormat/>
    <w:uiPriority w:val="0"/>
    <w:rPr>
      <w:rFonts w:eastAsia="黑体"/>
      <w:b/>
      <w:bCs/>
      <w:szCs w:val="28"/>
    </w:rPr>
  </w:style>
  <w:style w:type="paragraph" w:customStyle="1" w:styleId="15">
    <w:name w:val="首行缩进"/>
    <w:basedOn w:val="1"/>
    <w:qFormat/>
    <w:uiPriority w:val="0"/>
    <w:pPr>
      <w:ind w:firstLine="561"/>
    </w:pPr>
    <w:rPr>
      <w:rFonts w:ascii="宋体" w:cs="宋体"/>
      <w:szCs w:val="20"/>
    </w:rPr>
  </w:style>
  <w:style w:type="paragraph" w:customStyle="1" w:styleId="16">
    <w:name w:val="四级条标题"/>
    <w:basedOn w:val="17"/>
    <w:next w:val="4"/>
    <w:qFormat/>
    <w:uiPriority w:val="0"/>
    <w:pPr>
      <w:spacing w:before="50" w:after="50"/>
      <w:ind w:firstLine="14"/>
      <w:outlineLvl w:val="5"/>
    </w:pPr>
  </w:style>
  <w:style w:type="paragraph" w:customStyle="1" w:styleId="17">
    <w:name w:val="三级条标题"/>
    <w:basedOn w:val="18"/>
    <w:next w:val="1"/>
    <w:qFormat/>
    <w:uiPriority w:val="0"/>
    <w:pPr>
      <w:numPr>
        <w:ilvl w:val="4"/>
      </w:numPr>
      <w:ind w:left="1080" w:hanging="1080"/>
      <w:outlineLvl w:val="4"/>
    </w:pPr>
  </w:style>
  <w:style w:type="paragraph" w:customStyle="1" w:styleId="18">
    <w:name w:val="二级条标题"/>
    <w:basedOn w:val="19"/>
    <w:next w:val="1"/>
    <w:qFormat/>
    <w:uiPriority w:val="0"/>
    <w:pPr>
      <w:numPr>
        <w:ilvl w:val="3"/>
      </w:numPr>
      <w:ind w:left="720" w:hanging="720"/>
      <w:outlineLvl w:val="3"/>
    </w:pPr>
  </w:style>
  <w:style w:type="paragraph" w:customStyle="1" w:styleId="19">
    <w:name w:val="一级条标题"/>
    <w:basedOn w:val="20"/>
    <w:next w:val="1"/>
    <w:qFormat/>
    <w:uiPriority w:val="0"/>
    <w:pPr>
      <w:numPr>
        <w:ilvl w:val="2"/>
      </w:numPr>
      <w:outlineLvl w:val="2"/>
    </w:pPr>
  </w:style>
  <w:style w:type="paragraph" w:customStyle="1" w:styleId="20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2023-06-06T03:21:00Z</dcterms:created>
  <dc:creator>Administrator</dc:creator>
  <cp:lastModifiedBy>Administrator</cp:lastModifiedBy>
  <dcterms:modified xsi:type="dcterms:W3CDTF">2023-06-06T03:21:23Z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