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5" w:type="dxa"/>
        <w:jc w:val="center"/>
        <w:tblCellSpacing w:w="0" w:type="dxa"/>
        <w:shd w:val="clear" w:color="auto" w:fill="F4FAFE"/>
        <w:tblCellMar>
          <w:left w:w="0" w:type="dxa"/>
          <w:right w:w="0" w:type="dxa"/>
        </w:tblCellMar>
        <w:tblLook w:val="04A0" w:firstRow="1" w:lastRow="0" w:firstColumn="1" w:lastColumn="0" w:noHBand="0" w:noVBand="1"/>
      </w:tblPr>
      <w:tblGrid>
        <w:gridCol w:w="13080"/>
      </w:tblGrid>
      <w:tr w:rsidR="00FD657B" w:rsidRPr="00FD657B" w:rsidTr="00FD657B">
        <w:trPr>
          <w:trHeight w:val="375"/>
          <w:tblCellSpacing w:w="0" w:type="dxa"/>
          <w:jc w:val="center"/>
        </w:trPr>
        <w:tc>
          <w:tcPr>
            <w:tcW w:w="0" w:type="auto"/>
            <w:shd w:val="clear" w:color="auto" w:fill="F4FAFE"/>
            <w:vAlign w:val="center"/>
            <w:hideMark/>
          </w:tcPr>
          <w:p w:rsidR="00FD657B" w:rsidRPr="00FD657B" w:rsidRDefault="00FD657B" w:rsidP="00FD657B">
            <w:pPr>
              <w:widowControl/>
              <w:jc w:val="center"/>
              <w:rPr>
                <w:rFonts w:ascii="Arial" w:eastAsia="宋体" w:hAnsi="Arial" w:cs="Arial"/>
                <w:b/>
                <w:bCs/>
                <w:color w:val="000000"/>
                <w:kern w:val="0"/>
                <w:szCs w:val="21"/>
              </w:rPr>
            </w:pPr>
            <w:r w:rsidRPr="00FD657B">
              <w:rPr>
                <w:rFonts w:ascii="Arial" w:eastAsia="宋体" w:hAnsi="Arial" w:cs="Arial"/>
                <w:b/>
                <w:bCs/>
                <w:color w:val="000000"/>
                <w:kern w:val="0"/>
                <w:szCs w:val="21"/>
              </w:rPr>
              <w:t>金属非金属矿山安全标准化规范导则</w:t>
            </w:r>
          </w:p>
        </w:tc>
      </w:tr>
      <w:tr w:rsidR="00FD657B" w:rsidRPr="00FD657B" w:rsidTr="00FD657B">
        <w:trPr>
          <w:trHeight w:val="525"/>
          <w:tblCellSpacing w:w="0" w:type="dxa"/>
          <w:jc w:val="center"/>
        </w:trPr>
        <w:tc>
          <w:tcPr>
            <w:tcW w:w="0" w:type="auto"/>
            <w:shd w:val="clear" w:color="auto" w:fill="F4FAFE"/>
            <w:tcMar>
              <w:top w:w="150" w:type="dxa"/>
              <w:left w:w="0" w:type="dxa"/>
              <w:bottom w:w="0" w:type="dxa"/>
              <w:right w:w="0" w:type="dxa"/>
            </w:tcMar>
            <w:vAlign w:val="center"/>
            <w:hideMark/>
          </w:tcPr>
          <w:tbl>
            <w:tblPr>
              <w:tblW w:w="9810" w:type="dxa"/>
              <w:tblCellSpacing w:w="0" w:type="dxa"/>
              <w:tblCellMar>
                <w:left w:w="0" w:type="dxa"/>
                <w:right w:w="0" w:type="dxa"/>
              </w:tblCellMar>
              <w:tblLook w:val="04A0" w:firstRow="1" w:lastRow="0" w:firstColumn="1" w:lastColumn="0" w:noHBand="0" w:noVBand="1"/>
            </w:tblPr>
            <w:tblGrid>
              <w:gridCol w:w="13080"/>
            </w:tblGrid>
            <w:tr w:rsidR="00FD657B" w:rsidRPr="00FD657B" w:rsidTr="00FD657B">
              <w:trPr>
                <w:tblCellSpacing w:w="0" w:type="dxa"/>
              </w:trPr>
              <w:tc>
                <w:tcPr>
                  <w:tcW w:w="0" w:type="auto"/>
                  <w:hideMark/>
                </w:tcPr>
                <w:tbl>
                  <w:tblPr>
                    <w:tblW w:w="7605" w:type="dxa"/>
                    <w:tblCellSpacing w:w="0" w:type="dxa"/>
                    <w:tblCellMar>
                      <w:left w:w="0" w:type="dxa"/>
                      <w:right w:w="0" w:type="dxa"/>
                    </w:tblCellMar>
                    <w:tblLook w:val="04A0" w:firstRow="1" w:lastRow="0" w:firstColumn="1" w:lastColumn="0" w:noHBand="0" w:noVBand="1"/>
                  </w:tblPr>
                  <w:tblGrid>
                    <w:gridCol w:w="13080"/>
                  </w:tblGrid>
                  <w:tr w:rsidR="00FD657B" w:rsidRPr="00FD657B">
                    <w:trPr>
                      <w:tblCellSpacing w:w="0" w:type="dxa"/>
                    </w:trPr>
                    <w:tc>
                      <w:tcPr>
                        <w:tcW w:w="0" w:type="auto"/>
                        <w:hideMark/>
                      </w:tcPr>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r w:rsidRPr="00FD657B">
                          <w:rPr>
                            <w:rFonts w:ascii="宋体" w:eastAsia="宋体" w:hAnsi="宋体" w:cs="宋体"/>
                            <w:b/>
                            <w:b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0" w:name="_Toc145856787"/>
                        <w:bookmarkStart w:id="1" w:name="_Toc140138234"/>
                        <w:bookmarkStart w:id="2" w:name="_Toc140112024"/>
                        <w:bookmarkEnd w:id="0"/>
                        <w:bookmarkEnd w:id="1"/>
                        <w:bookmarkEnd w:id="2"/>
                        <w:r w:rsidRPr="00FD657B">
                          <w:rPr>
                            <w:rFonts w:ascii="宋体" w:eastAsia="宋体" w:hAnsi="宋体" w:cs="宋体"/>
                            <w:b/>
                            <w:bCs/>
                            <w:kern w:val="0"/>
                            <w:sz w:val="24"/>
                            <w:szCs w:val="24"/>
                          </w:rPr>
                          <w:t>前言</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本标准明确了创建金属非金属矿山安全标准化系统的总体原则、创建过程和核心内容。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本标准用于指导AQ2007.2《金属非金属矿山安全标准化规范地下矿山实施指南》、 AQ2007.3《金属非金属矿山安全标准化规范 露天矿山实施指南》、AQ2007.4《金属非金属矿山安全标准化规范 尾矿库实施指南》、AQ2007.5《金属非金属矿山安全标准化规范小型露天采石场实施指南》的编制与实施。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本标准全部规范性技术要素均为强制性。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本标准由国家安全生产监督管理总局提出并归口。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本标准负责起草单位：中国安全生产科学研究院。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本标准参加起草单位：武汉安全环保研究院、南非IGH北京公司、中南大学、中国有色工程设计研究总院、上海宝钢集团公司、中国铝业公司、中国黄金集团公司。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本标准主要起草人：张兴凯、李晓飞、张涌、史秀志、边卫华、高士田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3" w:name="SectionMark4"/>
                        <w:r w:rsidRPr="00FD657B">
                          <w:rPr>
                            <w:rFonts w:ascii="宋体" w:eastAsia="宋体" w:hAnsi="宋体" w:cs="宋体"/>
                            <w:b/>
                            <w:bCs/>
                            <w:kern w:val="0"/>
                            <w:sz w:val="24"/>
                            <w:szCs w:val="24"/>
                          </w:rPr>
                          <w:t>金属非金属矿山安全标准化规范</w:t>
                        </w:r>
                        <w:bookmarkEnd w:id="3"/>
                        <w:r w:rsidRPr="00FD657B">
                          <w:rPr>
                            <w:rFonts w:ascii="宋体" w:eastAsia="宋体" w:hAnsi="宋体" w:cs="宋体"/>
                            <w:b/>
                            <w:bCs/>
                            <w:kern w:val="0"/>
                            <w:sz w:val="24"/>
                            <w:szCs w:val="24"/>
                          </w:rPr>
                          <w:t>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r w:rsidRPr="00FD657B">
                          <w:rPr>
                            <w:rFonts w:ascii="宋体" w:eastAsia="宋体" w:hAnsi="宋体" w:cs="宋体"/>
                            <w:b/>
                            <w:bCs/>
                            <w:kern w:val="0"/>
                            <w:sz w:val="24"/>
                            <w:szCs w:val="24"/>
                          </w:rPr>
                          <w:t>导   则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4" w:name="_Toc145856788"/>
                        <w:bookmarkStart w:id="5" w:name="_Toc140138235"/>
                        <w:bookmarkStart w:id="6" w:name="_Toc140112025"/>
                        <w:bookmarkEnd w:id="4"/>
                        <w:bookmarkEnd w:id="5"/>
                        <w:bookmarkEnd w:id="6"/>
                        <w:r w:rsidRPr="00FD657B">
                          <w:rPr>
                            <w:rFonts w:ascii="宋体" w:eastAsia="宋体" w:hAnsi="宋体" w:cs="宋体"/>
                            <w:b/>
                            <w:bCs/>
                            <w:kern w:val="0"/>
                            <w:sz w:val="24"/>
                            <w:szCs w:val="24"/>
                          </w:rPr>
                          <w:t>1　范围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本标准对金属非金属矿山安全标准化系统的创建原则、核心内容以及创建过程作出了规定。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本标准适用于金属非金属矿山企业或其独立生产系统。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本标准不适用于从事液态或气态矿藏、煤系或与煤共生矿藏、砖瓦粘土和河道砂石开采的企业。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7" w:name="_Toc145856789"/>
                        <w:bookmarkStart w:id="8" w:name="_Toc140138236"/>
                        <w:bookmarkStart w:id="9" w:name="_Toc140112026"/>
                        <w:bookmarkEnd w:id="7"/>
                        <w:bookmarkEnd w:id="8"/>
                        <w:bookmarkEnd w:id="9"/>
                        <w:r w:rsidRPr="00FD657B">
                          <w:rPr>
                            <w:rFonts w:ascii="宋体" w:eastAsia="宋体" w:hAnsi="宋体" w:cs="宋体"/>
                            <w:b/>
                            <w:bCs/>
                            <w:kern w:val="0"/>
                            <w:sz w:val="24"/>
                            <w:szCs w:val="24"/>
                          </w:rPr>
                          <w:t>  2　规范性引用文件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下列文件中的条款通过本标准的引用而成为本标准的条款。凡是注日期的引用文件，其随后所有的修改单不包括勘误的内容或修定版均不适用于本标准，然而，鼓励根据本标准达成协议的各方研究是否可使用这些文件的最新版本。凡是不注日期的引用文件，其最新版本适用于本标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GB 6441-86 企业职工伤亡事故分类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GB 16423-2006 金属非金属矿山安全规程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GB 14161-1993 矿山安全标志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lastRenderedPageBreak/>
                          <w:t>        GBJ 16-87 建筑设计防火规范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AQ2006-2005 尾矿库安全技术规程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YS 5418-95 尾矿设施施工及验收规程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安全生产许可证条例 国务院令第397号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非煤矿矿山企业安全生产许可证实施办法 国家安全生产监督管理局令第9号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非煤矿矿山建设项目安全设施设计审查与竣工验收办法 国家安全生产监督管理局令第18号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尾矿库安全监督管理规定 国家安全生产监督管理总局令第6号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小型露天采石场安全生产暂行规定 国家安全生产监督管理局令第19号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10" w:name="_Toc145856790"/>
                        <w:bookmarkStart w:id="11" w:name="_Toc140138237"/>
                        <w:bookmarkStart w:id="12" w:name="_Toc140112028"/>
                        <w:bookmarkEnd w:id="10"/>
                        <w:bookmarkEnd w:id="11"/>
                        <w:bookmarkEnd w:id="12"/>
                        <w:r w:rsidRPr="00FD657B">
                          <w:rPr>
                            <w:rFonts w:ascii="宋体" w:eastAsia="宋体" w:hAnsi="宋体" w:cs="宋体"/>
                            <w:b/>
                            <w:bCs/>
                            <w:kern w:val="0"/>
                            <w:sz w:val="24"/>
                            <w:szCs w:val="24"/>
                          </w:rPr>
                          <w:t>3　术语和定义</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本标准采用下列术语和定义。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13" w:name="_Toc139441480"/>
                        <w:r w:rsidRPr="00FD657B">
                          <w:rPr>
                            <w:rFonts w:ascii="宋体" w:eastAsia="宋体" w:hAnsi="宋体" w:cs="宋体"/>
                            <w:kern w:val="0"/>
                            <w:sz w:val="24"/>
                            <w:szCs w:val="24"/>
                          </w:rPr>
                          <w:t>3.1 </w:t>
                        </w:r>
                        <w:bookmarkEnd w:id="13"/>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金属非金属矿山 </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metal and nonmetal mines</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开采金属矿物、放射性矿物以及化工原料、建筑材料、冶金辅助原料、耐火材料及其他非金属矿物（煤炭除外）的矿山。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14" w:name="_Toc139441481"/>
                        <w:r w:rsidRPr="00FD657B">
                          <w:rPr>
                            <w:rFonts w:ascii="宋体" w:eastAsia="宋体" w:hAnsi="宋体" w:cs="宋体"/>
                            <w:kern w:val="0"/>
                            <w:sz w:val="24"/>
                            <w:szCs w:val="24"/>
                          </w:rPr>
                          <w:t>3.2</w:t>
                        </w:r>
                        <w:bookmarkEnd w:id="14"/>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15" w:name="_Toc144968657"/>
                        <w:bookmarkStart w:id="16" w:name="_Toc102287784"/>
                        <w:bookmarkStart w:id="17" w:name="_Toc73940432"/>
                        <w:bookmarkStart w:id="18" w:name="_Toc72553612"/>
                        <w:bookmarkStart w:id="19" w:name="_Toc72552674"/>
                        <w:bookmarkStart w:id="20" w:name="_Toc72552234"/>
                        <w:bookmarkEnd w:id="15"/>
                        <w:bookmarkEnd w:id="16"/>
                        <w:bookmarkEnd w:id="17"/>
                        <w:bookmarkEnd w:id="18"/>
                        <w:bookmarkEnd w:id="19"/>
                        <w:bookmarkEnd w:id="20"/>
                        <w:r w:rsidRPr="00FD657B">
                          <w:rPr>
                            <w:rFonts w:ascii="宋体" w:eastAsia="宋体" w:hAnsi="宋体" w:cs="宋体"/>
                            <w:kern w:val="0"/>
                            <w:sz w:val="24"/>
                            <w:szCs w:val="24"/>
                          </w:rPr>
                          <w:t>        金属非金属露天矿山  </w:t>
                        </w:r>
                        <w:r w:rsidRPr="00FD657B">
                          <w:rPr>
                            <w:rFonts w:ascii="宋体" w:eastAsia="宋体" w:hAnsi="宋体" w:cs="宋体"/>
                            <w:b/>
                            <w:bCs/>
                            <w:i/>
                            <w:iCs/>
                            <w:kern w:val="0"/>
                            <w:sz w:val="24"/>
                            <w:szCs w:val="24"/>
                          </w:rPr>
                          <w:t>metal and nonmetal opencast mines</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在地表开挖区通过剥离围岩、表土或砾石，采出供建筑业、工业或加工业用的金属或非金属矿物的采矿场及其附属设施。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21" w:name="_Toc144968658"/>
                        <w:bookmarkStart w:id="22" w:name="_Toc102287785"/>
                        <w:bookmarkStart w:id="23" w:name="_Toc73940433"/>
                        <w:bookmarkStart w:id="24" w:name="_Toc72553613"/>
                        <w:bookmarkStart w:id="25" w:name="_Toc72552675"/>
                        <w:bookmarkStart w:id="26" w:name="_Toc72552235"/>
                        <w:bookmarkEnd w:id="21"/>
                        <w:bookmarkEnd w:id="22"/>
                        <w:bookmarkEnd w:id="23"/>
                        <w:bookmarkEnd w:id="24"/>
                        <w:bookmarkEnd w:id="25"/>
                        <w:bookmarkEnd w:id="26"/>
                        <w:r w:rsidRPr="00FD657B">
                          <w:rPr>
                            <w:rFonts w:ascii="宋体" w:eastAsia="宋体" w:hAnsi="宋体" w:cs="宋体"/>
                            <w:kern w:val="0"/>
                            <w:sz w:val="24"/>
                            <w:szCs w:val="24"/>
                          </w:rPr>
                          <w:t>        3.3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27" w:name="_Toc144968659"/>
                        <w:bookmarkStart w:id="28" w:name="_Toc102287786"/>
                        <w:bookmarkStart w:id="29" w:name="_Toc73940434"/>
                        <w:bookmarkStart w:id="30" w:name="_Toc72553614"/>
                        <w:bookmarkStart w:id="31" w:name="_Toc72552676"/>
                        <w:bookmarkStart w:id="32" w:name="_Toc72552236"/>
                        <w:bookmarkEnd w:id="27"/>
                        <w:bookmarkEnd w:id="28"/>
                        <w:bookmarkEnd w:id="29"/>
                        <w:bookmarkEnd w:id="30"/>
                        <w:bookmarkEnd w:id="31"/>
                        <w:bookmarkEnd w:id="32"/>
                        <w:r w:rsidRPr="00FD657B">
                          <w:rPr>
                            <w:rFonts w:ascii="宋体" w:eastAsia="宋体" w:hAnsi="宋体" w:cs="宋体"/>
                            <w:kern w:val="0"/>
                            <w:sz w:val="24"/>
                            <w:szCs w:val="24"/>
                          </w:rPr>
                          <w:t>        金属非金属地下矿山  </w:t>
                        </w:r>
                        <w:r w:rsidRPr="00FD657B">
                          <w:rPr>
                            <w:rFonts w:ascii="宋体" w:eastAsia="宋体" w:hAnsi="宋体" w:cs="宋体"/>
                            <w:b/>
                            <w:bCs/>
                            <w:i/>
                            <w:iCs/>
                            <w:kern w:val="0"/>
                            <w:sz w:val="24"/>
                            <w:szCs w:val="24"/>
                          </w:rPr>
                          <w:t>metal and nonmetal underground mines</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以平硐、斜井、斜坡道、竖井等作为出入口，深入地表以下，采出供建筑业、工业或加工业用的金属或非金属矿物的采矿场及其附属设施。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3.4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小型露天采石场 </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small-scale and opencast quarry</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lastRenderedPageBreak/>
                          <w:t>        年采剥总量500kt以下、最大开采高度不超过50m的山坡型露天采石场。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3" w:name="_Toc139441482"/>
                        <w:r w:rsidRPr="00FD657B">
                          <w:rPr>
                            <w:rFonts w:ascii="宋体" w:eastAsia="宋体" w:hAnsi="宋体" w:cs="宋体"/>
                            <w:kern w:val="0"/>
                            <w:sz w:val="24"/>
                            <w:szCs w:val="24"/>
                          </w:rPr>
                          <w:t>3.5</w:t>
                        </w:r>
                        <w:bookmarkEnd w:id="33"/>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尾矿库 </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tailings pond</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筑坝拦截谷口或围地构成的，用以贮存金属非金属矿山进行矿石选别后排出尾矿或其他工业废渣的场所。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4" w:name="_Toc139441483"/>
                        <w:r w:rsidRPr="00FD657B">
                          <w:rPr>
                            <w:rFonts w:ascii="宋体" w:eastAsia="宋体" w:hAnsi="宋体" w:cs="宋体"/>
                            <w:kern w:val="0"/>
                            <w:sz w:val="24"/>
                            <w:szCs w:val="24"/>
                          </w:rPr>
                          <w:t>3.6</w:t>
                        </w:r>
                        <w:bookmarkEnd w:id="34"/>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员工代表</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employees’ representative</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在企业员工中产生、由员工自主选举并经主要负责人任命的代表员工职业安全健康利益的人员。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5" w:name="_Toc139441484"/>
                        <w:r w:rsidRPr="00FD657B">
                          <w:rPr>
                            <w:rFonts w:ascii="宋体" w:eastAsia="宋体" w:hAnsi="宋体" w:cs="宋体"/>
                            <w:kern w:val="0"/>
                            <w:sz w:val="24"/>
                            <w:szCs w:val="24"/>
                          </w:rPr>
                          <w:t>3.7</w:t>
                        </w:r>
                        <w:bookmarkEnd w:id="35"/>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任务观察</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mission observes</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对执行某一任务的员工进行的正式观察，有完全和部分两种类型。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6" w:name="_Toc139441485"/>
                        <w:r w:rsidRPr="00FD657B">
                          <w:rPr>
                            <w:rFonts w:ascii="宋体" w:eastAsia="宋体" w:hAnsi="宋体" w:cs="宋体"/>
                            <w:kern w:val="0"/>
                            <w:sz w:val="24"/>
                            <w:szCs w:val="24"/>
                          </w:rPr>
                          <w:t>3.8</w:t>
                        </w:r>
                        <w:bookmarkEnd w:id="36"/>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关键任务</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key mission</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属特定的工作任务，如果其未正确执行，可能造成重大的人员伤亡、财产损失、环境破坏或其他损失。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7" w:name="_Toc139441486"/>
                        <w:r w:rsidRPr="00FD657B">
                          <w:rPr>
                            <w:rFonts w:ascii="宋体" w:eastAsia="宋体" w:hAnsi="宋体" w:cs="宋体"/>
                            <w:kern w:val="0"/>
                            <w:sz w:val="24"/>
                            <w:szCs w:val="24"/>
                          </w:rPr>
                          <w:t>3.9 </w:t>
                        </w:r>
                        <w:bookmarkEnd w:id="37"/>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事件  </w:t>
                        </w:r>
                        <w:r w:rsidRPr="00FD657B">
                          <w:rPr>
                            <w:rFonts w:ascii="宋体" w:eastAsia="宋体" w:hAnsi="宋体" w:cs="宋体"/>
                            <w:b/>
                            <w:bCs/>
                            <w:i/>
                            <w:iCs/>
                            <w:kern w:val="0"/>
                            <w:sz w:val="24"/>
                            <w:szCs w:val="24"/>
                          </w:rPr>
                          <w:t>incident</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导致或可能导致事故的情况。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8" w:name="_Toc139441487"/>
                        <w:r w:rsidRPr="00FD657B">
                          <w:rPr>
                            <w:rFonts w:ascii="宋体" w:eastAsia="宋体" w:hAnsi="宋体" w:cs="宋体"/>
                            <w:kern w:val="0"/>
                            <w:sz w:val="24"/>
                            <w:szCs w:val="24"/>
                          </w:rPr>
                          <w:t>3.10 </w:t>
                        </w:r>
                        <w:bookmarkEnd w:id="38"/>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危险源  </w:t>
                        </w:r>
                        <w:r w:rsidRPr="00FD657B">
                          <w:rPr>
                            <w:rFonts w:ascii="宋体" w:eastAsia="宋体" w:hAnsi="宋体" w:cs="宋体"/>
                            <w:b/>
                            <w:bCs/>
                            <w:i/>
                            <w:iCs/>
                            <w:kern w:val="0"/>
                            <w:sz w:val="24"/>
                            <w:szCs w:val="24"/>
                          </w:rPr>
                          <w:t>hazard</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可能导致伤害、疾病、财产损失、环境破坏或其组合的根源或状态。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39" w:name="_Toc139441488"/>
                        <w:r w:rsidRPr="00FD657B">
                          <w:rPr>
                            <w:rFonts w:ascii="宋体" w:eastAsia="宋体" w:hAnsi="宋体" w:cs="宋体"/>
                            <w:kern w:val="0"/>
                            <w:sz w:val="24"/>
                            <w:szCs w:val="24"/>
                          </w:rPr>
                          <w:t>3.11</w:t>
                        </w:r>
                        <w:bookmarkEnd w:id="39"/>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危险源辨识  </w:t>
                        </w:r>
                        <w:r w:rsidRPr="00FD657B">
                          <w:rPr>
                            <w:rFonts w:ascii="宋体" w:eastAsia="宋体" w:hAnsi="宋体" w:cs="宋体"/>
                            <w:b/>
                            <w:bCs/>
                            <w:i/>
                            <w:iCs/>
                            <w:kern w:val="0"/>
                            <w:sz w:val="24"/>
                            <w:szCs w:val="24"/>
                          </w:rPr>
                          <w:t>hazard identification</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识别危险源的存在并确定其性质的过程。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40" w:name="_Toc139441489"/>
                        <w:r w:rsidRPr="00FD657B">
                          <w:rPr>
                            <w:rFonts w:ascii="宋体" w:eastAsia="宋体" w:hAnsi="宋体" w:cs="宋体"/>
                            <w:kern w:val="0"/>
                            <w:sz w:val="24"/>
                            <w:szCs w:val="24"/>
                          </w:rPr>
                          <w:t>3.12 </w:t>
                        </w:r>
                        <w:bookmarkEnd w:id="40"/>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lastRenderedPageBreak/>
                          <w:t>        风险评价</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risk assessment</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评价风险程度并确定其是否在可承受风险范围的全过程。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41" w:name="_Toc139441490"/>
                        <w:r w:rsidRPr="00FD657B">
                          <w:rPr>
                            <w:rFonts w:ascii="宋体" w:eastAsia="宋体" w:hAnsi="宋体" w:cs="宋体"/>
                            <w:kern w:val="0"/>
                            <w:sz w:val="24"/>
                            <w:szCs w:val="24"/>
                          </w:rPr>
                          <w:t>3.13 </w:t>
                        </w:r>
                        <w:bookmarkEnd w:id="41"/>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相关方 </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interested parties</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关注企业职业安全健康绩效或受其影响的个人或团体。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42" w:name="_Toc139441491"/>
                        <w:r w:rsidRPr="00FD657B">
                          <w:rPr>
                            <w:rFonts w:ascii="宋体" w:eastAsia="宋体" w:hAnsi="宋体" w:cs="宋体"/>
                            <w:kern w:val="0"/>
                            <w:sz w:val="24"/>
                            <w:szCs w:val="24"/>
                          </w:rPr>
                          <w:t>3.14 </w:t>
                        </w:r>
                        <w:bookmarkEnd w:id="42"/>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资源与能力</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resources and ability</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包括实施安全标准化所需要的人员、资金、设备、设施、材料、技术和方法，以及得到证实的知识、技能和经验。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43" w:name="_Toc139441492"/>
                        <w:r w:rsidRPr="00FD657B">
                          <w:rPr>
                            <w:rFonts w:ascii="宋体" w:eastAsia="宋体" w:hAnsi="宋体" w:cs="宋体"/>
                            <w:kern w:val="0"/>
                            <w:sz w:val="24"/>
                            <w:szCs w:val="24"/>
                          </w:rPr>
                          <w:t>3.15 </w:t>
                        </w:r>
                        <w:bookmarkEnd w:id="43"/>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安全绩效 </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safe performance</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指企业根据安全生产方针和目标，在控制和消除职业安全健康风险方面取得的可测量结果。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44" w:name="_Toc139441493"/>
                        <w:r w:rsidRPr="00FD657B">
                          <w:rPr>
                            <w:rFonts w:ascii="宋体" w:eastAsia="宋体" w:hAnsi="宋体" w:cs="宋体"/>
                            <w:kern w:val="0"/>
                            <w:sz w:val="24"/>
                            <w:szCs w:val="24"/>
                          </w:rPr>
                          <w:t>3.16 </w:t>
                        </w:r>
                        <w:bookmarkEnd w:id="44"/>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供应商</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supplier</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为企业提供材料、设备或设施及其服务的外部个人或团体。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45" w:name="_Toc139441494"/>
                        <w:r w:rsidRPr="00FD657B">
                          <w:rPr>
                            <w:rFonts w:ascii="宋体" w:eastAsia="宋体" w:hAnsi="宋体" w:cs="宋体"/>
                            <w:kern w:val="0"/>
                            <w:sz w:val="24"/>
                            <w:szCs w:val="24"/>
                          </w:rPr>
                          <w:t>3.17 </w:t>
                        </w:r>
                        <w:bookmarkEnd w:id="45"/>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承包商 </w:t>
                        </w:r>
                        <w:r w:rsidRPr="00FD657B">
                          <w:rPr>
                            <w:rFonts w:ascii="宋体" w:eastAsia="宋体" w:hAnsi="宋体" w:cs="宋体"/>
                            <w:i/>
                            <w:iCs/>
                            <w:kern w:val="0"/>
                            <w:sz w:val="24"/>
                            <w:szCs w:val="24"/>
                          </w:rPr>
                          <w:t> </w:t>
                        </w:r>
                        <w:r w:rsidRPr="00FD657B">
                          <w:rPr>
                            <w:rFonts w:ascii="宋体" w:eastAsia="宋体" w:hAnsi="宋体" w:cs="宋体"/>
                            <w:b/>
                            <w:bCs/>
                            <w:i/>
                            <w:iCs/>
                            <w:kern w:val="0"/>
                            <w:sz w:val="24"/>
                            <w:szCs w:val="24"/>
                          </w:rPr>
                          <w:t>contractor</w:t>
                        </w:r>
                        <w:r w:rsidRPr="00FD657B">
                          <w:rPr>
                            <w:rFonts w:ascii="宋体" w:eastAsia="宋体" w:hAnsi="宋体" w:cs="宋体"/>
                            <w:i/>
                            <w:iCs/>
                            <w:kern w:val="0"/>
                            <w:sz w:val="24"/>
                            <w:szCs w:val="24"/>
                          </w:rPr>
                          <w:t> </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在企业的作业现场按照双方协定的要求、期限及条件向企业提供服务的个人或团体。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46" w:name="_Toc145856791"/>
                        <w:bookmarkStart w:id="47" w:name="_Toc140138238"/>
                        <w:bookmarkStart w:id="48" w:name="_Toc139441495"/>
                        <w:bookmarkEnd w:id="46"/>
                        <w:bookmarkEnd w:id="47"/>
                        <w:bookmarkEnd w:id="48"/>
                        <w:r w:rsidRPr="00FD657B">
                          <w:rPr>
                            <w:rFonts w:ascii="宋体" w:eastAsia="宋体" w:hAnsi="宋体" w:cs="宋体"/>
                            <w:b/>
                            <w:bCs/>
                            <w:kern w:val="0"/>
                            <w:sz w:val="24"/>
                            <w:szCs w:val="24"/>
                          </w:rPr>
                          <w:t>4　一般要求</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49" w:name="_Toc145856792"/>
                        <w:bookmarkStart w:id="50" w:name="_Toc140138239"/>
                        <w:bookmarkStart w:id="51" w:name="_Toc139441496"/>
                        <w:bookmarkEnd w:id="49"/>
                        <w:bookmarkEnd w:id="50"/>
                        <w:bookmarkEnd w:id="51"/>
                        <w:r w:rsidRPr="00FD657B">
                          <w:rPr>
                            <w:rFonts w:ascii="宋体" w:eastAsia="宋体" w:hAnsi="宋体" w:cs="宋体"/>
                            <w:kern w:val="0"/>
                            <w:sz w:val="24"/>
                            <w:szCs w:val="24"/>
                          </w:rPr>
                          <w:t>         4.1　概述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4.1.1 企业应结合自身特点，依据本规范的要求，建立与保持安全标准化系统。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4.1.2 安全标准化系统的内容包括：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——安全生产方针和目标；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lastRenderedPageBreak/>
                          <w:t>         ——安全生产法律法规与其他要求；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——安全生产组织保障；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——危险源辨识与风险评价；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——安全教育培训；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——生产工艺系统安全管理；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——设备设施安全管理；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——作业现场安全管理；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——职业卫生管理；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——安全投入、安全科技与工伤保险；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——检查；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——应急管理；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——事故、事件调查与分析；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——绩效测量与评价。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52" w:name="_Toc145856793"/>
                        <w:bookmarkStart w:id="53" w:name="_Toc140138240"/>
                        <w:bookmarkStart w:id="54" w:name="_Toc139441497"/>
                        <w:bookmarkEnd w:id="52"/>
                        <w:bookmarkEnd w:id="53"/>
                        <w:bookmarkEnd w:id="54"/>
                        <w:r w:rsidRPr="00FD657B">
                          <w:rPr>
                            <w:rFonts w:ascii="宋体" w:eastAsia="宋体" w:hAnsi="宋体" w:cs="宋体"/>
                            <w:kern w:val="0"/>
                            <w:sz w:val="24"/>
                            <w:szCs w:val="24"/>
                          </w:rPr>
                          <w:t>        4.2　实施原则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4.2.1 安全标准化系统的建设，应注重科学性、规范性和系统性，立足于危险源辨识和风险评价，充分体现风险管理和事故预防的思想，并与企业其他方面的管理有机结合。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4.2.2 安全标准化的创建，应确保全员参与，通过有效方式实现信息的交流和沟通，反映企业自身生产特点及安全绩效的持续改进和提高。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55" w:name="_Toc145856794"/>
                        <w:bookmarkStart w:id="56" w:name="_Toc140138241"/>
                        <w:bookmarkStart w:id="57" w:name="_Toc139441498"/>
                        <w:bookmarkEnd w:id="55"/>
                        <w:bookmarkEnd w:id="56"/>
                        <w:bookmarkEnd w:id="57"/>
                        <w:r w:rsidRPr="00FD657B">
                          <w:rPr>
                            <w:rFonts w:ascii="宋体" w:eastAsia="宋体" w:hAnsi="宋体" w:cs="宋体"/>
                            <w:kern w:val="0"/>
                            <w:sz w:val="24"/>
                            <w:szCs w:val="24"/>
                          </w:rPr>
                          <w:t>        4.3　创建安全标准化步骤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4.3.1 安全标准化的创建过程包括：准备、策划、实施与运行、监督与评价、改进与提高。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4.3.2 准备阶段应确定企业安全标准化的目标，并对企业安全管理现状进行初始评估。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4.3.3 策划阶段应根据初始评估的结果和本导则及相关实施指南的要求，确定建立安全标准化系统的内容。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4.3.4 实施与运行阶段应根据策划结果，落实安全标准化系统的各项要求，提供有效运行的必要资源。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4.3.5 监督与评价阶段应对安全标准化的实施情况进行监督、检查和内部评价，发现问题，找出差距，提出</w:t>
                        </w:r>
                        <w:r w:rsidRPr="00FD657B">
                          <w:rPr>
                            <w:rFonts w:ascii="宋体" w:eastAsia="宋体" w:hAnsi="宋体" w:cs="宋体"/>
                            <w:kern w:val="0"/>
                            <w:sz w:val="24"/>
                            <w:szCs w:val="24"/>
                          </w:rPr>
                          <w:lastRenderedPageBreak/>
                          <w:t>完善措施。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4.3.6 改进与提高阶段应根据监督与评价的结果，改进安全标准化系统，不断提高安全标准化水平和安全绩效。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58" w:name="_Toc145856795"/>
                        <w:bookmarkStart w:id="59" w:name="_Toc140138242"/>
                        <w:bookmarkStart w:id="60" w:name="_Toc139441499"/>
                        <w:bookmarkEnd w:id="58"/>
                        <w:bookmarkEnd w:id="59"/>
                        <w:bookmarkEnd w:id="60"/>
                        <w:r w:rsidRPr="00FD657B">
                          <w:rPr>
                            <w:rFonts w:ascii="宋体" w:eastAsia="宋体" w:hAnsi="宋体" w:cs="宋体"/>
                            <w:kern w:val="0"/>
                            <w:sz w:val="24"/>
                            <w:szCs w:val="24"/>
                          </w:rPr>
                          <w:t>        4.4　安全标准化评定原则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4.4.1 安全标准化评定指标包括标准化得分、百万工时伤害率和百万工时死亡率。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4.4.2 标准化得分采用百分制。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4.4.3 根据安全标准化评定指标，将企业安全标准化评定为五个等级，其中五级最高。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标准化等级       标准化得分       百万工时伤害率       百万工时死亡率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五级             ≥95               ≤5                   ≤0.5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四级             ≥80               ≤10                  ≤1.0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三级             ≥65               ≤15                  ≤1.5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二级             ≥55               ≤20                  ≤2.0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一级             ≥45               ≤25                  ≤2.5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注：百万工时伤害率表示企业在考评期内每百万工时因工伤事故造成的轻伤以上总人数，轻伤标准参考《企业职工伤亡事故分类》（GB6441-86）；百万工时死亡率表示企业在考评期内每百万工时因工伤事故造成的死亡总人数。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4.4.4 确定企业安全标准化等级时，采用三项评定指标中的最低等级。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61" w:name="_Toc145856796"/>
                        <w:bookmarkStart w:id="62" w:name="_Toc140138243"/>
                        <w:bookmarkStart w:id="63" w:name="_Toc139441500"/>
                        <w:bookmarkEnd w:id="61"/>
                        <w:bookmarkEnd w:id="62"/>
                        <w:bookmarkEnd w:id="63"/>
                        <w:r w:rsidRPr="00FD657B">
                          <w:rPr>
                            <w:rFonts w:ascii="宋体" w:eastAsia="宋体" w:hAnsi="宋体" w:cs="宋体"/>
                            <w:kern w:val="0"/>
                            <w:sz w:val="24"/>
                            <w:szCs w:val="24"/>
                          </w:rPr>
                          <w:t>        4.5　监督管理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4.5.1 政府安全生产监督管理部门对安全标准化的实施进行监督，对不符合安全标准化要求的提出改进意见，以促进安全标准化的实施效果。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4.5.2 政府安全生产监督管理部门应定期组织安全标准化的评定，每三年至少应进行一次。发生死亡事故或具有重大影响的其他事故后，应重新进行安全标准化评定。  </w:t>
                        </w:r>
                      </w:p>
                      <w:p w:rsidR="00FD657B" w:rsidRPr="00FD657B" w:rsidRDefault="00FD657B" w:rsidP="00FD657B">
                        <w:pPr>
                          <w:widowControl/>
                          <w:spacing w:before="100" w:beforeAutospacing="1" w:after="100" w:afterAutospacing="1"/>
                          <w:jc w:val="center"/>
                          <w:rPr>
                            <w:rFonts w:ascii="宋体" w:eastAsia="宋体" w:hAnsi="宋体" w:cs="宋体"/>
                            <w:kern w:val="0"/>
                            <w:sz w:val="24"/>
                            <w:szCs w:val="24"/>
                          </w:rPr>
                        </w:pPr>
                        <w:bookmarkStart w:id="64" w:name="_Toc145856797"/>
                        <w:bookmarkStart w:id="65" w:name="_Toc140138244"/>
                        <w:bookmarkStart w:id="66" w:name="_Toc139441501"/>
                        <w:bookmarkEnd w:id="64"/>
                        <w:bookmarkEnd w:id="65"/>
                        <w:bookmarkEnd w:id="66"/>
                        <w:r w:rsidRPr="00FD657B">
                          <w:rPr>
                            <w:rFonts w:ascii="宋体" w:eastAsia="宋体" w:hAnsi="宋体" w:cs="宋体"/>
                            <w:b/>
                            <w:bCs/>
                            <w:kern w:val="0"/>
                            <w:sz w:val="24"/>
                            <w:szCs w:val="24"/>
                          </w:rPr>
                          <w:t>5　核心内容及其要求</w:t>
                        </w:r>
                        <w:r w:rsidRPr="00FD657B">
                          <w:rPr>
                            <w:rFonts w:ascii="宋体" w:eastAsia="宋体" w:hAnsi="宋体" w:cs="宋体"/>
                            <w:kern w:val="0"/>
                            <w:sz w:val="24"/>
                            <w:szCs w:val="24"/>
                          </w:rPr>
                          <w:t>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67" w:name="_Toc145856798"/>
                        <w:bookmarkStart w:id="68" w:name="_Toc140138245"/>
                        <w:bookmarkStart w:id="69" w:name="_Toc139441502"/>
                        <w:bookmarkEnd w:id="67"/>
                        <w:bookmarkEnd w:id="68"/>
                        <w:bookmarkEnd w:id="69"/>
                        <w:r w:rsidRPr="00FD657B">
                          <w:rPr>
                            <w:rFonts w:ascii="宋体" w:eastAsia="宋体" w:hAnsi="宋体" w:cs="宋体"/>
                            <w:kern w:val="0"/>
                            <w:sz w:val="24"/>
                            <w:szCs w:val="24"/>
                          </w:rPr>
                          <w:lastRenderedPageBreak/>
                          <w:t>        5.1　安全生产方针和目标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5.1.1 应根据“安全第一、预防为主、综合治理”的方针，遵循以人为本、风险控制、持续改进的原则，制定企业安全生产方针和目标，并为实现安全生产方针和目标提供所需的资源和能力，建立有效的支持保障机制。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5.1.2 安全生产方针的内容，应包括遵守法律法规以及事故预防、持续改进安全生产绩效的承诺，体现企业生产特点和安全生产管理现状，并随企业情况变化及时更新。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5.1.3 安全生产目标的确定，应基于安全生产方针、现状评估的结果和其他内外部要求，适合企业安全生产的特点和不同职能、层次的具体情况。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5.1.4 目标应具体，可测量，并确保能够实现。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70" w:name="_Toc145856799"/>
                        <w:bookmarkStart w:id="71" w:name="_Toc140138246"/>
                        <w:bookmarkStart w:id="72" w:name="_Toc139441503"/>
                        <w:bookmarkEnd w:id="70"/>
                        <w:bookmarkEnd w:id="71"/>
                        <w:bookmarkEnd w:id="72"/>
                        <w:r w:rsidRPr="00FD657B">
                          <w:rPr>
                            <w:rFonts w:ascii="宋体" w:eastAsia="宋体" w:hAnsi="宋体" w:cs="宋体"/>
                            <w:kern w:val="0"/>
                            <w:sz w:val="24"/>
                            <w:szCs w:val="24"/>
                          </w:rPr>
                          <w:t>        5.2　安全生产法律法规与其他要求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5.2.1 企业应建立相应机制，识别适用的安全生产法律法规与其他要求。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5.2.2 建立获取渠道，确保使用最新的安全生产法律法规与其他要求。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5.2.3 安全生产法律法规与其他要求应融入企业管理制度。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73" w:name="_Toc145856800"/>
                        <w:bookmarkStart w:id="74" w:name="_Toc140138247"/>
                        <w:bookmarkStart w:id="75" w:name="_Toc139441504"/>
                        <w:bookmarkEnd w:id="73"/>
                        <w:bookmarkEnd w:id="74"/>
                        <w:bookmarkEnd w:id="75"/>
                        <w:r w:rsidRPr="00FD657B">
                          <w:rPr>
                            <w:rFonts w:ascii="宋体" w:eastAsia="宋体" w:hAnsi="宋体" w:cs="宋体"/>
                            <w:kern w:val="0"/>
                            <w:sz w:val="24"/>
                            <w:szCs w:val="24"/>
                          </w:rPr>
                          <w:t>        5.3　安全生产组织保障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5.3.1 企业应设置安全管理机构或配备专职安全管理人员，明确规定相关人员的安全生产职责和权限，尤其是高级管理人员的职责。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5.3.2 建立健全并执行各种安全生产管理制度。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76" w:name="_Toc145856801"/>
                        <w:bookmarkStart w:id="77" w:name="_Toc140138248"/>
                        <w:bookmarkStart w:id="78" w:name="_Toc139441505"/>
                        <w:bookmarkEnd w:id="76"/>
                        <w:bookmarkEnd w:id="77"/>
                        <w:bookmarkEnd w:id="78"/>
                        <w:r w:rsidRPr="00FD657B">
                          <w:rPr>
                            <w:rFonts w:ascii="宋体" w:eastAsia="宋体" w:hAnsi="宋体" w:cs="宋体"/>
                            <w:kern w:val="0"/>
                            <w:sz w:val="24"/>
                            <w:szCs w:val="24"/>
                          </w:rPr>
                          <w:t>        5.4　危险源辨识与风险评价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5.4.1 危险源辨识与风险评价是安全生产管理工作的基础，是创建并保持安全标准化系统的核心和关键。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5.4.2 危险源辨识与风险评价应覆盖生产工艺、设备、设施、环境以及人的行为、管理等各方面。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5.4.3 危险源辨识与风险评价应能够获取充足的信息，为策划风险控制措施和监督管理提供依据。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5.4.4 危险源辨识与风险评价的结果应根据变化及时评审与更新。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79" w:name="_Toc145856802"/>
                        <w:bookmarkStart w:id="80" w:name="_Toc140138249"/>
                        <w:bookmarkStart w:id="81" w:name="_Toc139441506"/>
                        <w:bookmarkEnd w:id="79"/>
                        <w:bookmarkEnd w:id="80"/>
                        <w:bookmarkEnd w:id="81"/>
                        <w:r w:rsidRPr="00FD657B">
                          <w:rPr>
                            <w:rFonts w:ascii="宋体" w:eastAsia="宋体" w:hAnsi="宋体" w:cs="宋体"/>
                            <w:kern w:val="0"/>
                            <w:sz w:val="24"/>
                            <w:szCs w:val="24"/>
                          </w:rPr>
                          <w:t>        5.5　安全教育培训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5.5.1 提供必要的教育培训，保证有关人员具备良好的安全意识和完成任务所需的知识和能力。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5.5.2 培训应充分考虑企业实际需求。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82" w:name="_Toc145856803"/>
                        <w:bookmarkStart w:id="83" w:name="_Toc140138250"/>
                        <w:bookmarkStart w:id="84" w:name="_Toc139441507"/>
                        <w:bookmarkEnd w:id="82"/>
                        <w:bookmarkEnd w:id="83"/>
                        <w:bookmarkEnd w:id="84"/>
                        <w:r w:rsidRPr="00FD657B">
                          <w:rPr>
                            <w:rFonts w:ascii="宋体" w:eastAsia="宋体" w:hAnsi="宋体" w:cs="宋体"/>
                            <w:kern w:val="0"/>
                            <w:sz w:val="24"/>
                            <w:szCs w:val="24"/>
                          </w:rPr>
                          <w:t>        5.6　生产工艺系统安全管理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lastRenderedPageBreak/>
                          <w:t>        5.6.1 建立管理制度，控制生产工艺设计、布置和使用等过程，以提高生产过程的安全水平。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5.6.2 通过改进和更新生产工艺系统，降低生产系统风险。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85" w:name="_Toc145856804"/>
                        <w:bookmarkStart w:id="86" w:name="_Toc140138251"/>
                        <w:bookmarkStart w:id="87" w:name="_Toc139441508"/>
                        <w:bookmarkEnd w:id="85"/>
                        <w:bookmarkEnd w:id="86"/>
                        <w:bookmarkEnd w:id="87"/>
                        <w:r w:rsidRPr="00FD657B">
                          <w:rPr>
                            <w:rFonts w:ascii="宋体" w:eastAsia="宋体" w:hAnsi="宋体" w:cs="宋体"/>
                            <w:kern w:val="0"/>
                            <w:sz w:val="24"/>
                            <w:szCs w:val="24"/>
                          </w:rPr>
                          <w:t>        5.7　设备设施安全管理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5.7.1 建立必要的设备、设施安全管理制度，有效控制设备和设施的设计、采购、制造、安装、使用、维护、拆除等活动。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5.7.2 应按规定执行安全设施“三同时”制度，保存有关文件和记录。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5.7.3 应根据法律法规要求进行设备、设施的检测检验，建立设备、设施管理档案，保存检测检验结果。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5.7.4 检测检验手段、方法应有效。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88" w:name="_Toc145856805"/>
                        <w:bookmarkStart w:id="89" w:name="_Toc140138252"/>
                        <w:bookmarkStart w:id="90" w:name="_Toc139441509"/>
                        <w:bookmarkEnd w:id="88"/>
                        <w:bookmarkEnd w:id="89"/>
                        <w:bookmarkEnd w:id="90"/>
                        <w:r w:rsidRPr="00FD657B">
                          <w:rPr>
                            <w:rFonts w:ascii="宋体" w:eastAsia="宋体" w:hAnsi="宋体" w:cs="宋体"/>
                            <w:kern w:val="0"/>
                            <w:sz w:val="24"/>
                            <w:szCs w:val="24"/>
                          </w:rPr>
                          <w:t>        5.8　作业现场安全管理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5.8.1 加强企业作业现场的安全管理，对物料、设备、设施、器材、通道、作业环境等进行有效控制。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5.8.2 保证作业场所布置合理，现场标识清楚。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91" w:name="_Toc145856806"/>
                        <w:bookmarkStart w:id="92" w:name="_Toc140138253"/>
                        <w:bookmarkStart w:id="93" w:name="_Toc139441510"/>
                        <w:bookmarkEnd w:id="91"/>
                        <w:bookmarkEnd w:id="92"/>
                        <w:bookmarkEnd w:id="93"/>
                        <w:r w:rsidRPr="00FD657B">
                          <w:rPr>
                            <w:rFonts w:ascii="宋体" w:eastAsia="宋体" w:hAnsi="宋体" w:cs="宋体"/>
                            <w:kern w:val="0"/>
                            <w:sz w:val="24"/>
                            <w:szCs w:val="24"/>
                          </w:rPr>
                          <w:t>        5.9　职业卫生管理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5.9.1 建立职业危害和职业病控制制度，有效控制生产过程、劳动过程及作业环境产生的职业危害。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5.9.2 通过技术、工艺、管理等手段，消除或降低粉尘、放射性、高低温、噪声及其他等职业危害的影响。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94" w:name="_Toc140138254"/>
                        <w:bookmarkStart w:id="95" w:name="_Toc139441511"/>
                        <w:bookmarkStart w:id="96" w:name="_Toc145856807"/>
                        <w:bookmarkStart w:id="97" w:name="_Toc140138257"/>
                        <w:bookmarkStart w:id="98" w:name="_Toc139441514"/>
                        <w:bookmarkEnd w:id="94"/>
                        <w:bookmarkEnd w:id="95"/>
                        <w:bookmarkEnd w:id="96"/>
                        <w:bookmarkEnd w:id="97"/>
                        <w:bookmarkEnd w:id="98"/>
                        <w:r w:rsidRPr="00FD657B">
                          <w:rPr>
                            <w:rFonts w:ascii="宋体" w:eastAsia="宋体" w:hAnsi="宋体" w:cs="宋体"/>
                            <w:kern w:val="0"/>
                            <w:sz w:val="24"/>
                            <w:szCs w:val="24"/>
                          </w:rPr>
                          <w:t>        5.10　安全投入、安全科技与工伤保险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5.10.1 企业应做出承诺，提供并合理使用安全生产所需的资源，包括人力资源、专项技能、基础设施、技术和资金，以保障必要的安全生产条件。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5.10.2 主动研究和引进先进的技术和方法，积极采用新工艺、新材料、新设备，有效控制风险。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5.10.3 企业应根据法律法规要求为员工缴纳工伤保险费，建立并完善企业员工工伤保险管理制度。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w:t>
                        </w:r>
                        <w:bookmarkStart w:id="99" w:name="_Toc145856808"/>
                        <w:r w:rsidRPr="00FD657B">
                          <w:rPr>
                            <w:rFonts w:ascii="宋体" w:eastAsia="宋体" w:hAnsi="宋体" w:cs="宋体"/>
                            <w:kern w:val="0"/>
                            <w:sz w:val="24"/>
                            <w:szCs w:val="24"/>
                          </w:rPr>
                          <w:t>5.11</w:t>
                        </w:r>
                        <w:bookmarkEnd w:id="99"/>
                        <w:r w:rsidRPr="00FD657B">
                          <w:rPr>
                            <w:rFonts w:ascii="宋体" w:eastAsia="宋体" w:hAnsi="宋体" w:cs="宋体"/>
                            <w:kern w:val="0"/>
                            <w:sz w:val="24"/>
                            <w:szCs w:val="24"/>
                          </w:rPr>
                          <w:t xml:space="preserve">　检查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5.11.1 建立和完善安全检查制度，对目标实现、安全标准化系统运行、法律法规遵守情况等进行检查，检查结果作为改进安全绩效的依据。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5.11.2 针对检查出的问题，进行原因分析，制定有效纠正和预防措施并确保实施。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5.11.3 检查的方式、方法应切实有效，并根据实际情况确定适合的检查周期。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100" w:name="_Toc145856809"/>
                        <w:bookmarkStart w:id="101" w:name="_Toc140138255"/>
                        <w:bookmarkStart w:id="102" w:name="_Toc139441512"/>
                        <w:bookmarkEnd w:id="100"/>
                        <w:bookmarkEnd w:id="101"/>
                        <w:bookmarkEnd w:id="102"/>
                        <w:r w:rsidRPr="00FD657B">
                          <w:rPr>
                            <w:rFonts w:ascii="宋体" w:eastAsia="宋体" w:hAnsi="宋体" w:cs="宋体"/>
                            <w:kern w:val="0"/>
                            <w:sz w:val="24"/>
                            <w:szCs w:val="24"/>
                          </w:rPr>
                          <w:lastRenderedPageBreak/>
                          <w:t>        5.12　应急管理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5.12.1 企业应识别可能发生的事故和紧急情况，确保应急救援的针对性、有效性和科学性。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5.12.2 提供必要的应急救援物资、人力和设备等，保证所需的应急能力。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5.12.3 建立应急体系，编制应急预案，保证在事故或紧急情况出现时能够及时做出反应。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5.12.4 应定期进行应急演练，检验并确保应急体系的有效性。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5.12.5 应急体系应重点关注透水、地压灾害、尾矿库溃坝、火灾、中毒和窒息等金属非金属矿山生产的重大风险。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103" w:name="_Toc145856810"/>
                        <w:bookmarkStart w:id="104" w:name="_Toc140138256"/>
                        <w:bookmarkStart w:id="105" w:name="_Toc139441513"/>
                        <w:bookmarkEnd w:id="103"/>
                        <w:bookmarkEnd w:id="104"/>
                        <w:bookmarkEnd w:id="105"/>
                        <w:r w:rsidRPr="00FD657B">
                          <w:rPr>
                            <w:rFonts w:ascii="宋体" w:eastAsia="宋体" w:hAnsi="宋体" w:cs="宋体"/>
                            <w:kern w:val="0"/>
                            <w:sz w:val="24"/>
                            <w:szCs w:val="24"/>
                          </w:rPr>
                          <w:t>        5.13　事故、事件调查与分析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5.13.1 建立和完善制度，明确有关职责和权限，调查、分析各种事故、事件和其他不良安全绩效表现的原因、趋势与共同特征，为改进提供依据。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5.13.2 调查、分析过程应考虑专业技术需要和纠正与预防措施。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bookmarkStart w:id="106" w:name="_Toc145856811"/>
                        <w:bookmarkStart w:id="107" w:name="_Toc140138258"/>
                        <w:bookmarkStart w:id="108" w:name="_Toc139441515"/>
                        <w:bookmarkEnd w:id="106"/>
                        <w:bookmarkEnd w:id="107"/>
                        <w:bookmarkEnd w:id="108"/>
                        <w:r w:rsidRPr="00FD657B">
                          <w:rPr>
                            <w:rFonts w:ascii="宋体" w:eastAsia="宋体" w:hAnsi="宋体" w:cs="宋体"/>
                            <w:kern w:val="0"/>
                            <w:sz w:val="24"/>
                            <w:szCs w:val="24"/>
                          </w:rPr>
                          <w:t>        5.14　绩效测量与评价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5.14.1 建立并完善制度，对企业的安全生产绩效进行测量，为安全标准化系统的完善提供足够信息。</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5.14.2 测量方法应适应企业生产特点，测量对象包括各生产系统、安全措施、制度遵守情况、法律法规遵守情况、事故事件发生情况等。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5.14.3 应定期对安全标准化系统进行评价，评价结果作为采取进一步控制措施的重要依据。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5.14.4 安全标准化是动态完善的过程，企业应根据内外部条件的变化，定期和不定期对安全标准化系统进行评定，不断提高和完善安全标准化的水平，持续改进安全绩效。 </w:t>
                        </w:r>
                      </w:p>
                      <w:p w:rsidR="00FD657B" w:rsidRPr="00FD657B" w:rsidRDefault="00FD657B" w:rsidP="00FD657B">
                        <w:pPr>
                          <w:widowControl/>
                          <w:spacing w:before="100" w:beforeAutospacing="1" w:after="100" w:afterAutospacing="1"/>
                          <w:jc w:val="left"/>
                          <w:rPr>
                            <w:rFonts w:ascii="宋体" w:eastAsia="宋体" w:hAnsi="宋体" w:cs="宋体"/>
                            <w:kern w:val="0"/>
                            <w:sz w:val="24"/>
                            <w:szCs w:val="24"/>
                          </w:rPr>
                        </w:pPr>
                        <w:r w:rsidRPr="00FD657B">
                          <w:rPr>
                            <w:rFonts w:ascii="宋体" w:eastAsia="宋体" w:hAnsi="宋体" w:cs="宋体"/>
                            <w:kern w:val="0"/>
                            <w:sz w:val="24"/>
                            <w:szCs w:val="24"/>
                          </w:rPr>
                          <w:t>        5.14.5 企业内部评定每年至少进行一次</w:t>
                        </w:r>
                      </w:p>
                    </w:tc>
                  </w:tr>
                </w:tbl>
                <w:p w:rsidR="00FD657B" w:rsidRPr="00FD657B" w:rsidRDefault="00FD657B" w:rsidP="00FD657B">
                  <w:pPr>
                    <w:widowControl/>
                    <w:jc w:val="left"/>
                    <w:rPr>
                      <w:rFonts w:ascii="宋体" w:eastAsia="宋体" w:hAnsi="宋体" w:cs="宋体"/>
                      <w:kern w:val="0"/>
                      <w:sz w:val="24"/>
                      <w:szCs w:val="24"/>
                    </w:rPr>
                  </w:pPr>
                </w:p>
              </w:tc>
            </w:tr>
          </w:tbl>
          <w:p w:rsidR="00FD657B" w:rsidRPr="00FD657B" w:rsidRDefault="00FD657B" w:rsidP="00FD657B">
            <w:pPr>
              <w:widowControl/>
              <w:spacing w:line="300" w:lineRule="atLeast"/>
              <w:jc w:val="left"/>
              <w:rPr>
                <w:rFonts w:ascii="Arial" w:eastAsia="宋体" w:hAnsi="Arial" w:cs="Arial"/>
                <w:color w:val="4C4C4C"/>
                <w:kern w:val="0"/>
                <w:sz w:val="18"/>
                <w:szCs w:val="18"/>
              </w:rPr>
            </w:pPr>
          </w:p>
        </w:tc>
      </w:tr>
    </w:tbl>
    <w:p w:rsidR="00092C4C" w:rsidRPr="00FD657B" w:rsidRDefault="00092C4C">
      <w:bookmarkStart w:id="109" w:name="_GoBack"/>
      <w:bookmarkEnd w:id="109"/>
    </w:p>
    <w:sectPr w:rsidR="00092C4C" w:rsidRPr="00FD6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F7" w:rsidRDefault="006228F7" w:rsidP="00FD657B">
      <w:r>
        <w:separator/>
      </w:r>
    </w:p>
  </w:endnote>
  <w:endnote w:type="continuationSeparator" w:id="0">
    <w:p w:rsidR="006228F7" w:rsidRDefault="006228F7" w:rsidP="00F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F7" w:rsidRDefault="006228F7" w:rsidP="00FD657B">
      <w:r>
        <w:separator/>
      </w:r>
    </w:p>
  </w:footnote>
  <w:footnote w:type="continuationSeparator" w:id="0">
    <w:p w:rsidR="006228F7" w:rsidRDefault="006228F7" w:rsidP="00FD6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41"/>
    <w:rsid w:val="00092C4C"/>
    <w:rsid w:val="006228F7"/>
    <w:rsid w:val="00F33F41"/>
    <w:rsid w:val="00FD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6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657B"/>
    <w:rPr>
      <w:sz w:val="18"/>
      <w:szCs w:val="18"/>
    </w:rPr>
  </w:style>
  <w:style w:type="paragraph" w:styleId="a4">
    <w:name w:val="footer"/>
    <w:basedOn w:val="a"/>
    <w:link w:val="Char0"/>
    <w:uiPriority w:val="99"/>
    <w:unhideWhenUsed/>
    <w:rsid w:val="00FD657B"/>
    <w:pPr>
      <w:tabs>
        <w:tab w:val="center" w:pos="4153"/>
        <w:tab w:val="right" w:pos="8306"/>
      </w:tabs>
      <w:snapToGrid w:val="0"/>
      <w:jc w:val="left"/>
    </w:pPr>
    <w:rPr>
      <w:sz w:val="18"/>
      <w:szCs w:val="18"/>
    </w:rPr>
  </w:style>
  <w:style w:type="character" w:customStyle="1" w:styleId="Char0">
    <w:name w:val="页脚 Char"/>
    <w:basedOn w:val="a0"/>
    <w:link w:val="a4"/>
    <w:uiPriority w:val="99"/>
    <w:rsid w:val="00FD657B"/>
    <w:rPr>
      <w:sz w:val="18"/>
      <w:szCs w:val="18"/>
    </w:rPr>
  </w:style>
  <w:style w:type="paragraph" w:styleId="a5">
    <w:name w:val="Normal (Web)"/>
    <w:basedOn w:val="a"/>
    <w:uiPriority w:val="99"/>
    <w:unhideWhenUsed/>
    <w:rsid w:val="00FD657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657B"/>
    <w:rPr>
      <w:b/>
      <w:bCs/>
    </w:rPr>
  </w:style>
  <w:style w:type="character" w:customStyle="1" w:styleId="apple-converted-space">
    <w:name w:val="apple-converted-space"/>
    <w:basedOn w:val="a0"/>
    <w:rsid w:val="00FD6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6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657B"/>
    <w:rPr>
      <w:sz w:val="18"/>
      <w:szCs w:val="18"/>
    </w:rPr>
  </w:style>
  <w:style w:type="paragraph" w:styleId="a4">
    <w:name w:val="footer"/>
    <w:basedOn w:val="a"/>
    <w:link w:val="Char0"/>
    <w:uiPriority w:val="99"/>
    <w:unhideWhenUsed/>
    <w:rsid w:val="00FD657B"/>
    <w:pPr>
      <w:tabs>
        <w:tab w:val="center" w:pos="4153"/>
        <w:tab w:val="right" w:pos="8306"/>
      </w:tabs>
      <w:snapToGrid w:val="0"/>
      <w:jc w:val="left"/>
    </w:pPr>
    <w:rPr>
      <w:sz w:val="18"/>
      <w:szCs w:val="18"/>
    </w:rPr>
  </w:style>
  <w:style w:type="character" w:customStyle="1" w:styleId="Char0">
    <w:name w:val="页脚 Char"/>
    <w:basedOn w:val="a0"/>
    <w:link w:val="a4"/>
    <w:uiPriority w:val="99"/>
    <w:rsid w:val="00FD657B"/>
    <w:rPr>
      <w:sz w:val="18"/>
      <w:szCs w:val="18"/>
    </w:rPr>
  </w:style>
  <w:style w:type="paragraph" w:styleId="a5">
    <w:name w:val="Normal (Web)"/>
    <w:basedOn w:val="a"/>
    <w:uiPriority w:val="99"/>
    <w:unhideWhenUsed/>
    <w:rsid w:val="00FD657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657B"/>
    <w:rPr>
      <w:b/>
      <w:bCs/>
    </w:rPr>
  </w:style>
  <w:style w:type="character" w:customStyle="1" w:styleId="apple-converted-space">
    <w:name w:val="apple-converted-space"/>
    <w:basedOn w:val="a0"/>
    <w:rsid w:val="00FD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05254">
      <w:bodyDiv w:val="1"/>
      <w:marLeft w:val="0"/>
      <w:marRight w:val="0"/>
      <w:marTop w:val="0"/>
      <w:marBottom w:val="0"/>
      <w:divBdr>
        <w:top w:val="none" w:sz="0" w:space="0" w:color="auto"/>
        <w:left w:val="none" w:sz="0" w:space="0" w:color="auto"/>
        <w:bottom w:val="none" w:sz="0" w:space="0" w:color="auto"/>
        <w:right w:val="none" w:sz="0" w:space="0" w:color="auto"/>
      </w:divBdr>
      <w:divsChild>
        <w:div w:id="126984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2012-03-08T13:22:00Z</dcterms:created>
  <dcterms:modified xsi:type="dcterms:W3CDTF">2012-03-08T13:22:00Z</dcterms:modified>
</cp:coreProperties>
</file>